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3E99F" w14:textId="39DCBCCC" w:rsidR="005B282A" w:rsidRPr="007B5BE6" w:rsidRDefault="00BB6C1E" w:rsidP="005B282A">
      <w:pPr>
        <w:jc w:val="center"/>
        <w:rPr>
          <w:rFonts w:cs="Times New Roman"/>
          <w:sz w:val="24"/>
        </w:rPr>
      </w:pPr>
      <w:r>
        <w:rPr>
          <w:rFonts w:cs="Times New Roman"/>
          <w:sz w:val="24"/>
        </w:rPr>
        <w:t xml:space="preserve"> </w:t>
      </w:r>
      <w:r w:rsidR="005B282A" w:rsidRPr="007B5BE6">
        <w:rPr>
          <w:rFonts w:cs="Times New Roman"/>
          <w:noProof/>
        </w:rPr>
        <w:drawing>
          <wp:inline distT="0" distB="0" distL="0" distR="0" wp14:anchorId="78033647" wp14:editId="2E4641B2">
            <wp:extent cx="4882516" cy="81661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4882516" cy="816610"/>
                    </a:xfrm>
                    <a:prstGeom prst="rect">
                      <a:avLst/>
                    </a:prstGeom>
                  </pic:spPr>
                </pic:pic>
              </a:graphicData>
            </a:graphic>
          </wp:inline>
        </w:drawing>
      </w:r>
    </w:p>
    <w:p w14:paraId="3CF66EA0" w14:textId="77777777" w:rsidR="005B282A" w:rsidRPr="007B5BE6" w:rsidRDefault="005B282A" w:rsidP="005B282A">
      <w:pPr>
        <w:rPr>
          <w:rFonts w:cs="Times New Roman"/>
          <w:sz w:val="24"/>
        </w:rPr>
      </w:pPr>
    </w:p>
    <w:p w14:paraId="54FEBF40" w14:textId="77777777" w:rsidR="005B282A" w:rsidRPr="007B5BE6" w:rsidRDefault="005B282A" w:rsidP="005B282A">
      <w:pPr>
        <w:rPr>
          <w:rFonts w:cs="Times New Roman"/>
          <w:sz w:val="24"/>
        </w:rPr>
      </w:pPr>
    </w:p>
    <w:p w14:paraId="4BFBCCE5" w14:textId="2DAB3CBB" w:rsidR="005B282A" w:rsidRPr="007B5BE6" w:rsidRDefault="00E21D2F" w:rsidP="005B282A">
      <w:pPr>
        <w:spacing w:before="1440" w:line="288" w:lineRule="auto"/>
        <w:jc w:val="center"/>
        <w:rPr>
          <w:rFonts w:cs="Times New Roman"/>
          <w:sz w:val="68"/>
          <w:szCs w:val="68"/>
        </w:rPr>
      </w:pPr>
      <w:r w:rsidRPr="007B5BE6">
        <w:rPr>
          <w:rFonts w:cs="Times New Roman"/>
          <w:sz w:val="68"/>
          <w:szCs w:val="68"/>
        </w:rPr>
        <w:t xml:space="preserve">Safeguarding </w:t>
      </w:r>
      <w:r w:rsidR="005F26BF" w:rsidRPr="007B5BE6">
        <w:rPr>
          <w:rFonts w:cs="Times New Roman"/>
          <w:sz w:val="68"/>
          <w:szCs w:val="68"/>
        </w:rPr>
        <w:t>A</w:t>
      </w:r>
      <w:r w:rsidRPr="007B5BE6">
        <w:rPr>
          <w:rFonts w:cs="Times New Roman"/>
          <w:sz w:val="68"/>
          <w:szCs w:val="68"/>
        </w:rPr>
        <w:t xml:space="preserve">gainst the </w:t>
      </w:r>
      <w:r w:rsidR="00BD32CB" w:rsidRPr="007B5BE6">
        <w:rPr>
          <w:rFonts w:cs="Times New Roman"/>
          <w:sz w:val="68"/>
          <w:szCs w:val="68"/>
        </w:rPr>
        <w:t>A</w:t>
      </w:r>
      <w:r w:rsidRPr="007B5BE6">
        <w:rPr>
          <w:rFonts w:cs="Times New Roman"/>
          <w:sz w:val="68"/>
          <w:szCs w:val="68"/>
        </w:rPr>
        <w:t xml:space="preserve">buse of </w:t>
      </w:r>
      <w:r w:rsidR="00BD32CB" w:rsidRPr="007B5BE6">
        <w:rPr>
          <w:rFonts w:cs="Times New Roman"/>
          <w:sz w:val="68"/>
          <w:szCs w:val="68"/>
        </w:rPr>
        <w:t>O</w:t>
      </w:r>
      <w:r w:rsidRPr="007B5BE6">
        <w:rPr>
          <w:rFonts w:cs="Times New Roman"/>
          <w:sz w:val="68"/>
          <w:szCs w:val="68"/>
        </w:rPr>
        <w:t>lder Tasmanians</w:t>
      </w:r>
      <w:r w:rsidR="003B1EB1" w:rsidRPr="007B5BE6">
        <w:rPr>
          <w:rFonts w:cs="Times New Roman"/>
          <w:sz w:val="68"/>
          <w:szCs w:val="68"/>
        </w:rPr>
        <w:t xml:space="preserve"> </w:t>
      </w:r>
    </w:p>
    <w:p w14:paraId="36214496" w14:textId="77777777" w:rsidR="005B282A" w:rsidRPr="007B5BE6" w:rsidRDefault="005B282A" w:rsidP="005B282A">
      <w:pPr>
        <w:spacing w:after="360"/>
        <w:jc w:val="center"/>
        <w:rPr>
          <w:rFonts w:cs="Times New Roman"/>
          <w:sz w:val="68"/>
          <w:szCs w:val="68"/>
        </w:rPr>
      </w:pPr>
    </w:p>
    <w:p w14:paraId="2CE37A9D" w14:textId="74FC5211" w:rsidR="00BB352E" w:rsidRPr="007B5BE6" w:rsidRDefault="00E5591C" w:rsidP="005B282A">
      <w:pPr>
        <w:spacing w:after="360"/>
        <w:jc w:val="center"/>
        <w:rPr>
          <w:rFonts w:cs="Times New Roman"/>
          <w:sz w:val="68"/>
          <w:szCs w:val="68"/>
        </w:rPr>
      </w:pPr>
      <w:r w:rsidRPr="007B5BE6">
        <w:rPr>
          <w:rFonts w:cs="Times New Roman"/>
          <w:sz w:val="68"/>
          <w:szCs w:val="68"/>
        </w:rPr>
        <w:t xml:space="preserve"> </w:t>
      </w:r>
    </w:p>
    <w:p w14:paraId="3550F30D" w14:textId="77777777" w:rsidR="005B282A" w:rsidRPr="007B5BE6" w:rsidRDefault="005B282A" w:rsidP="005B282A">
      <w:pPr>
        <w:spacing w:after="360"/>
        <w:jc w:val="center"/>
        <w:rPr>
          <w:rFonts w:cs="Times New Roman"/>
          <w:smallCaps/>
          <w:sz w:val="24"/>
        </w:rPr>
      </w:pPr>
    </w:p>
    <w:p w14:paraId="7D891B47" w14:textId="5AD32CB7" w:rsidR="005B282A" w:rsidRPr="007B5BE6" w:rsidRDefault="005B282A" w:rsidP="005B282A">
      <w:pPr>
        <w:spacing w:after="360"/>
        <w:jc w:val="center"/>
        <w:rPr>
          <w:rFonts w:cs="Times New Roman"/>
          <w:smallCaps/>
          <w:sz w:val="36"/>
          <w:szCs w:val="36"/>
        </w:rPr>
      </w:pPr>
      <w:r w:rsidRPr="007B5BE6">
        <w:rPr>
          <w:rFonts w:cs="Times New Roman"/>
          <w:smallCaps/>
          <w:sz w:val="36"/>
          <w:szCs w:val="36"/>
        </w:rPr>
        <w:t xml:space="preserve">Research Paper No </w:t>
      </w:r>
      <w:r w:rsidR="00F52CD0" w:rsidRPr="007B5BE6">
        <w:rPr>
          <w:rFonts w:cs="Times New Roman"/>
          <w:smallCaps/>
          <w:sz w:val="36"/>
          <w:szCs w:val="36"/>
        </w:rPr>
        <w:t>9</w:t>
      </w:r>
    </w:p>
    <w:p w14:paraId="0FE85FAB" w14:textId="7BF88AF1" w:rsidR="005B282A" w:rsidRPr="007B5BE6" w:rsidRDefault="004B271A" w:rsidP="005B282A">
      <w:pPr>
        <w:jc w:val="center"/>
        <w:rPr>
          <w:rFonts w:cs="Times New Roman"/>
          <w:smallCaps/>
          <w:sz w:val="36"/>
          <w:szCs w:val="36"/>
        </w:rPr>
      </w:pPr>
      <w:r w:rsidRPr="007B5BE6">
        <w:rPr>
          <w:rFonts w:cs="Times New Roman"/>
          <w:smallCaps/>
          <w:sz w:val="36"/>
          <w:szCs w:val="36"/>
        </w:rPr>
        <w:t>September</w:t>
      </w:r>
      <w:r w:rsidR="00C94468" w:rsidRPr="007B5BE6">
        <w:rPr>
          <w:rFonts w:cs="Times New Roman"/>
          <w:smallCaps/>
          <w:sz w:val="36"/>
          <w:szCs w:val="36"/>
        </w:rPr>
        <w:t xml:space="preserve"> </w:t>
      </w:r>
      <w:r w:rsidR="005B282A" w:rsidRPr="007B5BE6">
        <w:rPr>
          <w:rFonts w:cs="Times New Roman"/>
          <w:smallCaps/>
          <w:sz w:val="36"/>
          <w:szCs w:val="36"/>
        </w:rPr>
        <w:t>202</w:t>
      </w:r>
      <w:r w:rsidR="007A3200" w:rsidRPr="007B5BE6">
        <w:rPr>
          <w:rFonts w:cs="Times New Roman"/>
          <w:smallCaps/>
          <w:sz w:val="36"/>
          <w:szCs w:val="36"/>
        </w:rPr>
        <w:t>5</w:t>
      </w:r>
    </w:p>
    <w:p w14:paraId="60AAD3BF" w14:textId="1B8AC0A7" w:rsidR="005B282A" w:rsidRPr="007B5BE6" w:rsidRDefault="00827C1E" w:rsidP="00827C1E">
      <w:pPr>
        <w:tabs>
          <w:tab w:val="left" w:pos="2780"/>
          <w:tab w:val="center" w:pos="4513"/>
        </w:tabs>
        <w:spacing w:before="1440" w:line="288" w:lineRule="auto"/>
        <w:jc w:val="left"/>
        <w:rPr>
          <w:rFonts w:cs="Times New Roman"/>
          <w:sz w:val="24"/>
        </w:rPr>
      </w:pPr>
      <w:r w:rsidRPr="007B5BE6">
        <w:rPr>
          <w:rFonts w:cs="Times New Roman"/>
          <w:sz w:val="24"/>
        </w:rPr>
        <w:tab/>
      </w:r>
      <w:r w:rsidRPr="007B5BE6">
        <w:rPr>
          <w:rFonts w:cs="Times New Roman"/>
          <w:sz w:val="24"/>
        </w:rPr>
        <w:tab/>
      </w:r>
    </w:p>
    <w:p w14:paraId="148A422C" w14:textId="77777777" w:rsidR="005B282A" w:rsidRPr="007B5BE6" w:rsidRDefault="005B282A" w:rsidP="005B282A">
      <w:pPr>
        <w:rPr>
          <w:rFonts w:eastAsiaTheme="majorEastAsia" w:cs="Times New Roman"/>
          <w:spacing w:val="-10"/>
          <w:sz w:val="24"/>
        </w:rPr>
        <w:sectPr w:rsidR="005B282A" w:rsidRPr="007B5BE6" w:rsidSect="005B282A">
          <w:headerReference w:type="even" r:id="rId12"/>
          <w:headerReference w:type="default" r:id="rId13"/>
          <w:footerReference w:type="even" r:id="rId14"/>
          <w:footerReference w:type="default" r:id="rId15"/>
          <w:footerReference w:type="first" r:id="rId16"/>
          <w:type w:val="oddPage"/>
          <w:pgSz w:w="11906" w:h="16838"/>
          <w:pgMar w:top="1440" w:right="1440" w:bottom="1440" w:left="1440" w:header="708" w:footer="708" w:gutter="0"/>
          <w:pgNumType w:fmt="lowerRoman" w:start="1"/>
          <w:cols w:space="708"/>
          <w:titlePg/>
          <w:docGrid w:linePitch="360"/>
        </w:sectPr>
      </w:pPr>
    </w:p>
    <w:p w14:paraId="3FF20CE2" w14:textId="4255EC3F" w:rsidR="005B282A" w:rsidRPr="007B5BE6" w:rsidRDefault="005B282A" w:rsidP="005B282A">
      <w:pPr>
        <w:rPr>
          <w:rFonts w:cs="Times New Roman"/>
          <w:sz w:val="40"/>
          <w:szCs w:val="40"/>
        </w:rPr>
        <w:sectPr w:rsidR="005B282A" w:rsidRPr="007B5BE6" w:rsidSect="005B282A">
          <w:pgSz w:w="11906" w:h="16838"/>
          <w:pgMar w:top="1440" w:right="1440" w:bottom="1440" w:left="1440" w:header="708" w:footer="708" w:gutter="0"/>
          <w:pgNumType w:fmt="lowerRoman" w:start="2"/>
          <w:cols w:space="708"/>
          <w:titlePg/>
          <w:docGrid w:linePitch="360"/>
        </w:sectPr>
      </w:pPr>
      <w:r w:rsidRPr="007B5BE6">
        <w:rPr>
          <w:rFonts w:cs="Times New Roman"/>
          <w:noProof/>
          <w:sz w:val="20"/>
          <w:szCs w:val="20"/>
        </w:rPr>
        <w:lastRenderedPageBreak/>
        <mc:AlternateContent>
          <mc:Choice Requires="wps">
            <w:drawing>
              <wp:anchor distT="45720" distB="45720" distL="114300" distR="114300" simplePos="0" relativeHeight="251658240" behindDoc="0" locked="0" layoutInCell="1" allowOverlap="1" wp14:anchorId="585325E6" wp14:editId="08E1D966">
                <wp:simplePos x="0" y="0"/>
                <wp:positionH relativeFrom="margin">
                  <wp:posOffset>1859280</wp:posOffset>
                </wp:positionH>
                <wp:positionV relativeFrom="paragraph">
                  <wp:posOffset>7167245</wp:posOffset>
                </wp:positionV>
                <wp:extent cx="4327525" cy="1029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1029970"/>
                        </a:xfrm>
                        <a:prstGeom prst="rect">
                          <a:avLst/>
                        </a:prstGeom>
                        <a:solidFill>
                          <a:srgbClr val="FFFFFF"/>
                        </a:solidFill>
                        <a:ln w="9525">
                          <a:noFill/>
                          <a:miter lim="800000"/>
                          <a:headEnd/>
                          <a:tailEnd/>
                        </a:ln>
                      </wps:spPr>
                      <wps:txbx>
                        <w:txbxContent>
                          <w:p w14:paraId="16808890" w14:textId="57945E82" w:rsidR="005B282A" w:rsidRPr="00A660A0" w:rsidRDefault="005B282A" w:rsidP="005B282A">
                            <w:pPr>
                              <w:jc w:val="right"/>
                              <w:rPr>
                                <w:rFonts w:cs="Times New Roman"/>
                                <w:sz w:val="20"/>
                                <w:szCs w:val="20"/>
                              </w:rPr>
                            </w:pPr>
                            <w:r w:rsidRPr="00A660A0">
                              <w:rPr>
                                <w:rFonts w:cs="Times New Roman"/>
                                <w:sz w:val="20"/>
                                <w:szCs w:val="20"/>
                              </w:rPr>
                              <w:t xml:space="preserve">© Tasmania Law Reform Institute </w:t>
                            </w:r>
                            <w:r w:rsidRPr="00854522">
                              <w:rPr>
                                <w:rFonts w:cs="Times New Roman"/>
                                <w:sz w:val="20"/>
                                <w:szCs w:val="20"/>
                              </w:rPr>
                              <w:t>202</w:t>
                            </w:r>
                            <w:r w:rsidR="001F3134">
                              <w:rPr>
                                <w:rFonts w:cs="Times New Roman"/>
                                <w:sz w:val="20"/>
                                <w:szCs w:val="20"/>
                              </w:rPr>
                              <w:t>5</w:t>
                            </w:r>
                          </w:p>
                          <w:p w14:paraId="5C03A765" w14:textId="77777777" w:rsidR="005B282A" w:rsidRPr="00A660A0" w:rsidRDefault="005B282A" w:rsidP="005B282A">
                            <w:pPr>
                              <w:jc w:val="right"/>
                              <w:rPr>
                                <w:rFonts w:cs="Times New Roman"/>
                                <w:sz w:val="20"/>
                                <w:szCs w:val="20"/>
                              </w:rPr>
                            </w:pPr>
                            <w:r w:rsidRPr="00A660A0">
                              <w:rPr>
                                <w:rFonts w:cs="Times New Roman"/>
                                <w:sz w:val="20"/>
                                <w:szCs w:val="20"/>
                              </w:rPr>
                              <w:t>www.utas.edu.au/law-reform/</w:t>
                            </w:r>
                            <w:r w:rsidRPr="005C2F14">
                              <w:rPr>
                                <w:rFonts w:cs="Times New Roman"/>
                                <w:sz w:val="20"/>
                                <w:szCs w:val="20"/>
                              </w:rPr>
                              <w:t>publications</w:t>
                            </w:r>
                          </w:p>
                          <w:p w14:paraId="1339B88B" w14:textId="23EF9065" w:rsidR="005B282A" w:rsidRPr="00A660A0" w:rsidRDefault="005B282A" w:rsidP="005B282A">
                            <w:pPr>
                              <w:jc w:val="right"/>
                              <w:rPr>
                                <w:rFonts w:cs="Times New Roman"/>
                                <w:sz w:val="20"/>
                                <w:szCs w:val="20"/>
                              </w:rPr>
                            </w:pPr>
                            <w:r w:rsidRPr="00A660A0">
                              <w:rPr>
                                <w:rFonts w:cs="Times New Roman"/>
                                <w:sz w:val="20"/>
                                <w:szCs w:val="20"/>
                              </w:rPr>
                              <w:t xml:space="preserve">Cite as: Tasmania Law Reform Institute, </w:t>
                            </w:r>
                            <w:r w:rsidR="00854522">
                              <w:rPr>
                                <w:rFonts w:cs="Times New Roman"/>
                                <w:sz w:val="20"/>
                                <w:szCs w:val="20"/>
                              </w:rPr>
                              <w:t xml:space="preserve">Safeguarding </w:t>
                            </w:r>
                            <w:r w:rsidR="002A464F">
                              <w:rPr>
                                <w:rFonts w:cs="Times New Roman"/>
                                <w:sz w:val="20"/>
                                <w:szCs w:val="20"/>
                              </w:rPr>
                              <w:t>A</w:t>
                            </w:r>
                            <w:r w:rsidR="00854522">
                              <w:rPr>
                                <w:rFonts w:cs="Times New Roman"/>
                                <w:sz w:val="20"/>
                                <w:szCs w:val="20"/>
                              </w:rPr>
                              <w:t xml:space="preserve">gainst the </w:t>
                            </w:r>
                            <w:r w:rsidR="002A464F">
                              <w:rPr>
                                <w:rFonts w:cs="Times New Roman"/>
                                <w:sz w:val="20"/>
                                <w:szCs w:val="20"/>
                              </w:rPr>
                              <w:t>A</w:t>
                            </w:r>
                            <w:r w:rsidR="00854522">
                              <w:rPr>
                                <w:rFonts w:cs="Times New Roman"/>
                                <w:sz w:val="20"/>
                                <w:szCs w:val="20"/>
                              </w:rPr>
                              <w:t xml:space="preserve">buse of </w:t>
                            </w:r>
                            <w:r w:rsidR="002A464F">
                              <w:rPr>
                                <w:rFonts w:cs="Times New Roman"/>
                                <w:sz w:val="20"/>
                                <w:szCs w:val="20"/>
                              </w:rPr>
                              <w:t>O</w:t>
                            </w:r>
                            <w:r w:rsidR="00854522">
                              <w:rPr>
                                <w:rFonts w:cs="Times New Roman"/>
                                <w:sz w:val="20"/>
                                <w:szCs w:val="20"/>
                              </w:rPr>
                              <w:t>lder Tasmanians</w:t>
                            </w:r>
                            <w:r w:rsidR="00A476EC">
                              <w:rPr>
                                <w:rFonts w:cs="Times New Roman"/>
                                <w:sz w:val="20"/>
                                <w:szCs w:val="20"/>
                              </w:rPr>
                              <w:t xml:space="preserve"> </w:t>
                            </w:r>
                            <w:r w:rsidR="009C458F" w:rsidRPr="009C458F">
                              <w:rPr>
                                <w:rFonts w:cs="Times New Roman"/>
                                <w:sz w:val="20"/>
                                <w:szCs w:val="20"/>
                              </w:rPr>
                              <w:t>(</w:t>
                            </w:r>
                            <w:r w:rsidR="00D8729E" w:rsidRPr="009C458F">
                              <w:rPr>
                                <w:rFonts w:cs="Times New Roman"/>
                                <w:sz w:val="20"/>
                                <w:szCs w:val="20"/>
                              </w:rPr>
                              <w:t>Research </w:t>
                            </w:r>
                            <w:r w:rsidRPr="009C458F">
                              <w:rPr>
                                <w:rFonts w:cs="Times New Roman"/>
                                <w:sz w:val="20"/>
                                <w:szCs w:val="20"/>
                              </w:rPr>
                              <w:t xml:space="preserve">Paper </w:t>
                            </w:r>
                            <w:r w:rsidRPr="00B17BFC">
                              <w:rPr>
                                <w:rFonts w:cs="Times New Roman"/>
                                <w:sz w:val="20"/>
                                <w:szCs w:val="20"/>
                              </w:rPr>
                              <w:t xml:space="preserve">No </w:t>
                            </w:r>
                            <w:r w:rsidR="00C94468" w:rsidRPr="00C94468">
                              <w:rPr>
                                <w:rFonts w:cs="Times New Roman"/>
                                <w:sz w:val="20"/>
                                <w:szCs w:val="20"/>
                              </w:rPr>
                              <w:t>9</w:t>
                            </w:r>
                            <w:r w:rsidRPr="00C94468">
                              <w:rPr>
                                <w:rFonts w:cs="Times New Roman"/>
                                <w:sz w:val="20"/>
                                <w:szCs w:val="20"/>
                              </w:rPr>
                              <w:t>,</w:t>
                            </w:r>
                            <w:r w:rsidR="001F3134" w:rsidRPr="00C94468">
                              <w:rPr>
                                <w:rFonts w:cs="Times New Roman"/>
                                <w:sz w:val="20"/>
                                <w:szCs w:val="20"/>
                              </w:rPr>
                              <w:t xml:space="preserve"> </w:t>
                            </w:r>
                            <w:r w:rsidR="004B271A">
                              <w:rPr>
                                <w:rFonts w:cs="Times New Roman"/>
                                <w:sz w:val="20"/>
                                <w:szCs w:val="20"/>
                              </w:rPr>
                              <w:t>September</w:t>
                            </w:r>
                            <w:r w:rsidR="00C94468">
                              <w:rPr>
                                <w:rFonts w:cs="Times New Roman"/>
                                <w:sz w:val="20"/>
                                <w:szCs w:val="20"/>
                              </w:rPr>
                              <w:t xml:space="preserve"> </w:t>
                            </w:r>
                            <w:r w:rsidRPr="009C458F">
                              <w:rPr>
                                <w:rFonts w:cs="Times New Roman"/>
                                <w:sz w:val="20"/>
                                <w:szCs w:val="20"/>
                              </w:rPr>
                              <w:t>202</w:t>
                            </w:r>
                            <w:r w:rsidR="004B1C9C">
                              <w:rPr>
                                <w:rFonts w:cs="Times New Roman"/>
                                <w:sz w:val="20"/>
                                <w:szCs w:val="20"/>
                              </w:rPr>
                              <w:t>5</w:t>
                            </w:r>
                            <w:r w:rsidRPr="009C458F">
                              <w:rPr>
                                <w:rFonts w:cs="Times New Roman"/>
                                <w:sz w:val="20"/>
                                <w:szCs w:val="20"/>
                              </w:rPr>
                              <w:t>)</w:t>
                            </w:r>
                          </w:p>
                          <w:p w14:paraId="286960B9" w14:textId="77777777" w:rsidR="005B282A" w:rsidRDefault="005B282A" w:rsidP="005B28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5325E6" id="_x0000_t202" coordsize="21600,21600" o:spt="202" path="m,l,21600r21600,l21600,xe">
                <v:stroke joinstyle="miter"/>
                <v:path gradientshapeok="t" o:connecttype="rect"/>
              </v:shapetype>
              <v:shape id="Text Box 2" o:spid="_x0000_s1026" type="#_x0000_t202" style="position:absolute;left:0;text-align:left;margin-left:146.4pt;margin-top:564.35pt;width:340.75pt;height:81.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" stroked="f">
                <v:textbox>
                  <w:txbxContent>
                    <w:p w14:paraId="16808890" w14:textId="57945E82" w:rsidR="005B282A" w:rsidRPr="00A660A0" w:rsidRDefault="005B282A" w:rsidP="005B282A">
                      <w:pPr>
                        <w:jc w:val="right"/>
                        <w:rPr>
                          <w:rFonts w:cs="Times New Roman"/>
                          <w:sz w:val="20"/>
                          <w:szCs w:val="20"/>
                        </w:rPr>
                      </w:pPr>
                      <w:r w:rsidRPr="00A660A0">
                        <w:rPr>
                          <w:rFonts w:cs="Times New Roman"/>
                          <w:sz w:val="20"/>
                          <w:szCs w:val="20"/>
                        </w:rPr>
                        <w:t xml:space="preserve">© Tasmania Law Reform Institute </w:t>
                      </w:r>
                      <w:r w:rsidRPr="00854522">
                        <w:rPr>
                          <w:rFonts w:cs="Times New Roman"/>
                          <w:sz w:val="20"/>
                          <w:szCs w:val="20"/>
                        </w:rPr>
                        <w:t>202</w:t>
                      </w:r>
                      <w:r w:rsidR="001F3134">
                        <w:rPr>
                          <w:rFonts w:cs="Times New Roman"/>
                          <w:sz w:val="20"/>
                          <w:szCs w:val="20"/>
                        </w:rPr>
                        <w:t>5</w:t>
                      </w:r>
                    </w:p>
                    <w:p w14:paraId="5C03A765" w14:textId="77777777" w:rsidR="005B282A" w:rsidRPr="00A660A0" w:rsidRDefault="005B282A" w:rsidP="005B282A">
                      <w:pPr>
                        <w:jc w:val="right"/>
                        <w:rPr>
                          <w:rFonts w:cs="Times New Roman"/>
                          <w:sz w:val="20"/>
                          <w:szCs w:val="20"/>
                        </w:rPr>
                      </w:pPr>
                      <w:r w:rsidRPr="00A660A0">
                        <w:rPr>
                          <w:rFonts w:cs="Times New Roman"/>
                          <w:sz w:val="20"/>
                          <w:szCs w:val="20"/>
                        </w:rPr>
                        <w:t>www.utas.edu.au/law-reform/</w:t>
                      </w:r>
                      <w:r w:rsidRPr="005C2F14">
                        <w:rPr>
                          <w:rFonts w:cs="Times New Roman"/>
                          <w:sz w:val="20"/>
                          <w:szCs w:val="20"/>
                        </w:rPr>
                        <w:t>publications</w:t>
                      </w:r>
                    </w:p>
                    <w:p w14:paraId="1339B88B" w14:textId="23EF9065" w:rsidR="005B282A" w:rsidRPr="00A660A0" w:rsidRDefault="005B282A" w:rsidP="005B282A">
                      <w:pPr>
                        <w:jc w:val="right"/>
                        <w:rPr>
                          <w:rFonts w:cs="Times New Roman"/>
                          <w:sz w:val="20"/>
                          <w:szCs w:val="20"/>
                        </w:rPr>
                      </w:pPr>
                      <w:r w:rsidRPr="00A660A0">
                        <w:rPr>
                          <w:rFonts w:cs="Times New Roman"/>
                          <w:sz w:val="20"/>
                          <w:szCs w:val="20"/>
                        </w:rPr>
                        <w:t xml:space="preserve">Cite as: Tasmania Law Reform Institute, </w:t>
                      </w:r>
                      <w:r w:rsidR="00854522">
                        <w:rPr>
                          <w:rFonts w:cs="Times New Roman"/>
                          <w:sz w:val="20"/>
                          <w:szCs w:val="20"/>
                        </w:rPr>
                        <w:t xml:space="preserve">Safeguarding </w:t>
                      </w:r>
                      <w:r w:rsidR="002A464F">
                        <w:rPr>
                          <w:rFonts w:cs="Times New Roman"/>
                          <w:sz w:val="20"/>
                          <w:szCs w:val="20"/>
                        </w:rPr>
                        <w:t>A</w:t>
                      </w:r>
                      <w:r w:rsidR="00854522">
                        <w:rPr>
                          <w:rFonts w:cs="Times New Roman"/>
                          <w:sz w:val="20"/>
                          <w:szCs w:val="20"/>
                        </w:rPr>
                        <w:t xml:space="preserve">gainst the </w:t>
                      </w:r>
                      <w:r w:rsidR="002A464F">
                        <w:rPr>
                          <w:rFonts w:cs="Times New Roman"/>
                          <w:sz w:val="20"/>
                          <w:szCs w:val="20"/>
                        </w:rPr>
                        <w:t>A</w:t>
                      </w:r>
                      <w:r w:rsidR="00854522">
                        <w:rPr>
                          <w:rFonts w:cs="Times New Roman"/>
                          <w:sz w:val="20"/>
                          <w:szCs w:val="20"/>
                        </w:rPr>
                        <w:t xml:space="preserve">buse of </w:t>
                      </w:r>
                      <w:r w:rsidR="002A464F">
                        <w:rPr>
                          <w:rFonts w:cs="Times New Roman"/>
                          <w:sz w:val="20"/>
                          <w:szCs w:val="20"/>
                        </w:rPr>
                        <w:t>O</w:t>
                      </w:r>
                      <w:r w:rsidR="00854522">
                        <w:rPr>
                          <w:rFonts w:cs="Times New Roman"/>
                          <w:sz w:val="20"/>
                          <w:szCs w:val="20"/>
                        </w:rPr>
                        <w:t>lder Tasmanians</w:t>
                      </w:r>
                      <w:r w:rsidR="00A476EC">
                        <w:rPr>
                          <w:rFonts w:cs="Times New Roman"/>
                          <w:sz w:val="20"/>
                          <w:szCs w:val="20"/>
                        </w:rPr>
                        <w:t xml:space="preserve"> </w:t>
                      </w:r>
                      <w:r w:rsidR="009C458F" w:rsidRPr="009C458F">
                        <w:rPr>
                          <w:rFonts w:cs="Times New Roman"/>
                          <w:sz w:val="20"/>
                          <w:szCs w:val="20"/>
                        </w:rPr>
                        <w:t>(</w:t>
                      </w:r>
                      <w:r w:rsidR="00D8729E" w:rsidRPr="009C458F">
                        <w:rPr>
                          <w:rFonts w:cs="Times New Roman"/>
                          <w:sz w:val="20"/>
                          <w:szCs w:val="20"/>
                        </w:rPr>
                        <w:t>Research </w:t>
                      </w:r>
                      <w:r w:rsidRPr="009C458F">
                        <w:rPr>
                          <w:rFonts w:cs="Times New Roman"/>
                          <w:sz w:val="20"/>
                          <w:szCs w:val="20"/>
                        </w:rPr>
                        <w:t xml:space="preserve">Paper </w:t>
                      </w:r>
                      <w:r w:rsidRPr="00B17BFC">
                        <w:rPr>
                          <w:rFonts w:cs="Times New Roman"/>
                          <w:sz w:val="20"/>
                          <w:szCs w:val="20"/>
                        </w:rPr>
                        <w:t xml:space="preserve">No </w:t>
                      </w:r>
                      <w:r w:rsidR="00C94468" w:rsidRPr="00C94468">
                        <w:rPr>
                          <w:rFonts w:cs="Times New Roman"/>
                          <w:sz w:val="20"/>
                          <w:szCs w:val="20"/>
                        </w:rPr>
                        <w:t>9</w:t>
                      </w:r>
                      <w:r w:rsidRPr="00C94468">
                        <w:rPr>
                          <w:rFonts w:cs="Times New Roman"/>
                          <w:sz w:val="20"/>
                          <w:szCs w:val="20"/>
                        </w:rPr>
                        <w:t>,</w:t>
                      </w:r>
                      <w:r w:rsidR="001F3134" w:rsidRPr="00C94468">
                        <w:rPr>
                          <w:rFonts w:cs="Times New Roman"/>
                          <w:sz w:val="20"/>
                          <w:szCs w:val="20"/>
                        </w:rPr>
                        <w:t xml:space="preserve"> </w:t>
                      </w:r>
                      <w:r w:rsidR="004B271A">
                        <w:rPr>
                          <w:rFonts w:cs="Times New Roman"/>
                          <w:sz w:val="20"/>
                          <w:szCs w:val="20"/>
                        </w:rPr>
                        <w:t>September</w:t>
                      </w:r>
                      <w:r w:rsidR="00C94468">
                        <w:rPr>
                          <w:rFonts w:cs="Times New Roman"/>
                          <w:sz w:val="20"/>
                          <w:szCs w:val="20"/>
                        </w:rPr>
                        <w:t xml:space="preserve"> </w:t>
                      </w:r>
                      <w:r w:rsidRPr="009C458F">
                        <w:rPr>
                          <w:rFonts w:cs="Times New Roman"/>
                          <w:sz w:val="20"/>
                          <w:szCs w:val="20"/>
                        </w:rPr>
                        <w:t>202</w:t>
                      </w:r>
                      <w:r w:rsidR="004B1C9C">
                        <w:rPr>
                          <w:rFonts w:cs="Times New Roman"/>
                          <w:sz w:val="20"/>
                          <w:szCs w:val="20"/>
                        </w:rPr>
                        <w:t>5</w:t>
                      </w:r>
                      <w:r w:rsidRPr="009C458F">
                        <w:rPr>
                          <w:rFonts w:cs="Times New Roman"/>
                          <w:sz w:val="20"/>
                          <w:szCs w:val="20"/>
                        </w:rPr>
                        <w:t>)</w:t>
                      </w:r>
                    </w:p>
                    <w:p w14:paraId="286960B9" w14:textId="77777777" w:rsidR="005B282A" w:rsidRDefault="005B282A" w:rsidP="005B282A"/>
                  </w:txbxContent>
                </v:textbox>
                <w10:wrap type="square" anchorx="margin"/>
              </v:shape>
            </w:pict>
          </mc:Fallback>
        </mc:AlternateContent>
      </w:r>
    </w:p>
    <w:p w14:paraId="43E51896" w14:textId="77777777" w:rsidR="00FE1FC8" w:rsidRPr="007B5BE6" w:rsidRDefault="00FE1FC8" w:rsidP="005B282A">
      <w:pPr>
        <w:rPr>
          <w:b/>
          <w:bCs/>
        </w:rPr>
      </w:pPr>
      <w:r w:rsidRPr="007B5BE6">
        <w:rPr>
          <w:b/>
          <w:bCs/>
          <w:sz w:val="32"/>
          <w:szCs w:val="36"/>
        </w:rPr>
        <w:lastRenderedPageBreak/>
        <w:t>Contents</w:t>
      </w:r>
      <w:r w:rsidRPr="007B5BE6">
        <w:rPr>
          <w:b/>
          <w:bCs/>
        </w:rPr>
        <w:t xml:space="preserve"> </w:t>
      </w:r>
      <w:r w:rsidR="00EB3C71" w:rsidRPr="007B5BE6">
        <w:rPr>
          <w:b/>
          <w:bCs/>
        </w:rPr>
        <w:t xml:space="preserve"> </w:t>
      </w:r>
    </w:p>
    <w:p w14:paraId="19133E90" w14:textId="621AF973" w:rsidR="001C0BDB" w:rsidRPr="007B5BE6" w:rsidRDefault="00D8729E">
      <w:pPr>
        <w:pStyle w:val="TOC1"/>
        <w:rPr>
          <w:rFonts w:asciiTheme="minorHAnsi" w:eastAsiaTheme="minorEastAsia" w:hAnsiTheme="minorHAnsi"/>
          <w:noProof/>
          <w:kern w:val="2"/>
          <w:sz w:val="24"/>
          <w:lang w:eastAsia="en-AU"/>
          <w14:ligatures w14:val="standardContextual"/>
        </w:rPr>
      </w:pPr>
      <w:r w:rsidRPr="007B5BE6">
        <w:fldChar w:fldCharType="begin"/>
      </w:r>
      <w:r w:rsidRPr="007B5BE6">
        <w:instrText xml:space="preserve"> TOC \o "1-3" \t "Part No TLRI,1,Part Heading TLRI,1,Numbered Heading TLRI,1,Sub-Heading TLRI,3,Heading unnumbered,1,Recommendation,3" </w:instrText>
      </w:r>
      <w:r w:rsidRPr="007B5BE6">
        <w:fldChar w:fldCharType="separate"/>
      </w:r>
      <w:r w:rsidR="001C0BDB" w:rsidRPr="007B5BE6">
        <w:rPr>
          <w:noProof/>
        </w:rPr>
        <w:t>About the Tasmania Law Reform Institute</w:t>
      </w:r>
      <w:r w:rsidR="001C0BDB" w:rsidRPr="007B5BE6">
        <w:rPr>
          <w:noProof/>
        </w:rPr>
        <w:tab/>
      </w:r>
      <w:r w:rsidR="001C0BDB" w:rsidRPr="007B5BE6">
        <w:rPr>
          <w:noProof/>
        </w:rPr>
        <w:fldChar w:fldCharType="begin"/>
      </w:r>
      <w:r w:rsidR="001C0BDB" w:rsidRPr="007B5BE6">
        <w:rPr>
          <w:noProof/>
        </w:rPr>
        <w:instrText xml:space="preserve"> PAGEREF _Toc212561705 \h </w:instrText>
      </w:r>
      <w:r w:rsidR="001C0BDB" w:rsidRPr="007B5BE6">
        <w:rPr>
          <w:noProof/>
        </w:rPr>
      </w:r>
      <w:r w:rsidR="001C0BDB" w:rsidRPr="007B5BE6">
        <w:rPr>
          <w:noProof/>
        </w:rPr>
        <w:fldChar w:fldCharType="separate"/>
      </w:r>
      <w:r w:rsidR="0014404C">
        <w:rPr>
          <w:noProof/>
        </w:rPr>
        <w:t>v</w:t>
      </w:r>
      <w:r w:rsidR="001C0BDB" w:rsidRPr="007B5BE6">
        <w:rPr>
          <w:noProof/>
        </w:rPr>
        <w:fldChar w:fldCharType="end"/>
      </w:r>
    </w:p>
    <w:p w14:paraId="1253DF79" w14:textId="2854717B"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Acknowledgements</w:t>
      </w:r>
      <w:r w:rsidRPr="007B5BE6">
        <w:rPr>
          <w:noProof/>
        </w:rPr>
        <w:tab/>
      </w:r>
      <w:r w:rsidRPr="007B5BE6">
        <w:rPr>
          <w:noProof/>
        </w:rPr>
        <w:fldChar w:fldCharType="begin"/>
      </w:r>
      <w:r w:rsidRPr="007B5BE6">
        <w:rPr>
          <w:noProof/>
        </w:rPr>
        <w:instrText xml:space="preserve"> PAGEREF _Toc212561706 \h </w:instrText>
      </w:r>
      <w:r w:rsidRPr="007B5BE6">
        <w:rPr>
          <w:noProof/>
        </w:rPr>
      </w:r>
      <w:r w:rsidRPr="007B5BE6">
        <w:rPr>
          <w:noProof/>
        </w:rPr>
        <w:fldChar w:fldCharType="separate"/>
      </w:r>
      <w:r w:rsidR="0014404C">
        <w:rPr>
          <w:noProof/>
        </w:rPr>
        <w:t>vi</w:t>
      </w:r>
      <w:r w:rsidRPr="007B5BE6">
        <w:rPr>
          <w:noProof/>
        </w:rPr>
        <w:fldChar w:fldCharType="end"/>
      </w:r>
    </w:p>
    <w:p w14:paraId="36B0F189" w14:textId="67C8AB4D"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Ethical Conduct of Research</w:t>
      </w:r>
      <w:r w:rsidRPr="007B5BE6">
        <w:rPr>
          <w:noProof/>
        </w:rPr>
        <w:tab/>
      </w:r>
      <w:r w:rsidRPr="007B5BE6">
        <w:rPr>
          <w:noProof/>
        </w:rPr>
        <w:fldChar w:fldCharType="begin"/>
      </w:r>
      <w:r w:rsidRPr="007B5BE6">
        <w:rPr>
          <w:noProof/>
        </w:rPr>
        <w:instrText xml:space="preserve"> PAGEREF _Toc212561707 \h </w:instrText>
      </w:r>
      <w:r w:rsidRPr="007B5BE6">
        <w:rPr>
          <w:noProof/>
        </w:rPr>
      </w:r>
      <w:r w:rsidRPr="007B5BE6">
        <w:rPr>
          <w:noProof/>
        </w:rPr>
        <w:fldChar w:fldCharType="separate"/>
      </w:r>
      <w:r w:rsidR="0014404C">
        <w:rPr>
          <w:noProof/>
        </w:rPr>
        <w:t>vi</w:t>
      </w:r>
      <w:r w:rsidRPr="007B5BE6">
        <w:rPr>
          <w:noProof/>
        </w:rPr>
        <w:fldChar w:fldCharType="end"/>
      </w:r>
    </w:p>
    <w:p w14:paraId="3D2EE0AC" w14:textId="4E6C7ED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Executive Summary</w:t>
      </w:r>
      <w:r w:rsidRPr="007B5BE6">
        <w:rPr>
          <w:noProof/>
        </w:rPr>
        <w:tab/>
      </w:r>
      <w:r w:rsidRPr="007B5BE6">
        <w:rPr>
          <w:noProof/>
        </w:rPr>
        <w:fldChar w:fldCharType="begin"/>
      </w:r>
      <w:r w:rsidRPr="007B5BE6">
        <w:rPr>
          <w:noProof/>
        </w:rPr>
        <w:instrText xml:space="preserve"> PAGEREF _Toc212561708 \h </w:instrText>
      </w:r>
      <w:r w:rsidRPr="007B5BE6">
        <w:rPr>
          <w:noProof/>
        </w:rPr>
      </w:r>
      <w:r w:rsidRPr="007B5BE6">
        <w:rPr>
          <w:noProof/>
        </w:rPr>
        <w:fldChar w:fldCharType="separate"/>
      </w:r>
      <w:r w:rsidR="0014404C">
        <w:rPr>
          <w:noProof/>
        </w:rPr>
        <w:t>vii</w:t>
      </w:r>
      <w:r w:rsidRPr="007B5BE6">
        <w:rPr>
          <w:noProof/>
        </w:rPr>
        <w:fldChar w:fldCharType="end"/>
      </w:r>
    </w:p>
    <w:p w14:paraId="4A6E0066" w14:textId="65AAE21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Recommendations</w:t>
      </w:r>
      <w:r w:rsidRPr="007B5BE6">
        <w:rPr>
          <w:noProof/>
        </w:rPr>
        <w:tab/>
      </w:r>
      <w:r w:rsidRPr="007B5BE6">
        <w:rPr>
          <w:noProof/>
        </w:rPr>
        <w:fldChar w:fldCharType="begin"/>
      </w:r>
      <w:r w:rsidRPr="007B5BE6">
        <w:rPr>
          <w:noProof/>
        </w:rPr>
        <w:instrText xml:space="preserve"> PAGEREF _Toc212561709 \h </w:instrText>
      </w:r>
      <w:r w:rsidRPr="007B5BE6">
        <w:rPr>
          <w:noProof/>
        </w:rPr>
      </w:r>
      <w:r w:rsidRPr="007B5BE6">
        <w:rPr>
          <w:noProof/>
        </w:rPr>
        <w:fldChar w:fldCharType="separate"/>
      </w:r>
      <w:r w:rsidR="0014404C">
        <w:rPr>
          <w:noProof/>
        </w:rPr>
        <w:t>xi</w:t>
      </w:r>
      <w:r w:rsidRPr="007B5BE6">
        <w:rPr>
          <w:noProof/>
        </w:rPr>
        <w:fldChar w:fldCharType="end"/>
      </w:r>
    </w:p>
    <w:p w14:paraId="791221B1" w14:textId="564FC2C6" w:rsidR="001C0BDB" w:rsidRPr="007B5BE6" w:rsidRDefault="001C0BDB">
      <w:pPr>
        <w:pStyle w:val="TOC1"/>
        <w:rPr>
          <w:rFonts w:asciiTheme="minorHAnsi" w:eastAsiaTheme="minorEastAsia" w:hAnsiTheme="minorHAnsi"/>
          <w:b/>
          <w:bCs/>
          <w:noProof/>
          <w:kern w:val="2"/>
          <w:sz w:val="24"/>
          <w:lang w:eastAsia="en-AU"/>
          <w14:ligatures w14:val="standardContextual"/>
        </w:rPr>
      </w:pPr>
      <w:r w:rsidRPr="007B5BE6">
        <w:rPr>
          <w:b/>
          <w:bCs/>
          <w:noProof/>
        </w:rPr>
        <w:t>Part 1</w:t>
      </w:r>
      <w:r w:rsidR="00F73388" w:rsidRPr="007B5BE6">
        <w:rPr>
          <w:b/>
          <w:bCs/>
          <w:noProof/>
        </w:rPr>
        <w:t>: Introduction</w:t>
      </w:r>
      <w:r w:rsidRPr="007B5BE6">
        <w:rPr>
          <w:b/>
          <w:bCs/>
          <w:noProof/>
        </w:rPr>
        <w:tab/>
      </w:r>
      <w:r w:rsidRPr="007B5BE6">
        <w:rPr>
          <w:b/>
          <w:bCs/>
          <w:noProof/>
        </w:rPr>
        <w:fldChar w:fldCharType="begin"/>
      </w:r>
      <w:r w:rsidRPr="007B5BE6">
        <w:rPr>
          <w:b/>
          <w:bCs/>
          <w:noProof/>
        </w:rPr>
        <w:instrText xml:space="preserve"> PAGEREF _Toc212561710 \h </w:instrText>
      </w:r>
      <w:r w:rsidRPr="007B5BE6">
        <w:rPr>
          <w:b/>
          <w:bCs/>
          <w:noProof/>
        </w:rPr>
      </w:r>
      <w:r w:rsidRPr="007B5BE6">
        <w:rPr>
          <w:b/>
          <w:bCs/>
          <w:noProof/>
        </w:rPr>
        <w:fldChar w:fldCharType="separate"/>
      </w:r>
      <w:r w:rsidR="0014404C">
        <w:rPr>
          <w:b/>
          <w:bCs/>
          <w:noProof/>
        </w:rPr>
        <w:t>1</w:t>
      </w:r>
      <w:r w:rsidRPr="007B5BE6">
        <w:rPr>
          <w:b/>
          <w:bCs/>
          <w:noProof/>
        </w:rPr>
        <w:fldChar w:fldCharType="end"/>
      </w:r>
    </w:p>
    <w:p w14:paraId="66496592" w14:textId="30EB9AF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1.1</w:t>
      </w:r>
      <w:r w:rsidRPr="007B5BE6">
        <w:rPr>
          <w:rFonts w:asciiTheme="minorHAnsi" w:eastAsiaTheme="minorEastAsia" w:hAnsiTheme="minorHAnsi"/>
          <w:noProof/>
          <w:kern w:val="2"/>
          <w:sz w:val="24"/>
          <w:lang w:eastAsia="en-AU"/>
          <w14:ligatures w14:val="standardContextual"/>
        </w:rPr>
        <w:tab/>
      </w:r>
      <w:r w:rsidRPr="007B5BE6">
        <w:rPr>
          <w:noProof/>
        </w:rPr>
        <w:t>The abuse of older Tasmanians and safeguarding</w:t>
      </w:r>
      <w:r w:rsidRPr="007B5BE6">
        <w:rPr>
          <w:noProof/>
        </w:rPr>
        <w:tab/>
      </w:r>
      <w:r w:rsidRPr="007B5BE6">
        <w:rPr>
          <w:noProof/>
        </w:rPr>
        <w:fldChar w:fldCharType="begin"/>
      </w:r>
      <w:r w:rsidRPr="007B5BE6">
        <w:rPr>
          <w:noProof/>
        </w:rPr>
        <w:instrText xml:space="preserve"> PAGEREF _Toc212561712 \h </w:instrText>
      </w:r>
      <w:r w:rsidRPr="007B5BE6">
        <w:rPr>
          <w:noProof/>
        </w:rPr>
      </w:r>
      <w:r w:rsidRPr="007B5BE6">
        <w:rPr>
          <w:noProof/>
        </w:rPr>
        <w:fldChar w:fldCharType="separate"/>
      </w:r>
      <w:r w:rsidR="0014404C">
        <w:rPr>
          <w:noProof/>
        </w:rPr>
        <w:t>1</w:t>
      </w:r>
      <w:r w:rsidRPr="007B5BE6">
        <w:rPr>
          <w:noProof/>
        </w:rPr>
        <w:fldChar w:fldCharType="end"/>
      </w:r>
    </w:p>
    <w:p w14:paraId="28CA8E92" w14:textId="0031F38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1.2</w:t>
      </w:r>
      <w:r w:rsidRPr="007B5BE6">
        <w:rPr>
          <w:rFonts w:asciiTheme="minorHAnsi" w:eastAsiaTheme="minorEastAsia" w:hAnsiTheme="minorHAnsi"/>
          <w:noProof/>
          <w:kern w:val="2"/>
          <w:sz w:val="24"/>
          <w:lang w:eastAsia="en-AU"/>
          <w14:ligatures w14:val="standardContextual"/>
        </w:rPr>
        <w:tab/>
      </w:r>
      <w:r w:rsidRPr="007B5BE6">
        <w:rPr>
          <w:noProof/>
        </w:rPr>
        <w:t>The scope of this Research Paper and the TLRI’s approach</w:t>
      </w:r>
      <w:r w:rsidRPr="007B5BE6">
        <w:rPr>
          <w:noProof/>
        </w:rPr>
        <w:tab/>
      </w:r>
      <w:r w:rsidRPr="007B5BE6">
        <w:rPr>
          <w:noProof/>
        </w:rPr>
        <w:fldChar w:fldCharType="begin"/>
      </w:r>
      <w:r w:rsidRPr="007B5BE6">
        <w:rPr>
          <w:noProof/>
        </w:rPr>
        <w:instrText xml:space="preserve"> PAGEREF _Toc212561713 \h </w:instrText>
      </w:r>
      <w:r w:rsidRPr="007B5BE6">
        <w:rPr>
          <w:noProof/>
        </w:rPr>
      </w:r>
      <w:r w:rsidRPr="007B5BE6">
        <w:rPr>
          <w:noProof/>
        </w:rPr>
        <w:fldChar w:fldCharType="separate"/>
      </w:r>
      <w:r w:rsidR="0014404C">
        <w:rPr>
          <w:noProof/>
        </w:rPr>
        <w:t>4</w:t>
      </w:r>
      <w:r w:rsidRPr="007B5BE6">
        <w:rPr>
          <w:noProof/>
        </w:rPr>
        <w:fldChar w:fldCharType="end"/>
      </w:r>
    </w:p>
    <w:p w14:paraId="7DCC4C87" w14:textId="24F1A9BF"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1.3</w:t>
      </w:r>
      <w:r w:rsidRPr="007B5BE6">
        <w:rPr>
          <w:rFonts w:asciiTheme="minorHAnsi" w:eastAsiaTheme="minorEastAsia" w:hAnsiTheme="minorHAnsi"/>
          <w:noProof/>
          <w:kern w:val="2"/>
          <w:sz w:val="24"/>
          <w:lang w:eastAsia="en-AU"/>
          <w14:ligatures w14:val="standardContextual"/>
        </w:rPr>
        <w:tab/>
      </w:r>
      <w:r w:rsidRPr="007B5BE6">
        <w:rPr>
          <w:noProof/>
        </w:rPr>
        <w:t>Structure of this Research Paper</w:t>
      </w:r>
      <w:r w:rsidRPr="007B5BE6">
        <w:rPr>
          <w:noProof/>
        </w:rPr>
        <w:tab/>
      </w:r>
      <w:r w:rsidRPr="007B5BE6">
        <w:rPr>
          <w:noProof/>
        </w:rPr>
        <w:fldChar w:fldCharType="begin"/>
      </w:r>
      <w:r w:rsidRPr="007B5BE6">
        <w:rPr>
          <w:noProof/>
        </w:rPr>
        <w:instrText xml:space="preserve"> PAGEREF _Toc212561714 \h </w:instrText>
      </w:r>
      <w:r w:rsidRPr="007B5BE6">
        <w:rPr>
          <w:noProof/>
        </w:rPr>
      </w:r>
      <w:r w:rsidRPr="007B5BE6">
        <w:rPr>
          <w:noProof/>
        </w:rPr>
        <w:fldChar w:fldCharType="separate"/>
      </w:r>
      <w:r w:rsidR="0014404C">
        <w:rPr>
          <w:noProof/>
        </w:rPr>
        <w:t>7</w:t>
      </w:r>
      <w:r w:rsidRPr="007B5BE6">
        <w:rPr>
          <w:noProof/>
        </w:rPr>
        <w:fldChar w:fldCharType="end"/>
      </w:r>
    </w:p>
    <w:p w14:paraId="21A0E0EA" w14:textId="20069A2E" w:rsidR="001C0BDB" w:rsidRPr="007B5BE6" w:rsidRDefault="001C0BDB">
      <w:pPr>
        <w:pStyle w:val="TOC1"/>
        <w:rPr>
          <w:rFonts w:asciiTheme="minorHAnsi" w:eastAsiaTheme="minorEastAsia" w:hAnsiTheme="minorHAnsi"/>
          <w:b/>
          <w:bCs/>
          <w:noProof/>
          <w:kern w:val="2"/>
          <w:sz w:val="24"/>
          <w:lang w:eastAsia="en-AU"/>
          <w14:ligatures w14:val="standardContextual"/>
        </w:rPr>
      </w:pPr>
      <w:r w:rsidRPr="007B5BE6">
        <w:rPr>
          <w:b/>
          <w:bCs/>
          <w:noProof/>
        </w:rPr>
        <w:t>Part 2</w:t>
      </w:r>
      <w:r w:rsidR="00F73388" w:rsidRPr="007B5BE6">
        <w:rPr>
          <w:b/>
          <w:bCs/>
          <w:noProof/>
        </w:rPr>
        <w:t>: The Nature of Abuse of Older People</w:t>
      </w:r>
      <w:r w:rsidRPr="007B5BE6">
        <w:rPr>
          <w:b/>
          <w:bCs/>
          <w:noProof/>
        </w:rPr>
        <w:tab/>
      </w:r>
      <w:r w:rsidRPr="007B5BE6">
        <w:rPr>
          <w:b/>
          <w:bCs/>
          <w:noProof/>
        </w:rPr>
        <w:fldChar w:fldCharType="begin"/>
      </w:r>
      <w:r w:rsidRPr="007B5BE6">
        <w:rPr>
          <w:b/>
          <w:bCs/>
          <w:noProof/>
        </w:rPr>
        <w:instrText xml:space="preserve"> PAGEREF _Toc212561715 \h </w:instrText>
      </w:r>
      <w:r w:rsidRPr="007B5BE6">
        <w:rPr>
          <w:b/>
          <w:bCs/>
          <w:noProof/>
        </w:rPr>
      </w:r>
      <w:r w:rsidRPr="007B5BE6">
        <w:rPr>
          <w:b/>
          <w:bCs/>
          <w:noProof/>
        </w:rPr>
        <w:fldChar w:fldCharType="separate"/>
      </w:r>
      <w:r w:rsidR="0014404C">
        <w:rPr>
          <w:b/>
          <w:bCs/>
          <w:noProof/>
        </w:rPr>
        <w:t>8</w:t>
      </w:r>
      <w:r w:rsidRPr="007B5BE6">
        <w:rPr>
          <w:b/>
          <w:bCs/>
          <w:noProof/>
        </w:rPr>
        <w:fldChar w:fldCharType="end"/>
      </w:r>
    </w:p>
    <w:p w14:paraId="60836C3C" w14:textId="4724284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2.1</w:t>
      </w:r>
      <w:r w:rsidRPr="007B5BE6">
        <w:rPr>
          <w:rFonts w:asciiTheme="minorHAnsi" w:eastAsiaTheme="minorEastAsia" w:hAnsiTheme="minorHAnsi"/>
          <w:noProof/>
          <w:kern w:val="2"/>
          <w:sz w:val="24"/>
          <w:lang w:eastAsia="en-AU"/>
          <w14:ligatures w14:val="standardContextual"/>
        </w:rPr>
        <w:tab/>
      </w:r>
      <w:r w:rsidRPr="007B5BE6">
        <w:rPr>
          <w:noProof/>
        </w:rPr>
        <w:t>Introduction</w:t>
      </w:r>
      <w:r w:rsidRPr="007B5BE6">
        <w:rPr>
          <w:noProof/>
        </w:rPr>
        <w:tab/>
      </w:r>
      <w:r w:rsidRPr="007B5BE6">
        <w:rPr>
          <w:noProof/>
        </w:rPr>
        <w:fldChar w:fldCharType="begin"/>
      </w:r>
      <w:r w:rsidRPr="007B5BE6">
        <w:rPr>
          <w:noProof/>
        </w:rPr>
        <w:instrText xml:space="preserve"> PAGEREF _Toc212561717 \h </w:instrText>
      </w:r>
      <w:r w:rsidRPr="007B5BE6">
        <w:rPr>
          <w:noProof/>
        </w:rPr>
      </w:r>
      <w:r w:rsidRPr="007B5BE6">
        <w:rPr>
          <w:noProof/>
        </w:rPr>
        <w:fldChar w:fldCharType="separate"/>
      </w:r>
      <w:r w:rsidR="0014404C">
        <w:rPr>
          <w:noProof/>
        </w:rPr>
        <w:t>8</w:t>
      </w:r>
      <w:r w:rsidRPr="007B5BE6">
        <w:rPr>
          <w:noProof/>
        </w:rPr>
        <w:fldChar w:fldCharType="end"/>
      </w:r>
    </w:p>
    <w:p w14:paraId="2CDC11FD" w14:textId="48D84BC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2.2</w:t>
      </w:r>
      <w:r w:rsidRPr="007B5BE6">
        <w:rPr>
          <w:rFonts w:asciiTheme="minorHAnsi" w:eastAsiaTheme="minorEastAsia" w:hAnsiTheme="minorHAnsi"/>
          <w:noProof/>
          <w:kern w:val="2"/>
          <w:sz w:val="24"/>
          <w:lang w:eastAsia="en-AU"/>
          <w14:ligatures w14:val="standardContextual"/>
        </w:rPr>
        <w:tab/>
      </w:r>
      <w:r w:rsidRPr="007B5BE6">
        <w:rPr>
          <w:noProof/>
        </w:rPr>
        <w:t>Definition and types of abuse</w:t>
      </w:r>
      <w:r w:rsidRPr="007B5BE6">
        <w:rPr>
          <w:noProof/>
        </w:rPr>
        <w:tab/>
      </w:r>
      <w:r w:rsidRPr="007B5BE6">
        <w:rPr>
          <w:noProof/>
        </w:rPr>
        <w:fldChar w:fldCharType="begin"/>
      </w:r>
      <w:r w:rsidRPr="007B5BE6">
        <w:rPr>
          <w:noProof/>
        </w:rPr>
        <w:instrText xml:space="preserve"> PAGEREF _Toc212561718 \h </w:instrText>
      </w:r>
      <w:r w:rsidRPr="007B5BE6">
        <w:rPr>
          <w:noProof/>
        </w:rPr>
      </w:r>
      <w:r w:rsidRPr="007B5BE6">
        <w:rPr>
          <w:noProof/>
        </w:rPr>
        <w:fldChar w:fldCharType="separate"/>
      </w:r>
      <w:r w:rsidR="0014404C">
        <w:rPr>
          <w:noProof/>
        </w:rPr>
        <w:t>8</w:t>
      </w:r>
      <w:r w:rsidRPr="007B5BE6">
        <w:rPr>
          <w:noProof/>
        </w:rPr>
        <w:fldChar w:fldCharType="end"/>
      </w:r>
    </w:p>
    <w:p w14:paraId="11AAE8BC" w14:textId="03BC6B9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2.3</w:t>
      </w:r>
      <w:r w:rsidRPr="007B5BE6">
        <w:rPr>
          <w:rFonts w:asciiTheme="minorHAnsi" w:eastAsiaTheme="minorEastAsia" w:hAnsiTheme="minorHAnsi"/>
          <w:noProof/>
          <w:kern w:val="2"/>
          <w:sz w:val="24"/>
          <w:lang w:eastAsia="en-AU"/>
          <w14:ligatures w14:val="standardContextual"/>
        </w:rPr>
        <w:tab/>
      </w:r>
      <w:r w:rsidRPr="007B5BE6">
        <w:rPr>
          <w:noProof/>
        </w:rPr>
        <w:t>Prevalence and dynamics of abuse</w:t>
      </w:r>
      <w:r w:rsidRPr="007B5BE6">
        <w:rPr>
          <w:noProof/>
        </w:rPr>
        <w:tab/>
      </w:r>
      <w:r w:rsidRPr="007B5BE6">
        <w:rPr>
          <w:noProof/>
        </w:rPr>
        <w:fldChar w:fldCharType="begin"/>
      </w:r>
      <w:r w:rsidRPr="007B5BE6">
        <w:rPr>
          <w:noProof/>
        </w:rPr>
        <w:instrText xml:space="preserve"> PAGEREF _Toc212561719 \h </w:instrText>
      </w:r>
      <w:r w:rsidRPr="007B5BE6">
        <w:rPr>
          <w:noProof/>
        </w:rPr>
      </w:r>
      <w:r w:rsidRPr="007B5BE6">
        <w:rPr>
          <w:noProof/>
        </w:rPr>
        <w:fldChar w:fldCharType="separate"/>
      </w:r>
      <w:r w:rsidR="0014404C">
        <w:rPr>
          <w:noProof/>
        </w:rPr>
        <w:t>12</w:t>
      </w:r>
      <w:r w:rsidRPr="007B5BE6">
        <w:rPr>
          <w:noProof/>
        </w:rPr>
        <w:fldChar w:fldCharType="end"/>
      </w:r>
    </w:p>
    <w:p w14:paraId="64AF3542" w14:textId="0940F53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National context</w:t>
      </w:r>
      <w:r w:rsidRPr="007B5BE6">
        <w:rPr>
          <w:noProof/>
        </w:rPr>
        <w:tab/>
      </w:r>
      <w:r w:rsidRPr="007B5BE6">
        <w:rPr>
          <w:noProof/>
        </w:rPr>
        <w:fldChar w:fldCharType="begin"/>
      </w:r>
      <w:r w:rsidRPr="007B5BE6">
        <w:rPr>
          <w:noProof/>
        </w:rPr>
        <w:instrText xml:space="preserve"> PAGEREF _Toc212561720 \h </w:instrText>
      </w:r>
      <w:r w:rsidRPr="007B5BE6">
        <w:rPr>
          <w:noProof/>
        </w:rPr>
      </w:r>
      <w:r w:rsidRPr="007B5BE6">
        <w:rPr>
          <w:noProof/>
        </w:rPr>
        <w:fldChar w:fldCharType="separate"/>
      </w:r>
      <w:r w:rsidR="0014404C">
        <w:rPr>
          <w:noProof/>
        </w:rPr>
        <w:t>12</w:t>
      </w:r>
      <w:r w:rsidRPr="007B5BE6">
        <w:rPr>
          <w:noProof/>
        </w:rPr>
        <w:fldChar w:fldCharType="end"/>
      </w:r>
    </w:p>
    <w:p w14:paraId="309B1153" w14:textId="7A794BFF"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International context</w:t>
      </w:r>
      <w:r w:rsidRPr="007B5BE6">
        <w:rPr>
          <w:noProof/>
        </w:rPr>
        <w:tab/>
      </w:r>
      <w:r w:rsidRPr="007B5BE6">
        <w:rPr>
          <w:noProof/>
        </w:rPr>
        <w:fldChar w:fldCharType="begin"/>
      </w:r>
      <w:r w:rsidRPr="007B5BE6">
        <w:rPr>
          <w:noProof/>
        </w:rPr>
        <w:instrText xml:space="preserve"> PAGEREF _Toc212561721 \h </w:instrText>
      </w:r>
      <w:r w:rsidRPr="007B5BE6">
        <w:rPr>
          <w:noProof/>
        </w:rPr>
      </w:r>
      <w:r w:rsidRPr="007B5BE6">
        <w:rPr>
          <w:noProof/>
        </w:rPr>
        <w:fldChar w:fldCharType="separate"/>
      </w:r>
      <w:r w:rsidR="0014404C">
        <w:rPr>
          <w:noProof/>
        </w:rPr>
        <w:t>15</w:t>
      </w:r>
      <w:r w:rsidRPr="007B5BE6">
        <w:rPr>
          <w:noProof/>
        </w:rPr>
        <w:fldChar w:fldCharType="end"/>
      </w:r>
    </w:p>
    <w:p w14:paraId="47F469A7" w14:textId="4224425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Tasmanian context</w:t>
      </w:r>
      <w:r w:rsidRPr="007B5BE6">
        <w:rPr>
          <w:noProof/>
        </w:rPr>
        <w:tab/>
      </w:r>
      <w:r w:rsidRPr="007B5BE6">
        <w:rPr>
          <w:noProof/>
        </w:rPr>
        <w:fldChar w:fldCharType="begin"/>
      </w:r>
      <w:r w:rsidRPr="007B5BE6">
        <w:rPr>
          <w:noProof/>
        </w:rPr>
        <w:instrText xml:space="preserve"> PAGEREF _Toc212561722 \h </w:instrText>
      </w:r>
      <w:r w:rsidRPr="007B5BE6">
        <w:rPr>
          <w:noProof/>
        </w:rPr>
      </w:r>
      <w:r w:rsidRPr="007B5BE6">
        <w:rPr>
          <w:noProof/>
        </w:rPr>
        <w:fldChar w:fldCharType="separate"/>
      </w:r>
      <w:r w:rsidR="0014404C">
        <w:rPr>
          <w:noProof/>
        </w:rPr>
        <w:t>15</w:t>
      </w:r>
      <w:r w:rsidRPr="007B5BE6">
        <w:rPr>
          <w:noProof/>
        </w:rPr>
        <w:fldChar w:fldCharType="end"/>
      </w:r>
    </w:p>
    <w:p w14:paraId="068616F8" w14:textId="1A60981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Tasmanian Elder Abuse Helpline (‘the Helpline’) data: 1 July 2022 to 30 June 2023</w:t>
      </w:r>
      <w:r w:rsidRPr="007B5BE6">
        <w:rPr>
          <w:noProof/>
        </w:rPr>
        <w:tab/>
      </w:r>
      <w:r w:rsidRPr="007B5BE6">
        <w:rPr>
          <w:i w:val="0"/>
          <w:iCs/>
          <w:noProof/>
        </w:rPr>
        <w:fldChar w:fldCharType="begin"/>
      </w:r>
      <w:r w:rsidRPr="007B5BE6">
        <w:rPr>
          <w:i w:val="0"/>
          <w:iCs/>
          <w:noProof/>
        </w:rPr>
        <w:instrText xml:space="preserve"> PAGEREF _Toc212561723 \h </w:instrText>
      </w:r>
      <w:r w:rsidRPr="007B5BE6">
        <w:rPr>
          <w:i w:val="0"/>
          <w:iCs/>
          <w:noProof/>
        </w:rPr>
      </w:r>
      <w:r w:rsidRPr="007B5BE6">
        <w:rPr>
          <w:i w:val="0"/>
          <w:iCs/>
          <w:noProof/>
        </w:rPr>
        <w:fldChar w:fldCharType="separate"/>
      </w:r>
      <w:r w:rsidR="0014404C">
        <w:rPr>
          <w:i w:val="0"/>
          <w:iCs/>
          <w:noProof/>
        </w:rPr>
        <w:t>17</w:t>
      </w:r>
      <w:r w:rsidRPr="007B5BE6">
        <w:rPr>
          <w:i w:val="0"/>
          <w:iCs/>
          <w:noProof/>
        </w:rPr>
        <w:fldChar w:fldCharType="end"/>
      </w:r>
    </w:p>
    <w:p w14:paraId="612BDFC4" w14:textId="2FF4083E"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 xml:space="preserve">Tasmania Legal Aid’s Senior Assist </w:t>
      </w:r>
      <w:r w:rsidR="00F53837">
        <w:rPr>
          <w:noProof/>
        </w:rPr>
        <w:t>P</w:t>
      </w:r>
      <w:r w:rsidRPr="007B5BE6">
        <w:rPr>
          <w:noProof/>
        </w:rPr>
        <w:t>rogram (‘Senior Assist’) data: 1 July 2023 to 31 December 2023</w:t>
      </w:r>
      <w:r w:rsidRPr="007B5BE6">
        <w:rPr>
          <w:noProof/>
        </w:rPr>
        <w:tab/>
      </w:r>
      <w:r w:rsidRPr="007B5BE6">
        <w:rPr>
          <w:i w:val="0"/>
          <w:iCs/>
          <w:noProof/>
        </w:rPr>
        <w:fldChar w:fldCharType="begin"/>
      </w:r>
      <w:r w:rsidRPr="007B5BE6">
        <w:rPr>
          <w:i w:val="0"/>
          <w:iCs/>
          <w:noProof/>
        </w:rPr>
        <w:instrText xml:space="preserve"> PAGEREF _Toc212561724 \h </w:instrText>
      </w:r>
      <w:r w:rsidRPr="007B5BE6">
        <w:rPr>
          <w:i w:val="0"/>
          <w:iCs/>
          <w:noProof/>
        </w:rPr>
      </w:r>
      <w:r w:rsidRPr="007B5BE6">
        <w:rPr>
          <w:i w:val="0"/>
          <w:iCs/>
          <w:noProof/>
        </w:rPr>
        <w:fldChar w:fldCharType="separate"/>
      </w:r>
      <w:r w:rsidR="0014404C">
        <w:rPr>
          <w:i w:val="0"/>
          <w:iCs/>
          <w:noProof/>
        </w:rPr>
        <w:t>19</w:t>
      </w:r>
      <w:r w:rsidRPr="007B5BE6">
        <w:rPr>
          <w:i w:val="0"/>
          <w:iCs/>
          <w:noProof/>
        </w:rPr>
        <w:fldChar w:fldCharType="end"/>
      </w:r>
    </w:p>
    <w:p w14:paraId="6B343A77" w14:textId="033F8620"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_Toc212561725 \h </w:instrText>
      </w:r>
      <w:r w:rsidRPr="007B5BE6">
        <w:rPr>
          <w:i w:val="0"/>
          <w:iCs/>
          <w:noProof/>
        </w:rPr>
      </w:r>
      <w:r w:rsidRPr="007B5BE6">
        <w:rPr>
          <w:i w:val="0"/>
          <w:iCs/>
          <w:noProof/>
        </w:rPr>
        <w:fldChar w:fldCharType="separate"/>
      </w:r>
      <w:r w:rsidR="0014404C">
        <w:rPr>
          <w:i w:val="0"/>
          <w:iCs/>
          <w:noProof/>
        </w:rPr>
        <w:t>20</w:t>
      </w:r>
      <w:r w:rsidRPr="007B5BE6">
        <w:rPr>
          <w:i w:val="0"/>
          <w:iCs/>
          <w:noProof/>
        </w:rPr>
        <w:fldChar w:fldCharType="end"/>
      </w:r>
    </w:p>
    <w:p w14:paraId="4DB3E662" w14:textId="772523D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2.4</w:t>
      </w:r>
      <w:r w:rsidRPr="007B5BE6">
        <w:rPr>
          <w:rFonts w:asciiTheme="minorHAnsi" w:eastAsiaTheme="minorEastAsia" w:hAnsiTheme="minorHAnsi"/>
          <w:noProof/>
          <w:kern w:val="2"/>
          <w:sz w:val="24"/>
          <w:lang w:eastAsia="en-AU"/>
          <w14:ligatures w14:val="standardContextual"/>
        </w:rPr>
        <w:tab/>
      </w:r>
      <w:r w:rsidRPr="007B5BE6">
        <w:rPr>
          <w:noProof/>
        </w:rPr>
        <w:t>Risk factors and help-seeking for abuse</w:t>
      </w:r>
      <w:r w:rsidRPr="007B5BE6">
        <w:rPr>
          <w:noProof/>
        </w:rPr>
        <w:tab/>
      </w:r>
      <w:r w:rsidRPr="007B5BE6">
        <w:rPr>
          <w:noProof/>
        </w:rPr>
        <w:fldChar w:fldCharType="begin"/>
      </w:r>
      <w:r w:rsidRPr="007B5BE6">
        <w:rPr>
          <w:noProof/>
        </w:rPr>
        <w:instrText xml:space="preserve"> PAGEREF _Toc212561726 \h </w:instrText>
      </w:r>
      <w:r w:rsidRPr="007B5BE6">
        <w:rPr>
          <w:noProof/>
        </w:rPr>
      </w:r>
      <w:r w:rsidRPr="007B5BE6">
        <w:rPr>
          <w:noProof/>
        </w:rPr>
        <w:fldChar w:fldCharType="separate"/>
      </w:r>
      <w:r w:rsidR="0014404C">
        <w:rPr>
          <w:noProof/>
        </w:rPr>
        <w:t>23</w:t>
      </w:r>
      <w:r w:rsidRPr="007B5BE6">
        <w:rPr>
          <w:noProof/>
        </w:rPr>
        <w:fldChar w:fldCharType="end"/>
      </w:r>
    </w:p>
    <w:p w14:paraId="099A20E3" w14:textId="35C9A8BE"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National context</w:t>
      </w:r>
      <w:r w:rsidRPr="007B5BE6">
        <w:rPr>
          <w:noProof/>
        </w:rPr>
        <w:tab/>
      </w:r>
      <w:r w:rsidRPr="007B5BE6">
        <w:rPr>
          <w:noProof/>
        </w:rPr>
        <w:fldChar w:fldCharType="begin"/>
      </w:r>
      <w:r w:rsidRPr="007B5BE6">
        <w:rPr>
          <w:noProof/>
        </w:rPr>
        <w:instrText xml:space="preserve"> PAGEREF _Toc212561727 \h </w:instrText>
      </w:r>
      <w:r w:rsidRPr="007B5BE6">
        <w:rPr>
          <w:noProof/>
        </w:rPr>
      </w:r>
      <w:r w:rsidRPr="007B5BE6">
        <w:rPr>
          <w:noProof/>
        </w:rPr>
        <w:fldChar w:fldCharType="separate"/>
      </w:r>
      <w:r w:rsidR="0014404C">
        <w:rPr>
          <w:noProof/>
        </w:rPr>
        <w:t>23</w:t>
      </w:r>
      <w:r w:rsidRPr="007B5BE6">
        <w:rPr>
          <w:noProof/>
        </w:rPr>
        <w:fldChar w:fldCharType="end"/>
      </w:r>
    </w:p>
    <w:p w14:paraId="78EC4B6D" w14:textId="10633A5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International context</w:t>
      </w:r>
      <w:r w:rsidRPr="007B5BE6">
        <w:rPr>
          <w:noProof/>
        </w:rPr>
        <w:tab/>
      </w:r>
      <w:r w:rsidRPr="007B5BE6">
        <w:rPr>
          <w:noProof/>
        </w:rPr>
        <w:fldChar w:fldCharType="begin"/>
      </w:r>
      <w:r w:rsidRPr="007B5BE6">
        <w:rPr>
          <w:noProof/>
        </w:rPr>
        <w:instrText xml:space="preserve"> PAGEREF _Toc212561728 \h </w:instrText>
      </w:r>
      <w:r w:rsidRPr="007B5BE6">
        <w:rPr>
          <w:noProof/>
        </w:rPr>
      </w:r>
      <w:r w:rsidRPr="007B5BE6">
        <w:rPr>
          <w:noProof/>
        </w:rPr>
        <w:fldChar w:fldCharType="separate"/>
      </w:r>
      <w:r w:rsidR="0014404C">
        <w:rPr>
          <w:noProof/>
        </w:rPr>
        <w:t>25</w:t>
      </w:r>
      <w:r w:rsidRPr="007B5BE6">
        <w:rPr>
          <w:noProof/>
        </w:rPr>
        <w:fldChar w:fldCharType="end"/>
      </w:r>
    </w:p>
    <w:p w14:paraId="1C167FD3" w14:textId="1DB025E2"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Tasmanian context</w:t>
      </w:r>
      <w:r w:rsidRPr="007B5BE6">
        <w:rPr>
          <w:noProof/>
        </w:rPr>
        <w:tab/>
      </w:r>
      <w:r w:rsidRPr="007B5BE6">
        <w:rPr>
          <w:noProof/>
        </w:rPr>
        <w:fldChar w:fldCharType="begin"/>
      </w:r>
      <w:r w:rsidRPr="007B5BE6">
        <w:rPr>
          <w:noProof/>
        </w:rPr>
        <w:instrText xml:space="preserve"> PAGEREF _Toc212561729 \h </w:instrText>
      </w:r>
      <w:r w:rsidRPr="007B5BE6">
        <w:rPr>
          <w:noProof/>
        </w:rPr>
      </w:r>
      <w:r w:rsidRPr="007B5BE6">
        <w:rPr>
          <w:noProof/>
        </w:rPr>
        <w:fldChar w:fldCharType="separate"/>
      </w:r>
      <w:r w:rsidR="0014404C">
        <w:rPr>
          <w:noProof/>
        </w:rPr>
        <w:t>27</w:t>
      </w:r>
      <w:r w:rsidRPr="007B5BE6">
        <w:rPr>
          <w:noProof/>
        </w:rPr>
        <w:fldChar w:fldCharType="end"/>
      </w:r>
    </w:p>
    <w:p w14:paraId="2632726F" w14:textId="5B70CB1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Tasmania’s population and other socio-demographic factors</w:t>
      </w:r>
      <w:r w:rsidRPr="007B5BE6">
        <w:rPr>
          <w:noProof/>
        </w:rPr>
        <w:tab/>
      </w:r>
      <w:r w:rsidRPr="007B5BE6">
        <w:rPr>
          <w:i w:val="0"/>
          <w:iCs/>
          <w:noProof/>
        </w:rPr>
        <w:fldChar w:fldCharType="begin"/>
      </w:r>
      <w:r w:rsidRPr="007B5BE6">
        <w:rPr>
          <w:i w:val="0"/>
          <w:iCs/>
          <w:noProof/>
        </w:rPr>
        <w:instrText xml:space="preserve"> PAGEREF _Toc212561730 \h </w:instrText>
      </w:r>
      <w:r w:rsidRPr="007B5BE6">
        <w:rPr>
          <w:i w:val="0"/>
          <w:iCs/>
          <w:noProof/>
        </w:rPr>
      </w:r>
      <w:r w:rsidRPr="007B5BE6">
        <w:rPr>
          <w:i w:val="0"/>
          <w:iCs/>
          <w:noProof/>
        </w:rPr>
        <w:fldChar w:fldCharType="separate"/>
      </w:r>
      <w:r w:rsidR="0014404C">
        <w:rPr>
          <w:i w:val="0"/>
          <w:iCs/>
          <w:noProof/>
        </w:rPr>
        <w:t>27</w:t>
      </w:r>
      <w:r w:rsidRPr="007B5BE6">
        <w:rPr>
          <w:i w:val="0"/>
          <w:iCs/>
          <w:noProof/>
        </w:rPr>
        <w:fldChar w:fldCharType="end"/>
      </w:r>
    </w:p>
    <w:p w14:paraId="785CC950" w14:textId="5695AEFF"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Tasmanian Elder Abuse Helpline (‘the Helpline’) data: 1 July 2022 to 30 June 2023</w:t>
      </w:r>
      <w:r w:rsidRPr="007B5BE6">
        <w:rPr>
          <w:noProof/>
        </w:rPr>
        <w:tab/>
      </w:r>
      <w:r w:rsidRPr="007B5BE6">
        <w:rPr>
          <w:i w:val="0"/>
          <w:iCs/>
          <w:noProof/>
        </w:rPr>
        <w:fldChar w:fldCharType="begin"/>
      </w:r>
      <w:r w:rsidRPr="007B5BE6">
        <w:rPr>
          <w:i w:val="0"/>
          <w:iCs/>
          <w:noProof/>
        </w:rPr>
        <w:instrText xml:space="preserve"> PAGEREF _Toc212561731 \h </w:instrText>
      </w:r>
      <w:r w:rsidRPr="007B5BE6">
        <w:rPr>
          <w:i w:val="0"/>
          <w:iCs/>
          <w:noProof/>
        </w:rPr>
      </w:r>
      <w:r w:rsidRPr="007B5BE6">
        <w:rPr>
          <w:i w:val="0"/>
          <w:iCs/>
          <w:noProof/>
        </w:rPr>
        <w:fldChar w:fldCharType="separate"/>
      </w:r>
      <w:r w:rsidR="0014404C">
        <w:rPr>
          <w:i w:val="0"/>
          <w:iCs/>
          <w:noProof/>
        </w:rPr>
        <w:t>28</w:t>
      </w:r>
      <w:r w:rsidRPr="007B5BE6">
        <w:rPr>
          <w:i w:val="0"/>
          <w:iCs/>
          <w:noProof/>
        </w:rPr>
        <w:fldChar w:fldCharType="end"/>
      </w:r>
    </w:p>
    <w:p w14:paraId="1AA3FCB9" w14:textId="62940AA2"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 xml:space="preserve">Tasmania Legal Aid’s Senior Assist </w:t>
      </w:r>
      <w:r w:rsidR="00F60585">
        <w:rPr>
          <w:noProof/>
        </w:rPr>
        <w:t>P</w:t>
      </w:r>
      <w:r w:rsidRPr="007B5BE6">
        <w:rPr>
          <w:noProof/>
        </w:rPr>
        <w:t>rogram (‘Senior Assist’) data: 1 July 2023 to 31 December 2023</w:t>
      </w:r>
      <w:r w:rsidRPr="007B5BE6">
        <w:rPr>
          <w:noProof/>
        </w:rPr>
        <w:tab/>
      </w:r>
      <w:r w:rsidRPr="007B5BE6">
        <w:rPr>
          <w:i w:val="0"/>
          <w:iCs/>
          <w:noProof/>
        </w:rPr>
        <w:fldChar w:fldCharType="begin"/>
      </w:r>
      <w:r w:rsidRPr="007B5BE6">
        <w:rPr>
          <w:i w:val="0"/>
          <w:iCs/>
          <w:noProof/>
        </w:rPr>
        <w:instrText xml:space="preserve"> PAGEREF _Toc212561732 \h </w:instrText>
      </w:r>
      <w:r w:rsidRPr="007B5BE6">
        <w:rPr>
          <w:i w:val="0"/>
          <w:iCs/>
          <w:noProof/>
        </w:rPr>
      </w:r>
      <w:r w:rsidRPr="007B5BE6">
        <w:rPr>
          <w:i w:val="0"/>
          <w:iCs/>
          <w:noProof/>
        </w:rPr>
        <w:fldChar w:fldCharType="separate"/>
      </w:r>
      <w:r w:rsidR="0014404C">
        <w:rPr>
          <w:i w:val="0"/>
          <w:iCs/>
          <w:noProof/>
        </w:rPr>
        <w:t>31</w:t>
      </w:r>
      <w:r w:rsidRPr="007B5BE6">
        <w:rPr>
          <w:i w:val="0"/>
          <w:iCs/>
          <w:noProof/>
        </w:rPr>
        <w:fldChar w:fldCharType="end"/>
      </w:r>
    </w:p>
    <w:p w14:paraId="20230606" w14:textId="257A0A0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_Toc212561733 \h </w:instrText>
      </w:r>
      <w:r w:rsidRPr="007B5BE6">
        <w:rPr>
          <w:i w:val="0"/>
          <w:iCs/>
          <w:noProof/>
        </w:rPr>
      </w:r>
      <w:r w:rsidRPr="007B5BE6">
        <w:rPr>
          <w:i w:val="0"/>
          <w:iCs/>
          <w:noProof/>
        </w:rPr>
        <w:fldChar w:fldCharType="separate"/>
      </w:r>
      <w:r w:rsidR="0014404C">
        <w:rPr>
          <w:i w:val="0"/>
          <w:iCs/>
          <w:noProof/>
        </w:rPr>
        <w:t>33</w:t>
      </w:r>
      <w:r w:rsidRPr="007B5BE6">
        <w:rPr>
          <w:i w:val="0"/>
          <w:iCs/>
          <w:noProof/>
        </w:rPr>
        <w:fldChar w:fldCharType="end"/>
      </w:r>
    </w:p>
    <w:p w14:paraId="7AAACC39" w14:textId="63531FB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2.5</w:t>
      </w:r>
      <w:r w:rsidRPr="007B5BE6">
        <w:rPr>
          <w:rFonts w:asciiTheme="minorHAnsi" w:eastAsiaTheme="minorEastAsia" w:hAnsiTheme="minorHAnsi"/>
          <w:noProof/>
          <w:kern w:val="2"/>
          <w:sz w:val="24"/>
          <w:lang w:eastAsia="en-AU"/>
          <w14:ligatures w14:val="standardContextual"/>
        </w:rPr>
        <w:tab/>
      </w:r>
      <w:r w:rsidRPr="007B5BE6">
        <w:rPr>
          <w:noProof/>
        </w:rPr>
        <w:t>Insights into the nature of abuse from cases in Tasmanian courts and tribunals</w:t>
      </w:r>
      <w:r w:rsidRPr="007B5BE6">
        <w:rPr>
          <w:noProof/>
        </w:rPr>
        <w:tab/>
      </w:r>
      <w:r w:rsidRPr="007B5BE6">
        <w:rPr>
          <w:noProof/>
        </w:rPr>
        <w:fldChar w:fldCharType="begin"/>
      </w:r>
      <w:r w:rsidRPr="007B5BE6">
        <w:rPr>
          <w:noProof/>
        </w:rPr>
        <w:instrText xml:space="preserve"> PAGEREF _Toc212561734 \h </w:instrText>
      </w:r>
      <w:r w:rsidRPr="007B5BE6">
        <w:rPr>
          <w:noProof/>
        </w:rPr>
      </w:r>
      <w:r w:rsidRPr="007B5BE6">
        <w:rPr>
          <w:noProof/>
        </w:rPr>
        <w:fldChar w:fldCharType="separate"/>
      </w:r>
      <w:r w:rsidR="0014404C">
        <w:rPr>
          <w:noProof/>
        </w:rPr>
        <w:t>35</w:t>
      </w:r>
      <w:r w:rsidRPr="007B5BE6">
        <w:rPr>
          <w:noProof/>
        </w:rPr>
        <w:fldChar w:fldCharType="end"/>
      </w:r>
    </w:p>
    <w:p w14:paraId="0569A1D1" w14:textId="6A0EF0F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Criminal and coronial cases: deaths of older Tasmanians</w:t>
      </w:r>
      <w:r w:rsidRPr="007B5BE6">
        <w:rPr>
          <w:noProof/>
        </w:rPr>
        <w:tab/>
      </w:r>
      <w:r w:rsidRPr="007B5BE6">
        <w:rPr>
          <w:noProof/>
        </w:rPr>
        <w:fldChar w:fldCharType="begin"/>
      </w:r>
      <w:r w:rsidRPr="007B5BE6">
        <w:rPr>
          <w:noProof/>
        </w:rPr>
        <w:instrText xml:space="preserve"> PAGEREF _Toc212561735 \h </w:instrText>
      </w:r>
      <w:r w:rsidRPr="007B5BE6">
        <w:rPr>
          <w:noProof/>
        </w:rPr>
      </w:r>
      <w:r w:rsidRPr="007B5BE6">
        <w:rPr>
          <w:noProof/>
        </w:rPr>
        <w:fldChar w:fldCharType="separate"/>
      </w:r>
      <w:r w:rsidR="0014404C">
        <w:rPr>
          <w:noProof/>
        </w:rPr>
        <w:t>36</w:t>
      </w:r>
      <w:r w:rsidRPr="007B5BE6">
        <w:rPr>
          <w:noProof/>
        </w:rPr>
        <w:fldChar w:fldCharType="end"/>
      </w:r>
    </w:p>
    <w:p w14:paraId="40719330" w14:textId="36087E2A"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Civil cases: circumstances of abuse of older Tasmanians under legal decision-making frameworks</w:t>
      </w:r>
      <w:r w:rsidRPr="007B5BE6">
        <w:rPr>
          <w:noProof/>
        </w:rPr>
        <w:tab/>
      </w:r>
      <w:r w:rsidRPr="007B5BE6">
        <w:rPr>
          <w:noProof/>
        </w:rPr>
        <w:fldChar w:fldCharType="begin"/>
      </w:r>
      <w:r w:rsidRPr="007B5BE6">
        <w:rPr>
          <w:noProof/>
        </w:rPr>
        <w:instrText xml:space="preserve"> PAGEREF _Toc212561736 \h </w:instrText>
      </w:r>
      <w:r w:rsidRPr="007B5BE6">
        <w:rPr>
          <w:noProof/>
        </w:rPr>
      </w:r>
      <w:r w:rsidRPr="007B5BE6">
        <w:rPr>
          <w:noProof/>
        </w:rPr>
        <w:fldChar w:fldCharType="separate"/>
      </w:r>
      <w:r w:rsidR="0014404C">
        <w:rPr>
          <w:noProof/>
        </w:rPr>
        <w:t>38</w:t>
      </w:r>
      <w:r w:rsidRPr="007B5BE6">
        <w:rPr>
          <w:noProof/>
        </w:rPr>
        <w:fldChar w:fldCharType="end"/>
      </w:r>
    </w:p>
    <w:p w14:paraId="60285E1F" w14:textId="7C874C00"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Civil cases: circumstances of abuse of older people involving undue influence or dishonesty</w:t>
      </w:r>
      <w:r w:rsidRPr="007B5BE6">
        <w:rPr>
          <w:noProof/>
        </w:rPr>
        <w:tab/>
      </w:r>
      <w:r w:rsidRPr="007B5BE6">
        <w:rPr>
          <w:noProof/>
        </w:rPr>
        <w:fldChar w:fldCharType="begin"/>
      </w:r>
      <w:r w:rsidRPr="007B5BE6">
        <w:rPr>
          <w:noProof/>
        </w:rPr>
        <w:instrText xml:space="preserve"> PAGEREF _Toc212561737 \h </w:instrText>
      </w:r>
      <w:r w:rsidRPr="007B5BE6">
        <w:rPr>
          <w:noProof/>
        </w:rPr>
      </w:r>
      <w:r w:rsidRPr="007B5BE6">
        <w:rPr>
          <w:noProof/>
        </w:rPr>
        <w:fldChar w:fldCharType="separate"/>
      </w:r>
      <w:r w:rsidR="0014404C">
        <w:rPr>
          <w:noProof/>
        </w:rPr>
        <w:t>39</w:t>
      </w:r>
      <w:r w:rsidRPr="007B5BE6">
        <w:rPr>
          <w:noProof/>
        </w:rPr>
        <w:fldChar w:fldCharType="end"/>
      </w:r>
    </w:p>
    <w:p w14:paraId="07AFA242" w14:textId="396C50EA" w:rsidR="001C0BDB" w:rsidRPr="007B5BE6" w:rsidRDefault="001C0BDB">
      <w:pPr>
        <w:pStyle w:val="TOC1"/>
        <w:rPr>
          <w:rFonts w:asciiTheme="minorHAnsi" w:eastAsiaTheme="minorEastAsia" w:hAnsiTheme="minorHAnsi"/>
          <w:b/>
          <w:bCs/>
          <w:noProof/>
          <w:kern w:val="2"/>
          <w:sz w:val="24"/>
          <w:lang w:eastAsia="en-AU"/>
          <w14:ligatures w14:val="standardContextual"/>
        </w:rPr>
      </w:pPr>
      <w:r w:rsidRPr="007B5BE6">
        <w:rPr>
          <w:b/>
          <w:bCs/>
          <w:noProof/>
        </w:rPr>
        <w:t>Part 3</w:t>
      </w:r>
      <w:r w:rsidR="00AD6298" w:rsidRPr="007B5BE6">
        <w:rPr>
          <w:b/>
          <w:bCs/>
          <w:noProof/>
        </w:rPr>
        <w:t>: Addressing the Abuse of Older Tasmanians: Current Approaches in Tasmania</w:t>
      </w:r>
      <w:r w:rsidRPr="007B5BE6">
        <w:rPr>
          <w:b/>
          <w:bCs/>
          <w:noProof/>
        </w:rPr>
        <w:tab/>
      </w:r>
      <w:r w:rsidRPr="007B5BE6">
        <w:rPr>
          <w:b/>
          <w:bCs/>
          <w:noProof/>
        </w:rPr>
        <w:fldChar w:fldCharType="begin"/>
      </w:r>
      <w:r w:rsidRPr="007B5BE6">
        <w:rPr>
          <w:b/>
          <w:bCs/>
          <w:noProof/>
        </w:rPr>
        <w:instrText xml:space="preserve"> PAGEREF _Toc212561738 \h </w:instrText>
      </w:r>
      <w:r w:rsidRPr="007B5BE6">
        <w:rPr>
          <w:b/>
          <w:bCs/>
          <w:noProof/>
        </w:rPr>
      </w:r>
      <w:r w:rsidRPr="007B5BE6">
        <w:rPr>
          <w:b/>
          <w:bCs/>
          <w:noProof/>
        </w:rPr>
        <w:fldChar w:fldCharType="separate"/>
      </w:r>
      <w:r w:rsidR="0014404C">
        <w:rPr>
          <w:b/>
          <w:bCs/>
          <w:noProof/>
        </w:rPr>
        <w:t>41</w:t>
      </w:r>
      <w:r w:rsidRPr="007B5BE6">
        <w:rPr>
          <w:b/>
          <w:bCs/>
          <w:noProof/>
        </w:rPr>
        <w:fldChar w:fldCharType="end"/>
      </w:r>
    </w:p>
    <w:p w14:paraId="5D93A871" w14:textId="55B1256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3.1</w:t>
      </w:r>
      <w:r w:rsidRPr="007B5BE6">
        <w:rPr>
          <w:rFonts w:asciiTheme="minorHAnsi" w:eastAsiaTheme="minorEastAsia" w:hAnsiTheme="minorHAnsi"/>
          <w:noProof/>
          <w:kern w:val="2"/>
          <w:sz w:val="24"/>
          <w:lang w:eastAsia="en-AU"/>
          <w14:ligatures w14:val="standardContextual"/>
        </w:rPr>
        <w:tab/>
      </w:r>
      <w:r w:rsidRPr="007B5BE6">
        <w:rPr>
          <w:noProof/>
        </w:rPr>
        <w:t>Introduction</w:t>
      </w:r>
      <w:r w:rsidRPr="007B5BE6">
        <w:rPr>
          <w:noProof/>
        </w:rPr>
        <w:tab/>
      </w:r>
      <w:r w:rsidRPr="007B5BE6">
        <w:rPr>
          <w:noProof/>
        </w:rPr>
        <w:fldChar w:fldCharType="begin"/>
      </w:r>
      <w:r w:rsidRPr="007B5BE6">
        <w:rPr>
          <w:noProof/>
        </w:rPr>
        <w:instrText xml:space="preserve"> PAGEREF _Toc212561740 \h </w:instrText>
      </w:r>
      <w:r w:rsidRPr="007B5BE6">
        <w:rPr>
          <w:noProof/>
        </w:rPr>
      </w:r>
      <w:r w:rsidRPr="007B5BE6">
        <w:rPr>
          <w:noProof/>
        </w:rPr>
        <w:fldChar w:fldCharType="separate"/>
      </w:r>
      <w:r w:rsidR="0014404C">
        <w:rPr>
          <w:noProof/>
        </w:rPr>
        <w:t>41</w:t>
      </w:r>
      <w:r w:rsidRPr="007B5BE6">
        <w:rPr>
          <w:noProof/>
        </w:rPr>
        <w:fldChar w:fldCharType="end"/>
      </w:r>
    </w:p>
    <w:p w14:paraId="04B1DD7B" w14:textId="4F362EB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3.2</w:t>
      </w:r>
      <w:r w:rsidRPr="007B5BE6">
        <w:rPr>
          <w:rFonts w:asciiTheme="minorHAnsi" w:eastAsiaTheme="minorEastAsia" w:hAnsiTheme="minorHAnsi"/>
          <w:noProof/>
          <w:kern w:val="2"/>
          <w:sz w:val="24"/>
          <w:lang w:eastAsia="en-AU"/>
          <w14:ligatures w14:val="standardContextual"/>
        </w:rPr>
        <w:tab/>
      </w:r>
      <w:r w:rsidRPr="007B5BE6">
        <w:rPr>
          <w:noProof/>
        </w:rPr>
        <w:t>Policy framework for addressing and responding to the abuse of older Tasmanians</w:t>
      </w:r>
      <w:r w:rsidRPr="007B5BE6">
        <w:rPr>
          <w:noProof/>
        </w:rPr>
        <w:tab/>
      </w:r>
      <w:r w:rsidRPr="007B5BE6">
        <w:rPr>
          <w:noProof/>
        </w:rPr>
        <w:fldChar w:fldCharType="begin"/>
      </w:r>
      <w:r w:rsidRPr="007B5BE6">
        <w:rPr>
          <w:noProof/>
        </w:rPr>
        <w:instrText xml:space="preserve"> PAGEREF _Toc212561741 \h </w:instrText>
      </w:r>
      <w:r w:rsidRPr="007B5BE6">
        <w:rPr>
          <w:noProof/>
        </w:rPr>
      </w:r>
      <w:r w:rsidRPr="007B5BE6">
        <w:rPr>
          <w:noProof/>
        </w:rPr>
        <w:fldChar w:fldCharType="separate"/>
      </w:r>
      <w:r w:rsidR="0014404C">
        <w:rPr>
          <w:noProof/>
        </w:rPr>
        <w:t>42</w:t>
      </w:r>
      <w:r w:rsidRPr="007B5BE6">
        <w:rPr>
          <w:noProof/>
        </w:rPr>
        <w:fldChar w:fldCharType="end"/>
      </w:r>
    </w:p>
    <w:p w14:paraId="368A76C6" w14:textId="67D7D1A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3.3</w:t>
      </w:r>
      <w:r w:rsidRPr="007B5BE6">
        <w:rPr>
          <w:rFonts w:asciiTheme="minorHAnsi" w:eastAsiaTheme="minorEastAsia" w:hAnsiTheme="minorHAnsi"/>
          <w:noProof/>
          <w:kern w:val="2"/>
          <w:sz w:val="24"/>
          <w:lang w:eastAsia="en-AU"/>
          <w14:ligatures w14:val="standardContextual"/>
        </w:rPr>
        <w:tab/>
      </w:r>
      <w:r w:rsidRPr="007B5BE6">
        <w:rPr>
          <w:noProof/>
        </w:rPr>
        <w:t>Current legal framework for addressing and responding to the abuse of older Tasmanians</w:t>
      </w:r>
      <w:r w:rsidRPr="007B5BE6">
        <w:rPr>
          <w:noProof/>
        </w:rPr>
        <w:tab/>
      </w:r>
      <w:r w:rsidRPr="007B5BE6">
        <w:rPr>
          <w:noProof/>
        </w:rPr>
        <w:fldChar w:fldCharType="begin"/>
      </w:r>
      <w:r w:rsidRPr="007B5BE6">
        <w:rPr>
          <w:noProof/>
        </w:rPr>
        <w:instrText xml:space="preserve"> PAGEREF _Toc212561742 \h </w:instrText>
      </w:r>
      <w:r w:rsidRPr="007B5BE6">
        <w:rPr>
          <w:noProof/>
        </w:rPr>
      </w:r>
      <w:r w:rsidRPr="007B5BE6">
        <w:rPr>
          <w:noProof/>
        </w:rPr>
        <w:fldChar w:fldCharType="separate"/>
      </w:r>
      <w:r w:rsidR="0014404C">
        <w:rPr>
          <w:noProof/>
        </w:rPr>
        <w:t>44</w:t>
      </w:r>
      <w:r w:rsidRPr="007B5BE6">
        <w:rPr>
          <w:noProof/>
        </w:rPr>
        <w:fldChar w:fldCharType="end"/>
      </w:r>
    </w:p>
    <w:p w14:paraId="78FB6185" w14:textId="65F3AE1A"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 xml:space="preserve">Overview of Tasmanian laws under </w:t>
      </w:r>
      <w:r w:rsidR="002E52A4">
        <w:rPr>
          <w:noProof/>
        </w:rPr>
        <w:t xml:space="preserve">the </w:t>
      </w:r>
      <w:r w:rsidRPr="007B5BE6">
        <w:rPr>
          <w:noProof/>
        </w:rPr>
        <w:t>current legal framework</w:t>
      </w:r>
      <w:r w:rsidRPr="007B5BE6">
        <w:rPr>
          <w:noProof/>
        </w:rPr>
        <w:tab/>
      </w:r>
      <w:r w:rsidRPr="007B5BE6">
        <w:rPr>
          <w:noProof/>
        </w:rPr>
        <w:fldChar w:fldCharType="begin"/>
      </w:r>
      <w:r w:rsidRPr="007B5BE6">
        <w:rPr>
          <w:noProof/>
        </w:rPr>
        <w:instrText xml:space="preserve"> PAGEREF _Toc212561743 \h </w:instrText>
      </w:r>
      <w:r w:rsidRPr="007B5BE6">
        <w:rPr>
          <w:noProof/>
        </w:rPr>
      </w:r>
      <w:r w:rsidRPr="007B5BE6">
        <w:rPr>
          <w:noProof/>
        </w:rPr>
        <w:fldChar w:fldCharType="separate"/>
      </w:r>
      <w:r w:rsidR="0014404C">
        <w:rPr>
          <w:noProof/>
        </w:rPr>
        <w:t>44</w:t>
      </w:r>
      <w:r w:rsidRPr="007B5BE6">
        <w:rPr>
          <w:noProof/>
        </w:rPr>
        <w:fldChar w:fldCharType="end"/>
      </w:r>
    </w:p>
    <w:p w14:paraId="5ED9121E" w14:textId="3398747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lastRenderedPageBreak/>
        <w:t>Criminal law</w:t>
      </w:r>
      <w:r w:rsidRPr="007B5BE6">
        <w:rPr>
          <w:noProof/>
        </w:rPr>
        <w:tab/>
      </w:r>
      <w:r w:rsidRPr="007B5BE6">
        <w:rPr>
          <w:noProof/>
        </w:rPr>
        <w:fldChar w:fldCharType="begin"/>
      </w:r>
      <w:r w:rsidRPr="007B5BE6">
        <w:rPr>
          <w:noProof/>
        </w:rPr>
        <w:instrText xml:space="preserve"> PAGEREF _Toc212561744 \h </w:instrText>
      </w:r>
      <w:r w:rsidRPr="007B5BE6">
        <w:rPr>
          <w:noProof/>
        </w:rPr>
      </w:r>
      <w:r w:rsidRPr="007B5BE6">
        <w:rPr>
          <w:noProof/>
        </w:rPr>
        <w:fldChar w:fldCharType="separate"/>
      </w:r>
      <w:r w:rsidR="0014404C">
        <w:rPr>
          <w:noProof/>
        </w:rPr>
        <w:t>48</w:t>
      </w:r>
      <w:r w:rsidRPr="007B5BE6">
        <w:rPr>
          <w:noProof/>
        </w:rPr>
        <w:fldChar w:fldCharType="end"/>
      </w:r>
    </w:p>
    <w:p w14:paraId="4898EAD4" w14:textId="070BC52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Coronial law</w:t>
      </w:r>
      <w:r w:rsidRPr="007B5BE6">
        <w:rPr>
          <w:noProof/>
        </w:rPr>
        <w:tab/>
      </w:r>
      <w:r w:rsidRPr="007B5BE6">
        <w:rPr>
          <w:noProof/>
        </w:rPr>
        <w:fldChar w:fldCharType="begin"/>
      </w:r>
      <w:r w:rsidRPr="007B5BE6">
        <w:rPr>
          <w:noProof/>
        </w:rPr>
        <w:instrText xml:space="preserve"> PAGEREF _Toc212561745 \h </w:instrText>
      </w:r>
      <w:r w:rsidRPr="007B5BE6">
        <w:rPr>
          <w:noProof/>
        </w:rPr>
      </w:r>
      <w:r w:rsidRPr="007B5BE6">
        <w:rPr>
          <w:noProof/>
        </w:rPr>
        <w:fldChar w:fldCharType="separate"/>
      </w:r>
      <w:r w:rsidR="0014404C">
        <w:rPr>
          <w:noProof/>
        </w:rPr>
        <w:t>49</w:t>
      </w:r>
      <w:r w:rsidRPr="007B5BE6">
        <w:rPr>
          <w:noProof/>
        </w:rPr>
        <w:fldChar w:fldCharType="end"/>
      </w:r>
    </w:p>
    <w:p w14:paraId="2D75B05E" w14:textId="5AB030A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Family violence laws (civil and criminal)</w:t>
      </w:r>
      <w:r w:rsidRPr="007B5BE6">
        <w:rPr>
          <w:noProof/>
        </w:rPr>
        <w:tab/>
      </w:r>
      <w:r w:rsidRPr="007B5BE6">
        <w:rPr>
          <w:noProof/>
        </w:rPr>
        <w:fldChar w:fldCharType="begin"/>
      </w:r>
      <w:r w:rsidRPr="007B5BE6">
        <w:rPr>
          <w:noProof/>
        </w:rPr>
        <w:instrText xml:space="preserve"> PAGEREF _Toc212561746 \h </w:instrText>
      </w:r>
      <w:r w:rsidRPr="007B5BE6">
        <w:rPr>
          <w:noProof/>
        </w:rPr>
      </w:r>
      <w:r w:rsidRPr="007B5BE6">
        <w:rPr>
          <w:noProof/>
        </w:rPr>
        <w:fldChar w:fldCharType="separate"/>
      </w:r>
      <w:r w:rsidR="0014404C">
        <w:rPr>
          <w:noProof/>
        </w:rPr>
        <w:t>50</w:t>
      </w:r>
      <w:r w:rsidRPr="007B5BE6">
        <w:rPr>
          <w:noProof/>
        </w:rPr>
        <w:fldChar w:fldCharType="end"/>
      </w:r>
    </w:p>
    <w:p w14:paraId="16FBC876" w14:textId="3D7B750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Civil restraint orders</w:t>
      </w:r>
      <w:r w:rsidRPr="007B5BE6">
        <w:rPr>
          <w:noProof/>
        </w:rPr>
        <w:tab/>
      </w:r>
      <w:r w:rsidRPr="007B5BE6">
        <w:rPr>
          <w:noProof/>
        </w:rPr>
        <w:fldChar w:fldCharType="begin"/>
      </w:r>
      <w:r w:rsidRPr="007B5BE6">
        <w:rPr>
          <w:noProof/>
        </w:rPr>
        <w:instrText xml:space="preserve"> PAGEREF _Toc212561747 \h </w:instrText>
      </w:r>
      <w:r w:rsidRPr="007B5BE6">
        <w:rPr>
          <w:noProof/>
        </w:rPr>
      </w:r>
      <w:r w:rsidRPr="007B5BE6">
        <w:rPr>
          <w:noProof/>
        </w:rPr>
        <w:fldChar w:fldCharType="separate"/>
      </w:r>
      <w:r w:rsidR="0014404C">
        <w:rPr>
          <w:noProof/>
        </w:rPr>
        <w:t>52</w:t>
      </w:r>
      <w:r w:rsidRPr="007B5BE6">
        <w:rPr>
          <w:noProof/>
        </w:rPr>
        <w:fldChar w:fldCharType="end"/>
      </w:r>
    </w:p>
    <w:p w14:paraId="54462730" w14:textId="3E8C055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Legislative frameworks governing financial, medical, personal and lifestyle decision making, and end-of-life decisions</w:t>
      </w:r>
      <w:r w:rsidRPr="007B5BE6">
        <w:rPr>
          <w:noProof/>
        </w:rPr>
        <w:tab/>
      </w:r>
      <w:r w:rsidRPr="007B5BE6">
        <w:rPr>
          <w:noProof/>
        </w:rPr>
        <w:fldChar w:fldCharType="begin"/>
      </w:r>
      <w:r w:rsidRPr="007B5BE6">
        <w:rPr>
          <w:noProof/>
        </w:rPr>
        <w:instrText xml:space="preserve"> PAGEREF _Toc212561748 \h </w:instrText>
      </w:r>
      <w:r w:rsidRPr="007B5BE6">
        <w:rPr>
          <w:noProof/>
        </w:rPr>
      </w:r>
      <w:r w:rsidRPr="007B5BE6">
        <w:rPr>
          <w:noProof/>
        </w:rPr>
        <w:fldChar w:fldCharType="separate"/>
      </w:r>
      <w:r w:rsidR="0014404C">
        <w:rPr>
          <w:noProof/>
        </w:rPr>
        <w:t>53</w:t>
      </w:r>
      <w:r w:rsidRPr="007B5BE6">
        <w:rPr>
          <w:noProof/>
        </w:rPr>
        <w:fldChar w:fldCharType="end"/>
      </w:r>
    </w:p>
    <w:p w14:paraId="225A51DA" w14:textId="735C31EA"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Protections for older people with impaired decision-making ability: financial</w:t>
      </w:r>
      <w:r w:rsidRPr="007B5BE6">
        <w:rPr>
          <w:noProof/>
        </w:rPr>
        <w:tab/>
      </w:r>
      <w:r w:rsidRPr="007B5BE6">
        <w:rPr>
          <w:i w:val="0"/>
          <w:iCs/>
          <w:noProof/>
        </w:rPr>
        <w:fldChar w:fldCharType="begin"/>
      </w:r>
      <w:r w:rsidRPr="007B5BE6">
        <w:rPr>
          <w:i w:val="0"/>
          <w:iCs/>
          <w:noProof/>
        </w:rPr>
        <w:instrText xml:space="preserve"> PAGEREF _Toc212561749 \h </w:instrText>
      </w:r>
      <w:r w:rsidRPr="007B5BE6">
        <w:rPr>
          <w:i w:val="0"/>
          <w:iCs/>
          <w:noProof/>
        </w:rPr>
      </w:r>
      <w:r w:rsidRPr="007B5BE6">
        <w:rPr>
          <w:i w:val="0"/>
          <w:iCs/>
          <w:noProof/>
        </w:rPr>
        <w:fldChar w:fldCharType="separate"/>
      </w:r>
      <w:r w:rsidR="0014404C">
        <w:rPr>
          <w:i w:val="0"/>
          <w:iCs/>
          <w:noProof/>
        </w:rPr>
        <w:t>53</w:t>
      </w:r>
      <w:r w:rsidRPr="007B5BE6">
        <w:rPr>
          <w:i w:val="0"/>
          <w:iCs/>
          <w:noProof/>
        </w:rPr>
        <w:fldChar w:fldCharType="end"/>
      </w:r>
    </w:p>
    <w:p w14:paraId="7E02E3DF" w14:textId="4E1CAC5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Protections for older people with impaired decision-making ability: medical, personal and lifestyle</w:t>
      </w:r>
      <w:r w:rsidRPr="007B5BE6">
        <w:rPr>
          <w:noProof/>
        </w:rPr>
        <w:tab/>
      </w:r>
      <w:r w:rsidR="009F1EC1">
        <w:rPr>
          <w:i w:val="0"/>
          <w:iCs/>
          <w:noProof/>
        </w:rPr>
        <w:t>.</w:t>
      </w:r>
      <w:r w:rsidRPr="007B5BE6">
        <w:rPr>
          <w:i w:val="0"/>
          <w:iCs/>
          <w:noProof/>
        </w:rPr>
        <w:fldChar w:fldCharType="begin"/>
      </w:r>
      <w:r w:rsidRPr="007B5BE6">
        <w:rPr>
          <w:i w:val="0"/>
          <w:iCs/>
          <w:noProof/>
        </w:rPr>
        <w:instrText xml:space="preserve"> PAGEREF _Toc212561750 \h </w:instrText>
      </w:r>
      <w:r w:rsidRPr="007B5BE6">
        <w:rPr>
          <w:i w:val="0"/>
          <w:iCs/>
          <w:noProof/>
        </w:rPr>
      </w:r>
      <w:r w:rsidRPr="007B5BE6">
        <w:rPr>
          <w:i w:val="0"/>
          <w:iCs/>
          <w:noProof/>
        </w:rPr>
        <w:fldChar w:fldCharType="separate"/>
      </w:r>
      <w:r w:rsidR="0014404C">
        <w:rPr>
          <w:i w:val="0"/>
          <w:iCs/>
          <w:noProof/>
        </w:rPr>
        <w:t>54</w:t>
      </w:r>
      <w:r w:rsidRPr="007B5BE6">
        <w:rPr>
          <w:i w:val="0"/>
          <w:iCs/>
          <w:noProof/>
        </w:rPr>
        <w:fldChar w:fldCharType="end"/>
      </w:r>
    </w:p>
    <w:p w14:paraId="4FECCD62" w14:textId="148CFF21"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Protections for older people making end-of-life decisions</w:t>
      </w:r>
      <w:r w:rsidRPr="007B5BE6">
        <w:rPr>
          <w:noProof/>
        </w:rPr>
        <w:tab/>
      </w:r>
      <w:r w:rsidRPr="007B5BE6">
        <w:rPr>
          <w:i w:val="0"/>
          <w:iCs/>
          <w:noProof/>
        </w:rPr>
        <w:fldChar w:fldCharType="begin"/>
      </w:r>
      <w:r w:rsidRPr="007B5BE6">
        <w:rPr>
          <w:i w:val="0"/>
          <w:iCs/>
          <w:noProof/>
        </w:rPr>
        <w:instrText xml:space="preserve"> PAGEREF _Toc212561751 \h </w:instrText>
      </w:r>
      <w:r w:rsidRPr="007B5BE6">
        <w:rPr>
          <w:i w:val="0"/>
          <w:iCs/>
          <w:noProof/>
        </w:rPr>
      </w:r>
      <w:r w:rsidRPr="007B5BE6">
        <w:rPr>
          <w:i w:val="0"/>
          <w:iCs/>
          <w:noProof/>
        </w:rPr>
        <w:fldChar w:fldCharType="separate"/>
      </w:r>
      <w:r w:rsidR="0014404C">
        <w:rPr>
          <w:i w:val="0"/>
          <w:iCs/>
          <w:noProof/>
        </w:rPr>
        <w:t>56</w:t>
      </w:r>
      <w:r w:rsidRPr="007B5BE6">
        <w:rPr>
          <w:i w:val="0"/>
          <w:iCs/>
          <w:noProof/>
        </w:rPr>
        <w:fldChar w:fldCharType="end"/>
      </w:r>
    </w:p>
    <w:p w14:paraId="4A900DAE" w14:textId="0C2AA15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Civil common law and equity</w:t>
      </w:r>
      <w:r w:rsidRPr="007B5BE6">
        <w:rPr>
          <w:noProof/>
        </w:rPr>
        <w:tab/>
      </w:r>
      <w:r w:rsidRPr="007B5BE6">
        <w:rPr>
          <w:noProof/>
        </w:rPr>
        <w:fldChar w:fldCharType="begin"/>
      </w:r>
      <w:r w:rsidRPr="007B5BE6">
        <w:rPr>
          <w:noProof/>
        </w:rPr>
        <w:instrText xml:space="preserve"> PAGEREF _Toc212561752 \h </w:instrText>
      </w:r>
      <w:r w:rsidRPr="007B5BE6">
        <w:rPr>
          <w:noProof/>
        </w:rPr>
      </w:r>
      <w:r w:rsidRPr="007B5BE6">
        <w:rPr>
          <w:noProof/>
        </w:rPr>
        <w:fldChar w:fldCharType="separate"/>
      </w:r>
      <w:r w:rsidR="0014404C">
        <w:rPr>
          <w:noProof/>
        </w:rPr>
        <w:t>56</w:t>
      </w:r>
      <w:r w:rsidRPr="007B5BE6">
        <w:rPr>
          <w:noProof/>
        </w:rPr>
        <w:fldChar w:fldCharType="end"/>
      </w:r>
    </w:p>
    <w:p w14:paraId="1369A754" w14:textId="57E1919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Legislative frameworks for complaints</w:t>
      </w:r>
      <w:r w:rsidRPr="007B5BE6">
        <w:rPr>
          <w:noProof/>
        </w:rPr>
        <w:tab/>
      </w:r>
      <w:r w:rsidRPr="007B5BE6">
        <w:rPr>
          <w:noProof/>
        </w:rPr>
        <w:fldChar w:fldCharType="begin"/>
      </w:r>
      <w:r w:rsidRPr="007B5BE6">
        <w:rPr>
          <w:noProof/>
        </w:rPr>
        <w:instrText xml:space="preserve"> PAGEREF _Toc212561753 \h </w:instrText>
      </w:r>
      <w:r w:rsidRPr="007B5BE6">
        <w:rPr>
          <w:noProof/>
        </w:rPr>
      </w:r>
      <w:r w:rsidRPr="007B5BE6">
        <w:rPr>
          <w:noProof/>
        </w:rPr>
        <w:fldChar w:fldCharType="separate"/>
      </w:r>
      <w:r w:rsidR="0014404C">
        <w:rPr>
          <w:noProof/>
        </w:rPr>
        <w:t>57</w:t>
      </w:r>
      <w:r w:rsidRPr="007B5BE6">
        <w:rPr>
          <w:noProof/>
        </w:rPr>
        <w:fldChar w:fldCharType="end"/>
      </w:r>
    </w:p>
    <w:p w14:paraId="5744F032" w14:textId="75036A2A"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Disability Commissioner: disability services and abuse of people with disability</w:t>
      </w:r>
      <w:r w:rsidRPr="007B5BE6">
        <w:rPr>
          <w:noProof/>
        </w:rPr>
        <w:tab/>
      </w:r>
      <w:r w:rsidRPr="007B5BE6">
        <w:rPr>
          <w:i w:val="0"/>
          <w:iCs/>
          <w:noProof/>
        </w:rPr>
        <w:fldChar w:fldCharType="begin"/>
      </w:r>
      <w:r w:rsidRPr="007B5BE6">
        <w:rPr>
          <w:i w:val="0"/>
          <w:iCs/>
          <w:noProof/>
        </w:rPr>
        <w:instrText xml:space="preserve"> PAGEREF _Toc212561754 \h </w:instrText>
      </w:r>
      <w:r w:rsidRPr="007B5BE6">
        <w:rPr>
          <w:i w:val="0"/>
          <w:iCs/>
          <w:noProof/>
        </w:rPr>
      </w:r>
      <w:r w:rsidRPr="007B5BE6">
        <w:rPr>
          <w:i w:val="0"/>
          <w:iCs/>
          <w:noProof/>
        </w:rPr>
        <w:fldChar w:fldCharType="separate"/>
      </w:r>
      <w:r w:rsidR="0014404C">
        <w:rPr>
          <w:i w:val="0"/>
          <w:iCs/>
          <w:noProof/>
        </w:rPr>
        <w:t>58</w:t>
      </w:r>
      <w:r w:rsidRPr="007B5BE6">
        <w:rPr>
          <w:i w:val="0"/>
          <w:iCs/>
          <w:noProof/>
        </w:rPr>
        <w:fldChar w:fldCharType="end"/>
      </w:r>
    </w:p>
    <w:p w14:paraId="0ABF8E3A" w14:textId="49C59318"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Health Complaints Commissioner: health services</w:t>
      </w:r>
      <w:r w:rsidRPr="007B5BE6">
        <w:rPr>
          <w:noProof/>
        </w:rPr>
        <w:tab/>
      </w:r>
      <w:r w:rsidRPr="007B5BE6">
        <w:rPr>
          <w:i w:val="0"/>
          <w:iCs/>
          <w:noProof/>
        </w:rPr>
        <w:fldChar w:fldCharType="begin"/>
      </w:r>
      <w:r w:rsidRPr="007B5BE6">
        <w:rPr>
          <w:i w:val="0"/>
          <w:iCs/>
          <w:noProof/>
        </w:rPr>
        <w:instrText xml:space="preserve"> PAGEREF _Toc212561755 \h </w:instrText>
      </w:r>
      <w:r w:rsidRPr="007B5BE6">
        <w:rPr>
          <w:i w:val="0"/>
          <w:iCs/>
          <w:noProof/>
        </w:rPr>
      </w:r>
      <w:r w:rsidRPr="007B5BE6">
        <w:rPr>
          <w:i w:val="0"/>
          <w:iCs/>
          <w:noProof/>
        </w:rPr>
        <w:fldChar w:fldCharType="separate"/>
      </w:r>
      <w:r w:rsidR="0014404C">
        <w:rPr>
          <w:i w:val="0"/>
          <w:iCs/>
          <w:noProof/>
        </w:rPr>
        <w:t>60</w:t>
      </w:r>
      <w:r w:rsidRPr="007B5BE6">
        <w:rPr>
          <w:i w:val="0"/>
          <w:iCs/>
          <w:noProof/>
        </w:rPr>
        <w:fldChar w:fldCharType="end"/>
      </w:r>
    </w:p>
    <w:p w14:paraId="71BFF54C" w14:textId="56F43D07" w:rsidR="001C0BDB" w:rsidRPr="007B5BE6" w:rsidRDefault="009A4D1D">
      <w:pPr>
        <w:pStyle w:val="TOC3"/>
        <w:tabs>
          <w:tab w:val="right" w:leader="dot" w:pos="9016"/>
        </w:tabs>
        <w:rPr>
          <w:rFonts w:asciiTheme="minorHAnsi" w:eastAsiaTheme="minorEastAsia" w:hAnsiTheme="minorHAnsi"/>
          <w:i w:val="0"/>
          <w:noProof/>
          <w:kern w:val="2"/>
          <w:sz w:val="24"/>
          <w:lang w:eastAsia="en-AU"/>
          <w14:ligatures w14:val="standardContextual"/>
        </w:rPr>
      </w:pPr>
      <w:r>
        <w:rPr>
          <w:noProof/>
        </w:rPr>
        <w:t>Anti-Discrimination</w:t>
      </w:r>
      <w:r w:rsidR="001C0BDB" w:rsidRPr="007B5BE6">
        <w:rPr>
          <w:noProof/>
        </w:rPr>
        <w:t xml:space="preserve"> Commissioner: discrimination and other prohibited conduct</w:t>
      </w:r>
      <w:r w:rsidR="001C0BDB" w:rsidRPr="007B5BE6">
        <w:rPr>
          <w:noProof/>
        </w:rPr>
        <w:tab/>
      </w:r>
      <w:r w:rsidR="001C0BDB" w:rsidRPr="007B5BE6">
        <w:rPr>
          <w:i w:val="0"/>
          <w:iCs/>
          <w:noProof/>
        </w:rPr>
        <w:fldChar w:fldCharType="begin"/>
      </w:r>
      <w:r w:rsidR="001C0BDB" w:rsidRPr="007B5BE6">
        <w:rPr>
          <w:i w:val="0"/>
          <w:iCs/>
          <w:noProof/>
        </w:rPr>
        <w:instrText xml:space="preserve"> PAGEREF _Toc212561756 \h </w:instrText>
      </w:r>
      <w:r w:rsidR="001C0BDB" w:rsidRPr="007B5BE6">
        <w:rPr>
          <w:i w:val="0"/>
          <w:iCs/>
          <w:noProof/>
        </w:rPr>
      </w:r>
      <w:r w:rsidR="001C0BDB" w:rsidRPr="007B5BE6">
        <w:rPr>
          <w:i w:val="0"/>
          <w:iCs/>
          <w:noProof/>
        </w:rPr>
        <w:fldChar w:fldCharType="separate"/>
      </w:r>
      <w:r w:rsidR="0014404C">
        <w:rPr>
          <w:i w:val="0"/>
          <w:iCs/>
          <w:noProof/>
        </w:rPr>
        <w:t>61</w:t>
      </w:r>
      <w:r w:rsidR="001C0BDB" w:rsidRPr="007B5BE6">
        <w:rPr>
          <w:i w:val="0"/>
          <w:iCs/>
          <w:noProof/>
        </w:rPr>
        <w:fldChar w:fldCharType="end"/>
      </w:r>
    </w:p>
    <w:p w14:paraId="6C326795" w14:textId="18EDD63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Commonwealth laws</w:t>
      </w:r>
      <w:r w:rsidRPr="007B5BE6">
        <w:rPr>
          <w:noProof/>
        </w:rPr>
        <w:tab/>
      </w:r>
      <w:r w:rsidRPr="007B5BE6">
        <w:rPr>
          <w:noProof/>
        </w:rPr>
        <w:fldChar w:fldCharType="begin"/>
      </w:r>
      <w:r w:rsidRPr="007B5BE6">
        <w:rPr>
          <w:noProof/>
        </w:rPr>
        <w:instrText xml:space="preserve"> PAGEREF _Toc212561757 \h </w:instrText>
      </w:r>
      <w:r w:rsidRPr="007B5BE6">
        <w:rPr>
          <w:noProof/>
        </w:rPr>
      </w:r>
      <w:r w:rsidRPr="007B5BE6">
        <w:rPr>
          <w:noProof/>
        </w:rPr>
        <w:fldChar w:fldCharType="separate"/>
      </w:r>
      <w:r w:rsidR="0014404C">
        <w:rPr>
          <w:noProof/>
        </w:rPr>
        <w:t>61</w:t>
      </w:r>
      <w:r w:rsidRPr="007B5BE6">
        <w:rPr>
          <w:noProof/>
        </w:rPr>
        <w:fldChar w:fldCharType="end"/>
      </w:r>
    </w:p>
    <w:p w14:paraId="64BCAC73" w14:textId="64B04557"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Aged Care</w:t>
      </w:r>
      <w:r w:rsidRPr="007B5BE6">
        <w:rPr>
          <w:noProof/>
        </w:rPr>
        <w:tab/>
      </w:r>
      <w:r w:rsidRPr="007B5BE6">
        <w:rPr>
          <w:i w:val="0"/>
          <w:iCs/>
          <w:noProof/>
        </w:rPr>
        <w:fldChar w:fldCharType="begin"/>
      </w:r>
      <w:r w:rsidRPr="007B5BE6">
        <w:rPr>
          <w:i w:val="0"/>
          <w:iCs/>
          <w:noProof/>
        </w:rPr>
        <w:instrText xml:space="preserve"> PAGEREF _Toc212561758 \h </w:instrText>
      </w:r>
      <w:r w:rsidRPr="007B5BE6">
        <w:rPr>
          <w:i w:val="0"/>
          <w:iCs/>
          <w:noProof/>
        </w:rPr>
      </w:r>
      <w:r w:rsidRPr="007B5BE6">
        <w:rPr>
          <w:i w:val="0"/>
          <w:iCs/>
          <w:noProof/>
        </w:rPr>
        <w:fldChar w:fldCharType="separate"/>
      </w:r>
      <w:r w:rsidR="0014404C">
        <w:rPr>
          <w:i w:val="0"/>
          <w:iCs/>
          <w:noProof/>
        </w:rPr>
        <w:t>61</w:t>
      </w:r>
      <w:r w:rsidRPr="007B5BE6">
        <w:rPr>
          <w:i w:val="0"/>
          <w:iCs/>
          <w:noProof/>
        </w:rPr>
        <w:fldChar w:fldCharType="end"/>
      </w:r>
    </w:p>
    <w:p w14:paraId="35309237" w14:textId="7CC44F1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Carers</w:t>
      </w:r>
      <w:r w:rsidRPr="007B5BE6">
        <w:rPr>
          <w:noProof/>
        </w:rPr>
        <w:tab/>
      </w:r>
      <w:r w:rsidRPr="007B5BE6">
        <w:rPr>
          <w:i w:val="0"/>
          <w:iCs/>
          <w:noProof/>
        </w:rPr>
        <w:fldChar w:fldCharType="begin"/>
      </w:r>
      <w:r w:rsidRPr="007B5BE6">
        <w:rPr>
          <w:i w:val="0"/>
          <w:iCs/>
          <w:noProof/>
        </w:rPr>
        <w:instrText xml:space="preserve"> PAGEREF _Toc212561759 \h </w:instrText>
      </w:r>
      <w:r w:rsidRPr="007B5BE6">
        <w:rPr>
          <w:i w:val="0"/>
          <w:iCs/>
          <w:noProof/>
        </w:rPr>
      </w:r>
      <w:r w:rsidRPr="007B5BE6">
        <w:rPr>
          <w:i w:val="0"/>
          <w:iCs/>
          <w:noProof/>
        </w:rPr>
        <w:fldChar w:fldCharType="separate"/>
      </w:r>
      <w:r w:rsidR="0014404C">
        <w:rPr>
          <w:i w:val="0"/>
          <w:iCs/>
          <w:noProof/>
        </w:rPr>
        <w:t>62</w:t>
      </w:r>
      <w:r w:rsidRPr="007B5BE6">
        <w:rPr>
          <w:i w:val="0"/>
          <w:iCs/>
          <w:noProof/>
        </w:rPr>
        <w:fldChar w:fldCharType="end"/>
      </w:r>
    </w:p>
    <w:p w14:paraId="23662B0A" w14:textId="20526FFD"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Financial abuse</w:t>
      </w:r>
      <w:r w:rsidRPr="007B5BE6">
        <w:rPr>
          <w:noProof/>
        </w:rPr>
        <w:tab/>
      </w:r>
      <w:r w:rsidRPr="007B5BE6">
        <w:rPr>
          <w:i w:val="0"/>
          <w:iCs/>
          <w:noProof/>
        </w:rPr>
        <w:fldChar w:fldCharType="begin"/>
      </w:r>
      <w:r w:rsidRPr="007B5BE6">
        <w:rPr>
          <w:i w:val="0"/>
          <w:iCs/>
          <w:noProof/>
        </w:rPr>
        <w:instrText xml:space="preserve"> PAGEREF _Toc212561760 \h </w:instrText>
      </w:r>
      <w:r w:rsidRPr="007B5BE6">
        <w:rPr>
          <w:i w:val="0"/>
          <w:iCs/>
          <w:noProof/>
        </w:rPr>
      </w:r>
      <w:r w:rsidRPr="007B5BE6">
        <w:rPr>
          <w:i w:val="0"/>
          <w:iCs/>
          <w:noProof/>
        </w:rPr>
        <w:fldChar w:fldCharType="separate"/>
      </w:r>
      <w:r w:rsidR="0014404C">
        <w:rPr>
          <w:i w:val="0"/>
          <w:iCs/>
          <w:noProof/>
        </w:rPr>
        <w:t>62</w:t>
      </w:r>
      <w:r w:rsidRPr="007B5BE6">
        <w:rPr>
          <w:i w:val="0"/>
          <w:iCs/>
          <w:noProof/>
        </w:rPr>
        <w:fldChar w:fldCharType="end"/>
      </w:r>
    </w:p>
    <w:p w14:paraId="218DD70E" w14:textId="0EBDA90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Human rights law</w:t>
      </w:r>
      <w:r w:rsidRPr="007B5BE6">
        <w:rPr>
          <w:noProof/>
        </w:rPr>
        <w:tab/>
      </w:r>
      <w:r w:rsidRPr="007B5BE6">
        <w:rPr>
          <w:noProof/>
        </w:rPr>
        <w:fldChar w:fldCharType="begin"/>
      </w:r>
      <w:r w:rsidRPr="007B5BE6">
        <w:rPr>
          <w:noProof/>
        </w:rPr>
        <w:instrText xml:space="preserve"> PAGEREF _Toc212561761 \h </w:instrText>
      </w:r>
      <w:r w:rsidRPr="007B5BE6">
        <w:rPr>
          <w:noProof/>
        </w:rPr>
      </w:r>
      <w:r w:rsidRPr="007B5BE6">
        <w:rPr>
          <w:noProof/>
        </w:rPr>
        <w:fldChar w:fldCharType="separate"/>
      </w:r>
      <w:r w:rsidR="0014404C">
        <w:rPr>
          <w:noProof/>
        </w:rPr>
        <w:t>63</w:t>
      </w:r>
      <w:r w:rsidRPr="007B5BE6">
        <w:rPr>
          <w:noProof/>
        </w:rPr>
        <w:fldChar w:fldCharType="end"/>
      </w:r>
    </w:p>
    <w:p w14:paraId="5980054F" w14:textId="285DAC7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3.4</w:t>
      </w:r>
      <w:r w:rsidRPr="007B5BE6">
        <w:rPr>
          <w:rFonts w:asciiTheme="minorHAnsi" w:eastAsiaTheme="minorEastAsia" w:hAnsiTheme="minorHAnsi"/>
          <w:noProof/>
          <w:kern w:val="2"/>
          <w:sz w:val="24"/>
          <w:lang w:eastAsia="en-AU"/>
          <w14:ligatures w14:val="standardContextual"/>
        </w:rPr>
        <w:tab/>
      </w:r>
      <w:r w:rsidRPr="007B5BE6">
        <w:rPr>
          <w:noProof/>
        </w:rPr>
        <w:t>Specialist approach to addressing and responding to the abuse of older Tasmanians</w:t>
      </w:r>
      <w:r w:rsidRPr="007B5BE6">
        <w:rPr>
          <w:noProof/>
        </w:rPr>
        <w:tab/>
      </w:r>
      <w:r w:rsidRPr="007B5BE6">
        <w:rPr>
          <w:noProof/>
        </w:rPr>
        <w:fldChar w:fldCharType="begin"/>
      </w:r>
      <w:r w:rsidRPr="007B5BE6">
        <w:rPr>
          <w:noProof/>
        </w:rPr>
        <w:instrText xml:space="preserve"> PAGEREF _Toc212561762 \h </w:instrText>
      </w:r>
      <w:r w:rsidRPr="007B5BE6">
        <w:rPr>
          <w:noProof/>
        </w:rPr>
      </w:r>
      <w:r w:rsidRPr="007B5BE6">
        <w:rPr>
          <w:noProof/>
        </w:rPr>
        <w:fldChar w:fldCharType="separate"/>
      </w:r>
      <w:r w:rsidR="0014404C">
        <w:rPr>
          <w:noProof/>
        </w:rPr>
        <w:t>64</w:t>
      </w:r>
      <w:r w:rsidRPr="007B5BE6">
        <w:rPr>
          <w:noProof/>
        </w:rPr>
        <w:fldChar w:fldCharType="end"/>
      </w:r>
    </w:p>
    <w:p w14:paraId="1F587DA5" w14:textId="1576BD1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Tasmanian Elder Abuse Helpline (‘the Helpline’) (Advocacy Tasmania)</w:t>
      </w:r>
      <w:r w:rsidRPr="007B5BE6">
        <w:rPr>
          <w:noProof/>
        </w:rPr>
        <w:tab/>
      </w:r>
      <w:r w:rsidRPr="007B5BE6">
        <w:rPr>
          <w:noProof/>
        </w:rPr>
        <w:fldChar w:fldCharType="begin"/>
      </w:r>
      <w:r w:rsidRPr="007B5BE6">
        <w:rPr>
          <w:noProof/>
        </w:rPr>
        <w:instrText xml:space="preserve"> PAGEREF _Toc212561763 \h </w:instrText>
      </w:r>
      <w:r w:rsidRPr="007B5BE6">
        <w:rPr>
          <w:noProof/>
        </w:rPr>
      </w:r>
      <w:r w:rsidRPr="007B5BE6">
        <w:rPr>
          <w:noProof/>
        </w:rPr>
        <w:fldChar w:fldCharType="separate"/>
      </w:r>
      <w:r w:rsidR="0014404C">
        <w:rPr>
          <w:noProof/>
        </w:rPr>
        <w:t>65</w:t>
      </w:r>
      <w:r w:rsidRPr="007B5BE6">
        <w:rPr>
          <w:noProof/>
        </w:rPr>
        <w:fldChar w:fldCharType="end"/>
      </w:r>
    </w:p>
    <w:p w14:paraId="20D8E388" w14:textId="5A93C6D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Elder Relationship Service (Relationships Australia Tasmania)</w:t>
      </w:r>
      <w:r w:rsidRPr="007B5BE6">
        <w:rPr>
          <w:noProof/>
        </w:rPr>
        <w:tab/>
      </w:r>
      <w:r w:rsidRPr="007B5BE6">
        <w:rPr>
          <w:noProof/>
        </w:rPr>
        <w:fldChar w:fldCharType="begin"/>
      </w:r>
      <w:r w:rsidRPr="007B5BE6">
        <w:rPr>
          <w:noProof/>
        </w:rPr>
        <w:instrText xml:space="preserve"> PAGEREF _Toc212561764 \h </w:instrText>
      </w:r>
      <w:r w:rsidRPr="007B5BE6">
        <w:rPr>
          <w:noProof/>
        </w:rPr>
      </w:r>
      <w:r w:rsidRPr="007B5BE6">
        <w:rPr>
          <w:noProof/>
        </w:rPr>
        <w:fldChar w:fldCharType="separate"/>
      </w:r>
      <w:r w:rsidR="0014404C">
        <w:rPr>
          <w:noProof/>
        </w:rPr>
        <w:t>65</w:t>
      </w:r>
      <w:r w:rsidRPr="007B5BE6">
        <w:rPr>
          <w:noProof/>
        </w:rPr>
        <w:fldChar w:fldCharType="end"/>
      </w:r>
    </w:p>
    <w:p w14:paraId="3B9DA1E9" w14:textId="18FABEBD"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Council on the Ageing (‘COTA’) Tasmania</w:t>
      </w:r>
      <w:r w:rsidRPr="007B5BE6">
        <w:rPr>
          <w:noProof/>
        </w:rPr>
        <w:tab/>
      </w:r>
      <w:r w:rsidRPr="007B5BE6">
        <w:rPr>
          <w:noProof/>
        </w:rPr>
        <w:fldChar w:fldCharType="begin"/>
      </w:r>
      <w:r w:rsidRPr="007B5BE6">
        <w:rPr>
          <w:noProof/>
        </w:rPr>
        <w:instrText xml:space="preserve"> PAGEREF _Toc212561765 \h </w:instrText>
      </w:r>
      <w:r w:rsidRPr="007B5BE6">
        <w:rPr>
          <w:noProof/>
        </w:rPr>
      </w:r>
      <w:r w:rsidRPr="007B5BE6">
        <w:rPr>
          <w:noProof/>
        </w:rPr>
        <w:fldChar w:fldCharType="separate"/>
      </w:r>
      <w:r w:rsidR="0014404C">
        <w:rPr>
          <w:noProof/>
        </w:rPr>
        <w:t>65</w:t>
      </w:r>
      <w:r w:rsidRPr="007B5BE6">
        <w:rPr>
          <w:noProof/>
        </w:rPr>
        <w:fldChar w:fldCharType="end"/>
      </w:r>
    </w:p>
    <w:p w14:paraId="295948C1" w14:textId="10EABF62"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Advocacy Tasmania</w:t>
      </w:r>
      <w:r w:rsidRPr="007B5BE6">
        <w:rPr>
          <w:noProof/>
        </w:rPr>
        <w:tab/>
      </w:r>
      <w:r w:rsidRPr="007B5BE6">
        <w:rPr>
          <w:noProof/>
        </w:rPr>
        <w:fldChar w:fldCharType="begin"/>
      </w:r>
      <w:r w:rsidRPr="007B5BE6">
        <w:rPr>
          <w:noProof/>
        </w:rPr>
        <w:instrText xml:space="preserve"> PAGEREF _Toc212561766 \h </w:instrText>
      </w:r>
      <w:r w:rsidRPr="007B5BE6">
        <w:rPr>
          <w:noProof/>
        </w:rPr>
      </w:r>
      <w:r w:rsidRPr="007B5BE6">
        <w:rPr>
          <w:noProof/>
        </w:rPr>
        <w:fldChar w:fldCharType="separate"/>
      </w:r>
      <w:r w:rsidR="0014404C">
        <w:rPr>
          <w:noProof/>
        </w:rPr>
        <w:t>66</w:t>
      </w:r>
      <w:r w:rsidRPr="007B5BE6">
        <w:rPr>
          <w:noProof/>
        </w:rPr>
        <w:fldChar w:fldCharType="end"/>
      </w:r>
    </w:p>
    <w:p w14:paraId="6148D72C" w14:textId="2082D6D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Elder Abuse Awareness Program (Migrant Resource Centre)</w:t>
      </w:r>
      <w:r w:rsidRPr="007B5BE6">
        <w:rPr>
          <w:noProof/>
        </w:rPr>
        <w:tab/>
      </w:r>
      <w:r w:rsidRPr="007B5BE6">
        <w:rPr>
          <w:noProof/>
        </w:rPr>
        <w:fldChar w:fldCharType="begin"/>
      </w:r>
      <w:r w:rsidRPr="007B5BE6">
        <w:rPr>
          <w:noProof/>
        </w:rPr>
        <w:instrText xml:space="preserve"> PAGEREF _Toc212561767 \h </w:instrText>
      </w:r>
      <w:r w:rsidRPr="007B5BE6">
        <w:rPr>
          <w:noProof/>
        </w:rPr>
      </w:r>
      <w:r w:rsidRPr="007B5BE6">
        <w:rPr>
          <w:noProof/>
        </w:rPr>
        <w:fldChar w:fldCharType="separate"/>
      </w:r>
      <w:r w:rsidR="0014404C">
        <w:rPr>
          <w:noProof/>
        </w:rPr>
        <w:t>67</w:t>
      </w:r>
      <w:r w:rsidRPr="007B5BE6">
        <w:rPr>
          <w:noProof/>
        </w:rPr>
        <w:fldChar w:fldCharType="end"/>
      </w:r>
    </w:p>
    <w:p w14:paraId="4273A2A1" w14:textId="7D81D8D8"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Senior Assist</w:t>
      </w:r>
      <w:r w:rsidR="0062684D">
        <w:rPr>
          <w:noProof/>
        </w:rPr>
        <w:t xml:space="preserve"> </w:t>
      </w:r>
      <w:r w:rsidRPr="007B5BE6">
        <w:rPr>
          <w:noProof/>
        </w:rPr>
        <w:t>(Tasmania Legal Aid)</w:t>
      </w:r>
      <w:r w:rsidRPr="007B5BE6">
        <w:rPr>
          <w:noProof/>
        </w:rPr>
        <w:tab/>
      </w:r>
      <w:r w:rsidRPr="007B5BE6">
        <w:rPr>
          <w:noProof/>
        </w:rPr>
        <w:fldChar w:fldCharType="begin"/>
      </w:r>
      <w:r w:rsidRPr="007B5BE6">
        <w:rPr>
          <w:noProof/>
        </w:rPr>
        <w:instrText xml:space="preserve"> PAGEREF _Toc212561768 \h </w:instrText>
      </w:r>
      <w:r w:rsidRPr="007B5BE6">
        <w:rPr>
          <w:noProof/>
        </w:rPr>
      </w:r>
      <w:r w:rsidRPr="007B5BE6">
        <w:rPr>
          <w:noProof/>
        </w:rPr>
        <w:fldChar w:fldCharType="separate"/>
      </w:r>
      <w:r w:rsidR="0014404C">
        <w:rPr>
          <w:noProof/>
        </w:rPr>
        <w:t>67</w:t>
      </w:r>
      <w:r w:rsidRPr="007B5BE6">
        <w:rPr>
          <w:noProof/>
        </w:rPr>
        <w:fldChar w:fldCharType="end"/>
      </w:r>
    </w:p>
    <w:p w14:paraId="6932C6B0" w14:textId="47030A9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3.5</w:t>
      </w:r>
      <w:r w:rsidRPr="007B5BE6">
        <w:rPr>
          <w:rFonts w:asciiTheme="minorHAnsi" w:eastAsiaTheme="minorEastAsia" w:hAnsiTheme="minorHAnsi"/>
          <w:noProof/>
          <w:kern w:val="2"/>
          <w:sz w:val="24"/>
          <w:lang w:eastAsia="en-AU"/>
          <w14:ligatures w14:val="standardContextual"/>
        </w:rPr>
        <w:tab/>
      </w:r>
      <w:r w:rsidRPr="007B5BE6">
        <w:rPr>
          <w:noProof/>
        </w:rPr>
        <w:t>Other service systems and providers interacting with older Tasmanians</w:t>
      </w:r>
      <w:r w:rsidRPr="007B5BE6">
        <w:rPr>
          <w:noProof/>
        </w:rPr>
        <w:tab/>
      </w:r>
      <w:r w:rsidRPr="007B5BE6">
        <w:rPr>
          <w:noProof/>
        </w:rPr>
        <w:fldChar w:fldCharType="begin"/>
      </w:r>
      <w:r w:rsidRPr="007B5BE6">
        <w:rPr>
          <w:noProof/>
        </w:rPr>
        <w:instrText xml:space="preserve"> PAGEREF _Toc212561769 \h </w:instrText>
      </w:r>
      <w:r w:rsidRPr="007B5BE6">
        <w:rPr>
          <w:noProof/>
        </w:rPr>
      </w:r>
      <w:r w:rsidRPr="007B5BE6">
        <w:rPr>
          <w:noProof/>
        </w:rPr>
        <w:fldChar w:fldCharType="separate"/>
      </w:r>
      <w:r w:rsidR="0014404C">
        <w:rPr>
          <w:noProof/>
        </w:rPr>
        <w:t>68</w:t>
      </w:r>
      <w:r w:rsidRPr="007B5BE6">
        <w:rPr>
          <w:noProof/>
        </w:rPr>
        <w:fldChar w:fldCharType="end"/>
      </w:r>
    </w:p>
    <w:p w14:paraId="1E1BFEBB" w14:textId="33D148F9" w:rsidR="001C0BDB" w:rsidRPr="007B5BE6" w:rsidRDefault="001C0BDB">
      <w:pPr>
        <w:pStyle w:val="TOC1"/>
        <w:rPr>
          <w:rFonts w:asciiTheme="minorHAnsi" w:eastAsiaTheme="minorEastAsia" w:hAnsiTheme="minorHAnsi"/>
          <w:b/>
          <w:bCs/>
          <w:noProof/>
          <w:kern w:val="2"/>
          <w:sz w:val="24"/>
          <w:lang w:eastAsia="en-AU"/>
          <w14:ligatures w14:val="standardContextual"/>
        </w:rPr>
      </w:pPr>
      <w:r w:rsidRPr="007B5BE6">
        <w:rPr>
          <w:b/>
          <w:bCs/>
          <w:noProof/>
        </w:rPr>
        <w:t>Part 4</w:t>
      </w:r>
      <w:r w:rsidR="00AD6298" w:rsidRPr="007B5BE6">
        <w:rPr>
          <w:b/>
          <w:bCs/>
          <w:noProof/>
        </w:rPr>
        <w:t>: An Overarching Approach to Safeguarding Against the Abuse of Older Tasmanians</w:t>
      </w:r>
      <w:r w:rsidRPr="007B5BE6">
        <w:rPr>
          <w:b/>
          <w:bCs/>
          <w:noProof/>
        </w:rPr>
        <w:tab/>
      </w:r>
      <w:r w:rsidRPr="007B5BE6">
        <w:rPr>
          <w:b/>
          <w:bCs/>
          <w:noProof/>
        </w:rPr>
        <w:fldChar w:fldCharType="begin"/>
      </w:r>
      <w:r w:rsidRPr="007B5BE6">
        <w:rPr>
          <w:b/>
          <w:bCs/>
          <w:noProof/>
        </w:rPr>
        <w:instrText xml:space="preserve"> PAGEREF _Toc212561770 \h </w:instrText>
      </w:r>
      <w:r w:rsidRPr="007B5BE6">
        <w:rPr>
          <w:b/>
          <w:bCs/>
          <w:noProof/>
        </w:rPr>
      </w:r>
      <w:r w:rsidRPr="007B5BE6">
        <w:rPr>
          <w:b/>
          <w:bCs/>
          <w:noProof/>
        </w:rPr>
        <w:fldChar w:fldCharType="separate"/>
      </w:r>
      <w:r w:rsidR="0014404C">
        <w:rPr>
          <w:b/>
          <w:bCs/>
          <w:noProof/>
        </w:rPr>
        <w:t>70</w:t>
      </w:r>
      <w:r w:rsidRPr="007B5BE6">
        <w:rPr>
          <w:b/>
          <w:bCs/>
          <w:noProof/>
        </w:rPr>
        <w:fldChar w:fldCharType="end"/>
      </w:r>
    </w:p>
    <w:p w14:paraId="3307FC57" w14:textId="53D9AF6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4.1</w:t>
      </w:r>
      <w:r w:rsidRPr="007B5BE6">
        <w:rPr>
          <w:rFonts w:asciiTheme="minorHAnsi" w:eastAsiaTheme="minorEastAsia" w:hAnsiTheme="minorHAnsi"/>
          <w:noProof/>
          <w:kern w:val="2"/>
          <w:sz w:val="24"/>
          <w:lang w:eastAsia="en-AU"/>
          <w14:ligatures w14:val="standardContextual"/>
        </w:rPr>
        <w:tab/>
      </w:r>
      <w:r w:rsidRPr="007B5BE6">
        <w:rPr>
          <w:noProof/>
        </w:rPr>
        <w:t>Introduction</w:t>
      </w:r>
      <w:r w:rsidRPr="007B5BE6">
        <w:rPr>
          <w:noProof/>
        </w:rPr>
        <w:tab/>
      </w:r>
      <w:r w:rsidRPr="007B5BE6">
        <w:rPr>
          <w:noProof/>
        </w:rPr>
        <w:fldChar w:fldCharType="begin"/>
      </w:r>
      <w:r w:rsidRPr="007B5BE6">
        <w:rPr>
          <w:noProof/>
        </w:rPr>
        <w:instrText xml:space="preserve"> PAGEREF _Toc212561772 \h </w:instrText>
      </w:r>
      <w:r w:rsidRPr="007B5BE6">
        <w:rPr>
          <w:noProof/>
        </w:rPr>
      </w:r>
      <w:r w:rsidRPr="007B5BE6">
        <w:rPr>
          <w:noProof/>
        </w:rPr>
        <w:fldChar w:fldCharType="separate"/>
      </w:r>
      <w:r w:rsidR="0014404C">
        <w:rPr>
          <w:noProof/>
        </w:rPr>
        <w:t>70</w:t>
      </w:r>
      <w:r w:rsidRPr="007B5BE6">
        <w:rPr>
          <w:noProof/>
        </w:rPr>
        <w:fldChar w:fldCharType="end"/>
      </w:r>
    </w:p>
    <w:p w14:paraId="5468561E" w14:textId="32CC6B6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4.2</w:t>
      </w:r>
      <w:r w:rsidRPr="007B5BE6">
        <w:rPr>
          <w:rFonts w:asciiTheme="minorHAnsi" w:eastAsiaTheme="minorEastAsia" w:hAnsiTheme="minorHAnsi"/>
          <w:noProof/>
          <w:kern w:val="2"/>
          <w:sz w:val="24"/>
          <w:lang w:eastAsia="en-AU"/>
          <w14:ligatures w14:val="standardContextual"/>
        </w:rPr>
        <w:tab/>
      </w:r>
      <w:r w:rsidRPr="007B5BE6">
        <w:rPr>
          <w:noProof/>
        </w:rPr>
        <w:t>Previous research and reviews</w:t>
      </w:r>
      <w:r w:rsidRPr="007B5BE6">
        <w:rPr>
          <w:noProof/>
        </w:rPr>
        <w:tab/>
      </w:r>
      <w:r w:rsidRPr="007B5BE6">
        <w:rPr>
          <w:noProof/>
        </w:rPr>
        <w:fldChar w:fldCharType="begin"/>
      </w:r>
      <w:r w:rsidRPr="007B5BE6">
        <w:rPr>
          <w:noProof/>
        </w:rPr>
        <w:instrText xml:space="preserve"> PAGEREF _Toc212561773 \h </w:instrText>
      </w:r>
      <w:r w:rsidRPr="007B5BE6">
        <w:rPr>
          <w:noProof/>
        </w:rPr>
      </w:r>
      <w:r w:rsidRPr="007B5BE6">
        <w:rPr>
          <w:noProof/>
        </w:rPr>
        <w:fldChar w:fldCharType="separate"/>
      </w:r>
      <w:r w:rsidR="0014404C">
        <w:rPr>
          <w:noProof/>
        </w:rPr>
        <w:t>70</w:t>
      </w:r>
      <w:r w:rsidRPr="007B5BE6">
        <w:rPr>
          <w:noProof/>
        </w:rPr>
        <w:fldChar w:fldCharType="end"/>
      </w:r>
    </w:p>
    <w:p w14:paraId="41BCA5CC" w14:textId="41745C9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ALRC’s adult safeguarding recommendations (2017)</w:t>
      </w:r>
      <w:r w:rsidRPr="007B5BE6">
        <w:rPr>
          <w:noProof/>
        </w:rPr>
        <w:tab/>
      </w:r>
      <w:r w:rsidRPr="007B5BE6">
        <w:rPr>
          <w:noProof/>
        </w:rPr>
        <w:fldChar w:fldCharType="begin"/>
      </w:r>
      <w:r w:rsidRPr="007B5BE6">
        <w:rPr>
          <w:noProof/>
        </w:rPr>
        <w:instrText xml:space="preserve"> PAGEREF _Toc212561774 \h </w:instrText>
      </w:r>
      <w:r w:rsidRPr="007B5BE6">
        <w:rPr>
          <w:noProof/>
        </w:rPr>
      </w:r>
      <w:r w:rsidRPr="007B5BE6">
        <w:rPr>
          <w:noProof/>
        </w:rPr>
        <w:fldChar w:fldCharType="separate"/>
      </w:r>
      <w:r w:rsidR="0014404C">
        <w:rPr>
          <w:noProof/>
        </w:rPr>
        <w:t>71</w:t>
      </w:r>
      <w:r w:rsidRPr="007B5BE6">
        <w:rPr>
          <w:noProof/>
        </w:rPr>
        <w:fldChar w:fldCharType="end"/>
      </w:r>
    </w:p>
    <w:p w14:paraId="7D316856" w14:textId="137EA010"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Coronial findings and recommendations (2018, 2024)</w:t>
      </w:r>
      <w:r w:rsidRPr="007B5BE6">
        <w:rPr>
          <w:noProof/>
        </w:rPr>
        <w:tab/>
      </w:r>
      <w:r w:rsidRPr="007B5BE6">
        <w:rPr>
          <w:noProof/>
        </w:rPr>
        <w:fldChar w:fldCharType="begin"/>
      </w:r>
      <w:r w:rsidRPr="007B5BE6">
        <w:rPr>
          <w:noProof/>
        </w:rPr>
        <w:instrText xml:space="preserve"> PAGEREF _Toc212561775 \h </w:instrText>
      </w:r>
      <w:r w:rsidRPr="007B5BE6">
        <w:rPr>
          <w:noProof/>
        </w:rPr>
      </w:r>
      <w:r w:rsidRPr="007B5BE6">
        <w:rPr>
          <w:noProof/>
        </w:rPr>
        <w:fldChar w:fldCharType="separate"/>
      </w:r>
      <w:r w:rsidR="0014404C">
        <w:rPr>
          <w:noProof/>
        </w:rPr>
        <w:t>73</w:t>
      </w:r>
      <w:r w:rsidRPr="007B5BE6">
        <w:rPr>
          <w:noProof/>
        </w:rPr>
        <w:fldChar w:fldCharType="end"/>
      </w:r>
    </w:p>
    <w:p w14:paraId="6B7C944A" w14:textId="57E6DCC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Preventing Elder Abuse Tasmania (‘PEAT’) Review (2021)</w:t>
      </w:r>
      <w:r w:rsidRPr="007B5BE6">
        <w:rPr>
          <w:noProof/>
        </w:rPr>
        <w:tab/>
      </w:r>
      <w:r w:rsidRPr="007B5BE6">
        <w:rPr>
          <w:noProof/>
        </w:rPr>
        <w:fldChar w:fldCharType="begin"/>
      </w:r>
      <w:r w:rsidRPr="007B5BE6">
        <w:rPr>
          <w:noProof/>
        </w:rPr>
        <w:instrText xml:space="preserve"> PAGEREF _Toc212561776 \h </w:instrText>
      </w:r>
      <w:r w:rsidRPr="007B5BE6">
        <w:rPr>
          <w:noProof/>
        </w:rPr>
      </w:r>
      <w:r w:rsidRPr="007B5BE6">
        <w:rPr>
          <w:noProof/>
        </w:rPr>
        <w:fldChar w:fldCharType="separate"/>
      </w:r>
      <w:r w:rsidR="0014404C">
        <w:rPr>
          <w:noProof/>
        </w:rPr>
        <w:t>75</w:t>
      </w:r>
      <w:r w:rsidRPr="007B5BE6">
        <w:rPr>
          <w:noProof/>
        </w:rPr>
        <w:fldChar w:fldCharType="end"/>
      </w:r>
    </w:p>
    <w:p w14:paraId="2551CE33" w14:textId="69C30B4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Symposium on Elder Abuse and Neglect (2017)</w:t>
      </w:r>
      <w:r w:rsidRPr="007B5BE6">
        <w:rPr>
          <w:noProof/>
        </w:rPr>
        <w:tab/>
      </w:r>
      <w:r w:rsidRPr="007B5BE6">
        <w:rPr>
          <w:noProof/>
        </w:rPr>
        <w:fldChar w:fldCharType="begin"/>
      </w:r>
      <w:r w:rsidRPr="007B5BE6">
        <w:rPr>
          <w:noProof/>
        </w:rPr>
        <w:instrText xml:space="preserve"> PAGEREF _Toc212561777 \h </w:instrText>
      </w:r>
      <w:r w:rsidRPr="007B5BE6">
        <w:rPr>
          <w:noProof/>
        </w:rPr>
      </w:r>
      <w:r w:rsidRPr="007B5BE6">
        <w:rPr>
          <w:noProof/>
        </w:rPr>
        <w:fldChar w:fldCharType="separate"/>
      </w:r>
      <w:r w:rsidR="0014404C">
        <w:rPr>
          <w:noProof/>
        </w:rPr>
        <w:t>76</w:t>
      </w:r>
      <w:r w:rsidRPr="007B5BE6">
        <w:rPr>
          <w:noProof/>
        </w:rPr>
        <w:fldChar w:fldCharType="end"/>
      </w:r>
    </w:p>
    <w:p w14:paraId="4E6042FC" w14:textId="16F7E7F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4.3</w:t>
      </w:r>
      <w:r w:rsidRPr="007B5BE6">
        <w:rPr>
          <w:rFonts w:asciiTheme="minorHAnsi" w:eastAsiaTheme="minorEastAsia" w:hAnsiTheme="minorHAnsi"/>
          <w:noProof/>
          <w:kern w:val="2"/>
          <w:sz w:val="24"/>
          <w:lang w:eastAsia="en-AU"/>
          <w14:ligatures w14:val="standardContextual"/>
        </w:rPr>
        <w:tab/>
      </w:r>
      <w:r w:rsidRPr="007B5BE6">
        <w:rPr>
          <w:noProof/>
        </w:rPr>
        <w:t>Interviews with stakeholders</w:t>
      </w:r>
      <w:r w:rsidRPr="007B5BE6">
        <w:rPr>
          <w:noProof/>
        </w:rPr>
        <w:tab/>
      </w:r>
      <w:r w:rsidRPr="007B5BE6">
        <w:rPr>
          <w:noProof/>
        </w:rPr>
        <w:fldChar w:fldCharType="begin"/>
      </w:r>
      <w:r w:rsidRPr="007B5BE6">
        <w:rPr>
          <w:noProof/>
        </w:rPr>
        <w:instrText xml:space="preserve"> PAGEREF _Toc212561778 \h </w:instrText>
      </w:r>
      <w:r w:rsidRPr="007B5BE6">
        <w:rPr>
          <w:noProof/>
        </w:rPr>
      </w:r>
      <w:r w:rsidRPr="007B5BE6">
        <w:rPr>
          <w:noProof/>
        </w:rPr>
        <w:fldChar w:fldCharType="separate"/>
      </w:r>
      <w:r w:rsidR="0014404C">
        <w:rPr>
          <w:noProof/>
        </w:rPr>
        <w:t>77</w:t>
      </w:r>
      <w:r w:rsidRPr="007B5BE6">
        <w:rPr>
          <w:noProof/>
        </w:rPr>
        <w:fldChar w:fldCharType="end"/>
      </w:r>
    </w:p>
    <w:p w14:paraId="5DF689D3" w14:textId="35FBC40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Absence of current Tasmanian laws developed as a specialised response to abuse of older people</w:t>
      </w:r>
      <w:r w:rsidRPr="007B5BE6">
        <w:rPr>
          <w:noProof/>
        </w:rPr>
        <w:tab/>
      </w:r>
      <w:r w:rsidRPr="007B5BE6">
        <w:rPr>
          <w:noProof/>
        </w:rPr>
        <w:fldChar w:fldCharType="begin"/>
      </w:r>
      <w:r w:rsidRPr="007B5BE6">
        <w:rPr>
          <w:noProof/>
        </w:rPr>
        <w:instrText xml:space="preserve"> PAGEREF _Toc212561779 \h </w:instrText>
      </w:r>
      <w:r w:rsidRPr="007B5BE6">
        <w:rPr>
          <w:noProof/>
        </w:rPr>
      </w:r>
      <w:r w:rsidRPr="007B5BE6">
        <w:rPr>
          <w:noProof/>
        </w:rPr>
        <w:fldChar w:fldCharType="separate"/>
      </w:r>
      <w:r w:rsidR="0014404C">
        <w:rPr>
          <w:noProof/>
        </w:rPr>
        <w:t>77</w:t>
      </w:r>
      <w:r w:rsidRPr="007B5BE6">
        <w:rPr>
          <w:noProof/>
        </w:rPr>
        <w:fldChar w:fldCharType="end"/>
      </w:r>
    </w:p>
    <w:p w14:paraId="56123A0B" w14:textId="6B2608A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Current legal responses exist in silos and do not provide a comprehensive response to abuse of all older people</w:t>
      </w:r>
      <w:r w:rsidR="004F7D38" w:rsidRPr="007B5BE6">
        <w:rPr>
          <w:noProof/>
        </w:rPr>
        <w:t>..</w:t>
      </w:r>
      <w:r w:rsidR="00240958" w:rsidRPr="007B5BE6">
        <w:rPr>
          <w:noProof/>
        </w:rPr>
        <w:t>………………………………………………………………………………………………...</w:t>
      </w:r>
      <w:r w:rsidRPr="007B5BE6">
        <w:rPr>
          <w:noProof/>
        </w:rPr>
        <w:fldChar w:fldCharType="begin"/>
      </w:r>
      <w:r w:rsidRPr="007B5BE6">
        <w:rPr>
          <w:noProof/>
        </w:rPr>
        <w:instrText xml:space="preserve"> PAGEREF _Toc212561780 \h </w:instrText>
      </w:r>
      <w:r w:rsidRPr="007B5BE6">
        <w:rPr>
          <w:noProof/>
        </w:rPr>
      </w:r>
      <w:r w:rsidRPr="007B5BE6">
        <w:rPr>
          <w:noProof/>
        </w:rPr>
        <w:fldChar w:fldCharType="separate"/>
      </w:r>
      <w:r w:rsidR="0014404C">
        <w:rPr>
          <w:noProof/>
        </w:rPr>
        <w:t>78</w:t>
      </w:r>
      <w:r w:rsidRPr="007B5BE6">
        <w:rPr>
          <w:noProof/>
        </w:rPr>
        <w:fldChar w:fldCharType="end"/>
      </w:r>
    </w:p>
    <w:p w14:paraId="1449A266" w14:textId="50BF610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The complexity and changing nature of the legal and service landscape</w:t>
      </w:r>
      <w:r w:rsidRPr="007B5BE6">
        <w:rPr>
          <w:noProof/>
        </w:rPr>
        <w:tab/>
      </w:r>
      <w:r w:rsidRPr="007B5BE6">
        <w:rPr>
          <w:noProof/>
        </w:rPr>
        <w:fldChar w:fldCharType="begin"/>
      </w:r>
      <w:r w:rsidRPr="007B5BE6">
        <w:rPr>
          <w:noProof/>
        </w:rPr>
        <w:instrText xml:space="preserve"> PAGEREF _Toc212561781 \h </w:instrText>
      </w:r>
      <w:r w:rsidRPr="007B5BE6">
        <w:rPr>
          <w:noProof/>
        </w:rPr>
      </w:r>
      <w:r w:rsidRPr="007B5BE6">
        <w:rPr>
          <w:noProof/>
        </w:rPr>
        <w:fldChar w:fldCharType="separate"/>
      </w:r>
      <w:r w:rsidR="0014404C">
        <w:rPr>
          <w:noProof/>
        </w:rPr>
        <w:t>81</w:t>
      </w:r>
      <w:r w:rsidRPr="007B5BE6">
        <w:rPr>
          <w:noProof/>
        </w:rPr>
        <w:fldChar w:fldCharType="end"/>
      </w:r>
    </w:p>
    <w:p w14:paraId="67E7D3D5" w14:textId="0B078800"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Tasmanian service systems: barriers to accessing legal responses</w:t>
      </w:r>
      <w:r w:rsidRPr="007B5BE6">
        <w:rPr>
          <w:noProof/>
        </w:rPr>
        <w:tab/>
      </w:r>
      <w:r w:rsidRPr="007B5BE6">
        <w:rPr>
          <w:noProof/>
        </w:rPr>
        <w:fldChar w:fldCharType="begin"/>
      </w:r>
      <w:r w:rsidRPr="007B5BE6">
        <w:rPr>
          <w:noProof/>
        </w:rPr>
        <w:instrText xml:space="preserve"> PAGEREF _Toc212561782 \h </w:instrText>
      </w:r>
      <w:r w:rsidRPr="007B5BE6">
        <w:rPr>
          <w:noProof/>
        </w:rPr>
      </w:r>
      <w:r w:rsidRPr="007B5BE6">
        <w:rPr>
          <w:noProof/>
        </w:rPr>
        <w:fldChar w:fldCharType="separate"/>
      </w:r>
      <w:r w:rsidR="0014404C">
        <w:rPr>
          <w:noProof/>
        </w:rPr>
        <w:t>82</w:t>
      </w:r>
      <w:r w:rsidRPr="007B5BE6">
        <w:rPr>
          <w:noProof/>
        </w:rPr>
        <w:fldChar w:fldCharType="end"/>
      </w:r>
    </w:p>
    <w:p w14:paraId="43B675BC" w14:textId="7F7AE1B1"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lastRenderedPageBreak/>
        <w:t>Limits of information, referral and advice</w:t>
      </w:r>
      <w:r w:rsidRPr="007B5BE6">
        <w:rPr>
          <w:noProof/>
        </w:rPr>
        <w:tab/>
      </w:r>
      <w:r w:rsidRPr="007B5BE6">
        <w:rPr>
          <w:i w:val="0"/>
          <w:iCs/>
          <w:noProof/>
        </w:rPr>
        <w:fldChar w:fldCharType="begin"/>
      </w:r>
      <w:r w:rsidRPr="007B5BE6">
        <w:rPr>
          <w:i w:val="0"/>
          <w:iCs/>
          <w:noProof/>
        </w:rPr>
        <w:instrText xml:space="preserve"> PAGEREF _Toc212561783 \h </w:instrText>
      </w:r>
      <w:r w:rsidRPr="007B5BE6">
        <w:rPr>
          <w:i w:val="0"/>
          <w:iCs/>
          <w:noProof/>
        </w:rPr>
      </w:r>
      <w:r w:rsidRPr="007B5BE6">
        <w:rPr>
          <w:i w:val="0"/>
          <w:iCs/>
          <w:noProof/>
        </w:rPr>
        <w:fldChar w:fldCharType="separate"/>
      </w:r>
      <w:r w:rsidR="0014404C">
        <w:rPr>
          <w:i w:val="0"/>
          <w:iCs/>
          <w:noProof/>
        </w:rPr>
        <w:t>82</w:t>
      </w:r>
      <w:r w:rsidRPr="007B5BE6">
        <w:rPr>
          <w:i w:val="0"/>
          <w:iCs/>
          <w:noProof/>
        </w:rPr>
        <w:fldChar w:fldCharType="end"/>
      </w:r>
    </w:p>
    <w:p w14:paraId="49CF8197" w14:textId="02203E69"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Constraints on detection, reporting and investigation to support legal responses</w:t>
      </w:r>
      <w:r w:rsidRPr="007B5BE6">
        <w:rPr>
          <w:noProof/>
        </w:rPr>
        <w:tab/>
      </w:r>
      <w:r w:rsidRPr="007B5BE6">
        <w:rPr>
          <w:i w:val="0"/>
          <w:iCs/>
          <w:noProof/>
        </w:rPr>
        <w:fldChar w:fldCharType="begin"/>
      </w:r>
      <w:r w:rsidRPr="007B5BE6">
        <w:rPr>
          <w:i w:val="0"/>
          <w:iCs/>
          <w:noProof/>
        </w:rPr>
        <w:instrText xml:space="preserve"> PAGEREF _Toc212561784 \h </w:instrText>
      </w:r>
      <w:r w:rsidRPr="007B5BE6">
        <w:rPr>
          <w:i w:val="0"/>
          <w:iCs/>
          <w:noProof/>
        </w:rPr>
      </w:r>
      <w:r w:rsidRPr="007B5BE6">
        <w:rPr>
          <w:i w:val="0"/>
          <w:iCs/>
          <w:noProof/>
        </w:rPr>
        <w:fldChar w:fldCharType="separate"/>
      </w:r>
      <w:r w:rsidR="0014404C">
        <w:rPr>
          <w:i w:val="0"/>
          <w:iCs/>
          <w:noProof/>
        </w:rPr>
        <w:t>84</w:t>
      </w:r>
      <w:r w:rsidRPr="007B5BE6">
        <w:rPr>
          <w:i w:val="0"/>
          <w:iCs/>
          <w:noProof/>
        </w:rPr>
        <w:fldChar w:fldCharType="end"/>
      </w:r>
    </w:p>
    <w:p w14:paraId="38AB64F5" w14:textId="6554E59A"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Knowledge gaps, and ‘disconnect’ between service sectors for older people and the specialist service response</w:t>
      </w:r>
      <w:r w:rsidRPr="007B5BE6">
        <w:rPr>
          <w:noProof/>
        </w:rPr>
        <w:tab/>
      </w:r>
      <w:r w:rsidRPr="007B5BE6">
        <w:rPr>
          <w:noProof/>
        </w:rPr>
        <w:fldChar w:fldCharType="begin"/>
      </w:r>
      <w:r w:rsidRPr="007B5BE6">
        <w:rPr>
          <w:noProof/>
        </w:rPr>
        <w:instrText xml:space="preserve"> PAGEREF _Toc212561785 \h </w:instrText>
      </w:r>
      <w:r w:rsidRPr="007B5BE6">
        <w:rPr>
          <w:noProof/>
        </w:rPr>
      </w:r>
      <w:r w:rsidRPr="007B5BE6">
        <w:rPr>
          <w:noProof/>
        </w:rPr>
        <w:fldChar w:fldCharType="separate"/>
      </w:r>
      <w:r w:rsidR="0014404C">
        <w:rPr>
          <w:noProof/>
        </w:rPr>
        <w:t>85</w:t>
      </w:r>
      <w:r w:rsidRPr="007B5BE6">
        <w:rPr>
          <w:noProof/>
        </w:rPr>
        <w:fldChar w:fldCharType="end"/>
      </w:r>
    </w:p>
    <w:p w14:paraId="224CE273" w14:textId="66DC3722"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The need for an overarching approach</w:t>
      </w:r>
      <w:r w:rsidRPr="007B5BE6">
        <w:rPr>
          <w:noProof/>
        </w:rPr>
        <w:tab/>
      </w:r>
      <w:r w:rsidRPr="007B5BE6">
        <w:rPr>
          <w:noProof/>
        </w:rPr>
        <w:fldChar w:fldCharType="begin"/>
      </w:r>
      <w:r w:rsidRPr="007B5BE6">
        <w:rPr>
          <w:noProof/>
        </w:rPr>
        <w:instrText xml:space="preserve"> PAGEREF _Toc212561786 \h </w:instrText>
      </w:r>
      <w:r w:rsidRPr="007B5BE6">
        <w:rPr>
          <w:noProof/>
        </w:rPr>
      </w:r>
      <w:r w:rsidRPr="007B5BE6">
        <w:rPr>
          <w:noProof/>
        </w:rPr>
        <w:fldChar w:fldCharType="separate"/>
      </w:r>
      <w:r w:rsidR="0014404C">
        <w:rPr>
          <w:noProof/>
        </w:rPr>
        <w:t>87</w:t>
      </w:r>
      <w:r w:rsidRPr="007B5BE6">
        <w:rPr>
          <w:noProof/>
        </w:rPr>
        <w:fldChar w:fldCharType="end"/>
      </w:r>
    </w:p>
    <w:p w14:paraId="7A980847" w14:textId="7F7F4EFF"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Benefits of an overarching approach</w:t>
      </w:r>
      <w:r w:rsidRPr="007B5BE6">
        <w:rPr>
          <w:noProof/>
        </w:rPr>
        <w:tab/>
      </w:r>
      <w:r w:rsidRPr="007B5BE6">
        <w:rPr>
          <w:i w:val="0"/>
          <w:iCs/>
          <w:noProof/>
        </w:rPr>
        <w:fldChar w:fldCharType="begin"/>
      </w:r>
      <w:r w:rsidRPr="007B5BE6">
        <w:rPr>
          <w:i w:val="0"/>
          <w:iCs/>
          <w:noProof/>
        </w:rPr>
        <w:instrText xml:space="preserve"> PAGEREF _Toc212561787 \h </w:instrText>
      </w:r>
      <w:r w:rsidRPr="007B5BE6">
        <w:rPr>
          <w:i w:val="0"/>
          <w:iCs/>
          <w:noProof/>
        </w:rPr>
      </w:r>
      <w:r w:rsidRPr="007B5BE6">
        <w:rPr>
          <w:i w:val="0"/>
          <w:iCs/>
          <w:noProof/>
        </w:rPr>
        <w:fldChar w:fldCharType="separate"/>
      </w:r>
      <w:r w:rsidR="0014404C">
        <w:rPr>
          <w:i w:val="0"/>
          <w:iCs/>
          <w:noProof/>
        </w:rPr>
        <w:t>87</w:t>
      </w:r>
      <w:r w:rsidRPr="007B5BE6">
        <w:rPr>
          <w:i w:val="0"/>
          <w:iCs/>
          <w:noProof/>
        </w:rPr>
        <w:fldChar w:fldCharType="end"/>
      </w:r>
    </w:p>
    <w:p w14:paraId="358275F8" w14:textId="61AED65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The importance of a principled approach to safeguarding</w:t>
      </w:r>
      <w:r w:rsidRPr="007B5BE6">
        <w:rPr>
          <w:noProof/>
        </w:rPr>
        <w:tab/>
      </w:r>
      <w:r w:rsidRPr="007B5BE6">
        <w:rPr>
          <w:i w:val="0"/>
          <w:iCs/>
          <w:noProof/>
        </w:rPr>
        <w:fldChar w:fldCharType="begin"/>
      </w:r>
      <w:r w:rsidRPr="007B5BE6">
        <w:rPr>
          <w:i w:val="0"/>
          <w:iCs/>
          <w:noProof/>
        </w:rPr>
        <w:instrText xml:space="preserve"> PAGEREF _Toc212561788 \h </w:instrText>
      </w:r>
      <w:r w:rsidRPr="007B5BE6">
        <w:rPr>
          <w:i w:val="0"/>
          <w:iCs/>
          <w:noProof/>
        </w:rPr>
      </w:r>
      <w:r w:rsidRPr="007B5BE6">
        <w:rPr>
          <w:i w:val="0"/>
          <w:iCs/>
          <w:noProof/>
        </w:rPr>
        <w:fldChar w:fldCharType="separate"/>
      </w:r>
      <w:r w:rsidR="0014404C">
        <w:rPr>
          <w:i w:val="0"/>
          <w:iCs/>
          <w:noProof/>
        </w:rPr>
        <w:t>89</w:t>
      </w:r>
      <w:r w:rsidRPr="007B5BE6">
        <w:rPr>
          <w:i w:val="0"/>
          <w:iCs/>
          <w:noProof/>
        </w:rPr>
        <w:fldChar w:fldCharType="end"/>
      </w:r>
    </w:p>
    <w:p w14:paraId="68F46D67" w14:textId="3196F606"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Avoiding duplication and unintended consequences</w:t>
      </w:r>
      <w:r w:rsidRPr="007B5BE6">
        <w:rPr>
          <w:noProof/>
        </w:rPr>
        <w:tab/>
      </w:r>
      <w:r w:rsidRPr="007B5BE6">
        <w:rPr>
          <w:i w:val="0"/>
          <w:iCs/>
          <w:noProof/>
        </w:rPr>
        <w:fldChar w:fldCharType="begin"/>
      </w:r>
      <w:r w:rsidRPr="007B5BE6">
        <w:rPr>
          <w:i w:val="0"/>
          <w:iCs/>
          <w:noProof/>
        </w:rPr>
        <w:instrText xml:space="preserve"> PAGEREF _Toc212561789 \h </w:instrText>
      </w:r>
      <w:r w:rsidRPr="007B5BE6">
        <w:rPr>
          <w:i w:val="0"/>
          <w:iCs/>
          <w:noProof/>
        </w:rPr>
      </w:r>
      <w:r w:rsidRPr="007B5BE6">
        <w:rPr>
          <w:i w:val="0"/>
          <w:iCs/>
          <w:noProof/>
        </w:rPr>
        <w:fldChar w:fldCharType="separate"/>
      </w:r>
      <w:r w:rsidR="0014404C">
        <w:rPr>
          <w:i w:val="0"/>
          <w:iCs/>
          <w:noProof/>
        </w:rPr>
        <w:t>90</w:t>
      </w:r>
      <w:r w:rsidRPr="007B5BE6">
        <w:rPr>
          <w:i w:val="0"/>
          <w:iCs/>
          <w:noProof/>
        </w:rPr>
        <w:fldChar w:fldCharType="end"/>
      </w:r>
    </w:p>
    <w:p w14:paraId="0415FF1C" w14:textId="648C7030"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Underpinning service delivery model</w:t>
      </w:r>
      <w:r w:rsidRPr="007B5BE6">
        <w:rPr>
          <w:noProof/>
        </w:rPr>
        <w:tab/>
      </w:r>
      <w:r w:rsidRPr="007B5BE6">
        <w:rPr>
          <w:i w:val="0"/>
          <w:iCs/>
          <w:noProof/>
        </w:rPr>
        <w:fldChar w:fldCharType="begin"/>
      </w:r>
      <w:r w:rsidRPr="007B5BE6">
        <w:rPr>
          <w:i w:val="0"/>
          <w:iCs/>
          <w:noProof/>
        </w:rPr>
        <w:instrText xml:space="preserve"> PAGEREF _Toc212561790 \h </w:instrText>
      </w:r>
      <w:r w:rsidRPr="007B5BE6">
        <w:rPr>
          <w:i w:val="0"/>
          <w:iCs/>
          <w:noProof/>
        </w:rPr>
      </w:r>
      <w:r w:rsidRPr="007B5BE6">
        <w:rPr>
          <w:i w:val="0"/>
          <w:iCs/>
          <w:noProof/>
        </w:rPr>
        <w:fldChar w:fldCharType="separate"/>
      </w:r>
      <w:r w:rsidR="0014404C">
        <w:rPr>
          <w:i w:val="0"/>
          <w:iCs/>
          <w:noProof/>
        </w:rPr>
        <w:t>91</w:t>
      </w:r>
      <w:r w:rsidRPr="007B5BE6">
        <w:rPr>
          <w:i w:val="0"/>
          <w:iCs/>
          <w:noProof/>
        </w:rPr>
        <w:fldChar w:fldCharType="end"/>
      </w:r>
    </w:p>
    <w:p w14:paraId="5AE87DDB" w14:textId="1EDDE2F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4.4</w:t>
      </w:r>
      <w:r w:rsidRPr="007B5BE6">
        <w:rPr>
          <w:rFonts w:asciiTheme="minorHAnsi" w:eastAsiaTheme="minorEastAsia" w:hAnsiTheme="minorHAnsi"/>
          <w:noProof/>
          <w:kern w:val="2"/>
          <w:sz w:val="24"/>
          <w:lang w:eastAsia="en-AU"/>
          <w14:ligatures w14:val="standardContextual"/>
        </w:rPr>
        <w:tab/>
      </w:r>
      <w:r w:rsidRPr="007B5BE6">
        <w:rPr>
          <w:noProof/>
        </w:rPr>
        <w:t>Approaches in other jurisdictions</w:t>
      </w:r>
      <w:r w:rsidRPr="007B5BE6">
        <w:rPr>
          <w:noProof/>
        </w:rPr>
        <w:tab/>
      </w:r>
      <w:r w:rsidRPr="007B5BE6">
        <w:rPr>
          <w:noProof/>
        </w:rPr>
        <w:fldChar w:fldCharType="begin"/>
      </w:r>
      <w:r w:rsidRPr="007B5BE6">
        <w:rPr>
          <w:noProof/>
        </w:rPr>
        <w:instrText xml:space="preserve"> PAGEREF _Toc212561791 \h </w:instrText>
      </w:r>
      <w:r w:rsidRPr="007B5BE6">
        <w:rPr>
          <w:noProof/>
        </w:rPr>
      </w:r>
      <w:r w:rsidRPr="007B5BE6">
        <w:rPr>
          <w:noProof/>
        </w:rPr>
        <w:fldChar w:fldCharType="separate"/>
      </w:r>
      <w:r w:rsidR="0014404C">
        <w:rPr>
          <w:noProof/>
        </w:rPr>
        <w:t>93</w:t>
      </w:r>
      <w:r w:rsidRPr="007B5BE6">
        <w:rPr>
          <w:noProof/>
        </w:rPr>
        <w:fldChar w:fldCharType="end"/>
      </w:r>
    </w:p>
    <w:p w14:paraId="24312C9A" w14:textId="13D56061"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Adult Safeguarding Unit, Office of Ageing Well (SA)</w:t>
      </w:r>
      <w:r w:rsidRPr="007B5BE6">
        <w:rPr>
          <w:noProof/>
        </w:rPr>
        <w:tab/>
      </w:r>
      <w:r w:rsidRPr="007B5BE6">
        <w:rPr>
          <w:i w:val="0"/>
          <w:iCs/>
          <w:noProof/>
        </w:rPr>
        <w:fldChar w:fldCharType="begin"/>
      </w:r>
      <w:r w:rsidRPr="007B5BE6">
        <w:rPr>
          <w:i w:val="0"/>
          <w:iCs/>
          <w:noProof/>
        </w:rPr>
        <w:instrText xml:space="preserve"> PAGEREF _Toc212561792 \h </w:instrText>
      </w:r>
      <w:r w:rsidRPr="007B5BE6">
        <w:rPr>
          <w:i w:val="0"/>
          <w:iCs/>
          <w:noProof/>
        </w:rPr>
      </w:r>
      <w:r w:rsidRPr="007B5BE6">
        <w:rPr>
          <w:i w:val="0"/>
          <w:iCs/>
          <w:noProof/>
        </w:rPr>
        <w:fldChar w:fldCharType="separate"/>
      </w:r>
      <w:r w:rsidR="0014404C">
        <w:rPr>
          <w:i w:val="0"/>
          <w:iCs/>
          <w:noProof/>
        </w:rPr>
        <w:t>97</w:t>
      </w:r>
      <w:r w:rsidRPr="007B5BE6">
        <w:rPr>
          <w:i w:val="0"/>
          <w:iCs/>
          <w:noProof/>
        </w:rPr>
        <w:fldChar w:fldCharType="end"/>
      </w:r>
    </w:p>
    <w:p w14:paraId="0D88D4F5" w14:textId="37ED7AB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Ageing and Disability Commissioner (NSW)</w:t>
      </w:r>
      <w:r w:rsidRPr="007B5BE6">
        <w:rPr>
          <w:noProof/>
        </w:rPr>
        <w:tab/>
      </w:r>
      <w:r w:rsidRPr="007B5BE6">
        <w:rPr>
          <w:i w:val="0"/>
          <w:iCs/>
          <w:noProof/>
        </w:rPr>
        <w:fldChar w:fldCharType="begin"/>
      </w:r>
      <w:r w:rsidRPr="007B5BE6">
        <w:rPr>
          <w:i w:val="0"/>
          <w:iCs/>
          <w:noProof/>
        </w:rPr>
        <w:instrText xml:space="preserve"> PAGEREF _Toc212561793 \h </w:instrText>
      </w:r>
      <w:r w:rsidRPr="007B5BE6">
        <w:rPr>
          <w:i w:val="0"/>
          <w:iCs/>
          <w:noProof/>
        </w:rPr>
      </w:r>
      <w:r w:rsidRPr="007B5BE6">
        <w:rPr>
          <w:i w:val="0"/>
          <w:iCs/>
          <w:noProof/>
        </w:rPr>
        <w:fldChar w:fldCharType="separate"/>
      </w:r>
      <w:r w:rsidR="0014404C">
        <w:rPr>
          <w:i w:val="0"/>
          <w:iCs/>
          <w:noProof/>
        </w:rPr>
        <w:t>101</w:t>
      </w:r>
      <w:r w:rsidRPr="007B5BE6">
        <w:rPr>
          <w:i w:val="0"/>
          <w:iCs/>
          <w:noProof/>
        </w:rPr>
        <w:fldChar w:fldCharType="end"/>
      </w:r>
    </w:p>
    <w:p w14:paraId="555E79A5" w14:textId="28AA68F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4.5</w:t>
      </w:r>
      <w:r w:rsidRPr="007B5BE6">
        <w:rPr>
          <w:rFonts w:asciiTheme="minorHAnsi" w:eastAsiaTheme="minorEastAsia" w:hAnsiTheme="minorHAnsi"/>
          <w:noProof/>
          <w:kern w:val="2"/>
          <w:sz w:val="24"/>
          <w:lang w:eastAsia="en-AU"/>
          <w14:ligatures w14:val="standardContextual"/>
        </w:rPr>
        <w:tab/>
      </w:r>
      <w:r w:rsidRPr="007B5BE6">
        <w:rPr>
          <w:noProof/>
        </w:rPr>
        <w:t>TLRI’s views and recommendations</w:t>
      </w:r>
      <w:r w:rsidRPr="007B5BE6">
        <w:rPr>
          <w:noProof/>
        </w:rPr>
        <w:tab/>
      </w:r>
      <w:r w:rsidRPr="007B5BE6">
        <w:rPr>
          <w:noProof/>
        </w:rPr>
        <w:fldChar w:fldCharType="begin"/>
      </w:r>
      <w:r w:rsidRPr="007B5BE6">
        <w:rPr>
          <w:noProof/>
        </w:rPr>
        <w:instrText xml:space="preserve"> PAGEREF _Toc212561794 \h </w:instrText>
      </w:r>
      <w:r w:rsidRPr="007B5BE6">
        <w:rPr>
          <w:noProof/>
        </w:rPr>
      </w:r>
      <w:r w:rsidRPr="007B5BE6">
        <w:rPr>
          <w:noProof/>
        </w:rPr>
        <w:fldChar w:fldCharType="separate"/>
      </w:r>
      <w:r w:rsidR="0014404C">
        <w:rPr>
          <w:noProof/>
        </w:rPr>
        <w:t>104</w:t>
      </w:r>
      <w:r w:rsidRPr="007B5BE6">
        <w:rPr>
          <w:noProof/>
        </w:rPr>
        <w:fldChar w:fldCharType="end"/>
      </w:r>
    </w:p>
    <w:p w14:paraId="246D8316" w14:textId="32D91ACE"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 legislative framework to create an independent statutory entity for safeguarding older people in Tasmania</w:t>
      </w:r>
      <w:r w:rsidRPr="007B5BE6">
        <w:rPr>
          <w:noProof/>
        </w:rPr>
        <w:tab/>
      </w:r>
      <w:r w:rsidRPr="007B5BE6">
        <w:rPr>
          <w:noProof/>
        </w:rPr>
        <w:fldChar w:fldCharType="begin"/>
      </w:r>
      <w:r w:rsidRPr="007B5BE6">
        <w:rPr>
          <w:noProof/>
        </w:rPr>
        <w:instrText xml:space="preserve"> PAGEREF _Toc212561795 \h </w:instrText>
      </w:r>
      <w:r w:rsidRPr="007B5BE6">
        <w:rPr>
          <w:noProof/>
        </w:rPr>
      </w:r>
      <w:r w:rsidRPr="007B5BE6">
        <w:rPr>
          <w:noProof/>
        </w:rPr>
        <w:fldChar w:fldCharType="separate"/>
      </w:r>
      <w:r w:rsidR="0014404C">
        <w:rPr>
          <w:noProof/>
        </w:rPr>
        <w:t>104</w:t>
      </w:r>
      <w:r w:rsidRPr="007B5BE6">
        <w:rPr>
          <w:noProof/>
        </w:rPr>
        <w:fldChar w:fldCharType="end"/>
      </w:r>
    </w:p>
    <w:p w14:paraId="184ABC29" w14:textId="10901114"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The safeguarding entity</w:t>
      </w:r>
      <w:r w:rsidRPr="007B5BE6">
        <w:rPr>
          <w:noProof/>
        </w:rPr>
        <w:tab/>
      </w:r>
      <w:r w:rsidRPr="007B5BE6">
        <w:rPr>
          <w:noProof/>
        </w:rPr>
        <w:fldChar w:fldCharType="begin"/>
      </w:r>
      <w:r w:rsidRPr="007B5BE6">
        <w:rPr>
          <w:noProof/>
        </w:rPr>
        <w:instrText xml:space="preserve"> PAGEREF _Toc212561796 \h </w:instrText>
      </w:r>
      <w:r w:rsidRPr="007B5BE6">
        <w:rPr>
          <w:noProof/>
        </w:rPr>
      </w:r>
      <w:r w:rsidRPr="007B5BE6">
        <w:rPr>
          <w:noProof/>
        </w:rPr>
        <w:fldChar w:fldCharType="separate"/>
      </w:r>
      <w:r w:rsidR="0014404C">
        <w:rPr>
          <w:noProof/>
        </w:rPr>
        <w:t>107</w:t>
      </w:r>
      <w:r w:rsidRPr="007B5BE6">
        <w:rPr>
          <w:noProof/>
        </w:rPr>
        <w:fldChar w:fldCharType="end"/>
      </w:r>
    </w:p>
    <w:p w14:paraId="06212A38" w14:textId="4F721F06"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Approach to creating the safeguarding entity and its structure</w:t>
      </w:r>
      <w:r w:rsidRPr="007B5BE6">
        <w:rPr>
          <w:noProof/>
        </w:rPr>
        <w:tab/>
      </w:r>
      <w:r w:rsidRPr="007B5BE6">
        <w:rPr>
          <w:i w:val="0"/>
          <w:iCs/>
          <w:noProof/>
        </w:rPr>
        <w:fldChar w:fldCharType="begin"/>
      </w:r>
      <w:r w:rsidRPr="007B5BE6">
        <w:rPr>
          <w:i w:val="0"/>
          <w:iCs/>
          <w:noProof/>
        </w:rPr>
        <w:instrText xml:space="preserve"> PAGEREF _Toc212561797 \h </w:instrText>
      </w:r>
      <w:r w:rsidRPr="007B5BE6">
        <w:rPr>
          <w:i w:val="0"/>
          <w:iCs/>
          <w:noProof/>
        </w:rPr>
      </w:r>
      <w:r w:rsidRPr="007B5BE6">
        <w:rPr>
          <w:i w:val="0"/>
          <w:iCs/>
          <w:noProof/>
        </w:rPr>
        <w:fldChar w:fldCharType="separate"/>
      </w:r>
      <w:r w:rsidR="0014404C">
        <w:rPr>
          <w:i w:val="0"/>
          <w:iCs/>
          <w:noProof/>
        </w:rPr>
        <w:t>107</w:t>
      </w:r>
      <w:r w:rsidRPr="007B5BE6">
        <w:rPr>
          <w:i w:val="0"/>
          <w:iCs/>
          <w:noProof/>
        </w:rPr>
        <w:fldChar w:fldCharType="end"/>
      </w:r>
    </w:p>
    <w:p w14:paraId="415D5819" w14:textId="3E3D262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Coverage of safeguarding legislation</w:t>
      </w:r>
      <w:r w:rsidRPr="007B5BE6">
        <w:rPr>
          <w:noProof/>
        </w:rPr>
        <w:tab/>
      </w:r>
      <w:r w:rsidRPr="007B5BE6">
        <w:rPr>
          <w:i w:val="0"/>
          <w:iCs/>
          <w:noProof/>
        </w:rPr>
        <w:fldChar w:fldCharType="begin"/>
      </w:r>
      <w:r w:rsidRPr="007B5BE6">
        <w:rPr>
          <w:i w:val="0"/>
          <w:iCs/>
          <w:noProof/>
        </w:rPr>
        <w:instrText xml:space="preserve"> PAGEREF _Toc212561798 \h </w:instrText>
      </w:r>
      <w:r w:rsidRPr="007B5BE6">
        <w:rPr>
          <w:i w:val="0"/>
          <w:iCs/>
          <w:noProof/>
        </w:rPr>
      </w:r>
      <w:r w:rsidRPr="007B5BE6">
        <w:rPr>
          <w:i w:val="0"/>
          <w:iCs/>
          <w:noProof/>
        </w:rPr>
        <w:fldChar w:fldCharType="separate"/>
      </w:r>
      <w:r w:rsidR="0014404C">
        <w:rPr>
          <w:i w:val="0"/>
          <w:iCs/>
          <w:noProof/>
        </w:rPr>
        <w:t>110</w:t>
      </w:r>
      <w:r w:rsidRPr="007B5BE6">
        <w:rPr>
          <w:i w:val="0"/>
          <w:iCs/>
          <w:noProof/>
        </w:rPr>
        <w:fldChar w:fldCharType="end"/>
      </w:r>
    </w:p>
    <w:p w14:paraId="350981F0" w14:textId="071796E1"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Defining abuse under the legislation</w:t>
      </w:r>
      <w:r w:rsidRPr="007B5BE6">
        <w:rPr>
          <w:noProof/>
        </w:rPr>
        <w:tab/>
      </w:r>
      <w:r w:rsidRPr="007B5BE6">
        <w:rPr>
          <w:i w:val="0"/>
          <w:iCs/>
          <w:noProof/>
        </w:rPr>
        <w:fldChar w:fldCharType="begin"/>
      </w:r>
      <w:r w:rsidRPr="007B5BE6">
        <w:rPr>
          <w:i w:val="0"/>
          <w:iCs/>
          <w:noProof/>
        </w:rPr>
        <w:instrText xml:space="preserve"> PAGEREF _Toc212561799 \h </w:instrText>
      </w:r>
      <w:r w:rsidRPr="007B5BE6">
        <w:rPr>
          <w:i w:val="0"/>
          <w:iCs/>
          <w:noProof/>
        </w:rPr>
      </w:r>
      <w:r w:rsidRPr="007B5BE6">
        <w:rPr>
          <w:i w:val="0"/>
          <w:iCs/>
          <w:noProof/>
        </w:rPr>
        <w:fldChar w:fldCharType="separate"/>
      </w:r>
      <w:r w:rsidR="0014404C">
        <w:rPr>
          <w:i w:val="0"/>
          <w:iCs/>
          <w:noProof/>
        </w:rPr>
        <w:t>113</w:t>
      </w:r>
      <w:r w:rsidRPr="007B5BE6">
        <w:rPr>
          <w:i w:val="0"/>
          <w:iCs/>
          <w:noProof/>
        </w:rPr>
        <w:fldChar w:fldCharType="end"/>
      </w:r>
    </w:p>
    <w:p w14:paraId="48CA9945" w14:textId="4202EC9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Power to make preliminary inquiries and power to investigate</w:t>
      </w:r>
      <w:r w:rsidRPr="007B5BE6">
        <w:rPr>
          <w:noProof/>
        </w:rPr>
        <w:tab/>
      </w:r>
      <w:r w:rsidRPr="007B5BE6">
        <w:rPr>
          <w:i w:val="0"/>
          <w:iCs/>
          <w:noProof/>
        </w:rPr>
        <w:fldChar w:fldCharType="begin"/>
      </w:r>
      <w:r w:rsidRPr="007B5BE6">
        <w:rPr>
          <w:i w:val="0"/>
          <w:iCs/>
          <w:noProof/>
        </w:rPr>
        <w:instrText xml:space="preserve"> PAGEREF _Toc212561800 \h </w:instrText>
      </w:r>
      <w:r w:rsidRPr="007B5BE6">
        <w:rPr>
          <w:i w:val="0"/>
          <w:iCs/>
          <w:noProof/>
        </w:rPr>
      </w:r>
      <w:r w:rsidRPr="007B5BE6">
        <w:rPr>
          <w:i w:val="0"/>
          <w:iCs/>
          <w:noProof/>
        </w:rPr>
        <w:fldChar w:fldCharType="separate"/>
      </w:r>
      <w:r w:rsidR="0014404C">
        <w:rPr>
          <w:i w:val="0"/>
          <w:iCs/>
          <w:noProof/>
        </w:rPr>
        <w:t>115</w:t>
      </w:r>
      <w:r w:rsidRPr="007B5BE6">
        <w:rPr>
          <w:i w:val="0"/>
          <w:iCs/>
          <w:noProof/>
        </w:rPr>
        <w:fldChar w:fldCharType="end"/>
      </w:r>
    </w:p>
    <w:p w14:paraId="1F66D80A" w14:textId="39A2CC2A"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Powers to act, including coercive powers</w:t>
      </w:r>
      <w:r w:rsidRPr="007B5BE6">
        <w:rPr>
          <w:noProof/>
        </w:rPr>
        <w:tab/>
      </w:r>
      <w:r w:rsidRPr="007B5BE6">
        <w:rPr>
          <w:i w:val="0"/>
          <w:iCs/>
          <w:noProof/>
        </w:rPr>
        <w:fldChar w:fldCharType="begin"/>
      </w:r>
      <w:r w:rsidRPr="007B5BE6">
        <w:rPr>
          <w:i w:val="0"/>
          <w:iCs/>
          <w:noProof/>
        </w:rPr>
        <w:instrText xml:space="preserve"> PAGEREF _Toc212561801 \h </w:instrText>
      </w:r>
      <w:r w:rsidRPr="007B5BE6">
        <w:rPr>
          <w:i w:val="0"/>
          <w:iCs/>
          <w:noProof/>
        </w:rPr>
      </w:r>
      <w:r w:rsidRPr="007B5BE6">
        <w:rPr>
          <w:i w:val="0"/>
          <w:iCs/>
          <w:noProof/>
        </w:rPr>
        <w:fldChar w:fldCharType="separate"/>
      </w:r>
      <w:r w:rsidR="0014404C">
        <w:rPr>
          <w:i w:val="0"/>
          <w:iCs/>
          <w:noProof/>
        </w:rPr>
        <w:t>117</w:t>
      </w:r>
      <w:r w:rsidRPr="007B5BE6">
        <w:rPr>
          <w:i w:val="0"/>
          <w:iCs/>
          <w:noProof/>
        </w:rPr>
        <w:fldChar w:fldCharType="end"/>
      </w:r>
    </w:p>
    <w:p w14:paraId="477AC7A8" w14:textId="6BBAE73B"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Consent thresholds and rights of older people</w:t>
      </w:r>
      <w:r w:rsidRPr="007B5BE6">
        <w:rPr>
          <w:noProof/>
        </w:rPr>
        <w:tab/>
      </w:r>
      <w:r w:rsidRPr="007B5BE6">
        <w:rPr>
          <w:i w:val="0"/>
          <w:iCs/>
          <w:noProof/>
        </w:rPr>
        <w:fldChar w:fldCharType="begin"/>
      </w:r>
      <w:r w:rsidRPr="007B5BE6">
        <w:rPr>
          <w:i w:val="0"/>
          <w:iCs/>
          <w:noProof/>
        </w:rPr>
        <w:instrText xml:space="preserve"> PAGEREF _Toc212561802 \h </w:instrText>
      </w:r>
      <w:r w:rsidRPr="007B5BE6">
        <w:rPr>
          <w:i w:val="0"/>
          <w:iCs/>
          <w:noProof/>
        </w:rPr>
      </w:r>
      <w:r w:rsidRPr="007B5BE6">
        <w:rPr>
          <w:i w:val="0"/>
          <w:iCs/>
          <w:noProof/>
        </w:rPr>
        <w:fldChar w:fldCharType="separate"/>
      </w:r>
      <w:r w:rsidR="0014404C">
        <w:rPr>
          <w:i w:val="0"/>
          <w:iCs/>
          <w:noProof/>
        </w:rPr>
        <w:t>121</w:t>
      </w:r>
      <w:r w:rsidRPr="007B5BE6">
        <w:rPr>
          <w:i w:val="0"/>
          <w:iCs/>
          <w:noProof/>
        </w:rPr>
        <w:fldChar w:fldCharType="end"/>
      </w:r>
    </w:p>
    <w:p w14:paraId="4C4A5192" w14:textId="1666512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Education and training and developing expertise</w:t>
      </w:r>
      <w:r w:rsidRPr="007B5BE6">
        <w:rPr>
          <w:noProof/>
        </w:rPr>
        <w:tab/>
      </w:r>
      <w:r w:rsidRPr="007B5BE6">
        <w:rPr>
          <w:i w:val="0"/>
          <w:iCs/>
          <w:noProof/>
        </w:rPr>
        <w:fldChar w:fldCharType="begin"/>
      </w:r>
      <w:r w:rsidRPr="007B5BE6">
        <w:rPr>
          <w:i w:val="0"/>
          <w:iCs/>
          <w:noProof/>
        </w:rPr>
        <w:instrText xml:space="preserve"> PAGEREF _Toc212561803 \h </w:instrText>
      </w:r>
      <w:r w:rsidRPr="007B5BE6">
        <w:rPr>
          <w:i w:val="0"/>
          <w:iCs/>
          <w:noProof/>
        </w:rPr>
      </w:r>
      <w:r w:rsidRPr="007B5BE6">
        <w:rPr>
          <w:i w:val="0"/>
          <w:iCs/>
          <w:noProof/>
        </w:rPr>
        <w:fldChar w:fldCharType="separate"/>
      </w:r>
      <w:r w:rsidR="0014404C">
        <w:rPr>
          <w:i w:val="0"/>
          <w:iCs/>
          <w:noProof/>
        </w:rPr>
        <w:t>123</w:t>
      </w:r>
      <w:r w:rsidRPr="007B5BE6">
        <w:rPr>
          <w:i w:val="0"/>
          <w:iCs/>
          <w:noProof/>
        </w:rPr>
        <w:fldChar w:fldCharType="end"/>
      </w:r>
    </w:p>
    <w:p w14:paraId="5A282A33" w14:textId="3948F87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Additional reforms to allow for collaboration, and information sharing</w:t>
      </w:r>
      <w:r w:rsidRPr="007B5BE6">
        <w:rPr>
          <w:noProof/>
        </w:rPr>
        <w:tab/>
      </w:r>
      <w:r w:rsidRPr="007B5BE6">
        <w:rPr>
          <w:i w:val="0"/>
          <w:iCs/>
          <w:noProof/>
        </w:rPr>
        <w:fldChar w:fldCharType="begin"/>
      </w:r>
      <w:r w:rsidRPr="007B5BE6">
        <w:rPr>
          <w:i w:val="0"/>
          <w:iCs/>
          <w:noProof/>
        </w:rPr>
        <w:instrText xml:space="preserve"> PAGEREF _Toc212561804 \h </w:instrText>
      </w:r>
      <w:r w:rsidRPr="007B5BE6">
        <w:rPr>
          <w:i w:val="0"/>
          <w:iCs/>
          <w:noProof/>
        </w:rPr>
      </w:r>
      <w:r w:rsidRPr="007B5BE6">
        <w:rPr>
          <w:i w:val="0"/>
          <w:iCs/>
          <w:noProof/>
        </w:rPr>
        <w:fldChar w:fldCharType="separate"/>
      </w:r>
      <w:r w:rsidR="0014404C">
        <w:rPr>
          <w:i w:val="0"/>
          <w:iCs/>
          <w:noProof/>
        </w:rPr>
        <w:t>125</w:t>
      </w:r>
      <w:r w:rsidRPr="007B5BE6">
        <w:rPr>
          <w:i w:val="0"/>
          <w:iCs/>
          <w:noProof/>
        </w:rPr>
        <w:fldChar w:fldCharType="end"/>
      </w:r>
    </w:p>
    <w:p w14:paraId="51E7D066" w14:textId="5039398C"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4.6</w:t>
      </w:r>
      <w:r w:rsidRPr="007B5BE6">
        <w:rPr>
          <w:rFonts w:asciiTheme="minorHAnsi" w:eastAsiaTheme="minorEastAsia" w:hAnsiTheme="minorHAnsi"/>
          <w:noProof/>
          <w:kern w:val="2"/>
          <w:sz w:val="24"/>
          <w:lang w:eastAsia="en-AU"/>
          <w14:ligatures w14:val="standardContextual"/>
        </w:rPr>
        <w:tab/>
      </w:r>
      <w:r w:rsidRPr="007B5BE6">
        <w:rPr>
          <w:noProof/>
        </w:rPr>
        <w:t>Enhancing safeguarding through human rights law</w:t>
      </w:r>
      <w:r w:rsidRPr="007B5BE6">
        <w:rPr>
          <w:noProof/>
        </w:rPr>
        <w:tab/>
      </w:r>
      <w:r w:rsidRPr="007B5BE6">
        <w:rPr>
          <w:noProof/>
        </w:rPr>
        <w:fldChar w:fldCharType="begin"/>
      </w:r>
      <w:r w:rsidRPr="007B5BE6">
        <w:rPr>
          <w:noProof/>
        </w:rPr>
        <w:instrText xml:space="preserve"> PAGEREF _Toc212561805 \h </w:instrText>
      </w:r>
      <w:r w:rsidRPr="007B5BE6">
        <w:rPr>
          <w:noProof/>
        </w:rPr>
      </w:r>
      <w:r w:rsidRPr="007B5BE6">
        <w:rPr>
          <w:noProof/>
        </w:rPr>
        <w:fldChar w:fldCharType="separate"/>
      </w:r>
      <w:r w:rsidR="0014404C">
        <w:rPr>
          <w:noProof/>
        </w:rPr>
        <w:t>127</w:t>
      </w:r>
      <w:r w:rsidRPr="007B5BE6">
        <w:rPr>
          <w:noProof/>
        </w:rPr>
        <w:fldChar w:fldCharType="end"/>
      </w:r>
    </w:p>
    <w:p w14:paraId="48CE8148" w14:textId="42957F8A" w:rsidR="001C0BDB" w:rsidRPr="007B5BE6" w:rsidRDefault="001C0BDB">
      <w:pPr>
        <w:pStyle w:val="TOC1"/>
        <w:rPr>
          <w:rFonts w:asciiTheme="minorHAnsi" w:eastAsiaTheme="minorEastAsia" w:hAnsiTheme="minorHAnsi"/>
          <w:b/>
          <w:bCs/>
          <w:noProof/>
          <w:kern w:val="2"/>
          <w:sz w:val="24"/>
          <w:lang w:eastAsia="en-AU"/>
          <w14:ligatures w14:val="standardContextual"/>
        </w:rPr>
      </w:pPr>
      <w:r w:rsidRPr="007B5BE6">
        <w:rPr>
          <w:b/>
          <w:bCs/>
          <w:noProof/>
        </w:rPr>
        <w:t>Part 5</w:t>
      </w:r>
      <w:r w:rsidR="00AD6298" w:rsidRPr="007B5BE6">
        <w:rPr>
          <w:b/>
          <w:bCs/>
          <w:noProof/>
        </w:rPr>
        <w:t>: Reforms to Existing Laws for Safeguarding Against the Abuse of Older Tasmanians</w:t>
      </w:r>
      <w:r w:rsidRPr="007B5BE6">
        <w:rPr>
          <w:b/>
          <w:bCs/>
          <w:noProof/>
        </w:rPr>
        <w:tab/>
      </w:r>
      <w:r w:rsidR="00F02567">
        <w:rPr>
          <w:b/>
          <w:bCs/>
          <w:noProof/>
        </w:rPr>
        <w:t>.</w:t>
      </w:r>
      <w:r w:rsidRPr="007B5BE6">
        <w:rPr>
          <w:b/>
          <w:bCs/>
          <w:noProof/>
        </w:rPr>
        <w:fldChar w:fldCharType="begin"/>
      </w:r>
      <w:r w:rsidRPr="007B5BE6">
        <w:rPr>
          <w:b/>
          <w:bCs/>
          <w:noProof/>
        </w:rPr>
        <w:instrText xml:space="preserve"> PAGEREF _Toc212561806 \h </w:instrText>
      </w:r>
      <w:r w:rsidRPr="007B5BE6">
        <w:rPr>
          <w:b/>
          <w:bCs/>
          <w:noProof/>
        </w:rPr>
      </w:r>
      <w:r w:rsidRPr="007B5BE6">
        <w:rPr>
          <w:b/>
          <w:bCs/>
          <w:noProof/>
        </w:rPr>
        <w:fldChar w:fldCharType="separate"/>
      </w:r>
      <w:r w:rsidR="0014404C">
        <w:rPr>
          <w:b/>
          <w:bCs/>
          <w:noProof/>
        </w:rPr>
        <w:t>129</w:t>
      </w:r>
      <w:r w:rsidRPr="007B5BE6">
        <w:rPr>
          <w:b/>
          <w:bCs/>
          <w:noProof/>
        </w:rPr>
        <w:fldChar w:fldCharType="end"/>
      </w:r>
    </w:p>
    <w:p w14:paraId="354278D4" w14:textId="575FE632"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5.1</w:t>
      </w:r>
      <w:r w:rsidRPr="007B5BE6">
        <w:rPr>
          <w:rFonts w:asciiTheme="minorHAnsi" w:eastAsiaTheme="minorEastAsia" w:hAnsiTheme="minorHAnsi"/>
          <w:noProof/>
          <w:kern w:val="2"/>
          <w:sz w:val="24"/>
          <w:lang w:eastAsia="en-AU"/>
          <w14:ligatures w14:val="standardContextual"/>
        </w:rPr>
        <w:tab/>
      </w:r>
      <w:r w:rsidRPr="007B5BE6">
        <w:rPr>
          <w:noProof/>
        </w:rPr>
        <w:t>Introduction</w:t>
      </w:r>
      <w:r w:rsidRPr="007B5BE6">
        <w:rPr>
          <w:noProof/>
        </w:rPr>
        <w:tab/>
      </w:r>
      <w:r w:rsidRPr="007B5BE6">
        <w:rPr>
          <w:noProof/>
        </w:rPr>
        <w:fldChar w:fldCharType="begin"/>
      </w:r>
      <w:r w:rsidRPr="007B5BE6">
        <w:rPr>
          <w:noProof/>
        </w:rPr>
        <w:instrText xml:space="preserve"> PAGEREF _Toc212561808 \h </w:instrText>
      </w:r>
      <w:r w:rsidRPr="007B5BE6">
        <w:rPr>
          <w:noProof/>
        </w:rPr>
      </w:r>
      <w:r w:rsidRPr="007B5BE6">
        <w:rPr>
          <w:noProof/>
        </w:rPr>
        <w:fldChar w:fldCharType="separate"/>
      </w:r>
      <w:r w:rsidR="0014404C">
        <w:rPr>
          <w:noProof/>
        </w:rPr>
        <w:t>129</w:t>
      </w:r>
      <w:r w:rsidRPr="007B5BE6">
        <w:rPr>
          <w:noProof/>
        </w:rPr>
        <w:fldChar w:fldCharType="end"/>
      </w:r>
    </w:p>
    <w:p w14:paraId="52223667" w14:textId="7BB0D6F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5.2</w:t>
      </w:r>
      <w:r w:rsidRPr="007B5BE6">
        <w:rPr>
          <w:rFonts w:asciiTheme="minorHAnsi" w:eastAsiaTheme="minorEastAsia" w:hAnsiTheme="minorHAnsi"/>
          <w:noProof/>
          <w:kern w:val="2"/>
          <w:sz w:val="24"/>
          <w:lang w:eastAsia="en-AU"/>
          <w14:ligatures w14:val="standardContextual"/>
        </w:rPr>
        <w:tab/>
      </w:r>
      <w:r w:rsidRPr="007B5BE6">
        <w:rPr>
          <w:noProof/>
        </w:rPr>
        <w:t>Civil protection order framework: specialised restraint orders focused on abuse of older people</w:t>
      </w:r>
      <w:r w:rsidR="0096562E" w:rsidRPr="007B5BE6">
        <w:rPr>
          <w:noProof/>
        </w:rPr>
        <w:t xml:space="preserve"> ………………………………………………………………………………………………………..</w:t>
      </w:r>
      <w:r w:rsidRPr="007B5BE6">
        <w:rPr>
          <w:noProof/>
        </w:rPr>
        <w:fldChar w:fldCharType="begin"/>
      </w:r>
      <w:r w:rsidRPr="007B5BE6">
        <w:rPr>
          <w:noProof/>
        </w:rPr>
        <w:instrText xml:space="preserve"> PAGEREF _Toc212561809 \h </w:instrText>
      </w:r>
      <w:r w:rsidRPr="007B5BE6">
        <w:rPr>
          <w:noProof/>
        </w:rPr>
      </w:r>
      <w:r w:rsidRPr="007B5BE6">
        <w:rPr>
          <w:noProof/>
        </w:rPr>
        <w:fldChar w:fldCharType="separate"/>
      </w:r>
      <w:r w:rsidR="0014404C">
        <w:rPr>
          <w:noProof/>
        </w:rPr>
        <w:t>129</w:t>
      </w:r>
      <w:r w:rsidRPr="007B5BE6">
        <w:rPr>
          <w:noProof/>
        </w:rPr>
        <w:fldChar w:fldCharType="end"/>
      </w:r>
    </w:p>
    <w:p w14:paraId="058E0203" w14:textId="327D8B8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 xml:space="preserve">Application of the </w:t>
      </w:r>
      <w:r w:rsidRPr="007B5BE6">
        <w:rPr>
          <w:i/>
          <w:iCs/>
          <w:noProof/>
        </w:rPr>
        <w:t xml:space="preserve">Family Violence Act 2004 </w:t>
      </w:r>
      <w:r w:rsidRPr="007B5BE6">
        <w:rPr>
          <w:noProof/>
        </w:rPr>
        <w:t>(Tas): family violence orders</w:t>
      </w:r>
      <w:r w:rsidRPr="007B5BE6">
        <w:rPr>
          <w:noProof/>
        </w:rPr>
        <w:tab/>
      </w:r>
      <w:r w:rsidRPr="007B5BE6">
        <w:rPr>
          <w:noProof/>
        </w:rPr>
        <w:fldChar w:fldCharType="begin"/>
      </w:r>
      <w:r w:rsidRPr="007B5BE6">
        <w:rPr>
          <w:noProof/>
        </w:rPr>
        <w:instrText xml:space="preserve"> PAGEREF _Toc212561810 \h </w:instrText>
      </w:r>
      <w:r w:rsidRPr="007B5BE6">
        <w:rPr>
          <w:noProof/>
        </w:rPr>
      </w:r>
      <w:r w:rsidRPr="007B5BE6">
        <w:rPr>
          <w:noProof/>
        </w:rPr>
        <w:fldChar w:fldCharType="separate"/>
      </w:r>
      <w:r w:rsidR="0014404C">
        <w:rPr>
          <w:noProof/>
        </w:rPr>
        <w:t>130</w:t>
      </w:r>
      <w:r w:rsidRPr="007B5BE6">
        <w:rPr>
          <w:noProof/>
        </w:rPr>
        <w:fldChar w:fldCharType="end"/>
      </w:r>
    </w:p>
    <w:p w14:paraId="33EFD27B" w14:textId="426B2BC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_Toc212561811 \h </w:instrText>
      </w:r>
      <w:r w:rsidRPr="007B5BE6">
        <w:rPr>
          <w:i w:val="0"/>
          <w:iCs/>
          <w:noProof/>
        </w:rPr>
      </w:r>
      <w:r w:rsidRPr="007B5BE6">
        <w:rPr>
          <w:i w:val="0"/>
          <w:iCs/>
          <w:noProof/>
        </w:rPr>
        <w:fldChar w:fldCharType="separate"/>
      </w:r>
      <w:r w:rsidR="0014404C">
        <w:rPr>
          <w:i w:val="0"/>
          <w:iCs/>
          <w:noProof/>
        </w:rPr>
        <w:t>130</w:t>
      </w:r>
      <w:r w:rsidRPr="007B5BE6">
        <w:rPr>
          <w:i w:val="0"/>
          <w:iCs/>
          <w:noProof/>
        </w:rPr>
        <w:fldChar w:fldCharType="end"/>
      </w:r>
    </w:p>
    <w:p w14:paraId="126A84AA" w14:textId="178E11DF"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ALRC’s recommendations</w:t>
      </w:r>
      <w:r w:rsidRPr="007B5BE6">
        <w:rPr>
          <w:noProof/>
        </w:rPr>
        <w:tab/>
      </w:r>
      <w:r w:rsidRPr="007B5BE6">
        <w:rPr>
          <w:i w:val="0"/>
          <w:iCs/>
          <w:noProof/>
        </w:rPr>
        <w:fldChar w:fldCharType="begin"/>
      </w:r>
      <w:r w:rsidRPr="007B5BE6">
        <w:rPr>
          <w:i w:val="0"/>
          <w:iCs/>
          <w:noProof/>
        </w:rPr>
        <w:instrText xml:space="preserve"> PAGEREF _Toc212561812 \h </w:instrText>
      </w:r>
      <w:r w:rsidRPr="007B5BE6">
        <w:rPr>
          <w:i w:val="0"/>
          <w:iCs/>
          <w:noProof/>
        </w:rPr>
      </w:r>
      <w:r w:rsidRPr="007B5BE6">
        <w:rPr>
          <w:i w:val="0"/>
          <w:iCs/>
          <w:noProof/>
        </w:rPr>
        <w:fldChar w:fldCharType="separate"/>
      </w:r>
      <w:r w:rsidR="0014404C">
        <w:rPr>
          <w:i w:val="0"/>
          <w:iCs/>
          <w:noProof/>
        </w:rPr>
        <w:t>132</w:t>
      </w:r>
      <w:r w:rsidRPr="007B5BE6">
        <w:rPr>
          <w:i w:val="0"/>
          <w:iCs/>
          <w:noProof/>
        </w:rPr>
        <w:fldChar w:fldCharType="end"/>
      </w:r>
    </w:p>
    <w:p w14:paraId="1B702848" w14:textId="625BB85E"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Approaches in other jurisdictions</w:t>
      </w:r>
      <w:r w:rsidRPr="007B5BE6">
        <w:rPr>
          <w:noProof/>
        </w:rPr>
        <w:tab/>
      </w:r>
      <w:r w:rsidRPr="007B5BE6">
        <w:rPr>
          <w:i w:val="0"/>
          <w:iCs/>
          <w:noProof/>
        </w:rPr>
        <w:fldChar w:fldCharType="begin"/>
      </w:r>
      <w:r w:rsidRPr="007B5BE6">
        <w:rPr>
          <w:i w:val="0"/>
          <w:iCs/>
          <w:noProof/>
        </w:rPr>
        <w:instrText xml:space="preserve"> PAGEREF _Toc212561813 \h </w:instrText>
      </w:r>
      <w:r w:rsidRPr="007B5BE6">
        <w:rPr>
          <w:i w:val="0"/>
          <w:iCs/>
          <w:noProof/>
        </w:rPr>
      </w:r>
      <w:r w:rsidRPr="007B5BE6">
        <w:rPr>
          <w:i w:val="0"/>
          <w:iCs/>
          <w:noProof/>
        </w:rPr>
        <w:fldChar w:fldCharType="separate"/>
      </w:r>
      <w:r w:rsidR="0014404C">
        <w:rPr>
          <w:i w:val="0"/>
          <w:iCs/>
          <w:noProof/>
        </w:rPr>
        <w:t>133</w:t>
      </w:r>
      <w:r w:rsidRPr="007B5BE6">
        <w:rPr>
          <w:i w:val="0"/>
          <w:iCs/>
          <w:noProof/>
        </w:rPr>
        <w:fldChar w:fldCharType="end"/>
      </w:r>
    </w:p>
    <w:p w14:paraId="38C60050" w14:textId="2D6D99C8"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TLRI’s view and recommendations</w:t>
      </w:r>
      <w:r w:rsidRPr="007B5BE6">
        <w:rPr>
          <w:noProof/>
        </w:rPr>
        <w:tab/>
      </w:r>
      <w:r w:rsidRPr="007B5BE6">
        <w:rPr>
          <w:i w:val="0"/>
          <w:iCs/>
          <w:noProof/>
        </w:rPr>
        <w:fldChar w:fldCharType="begin"/>
      </w:r>
      <w:r w:rsidRPr="007B5BE6">
        <w:rPr>
          <w:i w:val="0"/>
          <w:iCs/>
          <w:noProof/>
        </w:rPr>
        <w:instrText xml:space="preserve"> PAGEREF _Toc212561814 \h </w:instrText>
      </w:r>
      <w:r w:rsidRPr="007B5BE6">
        <w:rPr>
          <w:i w:val="0"/>
          <w:iCs/>
          <w:noProof/>
        </w:rPr>
      </w:r>
      <w:r w:rsidRPr="007B5BE6">
        <w:rPr>
          <w:i w:val="0"/>
          <w:iCs/>
          <w:noProof/>
        </w:rPr>
        <w:fldChar w:fldCharType="separate"/>
      </w:r>
      <w:r w:rsidR="0014404C">
        <w:rPr>
          <w:i w:val="0"/>
          <w:iCs/>
          <w:noProof/>
        </w:rPr>
        <w:t>135</w:t>
      </w:r>
      <w:r w:rsidRPr="007B5BE6">
        <w:rPr>
          <w:i w:val="0"/>
          <w:iCs/>
          <w:noProof/>
        </w:rPr>
        <w:fldChar w:fldCharType="end"/>
      </w:r>
    </w:p>
    <w:p w14:paraId="1F06D2B5" w14:textId="0D27AF7D"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 xml:space="preserve">Reform to the </w:t>
      </w:r>
      <w:r w:rsidRPr="007B5BE6">
        <w:rPr>
          <w:i/>
          <w:iCs/>
          <w:noProof/>
        </w:rPr>
        <w:t>Justices Act 1959</w:t>
      </w:r>
      <w:r w:rsidRPr="007B5BE6">
        <w:rPr>
          <w:noProof/>
        </w:rPr>
        <w:t xml:space="preserve"> (Tas): specialised restraint orders</w:t>
      </w:r>
      <w:r w:rsidRPr="007B5BE6">
        <w:rPr>
          <w:noProof/>
        </w:rPr>
        <w:tab/>
      </w:r>
      <w:r w:rsidRPr="007B5BE6">
        <w:rPr>
          <w:noProof/>
        </w:rPr>
        <w:fldChar w:fldCharType="begin"/>
      </w:r>
      <w:r w:rsidRPr="007B5BE6">
        <w:rPr>
          <w:noProof/>
        </w:rPr>
        <w:instrText xml:space="preserve"> PAGEREF _Toc212561815 \h </w:instrText>
      </w:r>
      <w:r w:rsidRPr="007B5BE6">
        <w:rPr>
          <w:noProof/>
        </w:rPr>
      </w:r>
      <w:r w:rsidRPr="007B5BE6">
        <w:rPr>
          <w:noProof/>
        </w:rPr>
        <w:fldChar w:fldCharType="separate"/>
      </w:r>
      <w:r w:rsidR="0014404C">
        <w:rPr>
          <w:noProof/>
        </w:rPr>
        <w:t>136</w:t>
      </w:r>
      <w:r w:rsidRPr="007B5BE6">
        <w:rPr>
          <w:noProof/>
        </w:rPr>
        <w:fldChar w:fldCharType="end"/>
      </w:r>
    </w:p>
    <w:p w14:paraId="63CE34D5" w14:textId="53CD162B"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Approach in other jurisdictions</w:t>
      </w:r>
      <w:r w:rsidRPr="007B5BE6">
        <w:rPr>
          <w:noProof/>
        </w:rPr>
        <w:tab/>
      </w:r>
      <w:r w:rsidRPr="007B5BE6">
        <w:rPr>
          <w:i w:val="0"/>
          <w:iCs/>
          <w:noProof/>
        </w:rPr>
        <w:fldChar w:fldCharType="begin"/>
      </w:r>
      <w:r w:rsidRPr="007B5BE6">
        <w:rPr>
          <w:i w:val="0"/>
          <w:iCs/>
          <w:noProof/>
        </w:rPr>
        <w:instrText xml:space="preserve"> PAGEREF _Toc212561816 \h </w:instrText>
      </w:r>
      <w:r w:rsidRPr="007B5BE6">
        <w:rPr>
          <w:i w:val="0"/>
          <w:iCs/>
          <w:noProof/>
        </w:rPr>
      </w:r>
      <w:r w:rsidRPr="007B5BE6">
        <w:rPr>
          <w:i w:val="0"/>
          <w:iCs/>
          <w:noProof/>
        </w:rPr>
        <w:fldChar w:fldCharType="separate"/>
      </w:r>
      <w:r w:rsidR="0014404C">
        <w:rPr>
          <w:i w:val="0"/>
          <w:iCs/>
          <w:noProof/>
        </w:rPr>
        <w:t>137</w:t>
      </w:r>
      <w:r w:rsidRPr="007B5BE6">
        <w:rPr>
          <w:i w:val="0"/>
          <w:iCs/>
          <w:noProof/>
        </w:rPr>
        <w:fldChar w:fldCharType="end"/>
      </w:r>
    </w:p>
    <w:p w14:paraId="78CDA95D" w14:textId="6D19CA7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_Toc212561817 \h </w:instrText>
      </w:r>
      <w:r w:rsidRPr="007B5BE6">
        <w:rPr>
          <w:i w:val="0"/>
          <w:iCs/>
          <w:noProof/>
        </w:rPr>
      </w:r>
      <w:r w:rsidRPr="007B5BE6">
        <w:rPr>
          <w:i w:val="0"/>
          <w:iCs/>
          <w:noProof/>
        </w:rPr>
        <w:fldChar w:fldCharType="separate"/>
      </w:r>
      <w:r w:rsidR="0014404C">
        <w:rPr>
          <w:i w:val="0"/>
          <w:iCs/>
          <w:noProof/>
        </w:rPr>
        <w:t>137</w:t>
      </w:r>
      <w:r w:rsidRPr="007B5BE6">
        <w:rPr>
          <w:i w:val="0"/>
          <w:iCs/>
          <w:noProof/>
        </w:rPr>
        <w:fldChar w:fldCharType="end"/>
      </w:r>
    </w:p>
    <w:p w14:paraId="04E75AC3" w14:textId="5BB8F346"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TLRI’s view and recommendations</w:t>
      </w:r>
      <w:r w:rsidRPr="007B5BE6">
        <w:rPr>
          <w:noProof/>
        </w:rPr>
        <w:tab/>
      </w:r>
      <w:r w:rsidRPr="007B5BE6">
        <w:rPr>
          <w:i w:val="0"/>
          <w:iCs/>
          <w:noProof/>
        </w:rPr>
        <w:fldChar w:fldCharType="begin"/>
      </w:r>
      <w:r w:rsidRPr="007B5BE6">
        <w:rPr>
          <w:i w:val="0"/>
          <w:iCs/>
          <w:noProof/>
        </w:rPr>
        <w:instrText xml:space="preserve"> PAGEREF _Toc212561818 \h </w:instrText>
      </w:r>
      <w:r w:rsidRPr="007B5BE6">
        <w:rPr>
          <w:i w:val="0"/>
          <w:iCs/>
          <w:noProof/>
        </w:rPr>
      </w:r>
      <w:r w:rsidRPr="007B5BE6">
        <w:rPr>
          <w:i w:val="0"/>
          <w:iCs/>
          <w:noProof/>
        </w:rPr>
        <w:fldChar w:fldCharType="separate"/>
      </w:r>
      <w:r w:rsidR="0014404C">
        <w:rPr>
          <w:i w:val="0"/>
          <w:iCs/>
          <w:noProof/>
        </w:rPr>
        <w:t>138</w:t>
      </w:r>
      <w:r w:rsidRPr="007B5BE6">
        <w:rPr>
          <w:i w:val="0"/>
          <w:iCs/>
          <w:noProof/>
        </w:rPr>
        <w:fldChar w:fldCharType="end"/>
      </w:r>
    </w:p>
    <w:p w14:paraId="3A9195A0" w14:textId="47D71AB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5.3</w:t>
      </w:r>
      <w:r w:rsidRPr="007B5BE6">
        <w:rPr>
          <w:rFonts w:asciiTheme="minorHAnsi" w:eastAsiaTheme="minorEastAsia" w:hAnsiTheme="minorHAnsi"/>
          <w:noProof/>
          <w:kern w:val="2"/>
          <w:sz w:val="24"/>
          <w:lang w:eastAsia="en-AU"/>
          <w14:ligatures w14:val="standardContextual"/>
        </w:rPr>
        <w:tab/>
      </w:r>
      <w:r w:rsidRPr="007B5BE6">
        <w:rPr>
          <w:noProof/>
        </w:rPr>
        <w:t>Specialised criminal offences for abuse of older people in the general criminal law</w:t>
      </w:r>
      <w:r w:rsidRPr="007B5BE6">
        <w:rPr>
          <w:noProof/>
        </w:rPr>
        <w:tab/>
      </w:r>
      <w:r w:rsidRPr="007B5BE6">
        <w:rPr>
          <w:noProof/>
        </w:rPr>
        <w:fldChar w:fldCharType="begin"/>
      </w:r>
      <w:r w:rsidRPr="007B5BE6">
        <w:rPr>
          <w:noProof/>
        </w:rPr>
        <w:instrText xml:space="preserve"> PAGEREF _Toc212561819 \h </w:instrText>
      </w:r>
      <w:r w:rsidRPr="007B5BE6">
        <w:rPr>
          <w:noProof/>
        </w:rPr>
      </w:r>
      <w:r w:rsidRPr="007B5BE6">
        <w:rPr>
          <w:noProof/>
        </w:rPr>
        <w:fldChar w:fldCharType="separate"/>
      </w:r>
      <w:r w:rsidR="0014404C">
        <w:rPr>
          <w:noProof/>
        </w:rPr>
        <w:t>140</w:t>
      </w:r>
      <w:r w:rsidRPr="007B5BE6">
        <w:rPr>
          <w:noProof/>
        </w:rPr>
        <w:fldChar w:fldCharType="end"/>
      </w:r>
    </w:p>
    <w:p w14:paraId="7E25EA19" w14:textId="6EA6CA60"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Interviews with stakeholders</w:t>
      </w:r>
      <w:r w:rsidRPr="007B5BE6">
        <w:rPr>
          <w:noProof/>
        </w:rPr>
        <w:tab/>
      </w:r>
      <w:r w:rsidRPr="007B5BE6">
        <w:rPr>
          <w:noProof/>
        </w:rPr>
        <w:fldChar w:fldCharType="begin"/>
      </w:r>
      <w:r w:rsidRPr="007B5BE6">
        <w:rPr>
          <w:noProof/>
        </w:rPr>
        <w:instrText xml:space="preserve"> PAGEREF _Toc212561820 \h </w:instrText>
      </w:r>
      <w:r w:rsidRPr="007B5BE6">
        <w:rPr>
          <w:noProof/>
        </w:rPr>
      </w:r>
      <w:r w:rsidRPr="007B5BE6">
        <w:rPr>
          <w:noProof/>
        </w:rPr>
        <w:fldChar w:fldCharType="separate"/>
      </w:r>
      <w:r w:rsidR="0014404C">
        <w:rPr>
          <w:noProof/>
        </w:rPr>
        <w:t>141</w:t>
      </w:r>
      <w:r w:rsidRPr="007B5BE6">
        <w:rPr>
          <w:noProof/>
        </w:rPr>
        <w:fldChar w:fldCharType="end"/>
      </w:r>
    </w:p>
    <w:p w14:paraId="0F92AC28" w14:textId="3B5EA988"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lastRenderedPageBreak/>
        <w:t>ALRC’s recommendations</w:t>
      </w:r>
      <w:r w:rsidRPr="007B5BE6">
        <w:rPr>
          <w:noProof/>
        </w:rPr>
        <w:tab/>
      </w:r>
      <w:r w:rsidRPr="007B5BE6">
        <w:rPr>
          <w:noProof/>
        </w:rPr>
        <w:fldChar w:fldCharType="begin"/>
      </w:r>
      <w:r w:rsidRPr="007B5BE6">
        <w:rPr>
          <w:noProof/>
        </w:rPr>
        <w:instrText xml:space="preserve"> PAGEREF _Toc212561821 \h </w:instrText>
      </w:r>
      <w:r w:rsidRPr="007B5BE6">
        <w:rPr>
          <w:noProof/>
        </w:rPr>
      </w:r>
      <w:r w:rsidRPr="007B5BE6">
        <w:rPr>
          <w:noProof/>
        </w:rPr>
        <w:fldChar w:fldCharType="separate"/>
      </w:r>
      <w:r w:rsidR="0014404C">
        <w:rPr>
          <w:noProof/>
        </w:rPr>
        <w:t>143</w:t>
      </w:r>
      <w:r w:rsidRPr="007B5BE6">
        <w:rPr>
          <w:noProof/>
        </w:rPr>
        <w:fldChar w:fldCharType="end"/>
      </w:r>
    </w:p>
    <w:p w14:paraId="08E343BD" w14:textId="7CABFAED"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Approaches in other jurisdictions</w:t>
      </w:r>
      <w:r w:rsidRPr="007B5BE6">
        <w:rPr>
          <w:noProof/>
        </w:rPr>
        <w:tab/>
      </w:r>
      <w:r w:rsidRPr="007B5BE6">
        <w:rPr>
          <w:noProof/>
        </w:rPr>
        <w:fldChar w:fldCharType="begin"/>
      </w:r>
      <w:r w:rsidRPr="007B5BE6">
        <w:rPr>
          <w:noProof/>
        </w:rPr>
        <w:instrText xml:space="preserve"> PAGEREF _Toc212561822 \h </w:instrText>
      </w:r>
      <w:r w:rsidRPr="007B5BE6">
        <w:rPr>
          <w:noProof/>
        </w:rPr>
      </w:r>
      <w:r w:rsidRPr="007B5BE6">
        <w:rPr>
          <w:noProof/>
        </w:rPr>
        <w:fldChar w:fldCharType="separate"/>
      </w:r>
      <w:r w:rsidR="0014404C">
        <w:rPr>
          <w:noProof/>
        </w:rPr>
        <w:t>144</w:t>
      </w:r>
      <w:r w:rsidRPr="007B5BE6">
        <w:rPr>
          <w:noProof/>
        </w:rPr>
        <w:fldChar w:fldCharType="end"/>
      </w:r>
    </w:p>
    <w:p w14:paraId="11AA6EE6" w14:textId="0DE710CC"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TLRI’s view and recommendations</w:t>
      </w:r>
      <w:r w:rsidRPr="007B5BE6">
        <w:rPr>
          <w:noProof/>
        </w:rPr>
        <w:tab/>
      </w:r>
      <w:r w:rsidRPr="007B5BE6">
        <w:rPr>
          <w:noProof/>
        </w:rPr>
        <w:fldChar w:fldCharType="begin"/>
      </w:r>
      <w:r w:rsidRPr="007B5BE6">
        <w:rPr>
          <w:noProof/>
        </w:rPr>
        <w:instrText xml:space="preserve"> PAGEREF _Toc212561823 \h </w:instrText>
      </w:r>
      <w:r w:rsidRPr="007B5BE6">
        <w:rPr>
          <w:noProof/>
        </w:rPr>
      </w:r>
      <w:r w:rsidRPr="007B5BE6">
        <w:rPr>
          <w:noProof/>
        </w:rPr>
        <w:fldChar w:fldCharType="separate"/>
      </w:r>
      <w:r w:rsidR="0014404C">
        <w:rPr>
          <w:noProof/>
        </w:rPr>
        <w:t>145</w:t>
      </w:r>
      <w:r w:rsidRPr="007B5BE6">
        <w:rPr>
          <w:noProof/>
        </w:rPr>
        <w:fldChar w:fldCharType="end"/>
      </w:r>
    </w:p>
    <w:p w14:paraId="526D1ABC" w14:textId="5896DEAE"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5.4</w:t>
      </w:r>
      <w:r w:rsidRPr="007B5BE6">
        <w:rPr>
          <w:rFonts w:asciiTheme="minorHAnsi" w:eastAsiaTheme="minorEastAsia" w:hAnsiTheme="minorHAnsi"/>
          <w:noProof/>
          <w:kern w:val="2"/>
          <w:sz w:val="24"/>
          <w:lang w:eastAsia="en-AU"/>
          <w14:ligatures w14:val="standardContextual"/>
        </w:rPr>
        <w:tab/>
      </w:r>
      <w:r w:rsidRPr="007B5BE6">
        <w:rPr>
          <w:noProof/>
        </w:rPr>
        <w:t>Legislative frameworks for decision making</w:t>
      </w:r>
      <w:r w:rsidRPr="007B5BE6">
        <w:rPr>
          <w:noProof/>
        </w:rPr>
        <w:tab/>
      </w:r>
      <w:r w:rsidRPr="007B5BE6">
        <w:rPr>
          <w:noProof/>
        </w:rPr>
        <w:fldChar w:fldCharType="begin"/>
      </w:r>
      <w:r w:rsidRPr="007B5BE6">
        <w:rPr>
          <w:noProof/>
        </w:rPr>
        <w:instrText xml:space="preserve"> PAGEREF _Toc212561824 \h </w:instrText>
      </w:r>
      <w:r w:rsidRPr="007B5BE6">
        <w:rPr>
          <w:noProof/>
        </w:rPr>
      </w:r>
      <w:r w:rsidRPr="007B5BE6">
        <w:rPr>
          <w:noProof/>
        </w:rPr>
        <w:fldChar w:fldCharType="separate"/>
      </w:r>
      <w:r w:rsidR="0014404C">
        <w:rPr>
          <w:noProof/>
        </w:rPr>
        <w:t>148</w:t>
      </w:r>
      <w:r w:rsidRPr="007B5BE6">
        <w:rPr>
          <w:noProof/>
        </w:rPr>
        <w:fldChar w:fldCharType="end"/>
      </w:r>
    </w:p>
    <w:p w14:paraId="3EA78C71" w14:textId="5181ADFB"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Powers of attorney</w:t>
      </w:r>
      <w:r w:rsidRPr="007B5BE6">
        <w:rPr>
          <w:noProof/>
        </w:rPr>
        <w:tab/>
      </w:r>
      <w:r w:rsidRPr="007B5BE6">
        <w:rPr>
          <w:noProof/>
        </w:rPr>
        <w:fldChar w:fldCharType="begin"/>
      </w:r>
      <w:r w:rsidRPr="007B5BE6">
        <w:rPr>
          <w:noProof/>
        </w:rPr>
        <w:instrText xml:space="preserve"> PAGEREF _Toc212561825 \h </w:instrText>
      </w:r>
      <w:r w:rsidRPr="007B5BE6">
        <w:rPr>
          <w:noProof/>
        </w:rPr>
      </w:r>
      <w:r w:rsidRPr="007B5BE6">
        <w:rPr>
          <w:noProof/>
        </w:rPr>
        <w:fldChar w:fldCharType="separate"/>
      </w:r>
      <w:r w:rsidR="0014404C">
        <w:rPr>
          <w:noProof/>
        </w:rPr>
        <w:t>148</w:t>
      </w:r>
      <w:r w:rsidRPr="007B5BE6">
        <w:rPr>
          <w:noProof/>
        </w:rPr>
        <w:fldChar w:fldCharType="end"/>
      </w:r>
    </w:p>
    <w:p w14:paraId="3CC3A557" w14:textId="495FFECC"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_Toc212561826 \h </w:instrText>
      </w:r>
      <w:r w:rsidRPr="007B5BE6">
        <w:rPr>
          <w:i w:val="0"/>
          <w:iCs/>
          <w:noProof/>
        </w:rPr>
      </w:r>
      <w:r w:rsidRPr="007B5BE6">
        <w:rPr>
          <w:i w:val="0"/>
          <w:iCs/>
          <w:noProof/>
        </w:rPr>
        <w:fldChar w:fldCharType="separate"/>
      </w:r>
      <w:r w:rsidR="0014404C">
        <w:rPr>
          <w:i w:val="0"/>
          <w:iCs/>
          <w:noProof/>
        </w:rPr>
        <w:t>148</w:t>
      </w:r>
      <w:r w:rsidRPr="007B5BE6">
        <w:rPr>
          <w:i w:val="0"/>
          <w:iCs/>
          <w:noProof/>
        </w:rPr>
        <w:fldChar w:fldCharType="end"/>
      </w:r>
    </w:p>
    <w:p w14:paraId="38AACFBA" w14:textId="6B6F69E9"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Previous research</w:t>
      </w:r>
      <w:r w:rsidRPr="007B5BE6">
        <w:rPr>
          <w:noProof/>
        </w:rPr>
        <w:tab/>
      </w:r>
      <w:r w:rsidRPr="007B5BE6">
        <w:rPr>
          <w:i w:val="0"/>
          <w:iCs/>
          <w:noProof/>
        </w:rPr>
        <w:fldChar w:fldCharType="begin"/>
      </w:r>
      <w:r w:rsidRPr="007B5BE6">
        <w:rPr>
          <w:i w:val="0"/>
          <w:iCs/>
          <w:noProof/>
        </w:rPr>
        <w:instrText xml:space="preserve"> PAGEREF _Toc212561827 \h </w:instrText>
      </w:r>
      <w:r w:rsidRPr="007B5BE6">
        <w:rPr>
          <w:i w:val="0"/>
          <w:iCs/>
          <w:noProof/>
        </w:rPr>
      </w:r>
      <w:r w:rsidRPr="007B5BE6">
        <w:rPr>
          <w:i w:val="0"/>
          <w:iCs/>
          <w:noProof/>
        </w:rPr>
        <w:fldChar w:fldCharType="separate"/>
      </w:r>
      <w:r w:rsidR="0014404C">
        <w:rPr>
          <w:i w:val="0"/>
          <w:iCs/>
          <w:noProof/>
        </w:rPr>
        <w:t>150</w:t>
      </w:r>
      <w:r w:rsidRPr="007B5BE6">
        <w:rPr>
          <w:i w:val="0"/>
          <w:iCs/>
          <w:noProof/>
        </w:rPr>
        <w:fldChar w:fldCharType="end"/>
      </w:r>
    </w:p>
    <w:p w14:paraId="0BEFD33D" w14:textId="05C0D50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Approaches in other jurisdictions</w:t>
      </w:r>
      <w:r w:rsidRPr="007B5BE6">
        <w:rPr>
          <w:noProof/>
        </w:rPr>
        <w:tab/>
      </w:r>
      <w:r w:rsidRPr="007B5BE6">
        <w:rPr>
          <w:i w:val="0"/>
          <w:iCs/>
          <w:noProof/>
        </w:rPr>
        <w:fldChar w:fldCharType="begin"/>
      </w:r>
      <w:r w:rsidRPr="007B5BE6">
        <w:rPr>
          <w:i w:val="0"/>
          <w:iCs/>
          <w:noProof/>
        </w:rPr>
        <w:instrText xml:space="preserve"> PAGEREF _Toc212561828 \h </w:instrText>
      </w:r>
      <w:r w:rsidRPr="007B5BE6">
        <w:rPr>
          <w:i w:val="0"/>
          <w:iCs/>
          <w:noProof/>
        </w:rPr>
      </w:r>
      <w:r w:rsidRPr="007B5BE6">
        <w:rPr>
          <w:i w:val="0"/>
          <w:iCs/>
          <w:noProof/>
        </w:rPr>
        <w:fldChar w:fldCharType="separate"/>
      </w:r>
      <w:r w:rsidR="0014404C">
        <w:rPr>
          <w:i w:val="0"/>
          <w:iCs/>
          <w:noProof/>
        </w:rPr>
        <w:t>152</w:t>
      </w:r>
      <w:r w:rsidRPr="007B5BE6">
        <w:rPr>
          <w:i w:val="0"/>
          <w:iCs/>
          <w:noProof/>
        </w:rPr>
        <w:fldChar w:fldCharType="end"/>
      </w:r>
    </w:p>
    <w:p w14:paraId="0A877546" w14:textId="370EDCF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TLRI’s views and recommendations</w:t>
      </w:r>
      <w:r w:rsidRPr="007B5BE6">
        <w:rPr>
          <w:noProof/>
        </w:rPr>
        <w:tab/>
      </w:r>
      <w:r w:rsidRPr="007B5BE6">
        <w:rPr>
          <w:i w:val="0"/>
          <w:iCs/>
          <w:noProof/>
        </w:rPr>
        <w:fldChar w:fldCharType="begin"/>
      </w:r>
      <w:r w:rsidRPr="007B5BE6">
        <w:rPr>
          <w:i w:val="0"/>
          <w:iCs/>
          <w:noProof/>
        </w:rPr>
        <w:instrText xml:space="preserve"> PAGEREF _Toc212561829 \h </w:instrText>
      </w:r>
      <w:r w:rsidRPr="007B5BE6">
        <w:rPr>
          <w:i w:val="0"/>
          <w:iCs/>
          <w:noProof/>
        </w:rPr>
      </w:r>
      <w:r w:rsidRPr="007B5BE6">
        <w:rPr>
          <w:i w:val="0"/>
          <w:iCs/>
          <w:noProof/>
        </w:rPr>
        <w:fldChar w:fldCharType="separate"/>
      </w:r>
      <w:r w:rsidR="0014404C">
        <w:rPr>
          <w:i w:val="0"/>
          <w:iCs/>
          <w:noProof/>
        </w:rPr>
        <w:t>155</w:t>
      </w:r>
      <w:r w:rsidRPr="007B5BE6">
        <w:rPr>
          <w:i w:val="0"/>
          <w:iCs/>
          <w:noProof/>
        </w:rPr>
        <w:fldChar w:fldCharType="end"/>
      </w:r>
    </w:p>
    <w:p w14:paraId="09AAB50E" w14:textId="2293272B"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Guardianship and administration</w:t>
      </w:r>
      <w:r w:rsidRPr="007B5BE6">
        <w:rPr>
          <w:noProof/>
        </w:rPr>
        <w:tab/>
      </w:r>
      <w:r w:rsidRPr="007B5BE6">
        <w:rPr>
          <w:noProof/>
        </w:rPr>
        <w:fldChar w:fldCharType="begin"/>
      </w:r>
      <w:r w:rsidRPr="007B5BE6">
        <w:rPr>
          <w:noProof/>
        </w:rPr>
        <w:instrText xml:space="preserve"> PAGEREF _Toc212561830 \h </w:instrText>
      </w:r>
      <w:r w:rsidRPr="007B5BE6">
        <w:rPr>
          <w:noProof/>
        </w:rPr>
      </w:r>
      <w:r w:rsidRPr="007B5BE6">
        <w:rPr>
          <w:noProof/>
        </w:rPr>
        <w:fldChar w:fldCharType="separate"/>
      </w:r>
      <w:r w:rsidR="0014404C">
        <w:rPr>
          <w:noProof/>
        </w:rPr>
        <w:t>157</w:t>
      </w:r>
      <w:r w:rsidRPr="007B5BE6">
        <w:rPr>
          <w:noProof/>
        </w:rPr>
        <w:fldChar w:fldCharType="end"/>
      </w:r>
    </w:p>
    <w:p w14:paraId="74F09D85" w14:textId="2D86A1D9"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Interviews with stakeholders</w:t>
      </w:r>
      <w:r w:rsidRPr="007B5BE6">
        <w:rPr>
          <w:noProof/>
        </w:rPr>
        <w:tab/>
      </w:r>
      <w:r w:rsidRPr="007B5BE6">
        <w:rPr>
          <w:i w:val="0"/>
          <w:iCs/>
          <w:noProof/>
        </w:rPr>
        <w:fldChar w:fldCharType="begin"/>
      </w:r>
      <w:r w:rsidRPr="007B5BE6">
        <w:rPr>
          <w:i w:val="0"/>
          <w:iCs/>
          <w:noProof/>
        </w:rPr>
        <w:instrText xml:space="preserve"> PAGEREF _Toc212561831 \h </w:instrText>
      </w:r>
      <w:r w:rsidRPr="007B5BE6">
        <w:rPr>
          <w:i w:val="0"/>
          <w:iCs/>
          <w:noProof/>
        </w:rPr>
      </w:r>
      <w:r w:rsidRPr="007B5BE6">
        <w:rPr>
          <w:i w:val="0"/>
          <w:iCs/>
          <w:noProof/>
        </w:rPr>
        <w:fldChar w:fldCharType="separate"/>
      </w:r>
      <w:r w:rsidR="0014404C">
        <w:rPr>
          <w:i w:val="0"/>
          <w:iCs/>
          <w:noProof/>
        </w:rPr>
        <w:t>158</w:t>
      </w:r>
      <w:r w:rsidRPr="007B5BE6">
        <w:rPr>
          <w:i w:val="0"/>
          <w:iCs/>
          <w:noProof/>
        </w:rPr>
        <w:fldChar w:fldCharType="end"/>
      </w:r>
    </w:p>
    <w:p w14:paraId="4DD7E370" w14:textId="75364B8D"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Previous research</w:t>
      </w:r>
      <w:r w:rsidRPr="007B5BE6">
        <w:rPr>
          <w:noProof/>
        </w:rPr>
        <w:tab/>
      </w:r>
      <w:r w:rsidRPr="007B5BE6">
        <w:rPr>
          <w:i w:val="0"/>
          <w:iCs/>
          <w:noProof/>
        </w:rPr>
        <w:fldChar w:fldCharType="begin"/>
      </w:r>
      <w:r w:rsidRPr="007B5BE6">
        <w:rPr>
          <w:i w:val="0"/>
          <w:iCs/>
          <w:noProof/>
        </w:rPr>
        <w:instrText xml:space="preserve"> PAGEREF _Toc212561832 \h </w:instrText>
      </w:r>
      <w:r w:rsidRPr="007B5BE6">
        <w:rPr>
          <w:i w:val="0"/>
          <w:iCs/>
          <w:noProof/>
        </w:rPr>
      </w:r>
      <w:r w:rsidRPr="007B5BE6">
        <w:rPr>
          <w:i w:val="0"/>
          <w:iCs/>
          <w:noProof/>
        </w:rPr>
        <w:fldChar w:fldCharType="separate"/>
      </w:r>
      <w:r w:rsidR="0014404C">
        <w:rPr>
          <w:i w:val="0"/>
          <w:iCs/>
          <w:noProof/>
        </w:rPr>
        <w:t>159</w:t>
      </w:r>
      <w:r w:rsidRPr="007B5BE6">
        <w:rPr>
          <w:i w:val="0"/>
          <w:iCs/>
          <w:noProof/>
        </w:rPr>
        <w:fldChar w:fldCharType="end"/>
      </w:r>
    </w:p>
    <w:p w14:paraId="6E3D1DB8" w14:textId="1649EB4D"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Approaches in other jurisdictions</w:t>
      </w:r>
      <w:r w:rsidRPr="007B5BE6">
        <w:rPr>
          <w:noProof/>
        </w:rPr>
        <w:tab/>
      </w:r>
      <w:r w:rsidRPr="007B5BE6">
        <w:rPr>
          <w:i w:val="0"/>
          <w:iCs/>
          <w:noProof/>
        </w:rPr>
        <w:fldChar w:fldCharType="begin"/>
      </w:r>
      <w:r w:rsidRPr="007B5BE6">
        <w:rPr>
          <w:i w:val="0"/>
          <w:iCs/>
          <w:noProof/>
        </w:rPr>
        <w:instrText xml:space="preserve"> PAGEREF _Toc212561833 \h </w:instrText>
      </w:r>
      <w:r w:rsidRPr="007B5BE6">
        <w:rPr>
          <w:i w:val="0"/>
          <w:iCs/>
          <w:noProof/>
        </w:rPr>
      </w:r>
      <w:r w:rsidRPr="007B5BE6">
        <w:rPr>
          <w:i w:val="0"/>
          <w:iCs/>
          <w:noProof/>
        </w:rPr>
        <w:fldChar w:fldCharType="separate"/>
      </w:r>
      <w:r w:rsidR="0014404C">
        <w:rPr>
          <w:i w:val="0"/>
          <w:iCs/>
          <w:noProof/>
        </w:rPr>
        <w:t>161</w:t>
      </w:r>
      <w:r w:rsidRPr="007B5BE6">
        <w:rPr>
          <w:i w:val="0"/>
          <w:iCs/>
          <w:noProof/>
        </w:rPr>
        <w:fldChar w:fldCharType="end"/>
      </w:r>
    </w:p>
    <w:p w14:paraId="39AA1A79" w14:textId="73B3973F"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TLRI’s views and recommendations</w:t>
      </w:r>
      <w:r w:rsidRPr="007B5BE6">
        <w:rPr>
          <w:noProof/>
        </w:rPr>
        <w:tab/>
      </w:r>
      <w:r w:rsidRPr="007B5BE6">
        <w:rPr>
          <w:i w:val="0"/>
          <w:iCs/>
          <w:noProof/>
        </w:rPr>
        <w:fldChar w:fldCharType="begin"/>
      </w:r>
      <w:r w:rsidRPr="007B5BE6">
        <w:rPr>
          <w:i w:val="0"/>
          <w:iCs/>
          <w:noProof/>
        </w:rPr>
        <w:instrText xml:space="preserve"> PAGEREF _Toc212561834 \h </w:instrText>
      </w:r>
      <w:r w:rsidRPr="007B5BE6">
        <w:rPr>
          <w:i w:val="0"/>
          <w:iCs/>
          <w:noProof/>
        </w:rPr>
      </w:r>
      <w:r w:rsidRPr="007B5BE6">
        <w:rPr>
          <w:i w:val="0"/>
          <w:iCs/>
          <w:noProof/>
        </w:rPr>
        <w:fldChar w:fldCharType="separate"/>
      </w:r>
      <w:r w:rsidR="0014404C">
        <w:rPr>
          <w:i w:val="0"/>
          <w:iCs/>
          <w:noProof/>
        </w:rPr>
        <w:t>163</w:t>
      </w:r>
      <w:r w:rsidRPr="007B5BE6">
        <w:rPr>
          <w:i w:val="0"/>
          <w:iCs/>
          <w:noProof/>
        </w:rPr>
        <w:fldChar w:fldCharType="end"/>
      </w:r>
    </w:p>
    <w:p w14:paraId="4DC66CE5" w14:textId="5F687571"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End-of-life decisions</w:t>
      </w:r>
      <w:r w:rsidRPr="007B5BE6">
        <w:rPr>
          <w:noProof/>
        </w:rPr>
        <w:tab/>
      </w:r>
      <w:r w:rsidRPr="007B5BE6">
        <w:rPr>
          <w:noProof/>
        </w:rPr>
        <w:fldChar w:fldCharType="begin"/>
      </w:r>
      <w:r w:rsidRPr="007B5BE6">
        <w:rPr>
          <w:noProof/>
        </w:rPr>
        <w:instrText xml:space="preserve"> PAGEREF _Toc212561835 \h </w:instrText>
      </w:r>
      <w:r w:rsidRPr="007B5BE6">
        <w:rPr>
          <w:noProof/>
        </w:rPr>
      </w:r>
      <w:r w:rsidRPr="007B5BE6">
        <w:rPr>
          <w:noProof/>
        </w:rPr>
        <w:fldChar w:fldCharType="separate"/>
      </w:r>
      <w:r w:rsidR="0014404C">
        <w:rPr>
          <w:noProof/>
        </w:rPr>
        <w:t>164</w:t>
      </w:r>
      <w:r w:rsidRPr="007B5BE6">
        <w:rPr>
          <w:noProof/>
        </w:rPr>
        <w:fldChar w:fldCharType="end"/>
      </w:r>
    </w:p>
    <w:p w14:paraId="504C7E55" w14:textId="359684A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5.5</w:t>
      </w:r>
      <w:r w:rsidRPr="007B5BE6">
        <w:rPr>
          <w:rFonts w:asciiTheme="minorHAnsi" w:eastAsiaTheme="minorEastAsia" w:hAnsiTheme="minorHAnsi"/>
          <w:noProof/>
          <w:kern w:val="2"/>
          <w:sz w:val="24"/>
          <w:lang w:eastAsia="en-AU"/>
          <w14:ligatures w14:val="standardContextual"/>
        </w:rPr>
        <w:tab/>
      </w:r>
      <w:r w:rsidRPr="007B5BE6">
        <w:rPr>
          <w:noProof/>
        </w:rPr>
        <w:t>Civil common law and equity</w:t>
      </w:r>
      <w:r w:rsidRPr="007B5BE6">
        <w:rPr>
          <w:noProof/>
        </w:rPr>
        <w:tab/>
      </w:r>
      <w:r w:rsidRPr="007B5BE6">
        <w:rPr>
          <w:noProof/>
        </w:rPr>
        <w:fldChar w:fldCharType="begin"/>
      </w:r>
      <w:r w:rsidRPr="007B5BE6">
        <w:rPr>
          <w:noProof/>
        </w:rPr>
        <w:instrText xml:space="preserve"> PAGEREF _Toc212561836 \h </w:instrText>
      </w:r>
      <w:r w:rsidRPr="007B5BE6">
        <w:rPr>
          <w:noProof/>
        </w:rPr>
      </w:r>
      <w:r w:rsidRPr="007B5BE6">
        <w:rPr>
          <w:noProof/>
        </w:rPr>
        <w:fldChar w:fldCharType="separate"/>
      </w:r>
      <w:r w:rsidR="0014404C">
        <w:rPr>
          <w:noProof/>
        </w:rPr>
        <w:t>164</w:t>
      </w:r>
      <w:r w:rsidRPr="007B5BE6">
        <w:rPr>
          <w:noProof/>
        </w:rPr>
        <w:fldChar w:fldCharType="end"/>
      </w:r>
    </w:p>
    <w:p w14:paraId="2197675C" w14:textId="5174AA4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Previous research</w:t>
      </w:r>
      <w:r w:rsidRPr="007B5BE6">
        <w:rPr>
          <w:noProof/>
        </w:rPr>
        <w:tab/>
      </w:r>
      <w:r w:rsidRPr="007B5BE6">
        <w:rPr>
          <w:noProof/>
        </w:rPr>
        <w:fldChar w:fldCharType="begin"/>
      </w:r>
      <w:r w:rsidRPr="007B5BE6">
        <w:rPr>
          <w:noProof/>
        </w:rPr>
        <w:instrText xml:space="preserve"> PAGEREF _Toc212561837 \h </w:instrText>
      </w:r>
      <w:r w:rsidRPr="007B5BE6">
        <w:rPr>
          <w:noProof/>
        </w:rPr>
      </w:r>
      <w:r w:rsidRPr="007B5BE6">
        <w:rPr>
          <w:noProof/>
        </w:rPr>
        <w:fldChar w:fldCharType="separate"/>
      </w:r>
      <w:r w:rsidR="0014404C">
        <w:rPr>
          <w:noProof/>
        </w:rPr>
        <w:t>164</w:t>
      </w:r>
      <w:r w:rsidRPr="007B5BE6">
        <w:rPr>
          <w:noProof/>
        </w:rPr>
        <w:fldChar w:fldCharType="end"/>
      </w:r>
    </w:p>
    <w:p w14:paraId="4864FE27" w14:textId="50C61538"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Interviews with stakeholders</w:t>
      </w:r>
      <w:r w:rsidRPr="007B5BE6">
        <w:rPr>
          <w:noProof/>
        </w:rPr>
        <w:tab/>
      </w:r>
      <w:r w:rsidRPr="007B5BE6">
        <w:rPr>
          <w:noProof/>
        </w:rPr>
        <w:fldChar w:fldCharType="begin"/>
      </w:r>
      <w:r w:rsidRPr="007B5BE6">
        <w:rPr>
          <w:noProof/>
        </w:rPr>
        <w:instrText xml:space="preserve"> PAGEREF _Toc212561838 \h </w:instrText>
      </w:r>
      <w:r w:rsidRPr="007B5BE6">
        <w:rPr>
          <w:noProof/>
        </w:rPr>
      </w:r>
      <w:r w:rsidRPr="007B5BE6">
        <w:rPr>
          <w:noProof/>
        </w:rPr>
        <w:fldChar w:fldCharType="separate"/>
      </w:r>
      <w:r w:rsidR="0014404C">
        <w:rPr>
          <w:noProof/>
        </w:rPr>
        <w:t>166</w:t>
      </w:r>
      <w:r w:rsidRPr="007B5BE6">
        <w:rPr>
          <w:noProof/>
        </w:rPr>
        <w:fldChar w:fldCharType="end"/>
      </w:r>
    </w:p>
    <w:p w14:paraId="6576EDD1" w14:textId="6D713AF5"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TLRI’s views and recommendations</w:t>
      </w:r>
      <w:r w:rsidRPr="007B5BE6">
        <w:rPr>
          <w:noProof/>
        </w:rPr>
        <w:tab/>
      </w:r>
      <w:r w:rsidRPr="007B5BE6">
        <w:rPr>
          <w:noProof/>
        </w:rPr>
        <w:fldChar w:fldCharType="begin"/>
      </w:r>
      <w:r w:rsidRPr="007B5BE6">
        <w:rPr>
          <w:noProof/>
        </w:rPr>
        <w:instrText xml:space="preserve"> PAGEREF _Toc212561839 \h </w:instrText>
      </w:r>
      <w:r w:rsidRPr="007B5BE6">
        <w:rPr>
          <w:noProof/>
        </w:rPr>
      </w:r>
      <w:r w:rsidRPr="007B5BE6">
        <w:rPr>
          <w:noProof/>
        </w:rPr>
        <w:fldChar w:fldCharType="separate"/>
      </w:r>
      <w:r w:rsidR="0014404C">
        <w:rPr>
          <w:noProof/>
        </w:rPr>
        <w:t>166</w:t>
      </w:r>
      <w:r w:rsidRPr="007B5BE6">
        <w:rPr>
          <w:noProof/>
        </w:rPr>
        <w:fldChar w:fldCharType="end"/>
      </w:r>
    </w:p>
    <w:p w14:paraId="1E8E47FD" w14:textId="291AE72C"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5.6</w:t>
      </w:r>
      <w:r w:rsidRPr="007B5BE6">
        <w:rPr>
          <w:rFonts w:asciiTheme="minorHAnsi" w:eastAsiaTheme="minorEastAsia" w:hAnsiTheme="minorHAnsi"/>
          <w:noProof/>
          <w:kern w:val="2"/>
          <w:sz w:val="24"/>
          <w:lang w:eastAsia="en-AU"/>
          <w14:ligatures w14:val="standardContextual"/>
        </w:rPr>
        <w:tab/>
      </w:r>
      <w:r w:rsidRPr="007B5BE6">
        <w:rPr>
          <w:noProof/>
        </w:rPr>
        <w:t>Improving investigative and law enforcement responses, and the experiences of older people in the justice system</w:t>
      </w:r>
      <w:r w:rsidRPr="007B5BE6">
        <w:rPr>
          <w:noProof/>
        </w:rPr>
        <w:tab/>
      </w:r>
      <w:r w:rsidRPr="007B5BE6">
        <w:rPr>
          <w:noProof/>
        </w:rPr>
        <w:fldChar w:fldCharType="begin"/>
      </w:r>
      <w:r w:rsidRPr="007B5BE6">
        <w:rPr>
          <w:noProof/>
        </w:rPr>
        <w:instrText xml:space="preserve"> PAGEREF _Toc212561840 \h </w:instrText>
      </w:r>
      <w:r w:rsidRPr="007B5BE6">
        <w:rPr>
          <w:noProof/>
        </w:rPr>
      </w:r>
      <w:r w:rsidRPr="007B5BE6">
        <w:rPr>
          <w:noProof/>
        </w:rPr>
        <w:fldChar w:fldCharType="separate"/>
      </w:r>
      <w:r w:rsidR="0014404C">
        <w:rPr>
          <w:noProof/>
        </w:rPr>
        <w:t>167</w:t>
      </w:r>
      <w:r w:rsidRPr="007B5BE6">
        <w:rPr>
          <w:noProof/>
        </w:rPr>
        <w:fldChar w:fldCharType="end"/>
      </w:r>
    </w:p>
    <w:p w14:paraId="536C7F50" w14:textId="4D5F96D6"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Interviews with stakeholders</w:t>
      </w:r>
      <w:r w:rsidRPr="007B5BE6">
        <w:rPr>
          <w:noProof/>
        </w:rPr>
        <w:tab/>
      </w:r>
      <w:r w:rsidRPr="007B5BE6">
        <w:rPr>
          <w:noProof/>
        </w:rPr>
        <w:fldChar w:fldCharType="begin"/>
      </w:r>
      <w:r w:rsidRPr="007B5BE6">
        <w:rPr>
          <w:noProof/>
        </w:rPr>
        <w:instrText xml:space="preserve"> PAGEREF _Toc212561841 \h </w:instrText>
      </w:r>
      <w:r w:rsidRPr="007B5BE6">
        <w:rPr>
          <w:noProof/>
        </w:rPr>
      </w:r>
      <w:r w:rsidRPr="007B5BE6">
        <w:rPr>
          <w:noProof/>
        </w:rPr>
        <w:fldChar w:fldCharType="separate"/>
      </w:r>
      <w:r w:rsidR="0014404C">
        <w:rPr>
          <w:noProof/>
        </w:rPr>
        <w:t>167</w:t>
      </w:r>
      <w:r w:rsidRPr="007B5BE6">
        <w:rPr>
          <w:noProof/>
        </w:rPr>
        <w:fldChar w:fldCharType="end"/>
      </w:r>
    </w:p>
    <w:p w14:paraId="045D0811" w14:textId="612FAA2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Approaches in other jurisdictions</w:t>
      </w:r>
      <w:r w:rsidRPr="007B5BE6">
        <w:rPr>
          <w:noProof/>
        </w:rPr>
        <w:tab/>
      </w:r>
      <w:r w:rsidRPr="007B5BE6">
        <w:rPr>
          <w:noProof/>
        </w:rPr>
        <w:fldChar w:fldCharType="begin"/>
      </w:r>
      <w:r w:rsidRPr="007B5BE6">
        <w:rPr>
          <w:noProof/>
        </w:rPr>
        <w:instrText xml:space="preserve"> PAGEREF _Toc212561842 \h </w:instrText>
      </w:r>
      <w:r w:rsidRPr="007B5BE6">
        <w:rPr>
          <w:noProof/>
        </w:rPr>
      </w:r>
      <w:r w:rsidRPr="007B5BE6">
        <w:rPr>
          <w:noProof/>
        </w:rPr>
        <w:fldChar w:fldCharType="separate"/>
      </w:r>
      <w:r w:rsidR="0014404C">
        <w:rPr>
          <w:noProof/>
        </w:rPr>
        <w:t>168</w:t>
      </w:r>
      <w:r w:rsidRPr="007B5BE6">
        <w:rPr>
          <w:noProof/>
        </w:rPr>
        <w:fldChar w:fldCharType="end"/>
      </w:r>
    </w:p>
    <w:p w14:paraId="000B2C27" w14:textId="0ECA4487"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TLRI’s views and recommendations</w:t>
      </w:r>
      <w:r w:rsidRPr="007B5BE6">
        <w:rPr>
          <w:noProof/>
        </w:rPr>
        <w:tab/>
      </w:r>
      <w:r w:rsidRPr="007B5BE6">
        <w:rPr>
          <w:noProof/>
        </w:rPr>
        <w:fldChar w:fldCharType="begin"/>
      </w:r>
      <w:r w:rsidRPr="007B5BE6">
        <w:rPr>
          <w:noProof/>
        </w:rPr>
        <w:instrText xml:space="preserve"> PAGEREF _Toc212561843 \h </w:instrText>
      </w:r>
      <w:r w:rsidRPr="007B5BE6">
        <w:rPr>
          <w:noProof/>
        </w:rPr>
      </w:r>
      <w:r w:rsidRPr="007B5BE6">
        <w:rPr>
          <w:noProof/>
        </w:rPr>
        <w:fldChar w:fldCharType="separate"/>
      </w:r>
      <w:r w:rsidR="0014404C">
        <w:rPr>
          <w:noProof/>
        </w:rPr>
        <w:t>170</w:t>
      </w:r>
      <w:r w:rsidRPr="007B5BE6">
        <w:rPr>
          <w:noProof/>
        </w:rPr>
        <w:fldChar w:fldCharType="end"/>
      </w:r>
    </w:p>
    <w:p w14:paraId="47A97B95" w14:textId="07714E5A"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A: Method</w:t>
      </w:r>
      <w:r w:rsidRPr="007B5BE6">
        <w:rPr>
          <w:noProof/>
        </w:rPr>
        <w:tab/>
      </w:r>
      <w:r w:rsidRPr="007B5BE6">
        <w:rPr>
          <w:noProof/>
        </w:rPr>
        <w:fldChar w:fldCharType="begin"/>
      </w:r>
      <w:r w:rsidRPr="007B5BE6">
        <w:rPr>
          <w:noProof/>
        </w:rPr>
        <w:instrText xml:space="preserve"> PAGEREF _Toc212561844 \h </w:instrText>
      </w:r>
      <w:r w:rsidRPr="007B5BE6">
        <w:rPr>
          <w:noProof/>
        </w:rPr>
      </w:r>
      <w:r w:rsidRPr="007B5BE6">
        <w:rPr>
          <w:noProof/>
        </w:rPr>
        <w:fldChar w:fldCharType="separate"/>
      </w:r>
      <w:r w:rsidR="0014404C">
        <w:rPr>
          <w:noProof/>
        </w:rPr>
        <w:t>173</w:t>
      </w:r>
      <w:r w:rsidRPr="007B5BE6">
        <w:rPr>
          <w:noProof/>
        </w:rPr>
        <w:fldChar w:fldCharType="end"/>
      </w:r>
    </w:p>
    <w:p w14:paraId="4BF6CB70" w14:textId="091A8DF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Ethics approval and quantitative and qualitative data components</w:t>
      </w:r>
      <w:r w:rsidRPr="007B5BE6">
        <w:rPr>
          <w:noProof/>
        </w:rPr>
        <w:tab/>
      </w:r>
      <w:r w:rsidRPr="007B5BE6">
        <w:rPr>
          <w:i w:val="0"/>
          <w:iCs/>
          <w:noProof/>
        </w:rPr>
        <w:fldChar w:fldCharType="begin"/>
      </w:r>
      <w:r w:rsidRPr="007B5BE6">
        <w:rPr>
          <w:i w:val="0"/>
          <w:iCs/>
          <w:noProof/>
        </w:rPr>
        <w:instrText xml:space="preserve"> PAGEREF _Toc212561845 \h </w:instrText>
      </w:r>
      <w:r w:rsidRPr="007B5BE6">
        <w:rPr>
          <w:i w:val="0"/>
          <w:iCs/>
          <w:noProof/>
        </w:rPr>
      </w:r>
      <w:r w:rsidRPr="007B5BE6">
        <w:rPr>
          <w:i w:val="0"/>
          <w:iCs/>
          <w:noProof/>
        </w:rPr>
        <w:fldChar w:fldCharType="separate"/>
      </w:r>
      <w:r w:rsidR="0014404C">
        <w:rPr>
          <w:i w:val="0"/>
          <w:iCs/>
          <w:noProof/>
        </w:rPr>
        <w:t>173</w:t>
      </w:r>
      <w:r w:rsidRPr="007B5BE6">
        <w:rPr>
          <w:i w:val="0"/>
          <w:iCs/>
          <w:noProof/>
        </w:rPr>
        <w:fldChar w:fldCharType="end"/>
      </w:r>
    </w:p>
    <w:p w14:paraId="55E753AA" w14:textId="3D9519EE"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Semi-structured interviews with stakeholder participants</w:t>
      </w:r>
      <w:r w:rsidRPr="007B5BE6">
        <w:rPr>
          <w:noProof/>
        </w:rPr>
        <w:tab/>
      </w:r>
      <w:r w:rsidRPr="007B5BE6">
        <w:rPr>
          <w:i w:val="0"/>
          <w:iCs/>
          <w:noProof/>
        </w:rPr>
        <w:fldChar w:fldCharType="begin"/>
      </w:r>
      <w:r w:rsidRPr="007B5BE6">
        <w:rPr>
          <w:i w:val="0"/>
          <w:iCs/>
          <w:noProof/>
        </w:rPr>
        <w:instrText xml:space="preserve"> PAGEREF _Toc212561846 \h </w:instrText>
      </w:r>
      <w:r w:rsidRPr="007B5BE6">
        <w:rPr>
          <w:i w:val="0"/>
          <w:iCs/>
          <w:noProof/>
        </w:rPr>
      </w:r>
      <w:r w:rsidRPr="007B5BE6">
        <w:rPr>
          <w:i w:val="0"/>
          <w:iCs/>
          <w:noProof/>
        </w:rPr>
        <w:fldChar w:fldCharType="separate"/>
      </w:r>
      <w:r w:rsidR="0014404C">
        <w:rPr>
          <w:i w:val="0"/>
          <w:iCs/>
          <w:noProof/>
        </w:rPr>
        <w:t>174</w:t>
      </w:r>
      <w:r w:rsidRPr="007B5BE6">
        <w:rPr>
          <w:i w:val="0"/>
          <w:iCs/>
          <w:noProof/>
        </w:rPr>
        <w:fldChar w:fldCharType="end"/>
      </w:r>
    </w:p>
    <w:p w14:paraId="268181A4" w14:textId="44460B9A"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B: Cases in Tasmanian courts and tribunals</w:t>
      </w:r>
      <w:r w:rsidRPr="007B5BE6">
        <w:rPr>
          <w:noProof/>
        </w:rPr>
        <w:tab/>
      </w:r>
      <w:r w:rsidRPr="007B5BE6">
        <w:rPr>
          <w:noProof/>
        </w:rPr>
        <w:fldChar w:fldCharType="begin"/>
      </w:r>
      <w:r w:rsidRPr="007B5BE6">
        <w:rPr>
          <w:noProof/>
        </w:rPr>
        <w:instrText xml:space="preserve"> PAGEREF _Toc212561847 \h </w:instrText>
      </w:r>
      <w:r w:rsidRPr="007B5BE6">
        <w:rPr>
          <w:noProof/>
        </w:rPr>
      </w:r>
      <w:r w:rsidRPr="007B5BE6">
        <w:rPr>
          <w:noProof/>
        </w:rPr>
        <w:fldChar w:fldCharType="separate"/>
      </w:r>
      <w:r w:rsidR="0014404C">
        <w:rPr>
          <w:noProof/>
        </w:rPr>
        <w:t>176</w:t>
      </w:r>
      <w:r w:rsidRPr="007B5BE6">
        <w:rPr>
          <w:noProof/>
        </w:rPr>
        <w:fldChar w:fldCharType="end"/>
      </w:r>
    </w:p>
    <w:p w14:paraId="51574519" w14:textId="515B9A03"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C: Summary of policy background and context</w:t>
      </w:r>
      <w:r w:rsidRPr="007B5BE6">
        <w:rPr>
          <w:noProof/>
        </w:rPr>
        <w:tab/>
      </w:r>
      <w:r w:rsidRPr="007B5BE6">
        <w:rPr>
          <w:noProof/>
        </w:rPr>
        <w:fldChar w:fldCharType="begin"/>
      </w:r>
      <w:r w:rsidRPr="007B5BE6">
        <w:rPr>
          <w:noProof/>
        </w:rPr>
        <w:instrText xml:space="preserve"> PAGEREF _Toc212561848 \h </w:instrText>
      </w:r>
      <w:r w:rsidRPr="007B5BE6">
        <w:rPr>
          <w:noProof/>
        </w:rPr>
      </w:r>
      <w:r w:rsidRPr="007B5BE6">
        <w:rPr>
          <w:noProof/>
        </w:rPr>
        <w:fldChar w:fldCharType="separate"/>
      </w:r>
      <w:r w:rsidR="0014404C">
        <w:rPr>
          <w:noProof/>
        </w:rPr>
        <w:t>186</w:t>
      </w:r>
      <w:r w:rsidRPr="007B5BE6">
        <w:rPr>
          <w:noProof/>
        </w:rPr>
        <w:fldChar w:fldCharType="end"/>
      </w:r>
    </w:p>
    <w:p w14:paraId="1C02A5BA" w14:textId="50389EA4"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Australian Law Reform Commission: Elder Abuse–A National Legal Response (2017)</w:t>
      </w:r>
      <w:r w:rsidRPr="007B5BE6">
        <w:rPr>
          <w:noProof/>
        </w:rPr>
        <w:tab/>
      </w:r>
      <w:r w:rsidRPr="007B5BE6">
        <w:rPr>
          <w:i w:val="0"/>
          <w:iCs/>
          <w:noProof/>
        </w:rPr>
        <w:fldChar w:fldCharType="begin"/>
      </w:r>
      <w:r w:rsidRPr="007B5BE6">
        <w:rPr>
          <w:i w:val="0"/>
          <w:iCs/>
          <w:noProof/>
        </w:rPr>
        <w:instrText xml:space="preserve"> PAGEREF _Toc212561849 \h </w:instrText>
      </w:r>
      <w:r w:rsidRPr="007B5BE6">
        <w:rPr>
          <w:i w:val="0"/>
          <w:iCs/>
          <w:noProof/>
        </w:rPr>
      </w:r>
      <w:r w:rsidRPr="007B5BE6">
        <w:rPr>
          <w:i w:val="0"/>
          <w:iCs/>
          <w:noProof/>
        </w:rPr>
        <w:fldChar w:fldCharType="separate"/>
      </w:r>
      <w:r w:rsidR="0014404C">
        <w:rPr>
          <w:i w:val="0"/>
          <w:iCs/>
          <w:noProof/>
        </w:rPr>
        <w:t>186</w:t>
      </w:r>
      <w:r w:rsidRPr="007B5BE6">
        <w:rPr>
          <w:i w:val="0"/>
          <w:iCs/>
          <w:noProof/>
        </w:rPr>
        <w:fldChar w:fldCharType="end"/>
      </w:r>
    </w:p>
    <w:p w14:paraId="2C9C9BA6" w14:textId="317EDBB9"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National policy framework</w:t>
      </w:r>
      <w:r w:rsidRPr="007B5BE6">
        <w:rPr>
          <w:noProof/>
        </w:rPr>
        <w:tab/>
      </w:r>
      <w:r w:rsidRPr="007B5BE6">
        <w:rPr>
          <w:i w:val="0"/>
          <w:iCs/>
          <w:noProof/>
        </w:rPr>
        <w:fldChar w:fldCharType="begin"/>
      </w:r>
      <w:r w:rsidRPr="007B5BE6">
        <w:rPr>
          <w:i w:val="0"/>
          <w:iCs/>
          <w:noProof/>
        </w:rPr>
        <w:instrText xml:space="preserve"> PAGEREF _Toc212561850 \h </w:instrText>
      </w:r>
      <w:r w:rsidRPr="007B5BE6">
        <w:rPr>
          <w:i w:val="0"/>
          <w:iCs/>
          <w:noProof/>
        </w:rPr>
      </w:r>
      <w:r w:rsidRPr="007B5BE6">
        <w:rPr>
          <w:i w:val="0"/>
          <w:iCs/>
          <w:noProof/>
        </w:rPr>
        <w:fldChar w:fldCharType="separate"/>
      </w:r>
      <w:r w:rsidR="0014404C">
        <w:rPr>
          <w:i w:val="0"/>
          <w:iCs/>
          <w:noProof/>
        </w:rPr>
        <w:t>187</w:t>
      </w:r>
      <w:r w:rsidRPr="007B5BE6">
        <w:rPr>
          <w:i w:val="0"/>
          <w:iCs/>
          <w:noProof/>
        </w:rPr>
        <w:fldChar w:fldCharType="end"/>
      </w:r>
    </w:p>
    <w:p w14:paraId="0F0C094C" w14:textId="68CA0DD0"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Tasmanian policy framework</w:t>
      </w:r>
      <w:r w:rsidRPr="007B5BE6">
        <w:rPr>
          <w:noProof/>
        </w:rPr>
        <w:tab/>
      </w:r>
      <w:r w:rsidRPr="007B5BE6">
        <w:rPr>
          <w:i w:val="0"/>
          <w:iCs/>
          <w:noProof/>
        </w:rPr>
        <w:fldChar w:fldCharType="begin"/>
      </w:r>
      <w:r w:rsidRPr="007B5BE6">
        <w:rPr>
          <w:i w:val="0"/>
          <w:iCs/>
          <w:noProof/>
        </w:rPr>
        <w:instrText xml:space="preserve"> PAGEREF _Toc212561851 \h </w:instrText>
      </w:r>
      <w:r w:rsidRPr="007B5BE6">
        <w:rPr>
          <w:i w:val="0"/>
          <w:iCs/>
          <w:noProof/>
        </w:rPr>
      </w:r>
      <w:r w:rsidRPr="007B5BE6">
        <w:rPr>
          <w:i w:val="0"/>
          <w:iCs/>
          <w:noProof/>
        </w:rPr>
        <w:fldChar w:fldCharType="separate"/>
      </w:r>
      <w:r w:rsidR="0014404C">
        <w:rPr>
          <w:i w:val="0"/>
          <w:iCs/>
          <w:noProof/>
        </w:rPr>
        <w:t>190</w:t>
      </w:r>
      <w:r w:rsidRPr="007B5BE6">
        <w:rPr>
          <w:i w:val="0"/>
          <w:iCs/>
          <w:noProof/>
        </w:rPr>
        <w:fldChar w:fldCharType="end"/>
      </w:r>
    </w:p>
    <w:p w14:paraId="5BCD61DA" w14:textId="2AF805DB"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A Respectful, Age-friendly Island: Older Tasmanians Action Plan 2025–2029</w:t>
      </w:r>
      <w:r w:rsidRPr="007B5BE6">
        <w:rPr>
          <w:noProof/>
        </w:rPr>
        <w:tab/>
      </w:r>
      <w:r w:rsidRPr="007B5BE6">
        <w:rPr>
          <w:i w:val="0"/>
          <w:iCs/>
          <w:noProof/>
        </w:rPr>
        <w:fldChar w:fldCharType="begin"/>
      </w:r>
      <w:r w:rsidRPr="007B5BE6">
        <w:rPr>
          <w:i w:val="0"/>
          <w:iCs/>
          <w:noProof/>
        </w:rPr>
        <w:instrText xml:space="preserve"> PAGEREF _Toc212561852 \h </w:instrText>
      </w:r>
      <w:r w:rsidRPr="007B5BE6">
        <w:rPr>
          <w:i w:val="0"/>
          <w:iCs/>
          <w:noProof/>
        </w:rPr>
      </w:r>
      <w:r w:rsidRPr="007B5BE6">
        <w:rPr>
          <w:i w:val="0"/>
          <w:iCs/>
          <w:noProof/>
        </w:rPr>
        <w:fldChar w:fldCharType="separate"/>
      </w:r>
      <w:r w:rsidR="0014404C">
        <w:rPr>
          <w:i w:val="0"/>
          <w:iCs/>
          <w:noProof/>
        </w:rPr>
        <w:t>192</w:t>
      </w:r>
      <w:r w:rsidRPr="007B5BE6">
        <w:rPr>
          <w:i w:val="0"/>
          <w:iCs/>
          <w:noProof/>
        </w:rPr>
        <w:fldChar w:fldCharType="end"/>
      </w:r>
    </w:p>
    <w:p w14:paraId="712FDFB4" w14:textId="51F2EFB9"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D: United Nations Principles for Older Persons</w:t>
      </w:r>
      <w:r w:rsidRPr="007B5BE6">
        <w:rPr>
          <w:noProof/>
        </w:rPr>
        <w:tab/>
      </w:r>
      <w:r w:rsidRPr="007B5BE6">
        <w:rPr>
          <w:noProof/>
        </w:rPr>
        <w:fldChar w:fldCharType="begin"/>
      </w:r>
      <w:r w:rsidRPr="007B5BE6">
        <w:rPr>
          <w:noProof/>
        </w:rPr>
        <w:instrText xml:space="preserve"> PAGEREF _Toc212561853 \h </w:instrText>
      </w:r>
      <w:r w:rsidRPr="007B5BE6">
        <w:rPr>
          <w:noProof/>
        </w:rPr>
      </w:r>
      <w:r w:rsidRPr="007B5BE6">
        <w:rPr>
          <w:noProof/>
        </w:rPr>
        <w:fldChar w:fldCharType="separate"/>
      </w:r>
      <w:r w:rsidR="0014404C">
        <w:rPr>
          <w:noProof/>
        </w:rPr>
        <w:t>196</w:t>
      </w:r>
      <w:r w:rsidRPr="007B5BE6">
        <w:rPr>
          <w:noProof/>
        </w:rPr>
        <w:fldChar w:fldCharType="end"/>
      </w:r>
    </w:p>
    <w:p w14:paraId="54A5F1BA" w14:textId="020B0952"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E: Adult safeguarding mechanisms: comparison of Australian jurisdictions</w:t>
      </w:r>
      <w:r w:rsidRPr="007B5BE6">
        <w:rPr>
          <w:noProof/>
        </w:rPr>
        <w:tab/>
      </w:r>
      <w:r w:rsidRPr="007B5BE6">
        <w:rPr>
          <w:noProof/>
        </w:rPr>
        <w:fldChar w:fldCharType="begin"/>
      </w:r>
      <w:r w:rsidRPr="007B5BE6">
        <w:rPr>
          <w:noProof/>
        </w:rPr>
        <w:instrText xml:space="preserve"> PAGEREF _Toc212561854 \h </w:instrText>
      </w:r>
      <w:r w:rsidRPr="007B5BE6">
        <w:rPr>
          <w:noProof/>
        </w:rPr>
      </w:r>
      <w:r w:rsidRPr="007B5BE6">
        <w:rPr>
          <w:noProof/>
        </w:rPr>
        <w:fldChar w:fldCharType="separate"/>
      </w:r>
      <w:r w:rsidR="0014404C">
        <w:rPr>
          <w:noProof/>
        </w:rPr>
        <w:t>198</w:t>
      </w:r>
      <w:r w:rsidRPr="007B5BE6">
        <w:rPr>
          <w:noProof/>
        </w:rPr>
        <w:fldChar w:fldCharType="end"/>
      </w:r>
    </w:p>
    <w:p w14:paraId="7D3757CA" w14:textId="1E810DF8"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F: Data on operation and outcomes of adult safeguarding in other jurisdictions</w:t>
      </w:r>
      <w:r w:rsidRPr="007B5BE6">
        <w:rPr>
          <w:noProof/>
        </w:rPr>
        <w:tab/>
      </w:r>
      <w:r w:rsidRPr="007B5BE6">
        <w:rPr>
          <w:noProof/>
        </w:rPr>
        <w:fldChar w:fldCharType="begin"/>
      </w:r>
      <w:r w:rsidRPr="007B5BE6">
        <w:rPr>
          <w:noProof/>
        </w:rPr>
        <w:instrText xml:space="preserve"> PAGEREF _Toc212561855 \h </w:instrText>
      </w:r>
      <w:r w:rsidRPr="007B5BE6">
        <w:rPr>
          <w:noProof/>
        </w:rPr>
      </w:r>
      <w:r w:rsidRPr="007B5BE6">
        <w:rPr>
          <w:noProof/>
        </w:rPr>
        <w:fldChar w:fldCharType="separate"/>
      </w:r>
      <w:r w:rsidR="0014404C">
        <w:rPr>
          <w:noProof/>
        </w:rPr>
        <w:t>210</w:t>
      </w:r>
      <w:r w:rsidRPr="007B5BE6">
        <w:rPr>
          <w:noProof/>
        </w:rPr>
        <w:fldChar w:fldCharType="end"/>
      </w:r>
    </w:p>
    <w:p w14:paraId="4F2FDDD0" w14:textId="511F6385"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Data on operation of adult safeguarding – South Australia</w:t>
      </w:r>
      <w:r w:rsidRPr="007B5BE6">
        <w:rPr>
          <w:noProof/>
        </w:rPr>
        <w:tab/>
      </w:r>
      <w:r w:rsidRPr="007B5BE6">
        <w:rPr>
          <w:i w:val="0"/>
          <w:iCs/>
          <w:noProof/>
        </w:rPr>
        <w:fldChar w:fldCharType="begin"/>
      </w:r>
      <w:r w:rsidRPr="007B5BE6">
        <w:rPr>
          <w:i w:val="0"/>
          <w:iCs/>
          <w:noProof/>
        </w:rPr>
        <w:instrText xml:space="preserve"> PAGEREF _Toc212561856 \h </w:instrText>
      </w:r>
      <w:r w:rsidRPr="007B5BE6">
        <w:rPr>
          <w:i w:val="0"/>
          <w:iCs/>
          <w:noProof/>
        </w:rPr>
      </w:r>
      <w:r w:rsidRPr="007B5BE6">
        <w:rPr>
          <w:i w:val="0"/>
          <w:iCs/>
          <w:noProof/>
        </w:rPr>
        <w:fldChar w:fldCharType="separate"/>
      </w:r>
      <w:r w:rsidR="0014404C">
        <w:rPr>
          <w:i w:val="0"/>
          <w:iCs/>
          <w:noProof/>
        </w:rPr>
        <w:t>210</w:t>
      </w:r>
      <w:r w:rsidRPr="007B5BE6">
        <w:rPr>
          <w:i w:val="0"/>
          <w:iCs/>
          <w:noProof/>
        </w:rPr>
        <w:fldChar w:fldCharType="end"/>
      </w:r>
    </w:p>
    <w:p w14:paraId="7A5D5119" w14:textId="0E953123" w:rsidR="001C0BDB" w:rsidRPr="007B5BE6" w:rsidRDefault="001C0BDB">
      <w:pPr>
        <w:pStyle w:val="TOC3"/>
        <w:tabs>
          <w:tab w:val="right" w:leader="dot" w:pos="9016"/>
        </w:tabs>
        <w:rPr>
          <w:rFonts w:asciiTheme="minorHAnsi" w:eastAsiaTheme="minorEastAsia" w:hAnsiTheme="minorHAnsi"/>
          <w:i w:val="0"/>
          <w:noProof/>
          <w:kern w:val="2"/>
          <w:sz w:val="24"/>
          <w:lang w:eastAsia="en-AU"/>
          <w14:ligatures w14:val="standardContextual"/>
        </w:rPr>
      </w:pPr>
      <w:r w:rsidRPr="007B5BE6">
        <w:rPr>
          <w:noProof/>
        </w:rPr>
        <w:t>Data on operation of adult safeguarding – New South Wales</w:t>
      </w:r>
      <w:r w:rsidRPr="007B5BE6">
        <w:rPr>
          <w:noProof/>
        </w:rPr>
        <w:tab/>
      </w:r>
      <w:r w:rsidRPr="007B5BE6">
        <w:rPr>
          <w:i w:val="0"/>
          <w:iCs/>
          <w:noProof/>
        </w:rPr>
        <w:fldChar w:fldCharType="begin"/>
      </w:r>
      <w:r w:rsidRPr="007B5BE6">
        <w:rPr>
          <w:i w:val="0"/>
          <w:iCs/>
          <w:noProof/>
        </w:rPr>
        <w:instrText xml:space="preserve"> PAGEREF _Toc212561857 \h </w:instrText>
      </w:r>
      <w:r w:rsidRPr="007B5BE6">
        <w:rPr>
          <w:i w:val="0"/>
          <w:iCs/>
          <w:noProof/>
        </w:rPr>
      </w:r>
      <w:r w:rsidRPr="007B5BE6">
        <w:rPr>
          <w:i w:val="0"/>
          <w:iCs/>
          <w:noProof/>
        </w:rPr>
        <w:fldChar w:fldCharType="separate"/>
      </w:r>
      <w:r w:rsidR="0014404C">
        <w:rPr>
          <w:i w:val="0"/>
          <w:iCs/>
          <w:noProof/>
        </w:rPr>
        <w:t>212</w:t>
      </w:r>
      <w:r w:rsidRPr="007B5BE6">
        <w:rPr>
          <w:i w:val="0"/>
          <w:iCs/>
          <w:noProof/>
        </w:rPr>
        <w:fldChar w:fldCharType="end"/>
      </w:r>
    </w:p>
    <w:p w14:paraId="68FD126F" w14:textId="43623AA0" w:rsidR="001C0BDB" w:rsidRPr="007B5BE6" w:rsidRDefault="001C0BDB">
      <w:pPr>
        <w:pStyle w:val="TOC1"/>
        <w:rPr>
          <w:rFonts w:asciiTheme="minorHAnsi" w:eastAsiaTheme="minorEastAsia" w:hAnsiTheme="minorHAnsi"/>
          <w:noProof/>
          <w:kern w:val="2"/>
          <w:sz w:val="24"/>
          <w:lang w:eastAsia="en-AU"/>
          <w14:ligatures w14:val="standardContextual"/>
        </w:rPr>
      </w:pPr>
      <w:r w:rsidRPr="007B5BE6">
        <w:rPr>
          <w:noProof/>
        </w:rPr>
        <w:t>Appendix G: Criminal offences under Tasmanian law</w:t>
      </w:r>
      <w:r w:rsidRPr="007B5BE6">
        <w:rPr>
          <w:noProof/>
        </w:rPr>
        <w:tab/>
      </w:r>
      <w:r w:rsidRPr="007B5BE6">
        <w:rPr>
          <w:noProof/>
        </w:rPr>
        <w:fldChar w:fldCharType="begin"/>
      </w:r>
      <w:r w:rsidRPr="007B5BE6">
        <w:rPr>
          <w:noProof/>
        </w:rPr>
        <w:instrText xml:space="preserve"> PAGEREF _Toc212561858 \h </w:instrText>
      </w:r>
      <w:r w:rsidRPr="007B5BE6">
        <w:rPr>
          <w:noProof/>
        </w:rPr>
      </w:r>
      <w:r w:rsidRPr="007B5BE6">
        <w:rPr>
          <w:noProof/>
        </w:rPr>
        <w:fldChar w:fldCharType="separate"/>
      </w:r>
      <w:r w:rsidR="0014404C">
        <w:rPr>
          <w:noProof/>
        </w:rPr>
        <w:t>214</w:t>
      </w:r>
      <w:r w:rsidRPr="007B5BE6">
        <w:rPr>
          <w:noProof/>
        </w:rPr>
        <w:fldChar w:fldCharType="end"/>
      </w:r>
    </w:p>
    <w:p w14:paraId="0F727C01" w14:textId="4FB90AF5" w:rsidR="00FE1FC8" w:rsidRPr="007B5BE6" w:rsidRDefault="00D8729E">
      <w:pPr>
        <w:spacing w:after="200" w:line="276" w:lineRule="auto"/>
        <w:jc w:val="left"/>
      </w:pPr>
      <w:r w:rsidRPr="007B5BE6">
        <w:fldChar w:fldCharType="end"/>
      </w:r>
      <w:r w:rsidR="00FE1FC8" w:rsidRPr="007B5BE6">
        <w:br w:type="page"/>
      </w:r>
    </w:p>
    <w:p w14:paraId="360BEAEF" w14:textId="77777777" w:rsidR="00A433FC" w:rsidRPr="007B5BE6" w:rsidRDefault="00A433FC" w:rsidP="00A433FC">
      <w:pPr>
        <w:pStyle w:val="Headingunnumbered"/>
      </w:pPr>
      <w:bookmarkStart w:id="0" w:name="_Toc212561705"/>
      <w:r w:rsidRPr="007B5BE6">
        <w:lastRenderedPageBreak/>
        <w:t>About the T</w:t>
      </w:r>
      <w:r w:rsidR="007A58D4" w:rsidRPr="007B5BE6">
        <w:t xml:space="preserve">asmania </w:t>
      </w:r>
      <w:r w:rsidRPr="007B5BE6">
        <w:t>L</w:t>
      </w:r>
      <w:r w:rsidR="007A58D4" w:rsidRPr="007B5BE6">
        <w:t xml:space="preserve">aw </w:t>
      </w:r>
      <w:r w:rsidRPr="007B5BE6">
        <w:t>R</w:t>
      </w:r>
      <w:r w:rsidR="007A58D4" w:rsidRPr="007B5BE6">
        <w:t xml:space="preserve">eform </w:t>
      </w:r>
      <w:r w:rsidRPr="007B5BE6">
        <w:t>I</w:t>
      </w:r>
      <w:r w:rsidR="007A58D4" w:rsidRPr="007B5BE6">
        <w:t>nstitute</w:t>
      </w:r>
      <w:bookmarkEnd w:id="0"/>
    </w:p>
    <w:p w14:paraId="0240B1FD" w14:textId="77777777" w:rsidR="00986965" w:rsidRPr="007B5BE6" w:rsidRDefault="00986965" w:rsidP="00030BBF">
      <w:pPr>
        <w:rPr>
          <w:b/>
          <w:w w:val="105"/>
        </w:rPr>
      </w:pPr>
      <w:r w:rsidRPr="007B5BE6">
        <w:rPr>
          <w:w w:val="105"/>
        </w:rPr>
        <w:t>The Tasmania Law Reform Institute is Tasmania’s peak independent law reform body. The</w:t>
      </w:r>
      <w:r w:rsidRPr="007B5BE6">
        <w:rPr>
          <w:spacing w:val="37"/>
          <w:w w:val="105"/>
        </w:rPr>
        <w:t xml:space="preserve"> </w:t>
      </w:r>
      <w:r w:rsidRPr="007B5BE6">
        <w:rPr>
          <w:w w:val="105"/>
        </w:rPr>
        <w:t>Institute</w:t>
      </w:r>
      <w:r w:rsidRPr="007B5BE6">
        <w:rPr>
          <w:spacing w:val="37"/>
          <w:w w:val="105"/>
        </w:rPr>
        <w:t xml:space="preserve"> </w:t>
      </w:r>
      <w:r w:rsidRPr="007B5BE6">
        <w:rPr>
          <w:w w:val="105"/>
        </w:rPr>
        <w:t>was</w:t>
      </w:r>
      <w:r w:rsidRPr="007B5BE6">
        <w:rPr>
          <w:spacing w:val="37"/>
          <w:w w:val="105"/>
        </w:rPr>
        <w:t xml:space="preserve"> </w:t>
      </w:r>
      <w:r w:rsidRPr="007B5BE6">
        <w:rPr>
          <w:w w:val="105"/>
        </w:rPr>
        <w:t>established</w:t>
      </w:r>
      <w:r w:rsidRPr="007B5BE6">
        <w:rPr>
          <w:spacing w:val="37"/>
          <w:w w:val="105"/>
        </w:rPr>
        <w:t xml:space="preserve"> </w:t>
      </w:r>
      <w:r w:rsidRPr="007B5BE6">
        <w:rPr>
          <w:w w:val="105"/>
        </w:rPr>
        <w:t>on</w:t>
      </w:r>
      <w:r w:rsidRPr="007B5BE6">
        <w:rPr>
          <w:spacing w:val="37"/>
          <w:w w:val="105"/>
        </w:rPr>
        <w:t xml:space="preserve"> </w:t>
      </w:r>
      <w:r w:rsidRPr="007B5BE6">
        <w:rPr>
          <w:w w:val="105"/>
        </w:rPr>
        <w:t>23</w:t>
      </w:r>
      <w:r w:rsidRPr="007B5BE6">
        <w:rPr>
          <w:spacing w:val="37"/>
          <w:w w:val="105"/>
        </w:rPr>
        <w:t xml:space="preserve"> </w:t>
      </w:r>
      <w:r w:rsidRPr="007B5BE6">
        <w:rPr>
          <w:w w:val="105"/>
        </w:rPr>
        <w:t>July</w:t>
      </w:r>
      <w:r w:rsidRPr="007B5BE6">
        <w:rPr>
          <w:spacing w:val="37"/>
          <w:w w:val="105"/>
        </w:rPr>
        <w:t xml:space="preserve"> </w:t>
      </w:r>
      <w:r w:rsidRPr="007B5BE6">
        <w:rPr>
          <w:w w:val="105"/>
        </w:rPr>
        <w:t>2001</w:t>
      </w:r>
      <w:r w:rsidRPr="007B5BE6">
        <w:rPr>
          <w:spacing w:val="37"/>
          <w:w w:val="105"/>
        </w:rPr>
        <w:t xml:space="preserve"> </w:t>
      </w:r>
      <w:r w:rsidRPr="007B5BE6">
        <w:rPr>
          <w:w w:val="105"/>
        </w:rPr>
        <w:t>by</w:t>
      </w:r>
      <w:r w:rsidRPr="007B5BE6">
        <w:rPr>
          <w:spacing w:val="37"/>
          <w:w w:val="105"/>
        </w:rPr>
        <w:t xml:space="preserve"> </w:t>
      </w:r>
      <w:r w:rsidRPr="007B5BE6">
        <w:rPr>
          <w:w w:val="105"/>
        </w:rPr>
        <w:t>agreement</w:t>
      </w:r>
      <w:r w:rsidRPr="007B5BE6">
        <w:rPr>
          <w:spacing w:val="36"/>
          <w:w w:val="105"/>
        </w:rPr>
        <w:t xml:space="preserve"> </w:t>
      </w:r>
      <w:r w:rsidRPr="007B5BE6">
        <w:rPr>
          <w:w w:val="105"/>
        </w:rPr>
        <w:t>between</w:t>
      </w:r>
      <w:r w:rsidRPr="007B5BE6">
        <w:rPr>
          <w:spacing w:val="37"/>
          <w:w w:val="105"/>
        </w:rPr>
        <w:t xml:space="preserve"> </w:t>
      </w:r>
      <w:r w:rsidRPr="007B5BE6">
        <w:rPr>
          <w:w w:val="105"/>
        </w:rPr>
        <w:t>the</w:t>
      </w:r>
      <w:r w:rsidRPr="007B5BE6">
        <w:rPr>
          <w:w w:val="102"/>
        </w:rPr>
        <w:t xml:space="preserve"> </w:t>
      </w:r>
      <w:r w:rsidRPr="007B5BE6">
        <w:rPr>
          <w:w w:val="105"/>
        </w:rPr>
        <w:t>Government of the State of Tasmania, the University of Tasmania and The Law Society of</w:t>
      </w:r>
      <w:r w:rsidRPr="007B5BE6">
        <w:rPr>
          <w:spacing w:val="23"/>
          <w:w w:val="105"/>
        </w:rPr>
        <w:t xml:space="preserve"> </w:t>
      </w:r>
      <w:r w:rsidRPr="007B5BE6">
        <w:rPr>
          <w:w w:val="105"/>
        </w:rPr>
        <w:t>Tasmania.</w:t>
      </w:r>
      <w:r w:rsidRPr="007B5BE6">
        <w:rPr>
          <w:w w:val="102"/>
        </w:rPr>
        <w:t xml:space="preserve"> </w:t>
      </w:r>
      <w:r w:rsidRPr="007B5BE6">
        <w:rPr>
          <w:w w:val="105"/>
        </w:rPr>
        <w:t>The creation of the Institute was part of a Partnership Agreement between the University and the</w:t>
      </w:r>
      <w:r w:rsidRPr="007B5BE6">
        <w:rPr>
          <w:spacing w:val="-36"/>
          <w:w w:val="105"/>
        </w:rPr>
        <w:t xml:space="preserve"> </w:t>
      </w:r>
      <w:r w:rsidRPr="007B5BE6">
        <w:rPr>
          <w:w w:val="105"/>
        </w:rPr>
        <w:t>State</w:t>
      </w:r>
      <w:r w:rsidRPr="007B5BE6">
        <w:rPr>
          <w:w w:val="102"/>
        </w:rPr>
        <w:t xml:space="preserve"> </w:t>
      </w:r>
      <w:r w:rsidRPr="007B5BE6">
        <w:rPr>
          <w:w w:val="105"/>
        </w:rPr>
        <w:t>Government</w:t>
      </w:r>
      <w:r w:rsidRPr="007B5BE6">
        <w:rPr>
          <w:spacing w:val="29"/>
          <w:w w:val="105"/>
        </w:rPr>
        <w:t xml:space="preserve"> </w:t>
      </w:r>
      <w:r w:rsidRPr="007B5BE6">
        <w:rPr>
          <w:w w:val="105"/>
        </w:rPr>
        <w:t>signed</w:t>
      </w:r>
      <w:r w:rsidRPr="007B5BE6">
        <w:rPr>
          <w:spacing w:val="30"/>
          <w:w w:val="105"/>
        </w:rPr>
        <w:t xml:space="preserve"> </w:t>
      </w:r>
      <w:r w:rsidRPr="007B5BE6">
        <w:rPr>
          <w:w w:val="105"/>
        </w:rPr>
        <w:t>in</w:t>
      </w:r>
      <w:r w:rsidRPr="007B5BE6">
        <w:rPr>
          <w:spacing w:val="30"/>
          <w:w w:val="105"/>
        </w:rPr>
        <w:t xml:space="preserve"> </w:t>
      </w:r>
      <w:r w:rsidRPr="007B5BE6">
        <w:rPr>
          <w:w w:val="105"/>
        </w:rPr>
        <w:t>2000.</w:t>
      </w:r>
      <w:r w:rsidRPr="007B5BE6">
        <w:rPr>
          <w:spacing w:val="29"/>
          <w:w w:val="105"/>
        </w:rPr>
        <w:t xml:space="preserve"> </w:t>
      </w:r>
      <w:r w:rsidRPr="007B5BE6">
        <w:rPr>
          <w:w w:val="105"/>
        </w:rPr>
        <w:t>The</w:t>
      </w:r>
      <w:r w:rsidRPr="007B5BE6">
        <w:rPr>
          <w:spacing w:val="30"/>
          <w:w w:val="105"/>
        </w:rPr>
        <w:t xml:space="preserve"> </w:t>
      </w:r>
      <w:r w:rsidRPr="007B5BE6">
        <w:rPr>
          <w:w w:val="105"/>
        </w:rPr>
        <w:t>Institute</w:t>
      </w:r>
      <w:r w:rsidRPr="007B5BE6">
        <w:rPr>
          <w:spacing w:val="30"/>
          <w:w w:val="105"/>
        </w:rPr>
        <w:t xml:space="preserve"> </w:t>
      </w:r>
      <w:r w:rsidRPr="007B5BE6">
        <w:rPr>
          <w:w w:val="105"/>
        </w:rPr>
        <w:t>is</w:t>
      </w:r>
      <w:r w:rsidRPr="007B5BE6">
        <w:rPr>
          <w:spacing w:val="30"/>
          <w:w w:val="105"/>
        </w:rPr>
        <w:t xml:space="preserve"> </w:t>
      </w:r>
      <w:r w:rsidRPr="007B5BE6">
        <w:rPr>
          <w:w w:val="105"/>
        </w:rPr>
        <w:t>based</w:t>
      </w:r>
      <w:r w:rsidRPr="007B5BE6">
        <w:rPr>
          <w:spacing w:val="30"/>
          <w:w w:val="105"/>
        </w:rPr>
        <w:t xml:space="preserve"> </w:t>
      </w:r>
      <w:r w:rsidRPr="007B5BE6">
        <w:rPr>
          <w:w w:val="105"/>
        </w:rPr>
        <w:t>at</w:t>
      </w:r>
      <w:r w:rsidRPr="007B5BE6">
        <w:rPr>
          <w:spacing w:val="29"/>
          <w:w w:val="105"/>
        </w:rPr>
        <w:t xml:space="preserve"> </w:t>
      </w:r>
      <w:r w:rsidRPr="007B5BE6">
        <w:rPr>
          <w:w w:val="105"/>
        </w:rPr>
        <w:t>the</w:t>
      </w:r>
      <w:r w:rsidRPr="007B5BE6">
        <w:rPr>
          <w:spacing w:val="30"/>
          <w:w w:val="105"/>
        </w:rPr>
        <w:t xml:space="preserve"> </w:t>
      </w:r>
      <w:r w:rsidRPr="007B5BE6">
        <w:rPr>
          <w:w w:val="105"/>
        </w:rPr>
        <w:t>Sandy</w:t>
      </w:r>
      <w:r w:rsidRPr="007B5BE6">
        <w:rPr>
          <w:spacing w:val="30"/>
          <w:w w:val="105"/>
        </w:rPr>
        <w:t xml:space="preserve"> </w:t>
      </w:r>
      <w:r w:rsidRPr="007B5BE6">
        <w:rPr>
          <w:w w:val="105"/>
        </w:rPr>
        <w:t>Bay</w:t>
      </w:r>
      <w:r w:rsidRPr="007B5BE6">
        <w:rPr>
          <w:spacing w:val="30"/>
          <w:w w:val="105"/>
        </w:rPr>
        <w:t xml:space="preserve"> </w:t>
      </w:r>
      <w:r w:rsidRPr="007B5BE6">
        <w:rPr>
          <w:w w:val="105"/>
        </w:rPr>
        <w:t>campus</w:t>
      </w:r>
      <w:r w:rsidRPr="007B5BE6">
        <w:rPr>
          <w:spacing w:val="30"/>
          <w:w w:val="105"/>
        </w:rPr>
        <w:t xml:space="preserve"> </w:t>
      </w:r>
      <w:r w:rsidRPr="007B5BE6">
        <w:rPr>
          <w:w w:val="105"/>
        </w:rPr>
        <w:t>of</w:t>
      </w:r>
      <w:r w:rsidRPr="007B5BE6">
        <w:rPr>
          <w:spacing w:val="30"/>
          <w:w w:val="105"/>
        </w:rPr>
        <w:t xml:space="preserve"> </w:t>
      </w:r>
      <w:r w:rsidRPr="007B5BE6">
        <w:rPr>
          <w:w w:val="105"/>
        </w:rPr>
        <w:t>the</w:t>
      </w:r>
      <w:r w:rsidRPr="007B5BE6">
        <w:rPr>
          <w:spacing w:val="30"/>
          <w:w w:val="105"/>
        </w:rPr>
        <w:t xml:space="preserve"> </w:t>
      </w:r>
      <w:r w:rsidRPr="007B5BE6">
        <w:rPr>
          <w:w w:val="105"/>
        </w:rPr>
        <w:t>University</w:t>
      </w:r>
      <w:r w:rsidRPr="007B5BE6">
        <w:rPr>
          <w:spacing w:val="30"/>
          <w:w w:val="105"/>
        </w:rPr>
        <w:t xml:space="preserve"> </w:t>
      </w:r>
      <w:r w:rsidRPr="007B5BE6">
        <w:rPr>
          <w:w w:val="105"/>
        </w:rPr>
        <w:t>of</w:t>
      </w:r>
      <w:r w:rsidRPr="007B5BE6">
        <w:rPr>
          <w:w w:val="102"/>
        </w:rPr>
        <w:t xml:space="preserve"> </w:t>
      </w:r>
      <w:r w:rsidRPr="007B5BE6">
        <w:rPr>
          <w:w w:val="105"/>
        </w:rPr>
        <w:t>Tasmania within the Faculty of Law. The Institute undertakes law reform work and research on</w:t>
      </w:r>
      <w:r w:rsidRPr="007B5BE6">
        <w:rPr>
          <w:spacing w:val="-13"/>
          <w:w w:val="105"/>
        </w:rPr>
        <w:t xml:space="preserve"> </w:t>
      </w:r>
      <w:r w:rsidRPr="007B5BE6">
        <w:rPr>
          <w:w w:val="105"/>
        </w:rPr>
        <w:t>topics</w:t>
      </w:r>
      <w:r w:rsidRPr="007B5BE6">
        <w:rPr>
          <w:spacing w:val="1"/>
          <w:w w:val="102"/>
        </w:rPr>
        <w:t xml:space="preserve"> </w:t>
      </w:r>
      <w:r w:rsidRPr="007B5BE6">
        <w:rPr>
          <w:w w:val="105"/>
        </w:rPr>
        <w:t>proposed by the Government, the community, the University and the Institute</w:t>
      </w:r>
      <w:r w:rsidRPr="007B5BE6">
        <w:rPr>
          <w:spacing w:val="-37"/>
          <w:w w:val="105"/>
        </w:rPr>
        <w:t xml:space="preserve"> </w:t>
      </w:r>
      <w:r w:rsidRPr="007B5BE6">
        <w:rPr>
          <w:w w:val="105"/>
        </w:rPr>
        <w:t>itself.</w:t>
      </w:r>
    </w:p>
    <w:p w14:paraId="06F8DE40" w14:textId="77777777" w:rsidR="00986965" w:rsidRPr="007B5BE6" w:rsidRDefault="00986965" w:rsidP="00030BBF">
      <w:pPr>
        <w:rPr>
          <w:b/>
          <w:w w:val="105"/>
        </w:rPr>
      </w:pPr>
      <w:r w:rsidRPr="007B5BE6">
        <w:rPr>
          <w:w w:val="105"/>
        </w:rPr>
        <w:t xml:space="preserve">The work of the Institute is to conduct impartial and independent reviews or research on areas of law and legal policy </w:t>
      </w:r>
      <w:proofErr w:type="gramStart"/>
      <w:r w:rsidRPr="007B5BE6">
        <w:rPr>
          <w:w w:val="105"/>
        </w:rPr>
        <w:t>in order to</w:t>
      </w:r>
      <w:proofErr w:type="gramEnd"/>
      <w:r w:rsidRPr="007B5BE6">
        <w:rPr>
          <w:w w:val="105"/>
        </w:rPr>
        <w:t xml:space="preserve"> provide independent and impartial advice and recommendations on the area investigated, with a view to, or for the purposes of: </w:t>
      </w:r>
    </w:p>
    <w:p w14:paraId="1472FE98" w14:textId="77777777" w:rsidR="00986965" w:rsidRPr="007B5BE6" w:rsidRDefault="33037BD6" w:rsidP="5888C917">
      <w:pPr>
        <w:pStyle w:val="BodyText"/>
        <w:numPr>
          <w:ilvl w:val="0"/>
          <w:numId w:val="3"/>
        </w:numPr>
        <w:spacing w:before="226" w:line="252" w:lineRule="auto"/>
        <w:ind w:right="116"/>
        <w:rPr>
          <w:rFonts w:ascii="Times New Roman" w:hAnsi="Times New Roman" w:cs="Times New Roman"/>
          <w:b w:val="0"/>
          <w:w w:val="105"/>
          <w:sz w:val="22"/>
          <w:szCs w:val="22"/>
          <w:lang w:val="en-US"/>
        </w:rPr>
      </w:pPr>
      <w:r w:rsidRPr="007B5BE6">
        <w:rPr>
          <w:rFonts w:ascii="Times New Roman" w:hAnsi="Times New Roman" w:cs="Times New Roman"/>
          <w:b w:val="0"/>
          <w:w w:val="105"/>
          <w:sz w:val="22"/>
          <w:szCs w:val="22"/>
          <w:lang w:val="en-US"/>
        </w:rPr>
        <w:t xml:space="preserve">the </w:t>
      </w:r>
      <w:proofErr w:type="spellStart"/>
      <w:r w:rsidRPr="007B5BE6">
        <w:rPr>
          <w:rFonts w:ascii="Times New Roman" w:hAnsi="Times New Roman" w:cs="Times New Roman"/>
          <w:b w:val="0"/>
          <w:w w:val="105"/>
          <w:sz w:val="22"/>
          <w:szCs w:val="22"/>
          <w:lang w:val="en-US"/>
        </w:rPr>
        <w:t>modernisation</w:t>
      </w:r>
      <w:proofErr w:type="spellEnd"/>
      <w:r w:rsidRPr="007B5BE6">
        <w:rPr>
          <w:rFonts w:ascii="Times New Roman" w:hAnsi="Times New Roman" w:cs="Times New Roman"/>
          <w:b w:val="0"/>
          <w:w w:val="105"/>
          <w:sz w:val="22"/>
          <w:szCs w:val="22"/>
          <w:lang w:val="en-US"/>
        </w:rPr>
        <w:t xml:space="preserve"> of the law; and/or</w:t>
      </w:r>
    </w:p>
    <w:p w14:paraId="1A9DC050"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the elimination of defects in the law; and/or</w:t>
      </w:r>
    </w:p>
    <w:p w14:paraId="30E78302"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the simplification of the law; and/or</w:t>
      </w:r>
    </w:p>
    <w:p w14:paraId="3C99BFED"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the consolidation of any laws; and/or</w:t>
      </w:r>
    </w:p>
    <w:p w14:paraId="7164C145"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the repeal of laws that are obsolete or unnecessary; and/or</w:t>
      </w:r>
    </w:p>
    <w:p w14:paraId="41577851"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adopting new or more effective methods for administering the law and dispensing justice; and/or</w:t>
      </w:r>
    </w:p>
    <w:p w14:paraId="53AF85D4"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providing improved access to justice; and/or</w:t>
      </w:r>
    </w:p>
    <w:p w14:paraId="0FADFE05"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w w:val="105"/>
          <w:sz w:val="22"/>
          <w:szCs w:val="22"/>
          <w:lang w:val="en-AU"/>
        </w:rPr>
      </w:pPr>
      <w:r w:rsidRPr="007B5BE6">
        <w:rPr>
          <w:rFonts w:ascii="Times New Roman" w:hAnsi="Times New Roman" w:cs="Times New Roman"/>
          <w:b w:val="0"/>
          <w:w w:val="105"/>
          <w:sz w:val="22"/>
          <w:szCs w:val="22"/>
          <w:lang w:val="en-AU"/>
        </w:rPr>
        <w:t>uniformity between laws of other states, territories and the Commonwealth; and/or</w:t>
      </w:r>
    </w:p>
    <w:p w14:paraId="20F6BDCA" w14:textId="77777777" w:rsidR="00986965" w:rsidRPr="007B5BE6" w:rsidRDefault="00986965" w:rsidP="00F96F7E">
      <w:pPr>
        <w:pStyle w:val="BodyText"/>
        <w:numPr>
          <w:ilvl w:val="0"/>
          <w:numId w:val="3"/>
        </w:numPr>
        <w:spacing w:before="226" w:line="252" w:lineRule="auto"/>
        <w:ind w:right="116"/>
        <w:rPr>
          <w:rFonts w:ascii="Times New Roman" w:hAnsi="Times New Roman" w:cs="Times New Roman"/>
          <w:b w:val="0"/>
          <w:bCs/>
          <w:w w:val="105"/>
          <w:sz w:val="22"/>
          <w:szCs w:val="22"/>
        </w:rPr>
      </w:pPr>
      <w:r w:rsidRPr="007B5BE6">
        <w:rPr>
          <w:rFonts w:ascii="Times New Roman" w:hAnsi="Times New Roman" w:cs="Times New Roman"/>
          <w:b w:val="0"/>
          <w:bCs/>
          <w:w w:val="105"/>
          <w:sz w:val="22"/>
          <w:szCs w:val="22"/>
        </w:rPr>
        <w:t>the codification of laws; and/or</w:t>
      </w:r>
    </w:p>
    <w:p w14:paraId="6CCE3933" w14:textId="6512FB77" w:rsidR="00986965" w:rsidRPr="007B5BE6" w:rsidRDefault="00986965" w:rsidP="00E91C6F">
      <w:pPr>
        <w:pStyle w:val="BodyText"/>
        <w:numPr>
          <w:ilvl w:val="0"/>
          <w:numId w:val="3"/>
        </w:numPr>
        <w:spacing w:before="226" w:line="252" w:lineRule="auto"/>
        <w:ind w:right="116"/>
        <w:rPr>
          <w:rFonts w:ascii="Times New Roman" w:hAnsi="Times New Roman" w:cs="Times New Roman"/>
          <w:b w:val="0"/>
          <w:w w:val="105"/>
          <w:sz w:val="22"/>
          <w:szCs w:val="22"/>
        </w:rPr>
      </w:pPr>
      <w:r w:rsidRPr="007B5BE6">
        <w:rPr>
          <w:rFonts w:ascii="Times New Roman" w:hAnsi="Times New Roman" w:cs="Times New Roman"/>
          <w:b w:val="0"/>
          <w:bCs/>
          <w:w w:val="105"/>
          <w:sz w:val="22"/>
          <w:szCs w:val="22"/>
        </w:rPr>
        <w:t>promoting equality before the law</w:t>
      </w:r>
      <w:r w:rsidRPr="007B5BE6">
        <w:rPr>
          <w:rFonts w:ascii="Times New Roman" w:hAnsi="Times New Roman" w:cs="Times New Roman"/>
          <w:b w:val="0"/>
          <w:bCs/>
          <w:w w:val="105"/>
          <w:sz w:val="22"/>
          <w:szCs w:val="22"/>
          <w:lang w:val="en-AU"/>
        </w:rPr>
        <w:t>.</w:t>
      </w:r>
    </w:p>
    <w:p w14:paraId="2C4791F5" w14:textId="77777777" w:rsidR="00E20C4E" w:rsidRPr="007B5BE6" w:rsidRDefault="00E20C4E" w:rsidP="001D0E1E">
      <w:pPr>
        <w:pStyle w:val="BodyText"/>
        <w:spacing w:before="226" w:line="252" w:lineRule="auto"/>
        <w:ind w:left="820" w:right="116"/>
        <w:rPr>
          <w:rFonts w:ascii="Times New Roman" w:hAnsi="Times New Roman" w:cs="Times New Roman"/>
          <w:b w:val="0"/>
          <w:bCs/>
          <w:w w:val="105"/>
          <w:sz w:val="22"/>
          <w:szCs w:val="22"/>
        </w:rPr>
      </w:pPr>
    </w:p>
    <w:p w14:paraId="56B94887" w14:textId="6255CC0E" w:rsidR="00E20C4E" w:rsidRPr="007B5BE6" w:rsidRDefault="00E20C4E" w:rsidP="00E91C6F">
      <w:pPr>
        <w:rPr>
          <w:w w:val="105"/>
        </w:rPr>
      </w:pPr>
      <w:r w:rsidRPr="007B5BE6">
        <w:t>The TLRI’s Director is Professor Jeremy Prichard of the University of Tasmania (appointed by the Vice-Chancellor of the University of Tasmania). The members of the Board of the Institute are: Craig Mackie (Chair, appointed by the Tasmanian Bar Association), Professor Gino Dal Pont (Interim Dean of the Faculty of Law at the University of Tasmania), the Honourable Justice Helen Wood (appointed by the Honourable Chief Justice of Tasmania), Kristy Bourne (appointed by the Attorney-General), Rohan Foon (appointed by the Law Society), Ann Hughes (appointed at the invitation of the Board), Kim Baumeler (appointed at the invitation of the Board), Dr Yvette Maker (</w:t>
      </w:r>
      <w:r w:rsidR="004262CD" w:rsidRPr="007B5BE6">
        <w:t>a</w:t>
      </w:r>
      <w:r w:rsidRPr="007B5BE6">
        <w:t xml:space="preserve">ppointed by </w:t>
      </w:r>
      <w:r w:rsidR="00A3368F" w:rsidRPr="007B5BE6">
        <w:t>the University of Tasmania’s University Council</w:t>
      </w:r>
      <w:r w:rsidRPr="007B5BE6">
        <w:t>) and Rosie Smith (appointed at the invitation of the Board as a member of the Tasmanian Aboriginal community).</w:t>
      </w:r>
    </w:p>
    <w:p w14:paraId="3E753E3B" w14:textId="77777777" w:rsidR="00A433FC" w:rsidRPr="007B5BE6" w:rsidRDefault="00986965">
      <w:pPr>
        <w:rPr>
          <w:w w:val="105"/>
        </w:rPr>
      </w:pPr>
      <w:r w:rsidRPr="007B5BE6">
        <w:rPr>
          <w:w w:val="105"/>
        </w:rPr>
        <w:t>The Board oversees the Institute’s research, considering each reference before it is accepted, and approving publications before their release.</w:t>
      </w:r>
    </w:p>
    <w:p w14:paraId="32E13C12" w14:textId="77777777" w:rsidR="003B4ABF" w:rsidRPr="007B5BE6" w:rsidRDefault="003B4ABF" w:rsidP="00986965">
      <w:pPr>
        <w:rPr>
          <w:rFonts w:cs="Times New Roman"/>
          <w:bCs/>
          <w:w w:val="105"/>
          <w:szCs w:val="22"/>
        </w:rPr>
      </w:pPr>
    </w:p>
    <w:p w14:paraId="05CA41D4" w14:textId="77777777" w:rsidR="003B4ABF" w:rsidRPr="007B5BE6" w:rsidRDefault="003B4ABF" w:rsidP="00986965"/>
    <w:p w14:paraId="3B4C19D6" w14:textId="77777777" w:rsidR="00422C63" w:rsidRPr="007B5BE6" w:rsidRDefault="00A433FC">
      <w:pPr>
        <w:spacing w:after="200" w:line="276" w:lineRule="auto"/>
        <w:jc w:val="left"/>
      </w:pPr>
      <w:r w:rsidRPr="007B5BE6">
        <w:br w:type="page"/>
      </w:r>
    </w:p>
    <w:p w14:paraId="71880CF1" w14:textId="77777777" w:rsidR="00422C63" w:rsidRPr="007B5BE6" w:rsidRDefault="00422C63" w:rsidP="00422C63">
      <w:pPr>
        <w:pStyle w:val="Headingunnumbered"/>
      </w:pPr>
      <w:bookmarkStart w:id="1" w:name="_Toc212561706"/>
      <w:r w:rsidRPr="007B5BE6">
        <w:lastRenderedPageBreak/>
        <w:t>Acknowledgements</w:t>
      </w:r>
      <w:bookmarkEnd w:id="1"/>
    </w:p>
    <w:p w14:paraId="456FDD68" w14:textId="064DE46A" w:rsidR="009C2831" w:rsidRPr="007B5BE6" w:rsidRDefault="00387EE0" w:rsidP="009C2831">
      <w:r w:rsidRPr="007B5BE6">
        <w:t xml:space="preserve">This study was funded by the Joy and Don McBurnie Fellowship Postgraduate Research Fellowship, established by a gift of funds in 2021 to the University of Tasmania by Dr Suanne Lawrence, who is a founding member of </w:t>
      </w:r>
      <w:r w:rsidR="00F21AC9" w:rsidRPr="007B5BE6">
        <w:t>Preventing Elder Abuse Tasmania (‘PEAT’)</w:t>
      </w:r>
      <w:r w:rsidRPr="007B5BE6">
        <w:t>.</w:t>
      </w:r>
      <w:r w:rsidR="00487A45" w:rsidRPr="007B5BE6">
        <w:t xml:space="preserve"> </w:t>
      </w:r>
      <w:r w:rsidR="009C2831" w:rsidRPr="007B5BE6">
        <w:t xml:space="preserve">The TLRI acknowledges the financial support provided by Dr Lawrence to enable this project to be </w:t>
      </w:r>
      <w:r w:rsidR="00C61712" w:rsidRPr="007B5BE6">
        <w:t>conducted</w:t>
      </w:r>
      <w:r w:rsidR="009C2831" w:rsidRPr="007B5BE6">
        <w:t>. It is important to note, however, that the views expressed and the recommendations in this Research Paper are the views solely of the TLRI.</w:t>
      </w:r>
    </w:p>
    <w:p w14:paraId="24C0F9A4" w14:textId="72859626" w:rsidR="006511A2" w:rsidRPr="007B5BE6" w:rsidRDefault="00487A45" w:rsidP="006511A2">
      <w:r w:rsidRPr="007B5BE6">
        <w:t>T</w:t>
      </w:r>
      <w:r w:rsidR="006511A2" w:rsidRPr="007B5BE6">
        <w:t>his Research Paper was prepared for the Board by Dr Nina Hudson</w:t>
      </w:r>
      <w:r w:rsidR="00705453" w:rsidRPr="007B5BE6">
        <w:t xml:space="preserve"> (</w:t>
      </w:r>
      <w:r w:rsidR="00490359" w:rsidRPr="007B5BE6">
        <w:t>Sen</w:t>
      </w:r>
      <w:r w:rsidR="000E78A8" w:rsidRPr="007B5BE6">
        <w:t>ior Research Fello</w:t>
      </w:r>
      <w:r w:rsidR="00910F1D" w:rsidRPr="007B5BE6">
        <w:t>w</w:t>
      </w:r>
      <w:r w:rsidR="00202122" w:rsidRPr="007B5BE6">
        <w:t xml:space="preserve">, </w:t>
      </w:r>
      <w:r w:rsidR="00910F1D" w:rsidRPr="007B5BE6">
        <w:t>M</w:t>
      </w:r>
      <w:r w:rsidR="000E78A8" w:rsidRPr="007B5BE6">
        <w:t xml:space="preserve">cBurnie Fellowship) and </w:t>
      </w:r>
      <w:r w:rsidR="00D63871" w:rsidRPr="007B5BE6">
        <w:t>Dr Rebecca Bradfield (Principal Research Fellow)</w:t>
      </w:r>
      <w:r w:rsidR="006511A2" w:rsidRPr="007B5BE6">
        <w:t>. Th</w:t>
      </w:r>
      <w:r w:rsidR="002B3D3B">
        <w:t xml:space="preserve">e project was </w:t>
      </w:r>
      <w:r w:rsidR="00DD5DB5">
        <w:t xml:space="preserve">conducted with </w:t>
      </w:r>
      <w:r w:rsidR="002B3D3B">
        <w:t>support</w:t>
      </w:r>
      <w:r w:rsidR="00DD5DB5">
        <w:t xml:space="preserve"> and guidance </w:t>
      </w:r>
      <w:r w:rsidR="00EE366B">
        <w:t xml:space="preserve">from </w:t>
      </w:r>
      <w:r w:rsidR="006511A2" w:rsidRPr="007B5BE6">
        <w:t>the TLRI Director, Professor Jeremy Prichard. The project was assisted throughout by the TLRI Executive Officer (Administration), Kira White until her retirement, and then by the TLRI Executive Officer (Administration), Dr Jennifer Bo</w:t>
      </w:r>
      <w:r w:rsidR="007A4712" w:rsidRPr="007B5BE6">
        <w:t>o</w:t>
      </w:r>
      <w:r w:rsidR="006511A2" w:rsidRPr="007B5BE6">
        <w:t xml:space="preserve">cock. </w:t>
      </w:r>
    </w:p>
    <w:p w14:paraId="1A35D1B6" w14:textId="7879E392" w:rsidR="006511A2" w:rsidRPr="007B5BE6" w:rsidRDefault="7225EC97" w:rsidP="006511A2">
      <w:r w:rsidRPr="007B5BE6">
        <w:t>Adjunct Associate Professor</w:t>
      </w:r>
      <w:r w:rsidR="006A6126" w:rsidRPr="007B5BE6">
        <w:t xml:space="preserve"> Terese Henning </w:t>
      </w:r>
      <w:r w:rsidR="00245348" w:rsidRPr="007B5BE6">
        <w:t xml:space="preserve">kindly provided comment on a draft of this Research Paper. </w:t>
      </w:r>
      <w:r w:rsidR="006511A2" w:rsidRPr="007B5BE6">
        <w:t xml:space="preserve">This Research Paper was prepared for publication by </w:t>
      </w:r>
      <w:r w:rsidR="00813CCD" w:rsidRPr="007B5BE6">
        <w:t>Dr Nina Hudson, with the assistance of Libby Saunders</w:t>
      </w:r>
      <w:r w:rsidR="006511A2" w:rsidRPr="007B5BE6">
        <w:t xml:space="preserve">. </w:t>
      </w:r>
    </w:p>
    <w:p w14:paraId="1DBAF163" w14:textId="754073B9" w:rsidR="006511A2" w:rsidRPr="007B5BE6" w:rsidRDefault="006511A2" w:rsidP="006511A2">
      <w:r w:rsidRPr="007B5BE6">
        <w:t xml:space="preserve">The TLRI thanks the Department of Premier and Cabinet (Tasmania) for providing the requisite approvals and facilitating the TLRI’s access to data on the </w:t>
      </w:r>
      <w:r w:rsidR="007956D1" w:rsidRPr="007B5BE6">
        <w:t xml:space="preserve">Tasmanian </w:t>
      </w:r>
      <w:r w:rsidRPr="007B5BE6">
        <w:t>Elder Abuse Helpline, which is operated by Advocacy Tasmania. The TLRI thanks Advocacy Tasmania for the collection of the Elder Abuse Helpline data. The TLRI also thanks the Commonwealth Attorney-General’s Department for providing the requisite approvals and facilitating the TLRI’s access to data on the Senior Assist program, which is operated by Tasmania Legal Aid.</w:t>
      </w:r>
    </w:p>
    <w:p w14:paraId="27CB1445" w14:textId="7BBA5863" w:rsidR="006511A2" w:rsidRPr="007B5BE6" w:rsidRDefault="006511A2" w:rsidP="006511A2">
      <w:r w:rsidRPr="007B5BE6">
        <w:t xml:space="preserve">The TLRI expresses appreciation to all interview participants for generously contributing their time, knowledge and expertise to this study. </w:t>
      </w:r>
      <w:r w:rsidR="00CB19A4" w:rsidRPr="007B5BE6">
        <w:t xml:space="preserve">The TLRI also thanks the </w:t>
      </w:r>
      <w:r w:rsidR="00E20BA9" w:rsidRPr="007B5BE6">
        <w:t>agenc</w:t>
      </w:r>
      <w:r w:rsidR="00F47A55" w:rsidRPr="007B5BE6">
        <w:t>y</w:t>
      </w:r>
      <w:r w:rsidR="00E20BA9" w:rsidRPr="007B5BE6">
        <w:t xml:space="preserve"> members of the ‘</w:t>
      </w:r>
      <w:r w:rsidR="00CB19A4" w:rsidRPr="007B5BE6">
        <w:t>Tasmanian Lifelong Respect Community of Practice</w:t>
      </w:r>
      <w:r w:rsidR="00E20BA9" w:rsidRPr="007B5BE6">
        <w:t>:</w:t>
      </w:r>
      <w:r w:rsidR="00CB19A4" w:rsidRPr="007B5BE6">
        <w:t xml:space="preserve"> Ending the Abuse of Older People</w:t>
      </w:r>
      <w:r w:rsidR="00E20BA9" w:rsidRPr="007B5BE6">
        <w:t>’</w:t>
      </w:r>
      <w:r w:rsidR="00CB19A4" w:rsidRPr="007B5BE6">
        <w:t xml:space="preserve"> </w:t>
      </w:r>
      <w:r w:rsidR="008C5426" w:rsidRPr="007B5BE6">
        <w:t xml:space="preserve">for allowing Dr Nina Hudson to attend and observe </w:t>
      </w:r>
      <w:r w:rsidR="00E20BA9" w:rsidRPr="007B5BE6">
        <w:t>its</w:t>
      </w:r>
      <w:r w:rsidR="008C5426" w:rsidRPr="007B5BE6">
        <w:t xml:space="preserve"> meetings. </w:t>
      </w:r>
    </w:p>
    <w:p w14:paraId="557809F6" w14:textId="75E2EC3B" w:rsidR="009F6A92" w:rsidRPr="007B5BE6" w:rsidRDefault="009F6A92" w:rsidP="00C63355">
      <w:r w:rsidRPr="007B5BE6">
        <w:t>An electronic copy of the Research Paper is available at the TLRI website.</w:t>
      </w:r>
    </w:p>
    <w:p w14:paraId="79230126" w14:textId="77777777" w:rsidR="009F6A92" w:rsidRPr="007B5BE6" w:rsidRDefault="009F6A92" w:rsidP="009F6A92">
      <w:pPr>
        <w:spacing w:after="200" w:line="276" w:lineRule="auto"/>
        <w:jc w:val="left"/>
      </w:pPr>
      <w:r w:rsidRPr="007B5BE6">
        <w:t xml:space="preserve">An electronic copy may also be obtained by: </w:t>
      </w:r>
    </w:p>
    <w:p w14:paraId="4EF00664" w14:textId="77777777" w:rsidR="009F6A92" w:rsidRPr="007B5BE6" w:rsidRDefault="009F6A92" w:rsidP="009F6A92">
      <w:pPr>
        <w:spacing w:after="200" w:line="276" w:lineRule="auto"/>
        <w:jc w:val="left"/>
      </w:pPr>
      <w:r w:rsidRPr="007B5BE6">
        <w:t xml:space="preserve">Email: </w:t>
      </w:r>
      <w:r w:rsidRPr="007B5BE6">
        <w:tab/>
        <w:t xml:space="preserve">law.reform@utas.edu.au </w:t>
      </w:r>
    </w:p>
    <w:p w14:paraId="69320045" w14:textId="77777777" w:rsidR="009F6A92" w:rsidRPr="007B5BE6" w:rsidRDefault="009F6A92" w:rsidP="009F6A92">
      <w:pPr>
        <w:spacing w:after="200" w:line="276" w:lineRule="auto"/>
        <w:jc w:val="left"/>
      </w:pPr>
      <w:r w:rsidRPr="007B5BE6">
        <w:t xml:space="preserve">Phone: </w:t>
      </w:r>
      <w:r w:rsidRPr="007B5BE6">
        <w:tab/>
        <w:t xml:space="preserve">(03) 6226 2069 </w:t>
      </w:r>
    </w:p>
    <w:p w14:paraId="3E413E05" w14:textId="77777777" w:rsidR="009F6A92" w:rsidRPr="007B5BE6" w:rsidRDefault="009F6A92" w:rsidP="009F6A92">
      <w:pPr>
        <w:spacing w:after="200" w:line="276" w:lineRule="auto"/>
        <w:jc w:val="left"/>
      </w:pPr>
      <w:r w:rsidRPr="007B5BE6">
        <w:t xml:space="preserve">Post: </w:t>
      </w:r>
      <w:r w:rsidRPr="007B5BE6">
        <w:tab/>
        <w:t xml:space="preserve">Tasmania Law Reform Institute </w:t>
      </w:r>
    </w:p>
    <w:p w14:paraId="45E8E43D" w14:textId="77777777" w:rsidR="00416CDC" w:rsidRPr="007B5BE6" w:rsidRDefault="009F6A92" w:rsidP="00416CDC">
      <w:pPr>
        <w:spacing w:after="200" w:line="276" w:lineRule="auto"/>
        <w:jc w:val="left"/>
      </w:pPr>
      <w:r w:rsidRPr="007B5BE6">
        <w:tab/>
      </w:r>
      <w:r w:rsidR="00416CDC" w:rsidRPr="007B5BE6">
        <w:t>PO Box 844 Sandy Bay TAS 7006</w:t>
      </w:r>
    </w:p>
    <w:p w14:paraId="666914DD" w14:textId="77777777" w:rsidR="00815B53" w:rsidRPr="007B5BE6" w:rsidRDefault="00815B53" w:rsidP="00A61A5B">
      <w:pPr>
        <w:pStyle w:val="Headingunnumbered"/>
      </w:pPr>
      <w:bookmarkStart w:id="2" w:name="_Toc212561707"/>
      <w:r w:rsidRPr="007B5BE6">
        <w:t>Ethical Conduct of Research</w:t>
      </w:r>
      <w:bookmarkEnd w:id="2"/>
      <w:r w:rsidRPr="007B5BE6">
        <w:t xml:space="preserve"> </w:t>
      </w:r>
    </w:p>
    <w:p w14:paraId="654B37D6" w14:textId="104F45D9" w:rsidR="00422C63" w:rsidRPr="007B5BE6" w:rsidRDefault="008D463D" w:rsidP="008D463D">
      <w:r w:rsidRPr="007B5BE6">
        <w:t xml:space="preserve">This research </w:t>
      </w:r>
      <w:r w:rsidR="00A3368F" w:rsidRPr="007B5BE6">
        <w:t>was</w:t>
      </w:r>
      <w:r w:rsidRPr="007B5BE6">
        <w:t xml:space="preserve"> approved by the University of Tasmania’s Social Sciences Human Research Ethics Committee. If you have concerns or complaints about the conduct of this project, please contact the Executive Officer of the Human Research Ethics Committee (Tasmania) Network on +61 3 6226 6254 or email human.ethics@utas.edu.au. The Executive Officer is the person nominated to receive complaints from research participants. Please quote ethics reference number H00</w:t>
      </w:r>
      <w:r w:rsidR="00B02CDC" w:rsidRPr="007B5BE6">
        <w:t>29859</w:t>
      </w:r>
      <w:r w:rsidRPr="007B5BE6">
        <w:t>.</w:t>
      </w:r>
      <w:r w:rsidR="00422C63" w:rsidRPr="007B5BE6">
        <w:br w:type="page"/>
      </w:r>
    </w:p>
    <w:p w14:paraId="6C842750" w14:textId="7C09A57F" w:rsidR="00B52613" w:rsidRPr="007B5BE6" w:rsidRDefault="002A112C" w:rsidP="002A112C">
      <w:pPr>
        <w:pStyle w:val="Headingunnumbered"/>
      </w:pPr>
      <w:bookmarkStart w:id="3" w:name="_Toc212561708"/>
      <w:r w:rsidRPr="007B5BE6">
        <w:lastRenderedPageBreak/>
        <w:t>Executive Summary</w:t>
      </w:r>
      <w:bookmarkEnd w:id="3"/>
    </w:p>
    <w:p w14:paraId="2ACAF58C" w14:textId="7E6BFFBB" w:rsidR="005B5072" w:rsidRPr="007B5BE6" w:rsidRDefault="005B5072" w:rsidP="005B5072">
      <w:pPr>
        <w:pStyle w:val="NormalNumberedTextTLRI"/>
        <w:numPr>
          <w:ilvl w:val="0"/>
          <w:numId w:val="0"/>
        </w:numPr>
      </w:pPr>
      <w:r w:rsidRPr="007B5BE6">
        <w:t>This Research Paper sets out the findings of the TLRI’s study conducted under the Joy and Don McBurnie Postgraduate Fellowship</w:t>
      </w:r>
      <w:r w:rsidR="00D10299" w:rsidRPr="007B5BE6">
        <w:t>. The aim of the Fellowship is ‘generating research that promotes the legal rights and interests of older Tasmanians … [</w:t>
      </w:r>
      <w:r w:rsidRPr="007B5BE6">
        <w:t>which</w:t>
      </w:r>
      <w:r w:rsidR="00D10299" w:rsidRPr="007B5BE6">
        <w:t>] may include improving the ways in which older Tasmanians are considered, included and provided for in the state’s system of law, government and justice; and recommending ways in which elder abuse in Tasmania can be better detected, responded to and ultimately reduced’.</w:t>
      </w:r>
      <w:r w:rsidRPr="007B5BE6">
        <w:t xml:space="preserve"> </w:t>
      </w:r>
      <w:r w:rsidR="00D10299" w:rsidRPr="007B5BE6">
        <w:t xml:space="preserve">In line with these requirements, the </w:t>
      </w:r>
      <w:r w:rsidR="0016668F" w:rsidRPr="007B5BE6">
        <w:t>study</w:t>
      </w:r>
      <w:r w:rsidRPr="007B5BE6">
        <w:t xml:space="preserve"> evaluated the current legal landscape for safeguarding against the abuse of older Tasmanians (also known as ‘elder abuse’). </w:t>
      </w:r>
      <w:r w:rsidR="002D734E" w:rsidRPr="007B5BE6">
        <w:t xml:space="preserve">In this context, </w:t>
      </w:r>
      <w:r w:rsidR="00F74666" w:rsidRPr="007B5BE6">
        <w:t xml:space="preserve">in the </w:t>
      </w:r>
      <w:r w:rsidR="00A006E7" w:rsidRPr="007B5BE6">
        <w:t>Australian context</w:t>
      </w:r>
      <w:r w:rsidR="00E9048F" w:rsidRPr="007B5BE6">
        <w:t xml:space="preserve">, the term </w:t>
      </w:r>
      <w:r w:rsidR="002D734E" w:rsidRPr="007B5BE6">
        <w:t xml:space="preserve">‘older people’ </w:t>
      </w:r>
      <w:r w:rsidR="00A006E7" w:rsidRPr="007B5BE6">
        <w:t xml:space="preserve">generally </w:t>
      </w:r>
      <w:r w:rsidR="002D734E" w:rsidRPr="007B5BE6">
        <w:t>refers to people who are aged 65 years and over and Aboriginal and Torres Strait Islander people who are aged 50 years</w:t>
      </w:r>
      <w:r w:rsidR="00791DEC" w:rsidRPr="007B5BE6">
        <w:t xml:space="preserve"> and over</w:t>
      </w:r>
      <w:r w:rsidR="002D734E" w:rsidRPr="007B5BE6">
        <w:t xml:space="preserve">. </w:t>
      </w:r>
      <w:r w:rsidRPr="007B5BE6">
        <w:t xml:space="preserve">Safeguarding is focused on the protection of an adult’s right to be safe and live without abuse and neglect. It seeks to ensure that action can be taken to prevent an adult being at risk of </w:t>
      </w:r>
      <w:r w:rsidR="00CB00C9" w:rsidRPr="007B5BE6">
        <w:t xml:space="preserve">experiencing, </w:t>
      </w:r>
      <w:r w:rsidRPr="007B5BE6">
        <w:t>or experiencing</w:t>
      </w:r>
      <w:r w:rsidR="00CB00C9" w:rsidRPr="007B5BE6">
        <w:t>,</w:t>
      </w:r>
      <w:r w:rsidRPr="007B5BE6">
        <w:t xml:space="preserve"> abuse or neglect. However, </w:t>
      </w:r>
      <w:r w:rsidR="00CB00C9" w:rsidRPr="007B5BE6">
        <w:t>safeguarding</w:t>
      </w:r>
      <w:r w:rsidRPr="007B5BE6">
        <w:t xml:space="preserve"> is not the same as protection and is not only focused on a person’s safety. It is also about promoting the adult’s wellbeing, respecting their dignity, autonomy and self-determination and empowering them to exercise their rights for as long they can and as much as they can. In Tasmania, the abuse of older Tasmanians and the adequacy of safeguards was brought into sharp focus</w:t>
      </w:r>
      <w:r w:rsidR="0009195D" w:rsidRPr="007B5BE6">
        <w:t>,</w:t>
      </w:r>
      <w:r w:rsidRPr="007B5BE6">
        <w:t xml:space="preserve"> following a 2017 inquest where the coroner identified gaps in legal and service responses and highlighted numerous areas where reform could be considered</w:t>
      </w:r>
      <w:r w:rsidR="00BE1C04" w:rsidRPr="007B5BE6">
        <w:t>.</w:t>
      </w:r>
    </w:p>
    <w:p w14:paraId="473AD5B3" w14:textId="717BF9DE" w:rsidR="005B5072" w:rsidRPr="007B5BE6" w:rsidRDefault="005B5072" w:rsidP="003B5335">
      <w:pPr>
        <w:rPr>
          <w:b/>
          <w:bCs/>
        </w:rPr>
      </w:pPr>
      <w:r w:rsidRPr="007B5BE6">
        <w:rPr>
          <w:b/>
          <w:bCs/>
        </w:rPr>
        <w:t>Background and scope of this Research Paper</w:t>
      </w:r>
    </w:p>
    <w:p w14:paraId="372505B3" w14:textId="19564D23" w:rsidR="005B5072" w:rsidRPr="007B5BE6" w:rsidRDefault="005B5072" w:rsidP="005B5072">
      <w:pPr>
        <w:pStyle w:val="NormalNumberedTextTLRI"/>
        <w:numPr>
          <w:ilvl w:val="0"/>
          <w:numId w:val="0"/>
        </w:numPr>
      </w:pPr>
      <w:r w:rsidRPr="007B5BE6">
        <w:t xml:space="preserve">Broadly, this Research Paper maps the current </w:t>
      </w:r>
      <w:r w:rsidR="00905ED6" w:rsidRPr="007B5BE6">
        <w:t xml:space="preserve">Tasmanian </w:t>
      </w:r>
      <w:r w:rsidRPr="007B5BE6">
        <w:t xml:space="preserve">legal landscape relevant to the abuse of older </w:t>
      </w:r>
      <w:r w:rsidR="00BE6CED" w:rsidRPr="007B5BE6">
        <w:t>Tasmanians and</w:t>
      </w:r>
      <w:r w:rsidR="00241410" w:rsidRPr="007B5BE6">
        <w:t xml:space="preserve"> </w:t>
      </w:r>
      <w:r w:rsidRPr="007B5BE6">
        <w:t>explor</w:t>
      </w:r>
      <w:r w:rsidR="00E55071" w:rsidRPr="007B5BE6">
        <w:t>es</w:t>
      </w:r>
      <w:r w:rsidRPr="007B5BE6">
        <w:t xml:space="preserve"> how identified gaps have limited the ability of </w:t>
      </w:r>
      <w:r w:rsidR="00006DF6" w:rsidRPr="007B5BE6">
        <w:t>existing</w:t>
      </w:r>
      <w:r w:rsidRPr="007B5BE6">
        <w:t xml:space="preserve"> laws to safeguard against </w:t>
      </w:r>
      <w:r w:rsidR="00E55071" w:rsidRPr="007B5BE6">
        <w:t xml:space="preserve">such </w:t>
      </w:r>
      <w:r w:rsidRPr="007B5BE6">
        <w:t xml:space="preserve">abuse. In addition, it </w:t>
      </w:r>
      <w:r w:rsidR="00E55071" w:rsidRPr="007B5BE6">
        <w:t xml:space="preserve">sets out </w:t>
      </w:r>
      <w:r w:rsidR="00691690" w:rsidRPr="007B5BE6">
        <w:t>3</w:t>
      </w:r>
      <w:r w:rsidR="00006E57" w:rsidRPr="007B5BE6">
        <w:t>1</w:t>
      </w:r>
      <w:r w:rsidR="00691690" w:rsidRPr="007B5BE6">
        <w:t xml:space="preserve"> recommendations for </w:t>
      </w:r>
      <w:r w:rsidRPr="007B5BE6">
        <w:t xml:space="preserve">reform </w:t>
      </w:r>
      <w:r w:rsidR="00D0036E" w:rsidRPr="007B5BE6">
        <w:t xml:space="preserve">that </w:t>
      </w:r>
      <w:r w:rsidR="00691690" w:rsidRPr="007B5BE6">
        <w:t xml:space="preserve">are aimed to </w:t>
      </w:r>
      <w:r w:rsidR="00772F31" w:rsidRPr="007B5BE6">
        <w:t>fill</w:t>
      </w:r>
      <w:r w:rsidR="00691690" w:rsidRPr="007B5BE6">
        <w:t xml:space="preserve"> </w:t>
      </w:r>
      <w:r w:rsidRPr="007B5BE6">
        <w:t>t</w:t>
      </w:r>
      <w:r w:rsidR="00006DF6" w:rsidRPr="007B5BE6">
        <w:t>he</w:t>
      </w:r>
      <w:r w:rsidR="00D03996" w:rsidRPr="007B5BE6">
        <w:t>se</w:t>
      </w:r>
      <w:r w:rsidRPr="007B5BE6">
        <w:t xml:space="preserve"> gaps </w:t>
      </w:r>
      <w:r w:rsidR="00D03996" w:rsidRPr="007B5BE6">
        <w:t>and</w:t>
      </w:r>
      <w:r w:rsidRPr="007B5BE6">
        <w:t xml:space="preserve"> </w:t>
      </w:r>
      <w:r w:rsidR="00772F31" w:rsidRPr="007B5BE6">
        <w:t xml:space="preserve">address </w:t>
      </w:r>
      <w:r w:rsidRPr="007B5BE6">
        <w:t xml:space="preserve">barriers that limit safeguarding against </w:t>
      </w:r>
      <w:r w:rsidR="00C30DC5" w:rsidRPr="007B5BE6">
        <w:t xml:space="preserve">the </w:t>
      </w:r>
      <w:r w:rsidRPr="007B5BE6">
        <w:t xml:space="preserve">abuse of older Tasmanians. </w:t>
      </w:r>
    </w:p>
    <w:p w14:paraId="4BD6A48D" w14:textId="495CA6FE" w:rsidR="008F76E1" w:rsidRPr="007B5BE6" w:rsidRDefault="005B5072" w:rsidP="003B5335">
      <w:r w:rsidRPr="007B5BE6">
        <w:t>The</w:t>
      </w:r>
      <w:r w:rsidR="004110FF" w:rsidRPr="007B5BE6">
        <w:t xml:space="preserve"> TLRI’s </w:t>
      </w:r>
      <w:r w:rsidR="00855097" w:rsidRPr="007B5BE6">
        <w:t xml:space="preserve">views and </w:t>
      </w:r>
      <w:r w:rsidR="004110FF" w:rsidRPr="007B5BE6">
        <w:t xml:space="preserve">recommendations </w:t>
      </w:r>
      <w:r w:rsidRPr="007B5BE6">
        <w:t xml:space="preserve">are informed by doctrinal research as well as reviews of relevant literature. </w:t>
      </w:r>
      <w:r w:rsidR="004110FF" w:rsidRPr="007B5BE6">
        <w:t xml:space="preserve">Further, the TLRI has </w:t>
      </w:r>
      <w:r w:rsidRPr="007B5BE6">
        <w:t xml:space="preserve">drawn on data obtained from 22 interviews conducted by the TLRI with 34 individuals, a written response from one agency and an informal discussion with another agency. Data was also obtained about the Tasmanian Elder Abuse Helpline (operated by Advocacy Tasmania) and the Senior Assist </w:t>
      </w:r>
      <w:r w:rsidR="00F159AB" w:rsidRPr="007B5BE6">
        <w:t>P</w:t>
      </w:r>
      <w:r w:rsidRPr="007B5BE6">
        <w:t xml:space="preserve">rogram (operated by Tasmania Legal Aid). The TLRI has considered approaches to safeguarding </w:t>
      </w:r>
      <w:r w:rsidR="00F159AB" w:rsidRPr="007B5BE6">
        <w:t xml:space="preserve">for </w:t>
      </w:r>
      <w:r w:rsidRPr="007B5BE6">
        <w:t>older people</w:t>
      </w:r>
      <w:r w:rsidR="008B0F07" w:rsidRPr="007B5BE6">
        <w:t xml:space="preserve"> in other jurisdictions</w:t>
      </w:r>
      <w:r w:rsidRPr="007B5BE6">
        <w:t xml:space="preserve">, as well as </w:t>
      </w:r>
      <w:r w:rsidR="007134FD" w:rsidRPr="007B5BE6">
        <w:t xml:space="preserve">existing relevant legislative frameworks in Tasmania, in particular </w:t>
      </w:r>
      <w:r w:rsidRPr="007B5BE6">
        <w:t xml:space="preserve">the framework under the </w:t>
      </w:r>
      <w:r w:rsidRPr="007B5BE6">
        <w:rPr>
          <w:i/>
        </w:rPr>
        <w:t xml:space="preserve">Disability Rights, Inclusion and Safeguarding Act 2024 </w:t>
      </w:r>
      <w:r w:rsidRPr="007B5BE6">
        <w:t xml:space="preserve">(Tas) for safeguarding </w:t>
      </w:r>
      <w:r w:rsidR="00F159AB" w:rsidRPr="007B5BE6">
        <w:t xml:space="preserve">for </w:t>
      </w:r>
      <w:r w:rsidRPr="007B5BE6">
        <w:t>people with disability.</w:t>
      </w:r>
      <w:r w:rsidR="00837E91" w:rsidRPr="007B5BE6">
        <w:t xml:space="preserve"> </w:t>
      </w:r>
      <w:r w:rsidR="00E3437E" w:rsidRPr="007B5BE6">
        <w:t>The TLRI’s</w:t>
      </w:r>
      <w:r w:rsidR="00837E91" w:rsidRPr="007B5BE6">
        <w:t xml:space="preserve"> views and recommendations </w:t>
      </w:r>
      <w:r w:rsidR="00E3437E" w:rsidRPr="007B5BE6">
        <w:t xml:space="preserve">are </w:t>
      </w:r>
      <w:r w:rsidR="00855097" w:rsidRPr="007B5BE6">
        <w:t xml:space="preserve">also </w:t>
      </w:r>
      <w:r w:rsidR="00B46901" w:rsidRPr="007B5BE6">
        <w:t xml:space="preserve">informed </w:t>
      </w:r>
      <w:r w:rsidR="00E3437E" w:rsidRPr="007B5BE6">
        <w:t xml:space="preserve">by </w:t>
      </w:r>
      <w:r w:rsidR="007A7EFC" w:rsidRPr="007B5BE6">
        <w:t xml:space="preserve">insights in the Tasmanian context on </w:t>
      </w:r>
      <w:r w:rsidR="00B46901" w:rsidRPr="007B5BE6">
        <w:t xml:space="preserve">the </w:t>
      </w:r>
      <w:r w:rsidR="00837E91" w:rsidRPr="007B5BE6">
        <w:t>nature of abuse of older people,</w:t>
      </w:r>
      <w:r w:rsidR="00A51BAB" w:rsidRPr="007B5BE6">
        <w:t xml:space="preserve"> </w:t>
      </w:r>
      <w:r w:rsidR="00837E91" w:rsidRPr="007B5BE6">
        <w:t>including definitions and types of abuse, prevalence and dynamics of abuse, and risk factors associated with abuse and help-seeking by older people or others when there are concerns about abuse.</w:t>
      </w:r>
      <w:r w:rsidR="007A7EFC" w:rsidRPr="007B5BE6">
        <w:t xml:space="preserve"> This </w:t>
      </w:r>
      <w:r w:rsidR="0016300F" w:rsidRPr="007B5BE6">
        <w:t xml:space="preserve">is </w:t>
      </w:r>
      <w:r w:rsidR="007A7EFC" w:rsidRPr="007B5BE6">
        <w:t xml:space="preserve">explored in </w:t>
      </w:r>
      <w:r w:rsidR="007A7EFC" w:rsidRPr="007B5BE6">
        <w:rPr>
          <w:b/>
          <w:bCs/>
        </w:rPr>
        <w:t>Part 2</w:t>
      </w:r>
      <w:r w:rsidR="007A7EFC" w:rsidRPr="007B5BE6">
        <w:t>.</w:t>
      </w:r>
      <w:r w:rsidR="00837E91" w:rsidRPr="007B5BE6">
        <w:t xml:space="preserve"> </w:t>
      </w:r>
    </w:p>
    <w:p w14:paraId="37D04019" w14:textId="41E38A7F" w:rsidR="005B5072" w:rsidRPr="007B5BE6" w:rsidRDefault="005B5072" w:rsidP="003B5335">
      <w:pPr>
        <w:rPr>
          <w:b/>
          <w:bCs/>
        </w:rPr>
      </w:pPr>
      <w:r w:rsidRPr="007B5BE6">
        <w:rPr>
          <w:b/>
          <w:bCs/>
        </w:rPr>
        <w:t>The current legal landscape in Tasmania and the gaps</w:t>
      </w:r>
    </w:p>
    <w:p w14:paraId="4B37CAD6" w14:textId="5CE59A73" w:rsidR="005B5072" w:rsidRPr="007B5BE6" w:rsidRDefault="00CF4EBF" w:rsidP="005B5072">
      <w:r w:rsidRPr="007B5BE6">
        <w:t xml:space="preserve">These are a range </w:t>
      </w:r>
      <w:r w:rsidR="00BC4E4B" w:rsidRPr="007B5BE6">
        <w:t xml:space="preserve">of responses </w:t>
      </w:r>
      <w:r w:rsidR="00BC4E4B" w:rsidRPr="007B5BE6" w:rsidDel="00A859C5">
        <w:t>that</w:t>
      </w:r>
      <w:r w:rsidR="00D62C4C" w:rsidRPr="007B5BE6">
        <w:t xml:space="preserve"> </w:t>
      </w:r>
      <w:r w:rsidR="00BC4E4B" w:rsidRPr="007B5BE6">
        <w:t>e</w:t>
      </w:r>
      <w:r w:rsidR="00B94E9D" w:rsidRPr="007B5BE6">
        <w:t xml:space="preserve">xist </w:t>
      </w:r>
      <w:r w:rsidR="00E8132B" w:rsidRPr="007B5BE6">
        <w:t xml:space="preserve">under the current legal landscape </w:t>
      </w:r>
      <w:r w:rsidR="00B94E9D" w:rsidRPr="007B5BE6">
        <w:t>in Tasmania</w:t>
      </w:r>
      <w:r w:rsidR="00A859C5" w:rsidRPr="007B5BE6">
        <w:t xml:space="preserve"> that </w:t>
      </w:r>
      <w:r w:rsidR="00931063" w:rsidRPr="007B5BE6">
        <w:t xml:space="preserve">may </w:t>
      </w:r>
      <w:r w:rsidR="00895C69" w:rsidRPr="007B5BE6">
        <w:t>operate as mechanisms for safeguarding against</w:t>
      </w:r>
      <w:r w:rsidR="00931063" w:rsidRPr="007B5BE6">
        <w:t xml:space="preserve"> the abuse of older people</w:t>
      </w:r>
      <w:r w:rsidR="00A34E9A" w:rsidRPr="007B5BE6">
        <w:t xml:space="preserve">. This </w:t>
      </w:r>
      <w:r w:rsidR="00B94E9D" w:rsidRPr="007B5BE6">
        <w:t>includ</w:t>
      </w:r>
      <w:r w:rsidR="00A34E9A" w:rsidRPr="007B5BE6">
        <w:t>es</w:t>
      </w:r>
      <w:r w:rsidR="00B94E9D" w:rsidRPr="007B5BE6">
        <w:t xml:space="preserve"> </w:t>
      </w:r>
      <w:r w:rsidR="001F51FF" w:rsidRPr="007B5BE6">
        <w:t>information and advice</w:t>
      </w:r>
      <w:r w:rsidR="00A34E9A" w:rsidRPr="007B5BE6">
        <w:t xml:space="preserve"> </w:t>
      </w:r>
      <w:r w:rsidR="001F51FF" w:rsidRPr="007B5BE6">
        <w:t xml:space="preserve">referrals </w:t>
      </w:r>
      <w:r w:rsidR="00C4409B" w:rsidRPr="007B5BE6">
        <w:t>(</w:t>
      </w:r>
      <w:r w:rsidR="00E8132B" w:rsidRPr="007B5BE6">
        <w:t xml:space="preserve">the </w:t>
      </w:r>
      <w:r w:rsidR="00AF1B44" w:rsidRPr="007B5BE6">
        <w:t>Tasmanian Elder Abuse Helpline</w:t>
      </w:r>
      <w:r w:rsidR="00DC7957" w:rsidRPr="007B5BE6">
        <w:t xml:space="preserve">), </w:t>
      </w:r>
      <w:r w:rsidR="00A81DB6" w:rsidRPr="007B5BE6">
        <w:t>awareness</w:t>
      </w:r>
      <w:r w:rsidR="004F204F" w:rsidRPr="007B5BE6">
        <w:t xml:space="preserve"> </w:t>
      </w:r>
      <w:r w:rsidR="00A81DB6" w:rsidRPr="007B5BE6">
        <w:t>raising and</w:t>
      </w:r>
      <w:r w:rsidR="00DC7957" w:rsidRPr="007B5BE6">
        <w:t xml:space="preserve"> advocacy support (Advocacy Tasmania, Migrant Resource Centre and Welcome Cultural Services</w:t>
      </w:r>
      <w:r w:rsidR="004B3F62" w:rsidRPr="007B5BE6">
        <w:t xml:space="preserve">), </w:t>
      </w:r>
      <w:r w:rsidR="0074342F" w:rsidRPr="007B5BE6">
        <w:t xml:space="preserve">family relationship support services (Elder </w:t>
      </w:r>
      <w:r w:rsidR="00251B1D" w:rsidRPr="007B5BE6">
        <w:t>Relationship Service provided by Relationships Australia Tasmania),</w:t>
      </w:r>
      <w:r w:rsidR="006213C1" w:rsidRPr="007B5BE6">
        <w:t xml:space="preserve"> </w:t>
      </w:r>
      <w:r w:rsidR="006024C9" w:rsidRPr="007B5BE6">
        <w:t>poli</w:t>
      </w:r>
      <w:r w:rsidR="006C61F6" w:rsidRPr="007B5BE6">
        <w:t xml:space="preserve">cy </w:t>
      </w:r>
      <w:r w:rsidR="00DA738A" w:rsidRPr="007B5BE6">
        <w:t>work</w:t>
      </w:r>
      <w:r w:rsidR="006C61F6" w:rsidRPr="007B5BE6">
        <w:t xml:space="preserve"> </w:t>
      </w:r>
      <w:r w:rsidR="0073213A" w:rsidRPr="007B5BE6">
        <w:t>representing the</w:t>
      </w:r>
      <w:r w:rsidR="008021CA" w:rsidRPr="007B5BE6">
        <w:t xml:space="preserve"> interests of older people and the prevention of abuse </w:t>
      </w:r>
      <w:r w:rsidR="00A34E9A" w:rsidRPr="007B5BE6">
        <w:t xml:space="preserve">and ageism </w:t>
      </w:r>
      <w:r w:rsidR="008021CA" w:rsidRPr="007B5BE6">
        <w:t>(Council on the Ageing</w:t>
      </w:r>
      <w:r w:rsidR="00D6139B" w:rsidRPr="007B5BE6">
        <w:t>,</w:t>
      </w:r>
      <w:r w:rsidR="00FB59BE" w:rsidRPr="007B5BE6">
        <w:t xml:space="preserve"> T</w:t>
      </w:r>
      <w:r w:rsidR="008021CA" w:rsidRPr="007B5BE6">
        <w:t>asmania),</w:t>
      </w:r>
      <w:r w:rsidR="001E7494" w:rsidRPr="007B5BE6">
        <w:t xml:space="preserve"> </w:t>
      </w:r>
      <w:r w:rsidR="006230A1" w:rsidRPr="007B5BE6">
        <w:t xml:space="preserve">and </w:t>
      </w:r>
      <w:r w:rsidR="00AA693D" w:rsidRPr="007B5BE6">
        <w:t xml:space="preserve">specialist </w:t>
      </w:r>
      <w:r w:rsidR="004B3F62" w:rsidRPr="007B5BE6">
        <w:t xml:space="preserve">legal </w:t>
      </w:r>
      <w:r w:rsidR="00AA693D" w:rsidRPr="007B5BE6">
        <w:t>services and</w:t>
      </w:r>
      <w:r w:rsidR="004B3F62" w:rsidRPr="007B5BE6">
        <w:t xml:space="preserve"> support (Tasmania Legal Aid</w:t>
      </w:r>
      <w:r w:rsidR="00B81BFA" w:rsidRPr="007B5BE6">
        <w:t>’s</w:t>
      </w:r>
      <w:r w:rsidR="004B3F62" w:rsidRPr="007B5BE6">
        <w:t xml:space="preserve"> Senior Assist</w:t>
      </w:r>
      <w:r w:rsidR="00B81BFA" w:rsidRPr="007B5BE6">
        <w:t xml:space="preserve"> Program</w:t>
      </w:r>
      <w:r w:rsidR="004B3F62" w:rsidRPr="007B5BE6">
        <w:t>)</w:t>
      </w:r>
      <w:r w:rsidR="003B2392" w:rsidRPr="007B5BE6">
        <w:t xml:space="preserve">. Safeguarding responses are also </w:t>
      </w:r>
      <w:r w:rsidR="00A07FAC" w:rsidRPr="007B5BE6">
        <w:t xml:space="preserve">included in the </w:t>
      </w:r>
      <w:r w:rsidR="00016CBB" w:rsidRPr="007B5BE6">
        <w:t>functions</w:t>
      </w:r>
      <w:r w:rsidR="00A07FAC" w:rsidRPr="007B5BE6">
        <w:t xml:space="preserve"> of some</w:t>
      </w:r>
      <w:r w:rsidR="003B2392" w:rsidRPr="007B5BE6">
        <w:t xml:space="preserve"> entities </w:t>
      </w:r>
      <w:r w:rsidR="00016CBB" w:rsidRPr="007B5BE6">
        <w:t>that</w:t>
      </w:r>
      <w:r w:rsidR="00995615" w:rsidRPr="007B5BE6">
        <w:t xml:space="preserve"> have dedicated roles under specific </w:t>
      </w:r>
      <w:r w:rsidR="00B81BFA" w:rsidRPr="007B5BE6">
        <w:t xml:space="preserve">Tasmanian </w:t>
      </w:r>
      <w:r w:rsidR="00995615" w:rsidRPr="007B5BE6">
        <w:t xml:space="preserve">legislation, </w:t>
      </w:r>
      <w:r w:rsidR="00A07FAC" w:rsidRPr="007B5BE6">
        <w:t>such as</w:t>
      </w:r>
      <w:r w:rsidR="004B3F62" w:rsidRPr="007B5BE6">
        <w:t xml:space="preserve"> </w:t>
      </w:r>
      <w:r w:rsidR="00C3568F" w:rsidRPr="007B5BE6">
        <w:t xml:space="preserve">the </w:t>
      </w:r>
      <w:r w:rsidR="002C1FF5" w:rsidRPr="007B5BE6">
        <w:t xml:space="preserve">Disability Commissioner, the </w:t>
      </w:r>
      <w:r w:rsidR="009A4D1D">
        <w:t>Anti</w:t>
      </w:r>
      <w:r w:rsidR="00991EDF">
        <w:t>-Discrimination</w:t>
      </w:r>
      <w:r w:rsidR="002C1FF5" w:rsidRPr="007B5BE6">
        <w:t xml:space="preserve"> Commissioner, </w:t>
      </w:r>
      <w:r w:rsidR="00016CBB" w:rsidRPr="007B5BE6">
        <w:t>the Health Services Commissioner, the</w:t>
      </w:r>
      <w:r w:rsidR="002C1FF5" w:rsidRPr="007B5BE6">
        <w:t xml:space="preserve"> </w:t>
      </w:r>
      <w:r w:rsidR="00C3568F" w:rsidRPr="007B5BE6">
        <w:t>Public Guardian</w:t>
      </w:r>
      <w:r w:rsidR="00282956" w:rsidRPr="007B5BE6">
        <w:t xml:space="preserve">, </w:t>
      </w:r>
      <w:r w:rsidR="00995615" w:rsidRPr="007B5BE6">
        <w:t xml:space="preserve">the </w:t>
      </w:r>
      <w:r w:rsidR="00282956" w:rsidRPr="007B5BE6">
        <w:t xml:space="preserve">Public </w:t>
      </w:r>
      <w:r w:rsidR="00C3568F" w:rsidRPr="007B5BE6">
        <w:t xml:space="preserve">Trustee and </w:t>
      </w:r>
      <w:r w:rsidR="000B1375" w:rsidRPr="007B5BE6">
        <w:t xml:space="preserve">statutory </w:t>
      </w:r>
      <w:r w:rsidR="00C3568F" w:rsidRPr="007B5BE6">
        <w:t xml:space="preserve">oversight </w:t>
      </w:r>
      <w:r w:rsidR="000B1375" w:rsidRPr="007B5BE6">
        <w:t xml:space="preserve">by </w:t>
      </w:r>
      <w:r w:rsidR="008972E8" w:rsidRPr="007B5BE6">
        <w:t>the</w:t>
      </w:r>
      <w:r w:rsidR="000B1375" w:rsidRPr="007B5BE6">
        <w:t xml:space="preserve"> T</w:t>
      </w:r>
      <w:r w:rsidR="008972E8" w:rsidRPr="007B5BE6">
        <w:t xml:space="preserve">asmanian </w:t>
      </w:r>
      <w:r w:rsidR="00066316" w:rsidRPr="007B5BE6">
        <w:t>Civil and</w:t>
      </w:r>
      <w:r w:rsidR="008972E8" w:rsidRPr="007B5BE6">
        <w:t xml:space="preserve"> Administrative </w:t>
      </w:r>
      <w:r w:rsidR="000B1375" w:rsidRPr="007B5BE6">
        <w:t>T</w:t>
      </w:r>
      <w:r w:rsidR="00066316" w:rsidRPr="007B5BE6">
        <w:t>ribunal</w:t>
      </w:r>
      <w:r w:rsidR="00134246" w:rsidRPr="007B5BE6">
        <w:t>.</w:t>
      </w:r>
      <w:r w:rsidR="0006748B" w:rsidRPr="007B5BE6">
        <w:t xml:space="preserve"> Depending on the circumstances, t</w:t>
      </w:r>
      <w:r w:rsidR="00134246" w:rsidRPr="007B5BE6">
        <w:t>here are also</w:t>
      </w:r>
      <w:r w:rsidR="00FA4F17" w:rsidRPr="007B5BE6">
        <w:t xml:space="preserve"> </w:t>
      </w:r>
      <w:r w:rsidR="006A30B8" w:rsidRPr="007B5BE6">
        <w:t xml:space="preserve">laws that provide for civil </w:t>
      </w:r>
      <w:r w:rsidR="003C34BE" w:rsidRPr="007B5BE6">
        <w:t xml:space="preserve">protection </w:t>
      </w:r>
      <w:r w:rsidR="00052060" w:rsidRPr="007B5BE6">
        <w:t xml:space="preserve">against some forms of </w:t>
      </w:r>
      <w:r w:rsidR="00931063" w:rsidRPr="007B5BE6">
        <w:t>abuse</w:t>
      </w:r>
      <w:r w:rsidR="003C34BE" w:rsidRPr="007B5BE6">
        <w:t xml:space="preserve"> (such as restraint orders or family violence orders</w:t>
      </w:r>
      <w:r w:rsidR="00C4409B" w:rsidRPr="007B5BE6">
        <w:t>)</w:t>
      </w:r>
      <w:r w:rsidR="003C34BE" w:rsidRPr="007B5BE6">
        <w:t>,</w:t>
      </w:r>
      <w:r w:rsidR="002C1FF5" w:rsidRPr="007B5BE6">
        <w:t xml:space="preserve"> </w:t>
      </w:r>
      <w:r w:rsidR="00931063" w:rsidRPr="007B5BE6">
        <w:t xml:space="preserve">as well as the </w:t>
      </w:r>
      <w:r w:rsidR="00FA4F17" w:rsidRPr="007B5BE6">
        <w:t>criminal law</w:t>
      </w:r>
      <w:r w:rsidR="00931063" w:rsidRPr="007B5BE6">
        <w:t xml:space="preserve">, supported by </w:t>
      </w:r>
      <w:r w:rsidR="00FA4F17" w:rsidRPr="007B5BE6">
        <w:t>polic</w:t>
      </w:r>
      <w:r w:rsidR="001B7274" w:rsidRPr="007B5BE6">
        <w:t>ing</w:t>
      </w:r>
      <w:r w:rsidR="0056646B" w:rsidRPr="007B5BE6">
        <w:t xml:space="preserve"> and </w:t>
      </w:r>
      <w:r w:rsidR="0056646B" w:rsidRPr="007B5BE6">
        <w:lastRenderedPageBreak/>
        <w:t>prosecution services</w:t>
      </w:r>
      <w:r w:rsidR="00FA4F17" w:rsidRPr="007B5BE6">
        <w:t>. However, d</w:t>
      </w:r>
      <w:r w:rsidR="005B5072" w:rsidRPr="007B5BE6">
        <w:t xml:space="preserve">espite a focus on safeguarding of older adults in Tasmanian and national policy </w:t>
      </w:r>
      <w:r w:rsidR="007B2A90" w:rsidRPr="007B5BE6">
        <w:t>framework</w:t>
      </w:r>
      <w:r w:rsidR="0006748B" w:rsidRPr="007B5BE6">
        <w:t>s</w:t>
      </w:r>
      <w:r w:rsidR="007B2A90" w:rsidRPr="007B5BE6">
        <w:t xml:space="preserve"> </w:t>
      </w:r>
      <w:r w:rsidR="005B5072" w:rsidRPr="007B5BE6">
        <w:t xml:space="preserve">and the range of specialist </w:t>
      </w:r>
      <w:r w:rsidR="00FA4F17" w:rsidRPr="007B5BE6">
        <w:t xml:space="preserve">safeguarding </w:t>
      </w:r>
      <w:r w:rsidR="005B5072" w:rsidRPr="007B5BE6">
        <w:t>services that exist in Tasmania, the TLRI</w:t>
      </w:r>
      <w:r w:rsidR="00FF3C90" w:rsidRPr="007B5BE6">
        <w:t>’</w:t>
      </w:r>
      <w:r w:rsidR="005B5072" w:rsidRPr="007B5BE6">
        <w:t xml:space="preserve">s view is that the current laws do not provide a systematic or comprehensive legal framework focused on </w:t>
      </w:r>
      <w:r w:rsidR="00FA4F17" w:rsidRPr="007B5BE6">
        <w:t xml:space="preserve">safeguarding against </w:t>
      </w:r>
      <w:r w:rsidR="0006748B" w:rsidRPr="007B5BE6">
        <w:t xml:space="preserve">the </w:t>
      </w:r>
      <w:r w:rsidR="005B5072" w:rsidRPr="007B5BE6">
        <w:t>abuse of older people. There ha</w:t>
      </w:r>
      <w:r w:rsidR="007B2A90" w:rsidRPr="007B5BE6">
        <w:t>ve</w:t>
      </w:r>
      <w:r w:rsidR="005B5072" w:rsidRPr="007B5BE6">
        <w:t xml:space="preserve"> been separate and incremental development</w:t>
      </w:r>
      <w:r w:rsidR="007B2A90" w:rsidRPr="007B5BE6">
        <w:t>s</w:t>
      </w:r>
      <w:r w:rsidR="005B5072" w:rsidRPr="007B5BE6">
        <w:t xml:space="preserve"> of the law, which has resulted in a patchwork of laws that are not easily identifiable and</w:t>
      </w:r>
      <w:r w:rsidR="00386260" w:rsidRPr="007B5BE6">
        <w:t xml:space="preserve">, further, </w:t>
      </w:r>
      <w:r w:rsidR="005B5072" w:rsidRPr="007B5BE6">
        <w:t>may not provide an accessible response for older people who are experiencing</w:t>
      </w:r>
      <w:r w:rsidR="00386260" w:rsidRPr="007B5BE6">
        <w:t>,</w:t>
      </w:r>
      <w:r w:rsidR="005B5072" w:rsidRPr="007B5BE6">
        <w:t xml:space="preserve"> or at risk of experiencing</w:t>
      </w:r>
      <w:r w:rsidR="00386260" w:rsidRPr="007B5BE6">
        <w:t>,</w:t>
      </w:r>
      <w:r w:rsidR="005B5072" w:rsidRPr="007B5BE6">
        <w:t xml:space="preserve"> abuse</w:t>
      </w:r>
      <w:r w:rsidR="000C3517" w:rsidRPr="007B5BE6">
        <w:t>.</w:t>
      </w:r>
    </w:p>
    <w:p w14:paraId="2FA21E3E" w14:textId="4AB0E7E2" w:rsidR="00F87619" w:rsidRPr="007B5BE6" w:rsidRDefault="005B5072" w:rsidP="005B5072">
      <w:r w:rsidRPr="007B5BE6">
        <w:t>The current laws that may apply in circumstances where an older Tasmania</w:t>
      </w:r>
      <w:r w:rsidR="005A5C00" w:rsidRPr="007B5BE6">
        <w:t>n</w:t>
      </w:r>
      <w:r w:rsidRPr="007B5BE6">
        <w:t xml:space="preserve"> is</w:t>
      </w:r>
      <w:r w:rsidR="00386260" w:rsidRPr="007B5BE6">
        <w:t>,</w:t>
      </w:r>
      <w:r w:rsidRPr="007B5BE6">
        <w:t xml:space="preserve"> or may be subject</w:t>
      </w:r>
      <w:r w:rsidR="00386260" w:rsidRPr="007B5BE6">
        <w:t>,</w:t>
      </w:r>
      <w:r w:rsidRPr="007B5BE6">
        <w:t xml:space="preserve"> to physical, sexual, emotional </w:t>
      </w:r>
      <w:r w:rsidR="00FB1680" w:rsidRPr="007B5BE6">
        <w:t xml:space="preserve">or </w:t>
      </w:r>
      <w:r w:rsidRPr="007B5BE6">
        <w:t>financial abuse</w:t>
      </w:r>
      <w:r w:rsidR="00FB1680" w:rsidRPr="007B5BE6">
        <w:t>,</w:t>
      </w:r>
      <w:r w:rsidRPr="007B5BE6">
        <w:t xml:space="preserve"> or neglect are found in a range of intersecting laws</w:t>
      </w:r>
      <w:r w:rsidR="00FB1680" w:rsidRPr="007B5BE6">
        <w:t>,</w:t>
      </w:r>
      <w:r w:rsidRPr="007B5BE6">
        <w:t xml:space="preserve"> both </w:t>
      </w:r>
      <w:r w:rsidR="00FB1680" w:rsidRPr="007B5BE6">
        <w:t xml:space="preserve">in the </w:t>
      </w:r>
      <w:r w:rsidRPr="007B5BE6">
        <w:t>Tasmanian and Commonwealth</w:t>
      </w:r>
      <w:r w:rsidR="00FB1680" w:rsidRPr="007B5BE6">
        <w:t xml:space="preserve"> jurisdictions</w:t>
      </w:r>
      <w:r w:rsidRPr="007B5BE6">
        <w:t xml:space="preserve">. These are outlined </w:t>
      </w:r>
      <w:r w:rsidR="00CD1B44" w:rsidRPr="007B5BE6">
        <w:t xml:space="preserve">and reviewed </w:t>
      </w:r>
      <w:r w:rsidRPr="007B5BE6">
        <w:t xml:space="preserve">in </w:t>
      </w:r>
      <w:r w:rsidRPr="007B5BE6">
        <w:rPr>
          <w:b/>
          <w:bCs/>
        </w:rPr>
        <w:t>Part 3</w:t>
      </w:r>
      <w:r w:rsidRPr="007B5BE6">
        <w:t xml:space="preserve">. The </w:t>
      </w:r>
      <w:r w:rsidR="006A1772" w:rsidRPr="007B5BE6">
        <w:t xml:space="preserve">relevant </w:t>
      </w:r>
      <w:r w:rsidRPr="007B5BE6">
        <w:t>laws include criminal and civil laws</w:t>
      </w:r>
      <w:r w:rsidR="006A1772" w:rsidRPr="007B5BE6">
        <w:t>,</w:t>
      </w:r>
      <w:r w:rsidRPr="007B5BE6">
        <w:t xml:space="preserve"> laws in the coronial jurisdiction, and legal responses under common law or equity. In addition, there are legislative frameworks governing legal decision</w:t>
      </w:r>
      <w:r w:rsidR="00877588" w:rsidRPr="007B5BE6">
        <w:t xml:space="preserve"> </w:t>
      </w:r>
      <w:r w:rsidRPr="007B5BE6">
        <w:t>making</w:t>
      </w:r>
      <w:r w:rsidR="00010163" w:rsidRPr="007B5BE6">
        <w:t>,</w:t>
      </w:r>
      <w:r w:rsidRPr="007B5BE6">
        <w:t xml:space="preserve"> including laws relating to enduring powers of attorney </w:t>
      </w:r>
      <w:r w:rsidR="00572AE0" w:rsidRPr="007B5BE6">
        <w:t xml:space="preserve">and </w:t>
      </w:r>
      <w:r w:rsidRPr="007B5BE6">
        <w:t>guardianship and administration order</w:t>
      </w:r>
      <w:r w:rsidR="006A1772" w:rsidRPr="007B5BE6">
        <w:t>s</w:t>
      </w:r>
      <w:r w:rsidRPr="007B5BE6">
        <w:t xml:space="preserve">, and laws that govern end-of-life decisions. There are also several independent Commissioner roles </w:t>
      </w:r>
      <w:r w:rsidR="003E2DB7" w:rsidRPr="007B5BE6">
        <w:t>that can receive complaints</w:t>
      </w:r>
      <w:r w:rsidRPr="007B5BE6">
        <w:t xml:space="preserve">, relating to health services, discrimination on certain bases and in certain areas of activity, and people with disability. </w:t>
      </w:r>
    </w:p>
    <w:p w14:paraId="366D3FB8" w14:textId="0404C8AE" w:rsidR="005B5072" w:rsidRPr="007B5BE6" w:rsidRDefault="005B5072" w:rsidP="005B5072">
      <w:r w:rsidRPr="007B5BE6">
        <w:t xml:space="preserve">In summary, </w:t>
      </w:r>
      <w:r w:rsidR="00CD1B44" w:rsidRPr="007B5BE6">
        <w:t xml:space="preserve">a review of these laws indicates that </w:t>
      </w:r>
      <w:r w:rsidRPr="007B5BE6">
        <w:t xml:space="preserve">the current legal landscape offers protections for </w:t>
      </w:r>
      <w:r w:rsidRPr="007B5BE6">
        <w:rPr>
          <w:i/>
          <w:iCs/>
        </w:rPr>
        <w:t>some</w:t>
      </w:r>
      <w:r w:rsidRPr="007B5BE6">
        <w:t xml:space="preserve"> forms of abuse for </w:t>
      </w:r>
      <w:r w:rsidRPr="007B5BE6">
        <w:rPr>
          <w:i/>
          <w:iCs/>
        </w:rPr>
        <w:t>some</w:t>
      </w:r>
      <w:r w:rsidRPr="007B5BE6">
        <w:t xml:space="preserve"> older people in </w:t>
      </w:r>
      <w:r w:rsidRPr="007B5BE6">
        <w:rPr>
          <w:i/>
          <w:iCs/>
        </w:rPr>
        <w:t>some</w:t>
      </w:r>
      <w:r w:rsidRPr="007B5BE6">
        <w:t xml:space="preserve"> circumstances. </w:t>
      </w:r>
      <w:r w:rsidR="00680A44" w:rsidRPr="007B5BE6">
        <w:t xml:space="preserve">However, they do not cover all forms of abuse that </w:t>
      </w:r>
      <w:r w:rsidR="00B76361" w:rsidRPr="007B5BE6">
        <w:t>are</w:t>
      </w:r>
      <w:r w:rsidR="00680A44" w:rsidRPr="007B5BE6">
        <w:t xml:space="preserve"> experienced by older people</w:t>
      </w:r>
      <w:r w:rsidR="00477024" w:rsidRPr="007B5BE6">
        <w:t>,</w:t>
      </w:r>
      <w:r w:rsidR="00680A44" w:rsidRPr="007B5BE6">
        <w:t xml:space="preserve"> nor </w:t>
      </w:r>
      <w:r w:rsidR="00CD1B44" w:rsidRPr="007B5BE6">
        <w:t xml:space="preserve">do they </w:t>
      </w:r>
      <w:r w:rsidR="00680A44" w:rsidRPr="007B5BE6">
        <w:t xml:space="preserve">provide a response that is specifically defined </w:t>
      </w:r>
      <w:r w:rsidR="00386C60" w:rsidRPr="007B5BE6">
        <w:t xml:space="preserve">around, </w:t>
      </w:r>
      <w:r w:rsidR="00680A44" w:rsidRPr="007B5BE6">
        <w:t>or tailored to</w:t>
      </w:r>
      <w:r w:rsidR="00052F54" w:rsidRPr="007B5BE6">
        <w:t>,</w:t>
      </w:r>
      <w:r w:rsidR="00680A44" w:rsidRPr="007B5BE6">
        <w:t xml:space="preserve"> </w:t>
      </w:r>
      <w:r w:rsidR="006002F9" w:rsidRPr="007B5BE6">
        <w:t xml:space="preserve">both </w:t>
      </w:r>
      <w:r w:rsidR="00477024" w:rsidRPr="007B5BE6">
        <w:t>the</w:t>
      </w:r>
      <w:r w:rsidR="00B76361" w:rsidRPr="007B5BE6">
        <w:t xml:space="preserve"> nature and dynamics </w:t>
      </w:r>
      <w:r w:rsidR="00477024" w:rsidRPr="007B5BE6">
        <w:t xml:space="preserve">of such abuse </w:t>
      </w:r>
      <w:r w:rsidR="00B76361" w:rsidRPr="007B5BE6">
        <w:t xml:space="preserve">and </w:t>
      </w:r>
      <w:r w:rsidR="00052F54" w:rsidRPr="007B5BE6">
        <w:t>older people’s</w:t>
      </w:r>
      <w:r w:rsidR="00B76361" w:rsidRPr="007B5BE6">
        <w:t xml:space="preserve"> </w:t>
      </w:r>
      <w:r w:rsidR="00EC1634" w:rsidRPr="007B5BE6">
        <w:t xml:space="preserve">rights and interests. </w:t>
      </w:r>
      <w:r w:rsidR="00386C60" w:rsidRPr="007B5BE6">
        <w:t>Consequently</w:t>
      </w:r>
      <w:r w:rsidR="00671221" w:rsidRPr="007B5BE6">
        <w:t>,</w:t>
      </w:r>
      <w:r w:rsidRPr="007B5BE6">
        <w:t xml:space="preserve"> it is likely that there are older Tasmanians who are ‘falling through the </w:t>
      </w:r>
      <w:proofErr w:type="gramStart"/>
      <w:r w:rsidRPr="007B5BE6">
        <w:t>cracks’</w:t>
      </w:r>
      <w:proofErr w:type="gramEnd"/>
      <w:r w:rsidRPr="007B5BE6">
        <w:t>.</w:t>
      </w:r>
    </w:p>
    <w:p w14:paraId="183256BB" w14:textId="1BD0B840" w:rsidR="005B5072" w:rsidRPr="007B5BE6" w:rsidRDefault="005B5072" w:rsidP="005B5072">
      <w:r w:rsidRPr="007B5BE6">
        <w:t xml:space="preserve">There are some laws that apply for all people in Tasmania, such as criminal offences </w:t>
      </w:r>
      <w:r w:rsidR="00572D83" w:rsidRPr="007B5BE6">
        <w:t xml:space="preserve">(for example, </w:t>
      </w:r>
      <w:r w:rsidRPr="007B5BE6">
        <w:t xml:space="preserve">assault, theft or fraud) or civil causes of actions based on undue influence or unconscionable conduct. However, </w:t>
      </w:r>
      <w:r w:rsidR="00DC4466" w:rsidRPr="007B5BE6">
        <w:t xml:space="preserve">as responses to the abuse of older people, </w:t>
      </w:r>
      <w:r w:rsidRPr="007B5BE6">
        <w:t xml:space="preserve">there are barriers to the </w:t>
      </w:r>
      <w:r w:rsidR="00DC4466" w:rsidRPr="007B5BE6">
        <w:t xml:space="preserve">operation </w:t>
      </w:r>
      <w:r w:rsidRPr="007B5BE6">
        <w:t xml:space="preserve">of these laws of general application. </w:t>
      </w:r>
      <w:r w:rsidR="00D268D0" w:rsidRPr="007B5BE6">
        <w:t>Where legal</w:t>
      </w:r>
      <w:r w:rsidRPr="007B5BE6">
        <w:t xml:space="preserve"> avenues do exist, they may be difficult to access for a range of reasons, such as a</w:t>
      </w:r>
      <w:r w:rsidR="007817CD" w:rsidRPr="007B5BE6">
        <w:t>n older</w:t>
      </w:r>
      <w:r w:rsidRPr="007B5BE6">
        <w:t xml:space="preserve"> person not having the capacity to instruct </w:t>
      </w:r>
      <w:r w:rsidR="00DC4466" w:rsidRPr="007B5BE6">
        <w:t xml:space="preserve">a </w:t>
      </w:r>
      <w:r w:rsidR="00AC4B77" w:rsidRPr="007B5BE6">
        <w:t>lawyer or</w:t>
      </w:r>
      <w:r w:rsidRPr="007B5BE6">
        <w:t xml:space="preserve"> not having the resources to engage a private lawyer. In addition, </w:t>
      </w:r>
      <w:r w:rsidR="00DA6924" w:rsidRPr="007B5BE6">
        <w:t xml:space="preserve">older people </w:t>
      </w:r>
      <w:r w:rsidR="00BB3363" w:rsidRPr="007B5BE6">
        <w:t xml:space="preserve">experiencing abuse </w:t>
      </w:r>
      <w:r w:rsidR="00DA6924" w:rsidRPr="007B5BE6">
        <w:t xml:space="preserve">may choose not to access </w:t>
      </w:r>
      <w:r w:rsidRPr="007B5BE6">
        <w:t xml:space="preserve">the existing legal options </w:t>
      </w:r>
      <w:r w:rsidR="00BB3363" w:rsidRPr="007B5BE6">
        <w:t>as a way of seeking help</w:t>
      </w:r>
      <w:r w:rsidR="003E74AF" w:rsidRPr="007B5BE6">
        <w:t>. This may be</w:t>
      </w:r>
      <w:r w:rsidR="00BB3363" w:rsidRPr="007B5BE6">
        <w:t xml:space="preserve"> </w:t>
      </w:r>
      <w:r w:rsidRPr="007B5BE6">
        <w:t xml:space="preserve">because they do not want to pursue a </w:t>
      </w:r>
      <w:r w:rsidR="003E74AF" w:rsidRPr="007B5BE6">
        <w:t xml:space="preserve">formal </w:t>
      </w:r>
      <w:r w:rsidRPr="007B5BE6">
        <w:t>legal response</w:t>
      </w:r>
      <w:r w:rsidR="00351F4F" w:rsidRPr="007B5BE6">
        <w:t xml:space="preserve"> (for a range of reasons, including financial capacity) </w:t>
      </w:r>
      <w:r w:rsidRPr="007B5BE6">
        <w:t xml:space="preserve">or because they have concerns about </w:t>
      </w:r>
      <w:r w:rsidR="003E74AF" w:rsidRPr="007B5BE6">
        <w:t xml:space="preserve">the consequences </w:t>
      </w:r>
      <w:r w:rsidRPr="007B5BE6">
        <w:t xml:space="preserve">of </w:t>
      </w:r>
      <w:r w:rsidR="003E74AF" w:rsidRPr="007B5BE6">
        <w:t>doing so</w:t>
      </w:r>
      <w:r w:rsidRPr="007B5BE6">
        <w:t xml:space="preserve"> (for example, on </w:t>
      </w:r>
      <w:r w:rsidR="00351F4F" w:rsidRPr="007B5BE6">
        <w:t xml:space="preserve">relationships </w:t>
      </w:r>
      <w:r w:rsidRPr="007B5BE6">
        <w:t>with family members or on housing</w:t>
      </w:r>
      <w:r w:rsidR="00351F4F" w:rsidRPr="007B5BE6">
        <w:t xml:space="preserve"> arrangements</w:t>
      </w:r>
      <w:r w:rsidRPr="007B5BE6">
        <w:t xml:space="preserve">). </w:t>
      </w:r>
      <w:r w:rsidR="00337C42" w:rsidRPr="007B5BE6">
        <w:t xml:space="preserve">Significantly, older people may depend, for care and support, on people who are engaged in the abuse, rendering an older person ‘invisible’—with this invisibility exacerbated by a lack of capacity and/or the actions and behaviours of those care providers, including family members. </w:t>
      </w:r>
      <w:r w:rsidRPr="007B5BE6">
        <w:t xml:space="preserve">In addition, </w:t>
      </w:r>
      <w:r w:rsidR="00967174" w:rsidRPr="007B5BE6">
        <w:t>identified issues that cut across intersecting state- and Commonwealth-based legal and service frameworks were</w:t>
      </w:r>
      <w:r w:rsidR="00967174" w:rsidRPr="007B5BE6" w:rsidDel="00D83551">
        <w:t xml:space="preserve"> </w:t>
      </w:r>
      <w:r w:rsidR="00D83551" w:rsidRPr="007B5BE6">
        <w:t>low rates of</w:t>
      </w:r>
      <w:r w:rsidRPr="007B5BE6">
        <w:t xml:space="preserve"> </w:t>
      </w:r>
      <w:r w:rsidR="00E539FA" w:rsidRPr="007B5BE6">
        <w:t>reporting</w:t>
      </w:r>
      <w:r w:rsidR="00967174" w:rsidRPr="007B5BE6">
        <w:t xml:space="preserve"> of abuse of older people, combined with </w:t>
      </w:r>
      <w:r w:rsidR="00D83551" w:rsidRPr="007B5BE6">
        <w:t xml:space="preserve">a lack of </w:t>
      </w:r>
      <w:r w:rsidR="00D971D5" w:rsidRPr="007B5BE6">
        <w:t xml:space="preserve">expertise to </w:t>
      </w:r>
      <w:r w:rsidR="00CB5194" w:rsidRPr="007B5BE6">
        <w:t>detect</w:t>
      </w:r>
      <w:r w:rsidR="00D971D5" w:rsidRPr="007B5BE6">
        <w:t xml:space="preserve"> and</w:t>
      </w:r>
      <w:r w:rsidR="00DE28EF" w:rsidRPr="007B5BE6">
        <w:t xml:space="preserve"> </w:t>
      </w:r>
      <w:r w:rsidR="00DF5386" w:rsidRPr="007B5BE6">
        <w:t>investigat</w:t>
      </w:r>
      <w:r w:rsidR="00D971D5" w:rsidRPr="007B5BE6">
        <w:t>e</w:t>
      </w:r>
      <w:r w:rsidR="00DF5386" w:rsidRPr="007B5BE6">
        <w:t xml:space="preserve"> </w:t>
      </w:r>
      <w:r w:rsidR="00DE28EF" w:rsidRPr="007B5BE6">
        <w:t xml:space="preserve">within </w:t>
      </w:r>
      <w:r w:rsidR="00503B42" w:rsidRPr="007B5BE6">
        <w:t>law</w:t>
      </w:r>
      <w:r w:rsidR="00DF5386" w:rsidRPr="007B5BE6">
        <w:t xml:space="preserve"> </w:t>
      </w:r>
      <w:r w:rsidRPr="007B5BE6">
        <w:t>enforcement</w:t>
      </w:r>
      <w:r w:rsidR="00967174" w:rsidRPr="007B5BE6">
        <w:t>.</w:t>
      </w:r>
      <w:r w:rsidRPr="007B5BE6">
        <w:t xml:space="preserve"> Combined, the effect is that some older Tasmanians </w:t>
      </w:r>
      <w:r w:rsidR="00716505" w:rsidRPr="007B5BE6">
        <w:t>who are at risk of</w:t>
      </w:r>
      <w:r w:rsidR="00264EA8" w:rsidRPr="007B5BE6">
        <w:t>,</w:t>
      </w:r>
      <w:r w:rsidR="00716505" w:rsidRPr="007B5BE6">
        <w:t xml:space="preserve"> or are experiencing</w:t>
      </w:r>
      <w:r w:rsidR="00264EA8" w:rsidRPr="007B5BE6">
        <w:t>,</w:t>
      </w:r>
      <w:r w:rsidR="00716505" w:rsidRPr="007B5BE6">
        <w:t xml:space="preserve"> abuse </w:t>
      </w:r>
      <w:r w:rsidR="00E961D0" w:rsidRPr="007B5BE6">
        <w:t xml:space="preserve">will </w:t>
      </w:r>
      <w:r w:rsidR="00C47FFB" w:rsidRPr="007B5BE6">
        <w:t xml:space="preserve">not have the opportunity </w:t>
      </w:r>
      <w:r w:rsidR="00264EA8" w:rsidRPr="007B5BE6">
        <w:t>for</w:t>
      </w:r>
      <w:r w:rsidR="00956F84" w:rsidRPr="007B5BE6">
        <w:t xml:space="preserve"> their</w:t>
      </w:r>
      <w:r w:rsidR="00C47FFB" w:rsidRPr="007B5BE6">
        <w:t xml:space="preserve"> rights or interests </w:t>
      </w:r>
      <w:r w:rsidR="009F7086" w:rsidRPr="007B5BE6">
        <w:t xml:space="preserve">to be </w:t>
      </w:r>
      <w:r w:rsidR="00C47FFB" w:rsidRPr="007B5BE6">
        <w:t xml:space="preserve">protected </w:t>
      </w:r>
      <w:r w:rsidRPr="007B5BE6">
        <w:t>w</w:t>
      </w:r>
      <w:r w:rsidR="009F7086" w:rsidRPr="007B5BE6">
        <w:t xml:space="preserve">hen their circumstances sit within </w:t>
      </w:r>
      <w:r w:rsidRPr="007B5BE6">
        <w:t>the</w:t>
      </w:r>
      <w:r w:rsidR="001D1DFF" w:rsidRPr="007B5BE6">
        <w:t>se</w:t>
      </w:r>
      <w:r w:rsidRPr="007B5BE6">
        <w:t xml:space="preserve"> gaps in existing legal responses, and related service delivery responses.</w:t>
      </w:r>
    </w:p>
    <w:p w14:paraId="5E35F217" w14:textId="5781D33A" w:rsidR="005B5072" w:rsidRPr="007B5BE6" w:rsidRDefault="005B5072" w:rsidP="005B5072">
      <w:r w:rsidRPr="007B5BE6">
        <w:t>Accordingly, based on</w:t>
      </w:r>
      <w:r w:rsidR="009628D9" w:rsidRPr="007B5BE6">
        <w:t xml:space="preserve"> </w:t>
      </w:r>
      <w:r w:rsidR="007D7B3F" w:rsidRPr="007B5BE6">
        <w:t xml:space="preserve">its </w:t>
      </w:r>
      <w:r w:rsidRPr="007B5BE6">
        <w:t>research</w:t>
      </w:r>
      <w:r w:rsidR="006515BF" w:rsidRPr="007B5BE6">
        <w:t xml:space="preserve"> in </w:t>
      </w:r>
      <w:r w:rsidR="007D7B3F" w:rsidRPr="007B5BE6">
        <w:t>this study</w:t>
      </w:r>
      <w:r w:rsidRPr="007B5BE6">
        <w:t xml:space="preserve">, the TLRI’s view is that a significant gap in the current legal </w:t>
      </w:r>
      <w:r w:rsidR="007D7B3F" w:rsidRPr="007B5BE6">
        <w:t xml:space="preserve">framework for responding to the abuse of older Tasmanians </w:t>
      </w:r>
      <w:r w:rsidRPr="007B5BE6">
        <w:t xml:space="preserve">is the absence of an </w:t>
      </w:r>
      <w:r w:rsidR="00240795" w:rsidRPr="007B5BE6">
        <w:t>‘</w:t>
      </w:r>
      <w:r w:rsidRPr="007B5BE6">
        <w:t>overarching</w:t>
      </w:r>
      <w:r w:rsidR="00240795" w:rsidRPr="007B5BE6">
        <w:t>’</w:t>
      </w:r>
      <w:r w:rsidRPr="007B5BE6">
        <w:t xml:space="preserve"> </w:t>
      </w:r>
      <w:r w:rsidR="001B0847" w:rsidRPr="007B5BE6">
        <w:t xml:space="preserve">approach to </w:t>
      </w:r>
      <w:r w:rsidRPr="007B5BE6">
        <w:t>safeguarding</w:t>
      </w:r>
      <w:r w:rsidR="00F43A29" w:rsidRPr="007B5BE6">
        <w:t>, accompanied by a</w:t>
      </w:r>
      <w:r w:rsidRPr="007B5BE6">
        <w:t xml:space="preserve"> legal framework t</w:t>
      </w:r>
      <w:r w:rsidR="00A313FF" w:rsidRPr="007B5BE6">
        <w:t xml:space="preserve">hat </w:t>
      </w:r>
      <w:r w:rsidRPr="007B5BE6">
        <w:t>provide</w:t>
      </w:r>
      <w:r w:rsidR="00A313FF" w:rsidRPr="007B5BE6">
        <w:t>s</w:t>
      </w:r>
      <w:r w:rsidRPr="007B5BE6">
        <w:t xml:space="preserve"> a </w:t>
      </w:r>
      <w:r w:rsidR="00E426A8" w:rsidRPr="007B5BE6">
        <w:t xml:space="preserve">coordinated, </w:t>
      </w:r>
      <w:r w:rsidRPr="007B5BE6">
        <w:t xml:space="preserve">comprehensive and specialist legal response. </w:t>
      </w:r>
      <w:r w:rsidR="006643A2" w:rsidRPr="007B5BE6">
        <w:t xml:space="preserve">In this context, an overarching approach to safeguarding means having one agency or body responsible for safeguarding </w:t>
      </w:r>
      <w:r w:rsidR="00BF2CDC" w:rsidRPr="007B5BE6">
        <w:t>established</w:t>
      </w:r>
      <w:r w:rsidR="00D36234" w:rsidRPr="007B5BE6">
        <w:t xml:space="preserve"> by a dedicated legislative framework </w:t>
      </w:r>
      <w:r w:rsidR="00115F81" w:rsidRPr="007B5BE6">
        <w:t xml:space="preserve">that </w:t>
      </w:r>
      <w:r w:rsidR="004D0688" w:rsidRPr="007B5BE6">
        <w:t>is focused on</w:t>
      </w:r>
      <w:r w:rsidR="00BF2CDC" w:rsidRPr="007B5BE6">
        <w:t xml:space="preserve"> all</w:t>
      </w:r>
      <w:r w:rsidR="004D0688" w:rsidRPr="007B5BE6">
        <w:t xml:space="preserve"> </w:t>
      </w:r>
      <w:r w:rsidR="0044775D" w:rsidRPr="007B5BE6">
        <w:t xml:space="preserve">older </w:t>
      </w:r>
      <w:r w:rsidR="00DD4BDE" w:rsidRPr="007B5BE6">
        <w:t xml:space="preserve">people </w:t>
      </w:r>
      <w:r w:rsidR="00B27A49" w:rsidRPr="007B5BE6">
        <w:t>who may be experiencing</w:t>
      </w:r>
      <w:r w:rsidR="002544D2" w:rsidRPr="007B5BE6">
        <w:t>,</w:t>
      </w:r>
      <w:r w:rsidR="00B27A49" w:rsidRPr="007B5BE6">
        <w:t xml:space="preserve"> or at risk of experiencing</w:t>
      </w:r>
      <w:r w:rsidR="002544D2" w:rsidRPr="007B5BE6">
        <w:t>,</w:t>
      </w:r>
      <w:r w:rsidR="00B27A49" w:rsidRPr="007B5BE6">
        <w:t xml:space="preserve"> abuse</w:t>
      </w:r>
      <w:r w:rsidR="00F114FC" w:rsidRPr="007B5BE6">
        <w:t>. This is</w:t>
      </w:r>
      <w:r w:rsidR="00EE2A98" w:rsidRPr="007B5BE6">
        <w:t xml:space="preserve"> a wider focus than </w:t>
      </w:r>
      <w:r w:rsidR="00E24E1D" w:rsidRPr="007B5BE6">
        <w:t xml:space="preserve">existing legislative frameworks </w:t>
      </w:r>
      <w:r w:rsidR="008C1242" w:rsidRPr="007B5BE6">
        <w:t>that apply in</w:t>
      </w:r>
      <w:r w:rsidR="002544D2" w:rsidRPr="007B5BE6">
        <w:t xml:space="preserve"> Tasmania </w:t>
      </w:r>
      <w:r w:rsidR="00E24E1D" w:rsidRPr="007B5BE6">
        <w:t>that provid</w:t>
      </w:r>
      <w:r w:rsidR="00CF5F8B" w:rsidRPr="007B5BE6">
        <w:t xml:space="preserve">e </w:t>
      </w:r>
      <w:r w:rsidR="00FA217E" w:rsidRPr="007B5BE6">
        <w:t xml:space="preserve">existing </w:t>
      </w:r>
      <w:r w:rsidR="00CF5F8B" w:rsidRPr="007B5BE6">
        <w:t xml:space="preserve">entities with </w:t>
      </w:r>
      <w:r w:rsidR="00E24E1D" w:rsidRPr="007B5BE6">
        <w:t>s</w:t>
      </w:r>
      <w:r w:rsidR="00EE2A98" w:rsidRPr="007B5BE6">
        <w:t xml:space="preserve">afeguarding </w:t>
      </w:r>
      <w:r w:rsidR="00E24E1D" w:rsidRPr="007B5BE6">
        <w:t xml:space="preserve">powers for </w:t>
      </w:r>
      <w:r w:rsidR="000074A4" w:rsidRPr="007B5BE6">
        <w:t xml:space="preserve">a select group of older </w:t>
      </w:r>
      <w:r w:rsidR="00967A56" w:rsidRPr="007B5BE6">
        <w:t>people</w:t>
      </w:r>
      <w:r w:rsidR="000074A4" w:rsidRPr="007B5BE6">
        <w:t xml:space="preserve">, for example </w:t>
      </w:r>
      <w:r w:rsidR="00D83DC1" w:rsidRPr="007B5BE6">
        <w:t>older people</w:t>
      </w:r>
      <w:r w:rsidR="000074A4" w:rsidRPr="007B5BE6">
        <w:t xml:space="preserve"> with </w:t>
      </w:r>
      <w:r w:rsidR="006643A2" w:rsidRPr="007B5BE6">
        <w:t xml:space="preserve">impaired decision-making </w:t>
      </w:r>
      <w:r w:rsidR="000074A4" w:rsidRPr="007B5BE6">
        <w:t xml:space="preserve">ability </w:t>
      </w:r>
      <w:r w:rsidR="00D36326" w:rsidRPr="007B5BE6">
        <w:t xml:space="preserve">or </w:t>
      </w:r>
      <w:r w:rsidR="00B246E8" w:rsidRPr="007B5BE6">
        <w:t>older people with disability</w:t>
      </w:r>
      <w:r w:rsidR="00D83DC1" w:rsidRPr="007B5BE6">
        <w:t>. Such existing l</w:t>
      </w:r>
      <w:r w:rsidR="008C1242" w:rsidRPr="007B5BE6">
        <w:t xml:space="preserve">egislative frameworks </w:t>
      </w:r>
      <w:r w:rsidR="001A546D" w:rsidRPr="007B5BE6">
        <w:t xml:space="preserve">exclude many older </w:t>
      </w:r>
      <w:r w:rsidR="00967A56" w:rsidRPr="007B5BE6">
        <w:t>people</w:t>
      </w:r>
      <w:r w:rsidR="001A546D" w:rsidRPr="007B5BE6">
        <w:t xml:space="preserve"> </w:t>
      </w:r>
      <w:r w:rsidR="008C1242" w:rsidRPr="007B5BE6">
        <w:t xml:space="preserve">in Tasmania </w:t>
      </w:r>
      <w:r w:rsidR="001A546D" w:rsidRPr="007B5BE6">
        <w:t xml:space="preserve">from </w:t>
      </w:r>
      <w:r w:rsidR="008C1242" w:rsidRPr="007B5BE6">
        <w:t xml:space="preserve">currently available </w:t>
      </w:r>
      <w:r w:rsidR="001A546D" w:rsidRPr="007B5BE6">
        <w:t>safeguarding mechanisms.</w:t>
      </w:r>
      <w:r w:rsidR="00B246E8" w:rsidRPr="007B5BE6">
        <w:t xml:space="preserve"> </w:t>
      </w:r>
      <w:r w:rsidRPr="007B5BE6">
        <w:t xml:space="preserve">In addition, there are </w:t>
      </w:r>
      <w:r w:rsidR="00CB006A" w:rsidRPr="007B5BE6">
        <w:t xml:space="preserve">key </w:t>
      </w:r>
      <w:r w:rsidR="009B35DE" w:rsidRPr="007B5BE6">
        <w:t xml:space="preserve">gaps </w:t>
      </w:r>
      <w:r w:rsidRPr="007B5BE6">
        <w:t xml:space="preserve">in </w:t>
      </w:r>
      <w:r w:rsidR="00AD1018" w:rsidRPr="007B5BE6">
        <w:t>the way that existing</w:t>
      </w:r>
      <w:r w:rsidRPr="007B5BE6">
        <w:t xml:space="preserve"> laws</w:t>
      </w:r>
      <w:r w:rsidR="00F20D16" w:rsidRPr="007B5BE6">
        <w:t xml:space="preserve"> </w:t>
      </w:r>
      <w:r w:rsidR="00AD1018" w:rsidRPr="007B5BE6">
        <w:t xml:space="preserve">currently </w:t>
      </w:r>
      <w:r w:rsidRPr="007B5BE6">
        <w:t>operate in Tasmania</w:t>
      </w:r>
      <w:r w:rsidR="00AD1018" w:rsidRPr="007B5BE6">
        <w:t xml:space="preserve"> that</w:t>
      </w:r>
      <w:r w:rsidRPr="007B5BE6">
        <w:t xml:space="preserve"> could be </w:t>
      </w:r>
      <w:r w:rsidR="009B35DE" w:rsidRPr="007B5BE6">
        <w:t xml:space="preserve">addressed by </w:t>
      </w:r>
      <w:r w:rsidRPr="007B5BE6">
        <w:t>reform</w:t>
      </w:r>
      <w:r w:rsidR="009B35DE" w:rsidRPr="007B5BE6">
        <w:t>s</w:t>
      </w:r>
      <w:r w:rsidRPr="007B5BE6">
        <w:t xml:space="preserve"> to better support the safeguarding needs of older Tasmanians. </w:t>
      </w:r>
    </w:p>
    <w:p w14:paraId="569531FF" w14:textId="0EDEA80E" w:rsidR="005B5072" w:rsidRPr="007B5BE6" w:rsidRDefault="005B5072" w:rsidP="00C36293">
      <w:pPr>
        <w:spacing w:after="200" w:line="276" w:lineRule="auto"/>
        <w:jc w:val="left"/>
        <w:rPr>
          <w:b/>
          <w:bCs/>
        </w:rPr>
      </w:pPr>
      <w:r w:rsidRPr="007B5BE6">
        <w:rPr>
          <w:b/>
          <w:bCs/>
        </w:rPr>
        <w:lastRenderedPageBreak/>
        <w:t xml:space="preserve">The TLRI’s recommendations for reform </w:t>
      </w:r>
    </w:p>
    <w:p w14:paraId="38ABAC5E" w14:textId="226DCF3A" w:rsidR="006379EB" w:rsidRPr="007B5BE6" w:rsidRDefault="00702CB7" w:rsidP="006379EB">
      <w:r w:rsidRPr="007B5BE6">
        <w:t>The TLRI’s intention in</w:t>
      </w:r>
      <w:r w:rsidR="009845B1" w:rsidRPr="007B5BE6">
        <w:t xml:space="preserve"> developing the</w:t>
      </w:r>
      <w:r w:rsidR="006379EB" w:rsidRPr="007B5BE6">
        <w:t xml:space="preserve"> reform proposals in this Research Paper </w:t>
      </w:r>
      <w:r w:rsidR="0012436B" w:rsidRPr="007B5BE6">
        <w:t>is</w:t>
      </w:r>
      <w:r w:rsidRPr="007B5BE6">
        <w:t xml:space="preserve"> that its</w:t>
      </w:r>
      <w:r w:rsidR="006379EB" w:rsidRPr="007B5BE6">
        <w:t xml:space="preserve"> recommendations </w:t>
      </w:r>
      <w:r w:rsidRPr="007B5BE6">
        <w:t>to introduce</w:t>
      </w:r>
      <w:r w:rsidR="006379EB" w:rsidRPr="007B5BE6">
        <w:t xml:space="preserve"> an overarching approach to safeguarding </w:t>
      </w:r>
      <w:r w:rsidRPr="007B5BE6">
        <w:t xml:space="preserve">older people </w:t>
      </w:r>
      <w:r w:rsidR="006379EB" w:rsidRPr="007B5BE6">
        <w:t>(</w:t>
      </w:r>
      <w:r w:rsidR="006379EB" w:rsidRPr="00F55535">
        <w:rPr>
          <w:b/>
          <w:bCs/>
        </w:rPr>
        <w:t>Recommendations 1–19</w:t>
      </w:r>
      <w:r w:rsidR="006379EB" w:rsidRPr="007B5BE6">
        <w:t>)</w:t>
      </w:r>
      <w:r w:rsidR="00B17EFB" w:rsidRPr="007B5BE6">
        <w:t xml:space="preserve"> will</w:t>
      </w:r>
      <w:r w:rsidR="006379EB" w:rsidRPr="007B5BE6">
        <w:t xml:space="preserve"> </w:t>
      </w:r>
      <w:r w:rsidR="00C46471" w:rsidRPr="007B5BE6">
        <w:t>address</w:t>
      </w:r>
      <w:r w:rsidR="00476138" w:rsidRPr="007B5BE6">
        <w:t xml:space="preserve"> the significant gap</w:t>
      </w:r>
      <w:r w:rsidR="000E3516" w:rsidRPr="007B5BE6">
        <w:t xml:space="preserve"> identified</w:t>
      </w:r>
      <w:r w:rsidR="00BE694A" w:rsidRPr="007B5BE6">
        <w:t xml:space="preserve">, </w:t>
      </w:r>
      <w:r w:rsidR="00476138" w:rsidRPr="007B5BE6">
        <w:t xml:space="preserve">as well as </w:t>
      </w:r>
      <w:r w:rsidR="006379EB" w:rsidRPr="007B5BE6">
        <w:t>provide a foundation for the improved operation of existing laws and specialist service responses under the Tasmanian framework</w:t>
      </w:r>
      <w:r w:rsidRPr="007B5BE6">
        <w:t xml:space="preserve"> for responding to</w:t>
      </w:r>
      <w:r w:rsidR="00492872" w:rsidRPr="007B5BE6">
        <w:t xml:space="preserve"> the</w:t>
      </w:r>
      <w:r w:rsidRPr="007B5BE6">
        <w:t xml:space="preserve"> abuse of </w:t>
      </w:r>
      <w:r w:rsidR="00D7543A" w:rsidRPr="007B5BE6">
        <w:t xml:space="preserve">older </w:t>
      </w:r>
      <w:r w:rsidR="00F20D16" w:rsidRPr="007B5BE6">
        <w:t>Tasmanians</w:t>
      </w:r>
      <w:r w:rsidR="006379EB" w:rsidRPr="007B5BE6">
        <w:t>. The recommend</w:t>
      </w:r>
      <w:r w:rsidR="00791CEE" w:rsidRPr="007B5BE6">
        <w:t xml:space="preserve">ations for reform </w:t>
      </w:r>
      <w:r w:rsidR="006379EB" w:rsidRPr="007B5BE6">
        <w:t>to this existing framework (</w:t>
      </w:r>
      <w:r w:rsidR="006379EB" w:rsidRPr="00EC42D3">
        <w:rPr>
          <w:b/>
          <w:bCs/>
        </w:rPr>
        <w:t>Recommendations 20–31</w:t>
      </w:r>
      <w:r w:rsidR="006379EB" w:rsidRPr="007B5BE6">
        <w:t>) are similarly designed</w:t>
      </w:r>
      <w:r w:rsidRPr="007B5BE6">
        <w:t xml:space="preserve"> to</w:t>
      </w:r>
      <w:r w:rsidR="006379EB" w:rsidRPr="007B5BE6">
        <w:t xml:space="preserve"> introduce changes that will fill gaps in </w:t>
      </w:r>
      <w:r w:rsidRPr="007B5BE6">
        <w:t xml:space="preserve">a </w:t>
      </w:r>
      <w:r w:rsidR="006379EB" w:rsidRPr="007B5BE6">
        <w:t>way that is complementary to</w:t>
      </w:r>
      <w:r w:rsidR="00791CEE" w:rsidRPr="007B5BE6">
        <w:t>,</w:t>
      </w:r>
      <w:r w:rsidR="006379EB" w:rsidRPr="007B5BE6">
        <w:t xml:space="preserve"> and will work in operation with</w:t>
      </w:r>
      <w:r w:rsidR="00791CEE" w:rsidRPr="007B5BE6">
        <w:t>,</w:t>
      </w:r>
      <w:r w:rsidR="006379EB" w:rsidRPr="007B5BE6">
        <w:t xml:space="preserve"> these major reforms. Together, the recommendations are aimed at establishing a safeguarding approach in Tasmania that is based on an overarching legislative, policy and operational framework to guide, coordinate and monitor responses to the abuse of older people and bridge legal and service gaps. Fundamental to this approach are safeguarding principles</w:t>
      </w:r>
      <w:r w:rsidR="00E942DE" w:rsidRPr="007B5BE6">
        <w:t xml:space="preserve"> </w:t>
      </w:r>
      <w:r w:rsidR="00E942DE" w:rsidRPr="007B5BE6">
        <w:rPr>
          <w:rFonts w:eastAsia="Times" w:cs="Times New Roman"/>
          <w:szCs w:val="20"/>
        </w:rPr>
        <w:t xml:space="preserve">(protection and safeguarding, and dignity and autonomy). Also fundamental to this approach is </w:t>
      </w:r>
      <w:r w:rsidR="002A1506" w:rsidRPr="007B5BE6">
        <w:t xml:space="preserve">promoting </w:t>
      </w:r>
      <w:r w:rsidR="00E942DE" w:rsidRPr="007B5BE6">
        <w:t xml:space="preserve">the </w:t>
      </w:r>
      <w:r w:rsidR="006379EB" w:rsidRPr="007B5BE6">
        <w:t>develop</w:t>
      </w:r>
      <w:r w:rsidR="002A1506" w:rsidRPr="007B5BE6">
        <w:t>ment</w:t>
      </w:r>
      <w:r w:rsidR="006379EB" w:rsidRPr="007B5BE6">
        <w:t xml:space="preserve"> and sharing </w:t>
      </w:r>
      <w:r w:rsidR="002A1506" w:rsidRPr="007B5BE6">
        <w:t xml:space="preserve">of </w:t>
      </w:r>
      <w:r w:rsidR="006379EB" w:rsidRPr="007B5BE6">
        <w:t>subject-specific expertise</w:t>
      </w:r>
      <w:r w:rsidR="00E942DE" w:rsidRPr="007B5BE6">
        <w:t>,</w:t>
      </w:r>
      <w:r w:rsidR="006379EB" w:rsidRPr="007B5BE6">
        <w:t xml:space="preserve"> within a broad range of agencies and services that have interface with older people</w:t>
      </w:r>
      <w:r w:rsidR="00E942DE" w:rsidRPr="007B5BE6">
        <w:t>,</w:t>
      </w:r>
      <w:r w:rsidR="006379EB" w:rsidRPr="007B5BE6">
        <w:t xml:space="preserve"> that reflects an understanding of the multi-faceted nature of abuse of older people in the Tasmanian context.</w:t>
      </w:r>
    </w:p>
    <w:p w14:paraId="34ABF514" w14:textId="50E34D21" w:rsidR="005B5072" w:rsidRPr="007B5BE6" w:rsidRDefault="005B5072" w:rsidP="005B5072">
      <w:r w:rsidRPr="007B5BE6">
        <w:t>The TLRI’s key recommendation</w:t>
      </w:r>
      <w:r w:rsidR="000C48E2" w:rsidRPr="007B5BE6">
        <w:t xml:space="preserve"> is</w:t>
      </w:r>
      <w:r w:rsidRPr="007B5BE6" w:rsidDel="000C48E2">
        <w:t xml:space="preserve"> </w:t>
      </w:r>
      <w:r w:rsidRPr="007B5BE6">
        <w:t xml:space="preserve">the </w:t>
      </w:r>
      <w:r w:rsidRPr="007B5BE6">
        <w:rPr>
          <w:b/>
          <w:bCs/>
        </w:rPr>
        <w:t>introduction of an overarching approach to safeguarding</w:t>
      </w:r>
      <w:r w:rsidR="00A55FB4" w:rsidRPr="007B5BE6">
        <w:rPr>
          <w:b/>
          <w:bCs/>
        </w:rPr>
        <w:t xml:space="preserve"> older people </w:t>
      </w:r>
      <w:r w:rsidR="00FB6C00" w:rsidRPr="007B5BE6">
        <w:rPr>
          <w:b/>
          <w:bCs/>
        </w:rPr>
        <w:t>in Tasmania</w:t>
      </w:r>
      <w:r w:rsidR="00F666EB" w:rsidRPr="007B5BE6">
        <w:rPr>
          <w:b/>
          <w:bCs/>
        </w:rPr>
        <w:t xml:space="preserve"> through a legislative framework that creates an independent statutory entity</w:t>
      </w:r>
      <w:r w:rsidR="00F81341" w:rsidRPr="007B5BE6">
        <w:rPr>
          <w:b/>
          <w:bCs/>
        </w:rPr>
        <w:t xml:space="preserve"> </w:t>
      </w:r>
      <w:r w:rsidRPr="007B5BE6">
        <w:rPr>
          <w:b/>
          <w:bCs/>
        </w:rPr>
        <w:t>(Part 4 and Recommendations 1–2)</w:t>
      </w:r>
      <w:r w:rsidRPr="007B5BE6">
        <w:t>.</w:t>
      </w:r>
      <w:r w:rsidRPr="007B5BE6">
        <w:rPr>
          <w:b/>
          <w:bCs/>
        </w:rPr>
        <w:t xml:space="preserve"> </w:t>
      </w:r>
      <w:r w:rsidR="00882048" w:rsidRPr="007B5BE6">
        <w:t>The statutory entity should have a role to receive matters (</w:t>
      </w:r>
      <w:r w:rsidR="00F530E2" w:rsidRPr="007B5BE6">
        <w:t xml:space="preserve">enquiries and reports) about </w:t>
      </w:r>
      <w:r w:rsidR="00176322" w:rsidRPr="007B5BE6">
        <w:t xml:space="preserve">the </w:t>
      </w:r>
      <w:r w:rsidR="00F530E2" w:rsidRPr="007B5BE6">
        <w:t>abuse</w:t>
      </w:r>
      <w:r w:rsidR="002B5FC6" w:rsidRPr="007B5BE6">
        <w:t xml:space="preserve"> of older </w:t>
      </w:r>
      <w:r w:rsidR="00A675D7" w:rsidRPr="007B5BE6">
        <w:t>people</w:t>
      </w:r>
      <w:r w:rsidR="00176322" w:rsidRPr="007B5BE6">
        <w:t xml:space="preserve"> and have </w:t>
      </w:r>
      <w:r w:rsidR="00A675D7" w:rsidRPr="007B5BE6">
        <w:t>powers and functions that operate as safeguarding mechanisms (</w:t>
      </w:r>
      <w:r w:rsidR="00A675D7" w:rsidRPr="007B5BE6">
        <w:rPr>
          <w:b/>
          <w:bCs/>
        </w:rPr>
        <w:t>Recommendation 1</w:t>
      </w:r>
      <w:r w:rsidR="00A675D7" w:rsidRPr="007B5BE6">
        <w:t>)</w:t>
      </w:r>
      <w:r w:rsidR="000C48E2" w:rsidRPr="007B5BE6">
        <w:t xml:space="preserve">. The approach to designating the entity with the </w:t>
      </w:r>
      <w:r w:rsidR="00A62D30" w:rsidRPr="007B5BE6">
        <w:t>role and</w:t>
      </w:r>
      <w:r w:rsidR="000C48E2" w:rsidRPr="007B5BE6">
        <w:t xml:space="preserve"> creating its powers and functions under the legislative framework within an overarching approach to safeguarding older people should be complementary to the existing legal and service framework and appropriate to the Tasmanian context (</w:t>
      </w:r>
      <w:r w:rsidR="000C48E2" w:rsidRPr="007B5BE6">
        <w:rPr>
          <w:b/>
          <w:bCs/>
        </w:rPr>
        <w:t>Recommendation 2</w:t>
      </w:r>
      <w:r w:rsidR="000C48E2" w:rsidRPr="007B5BE6">
        <w:t>).</w:t>
      </w:r>
    </w:p>
    <w:p w14:paraId="71DA51D2" w14:textId="77777777" w:rsidR="009110FF" w:rsidRDefault="00F92E40" w:rsidP="0028551A">
      <w:r w:rsidRPr="007B5BE6">
        <w:t>In</w:t>
      </w:r>
      <w:r w:rsidR="00D562B9" w:rsidRPr="007B5BE6">
        <w:t xml:space="preserve"> the TLRI’s interviews, </w:t>
      </w:r>
      <w:r w:rsidRPr="007B5BE6">
        <w:t xml:space="preserve">stakeholders predominantly </w:t>
      </w:r>
      <w:r w:rsidR="00D562B9" w:rsidRPr="007B5BE6">
        <w:t xml:space="preserve">supported </w:t>
      </w:r>
      <w:r w:rsidR="005B5072" w:rsidRPr="007B5BE6">
        <w:t>an overarching safeguarding mechanism to provide a coherent and comprehensive structure to focus and improve the current fragmented legal response, a</w:t>
      </w:r>
      <w:r w:rsidR="00272FF5" w:rsidRPr="007B5BE6">
        <w:t>s well as to</w:t>
      </w:r>
      <w:r w:rsidR="005B5072" w:rsidRPr="007B5BE6">
        <w:t xml:space="preserve"> </w:t>
      </w:r>
      <w:r w:rsidR="00176322" w:rsidRPr="007B5BE6">
        <w:t xml:space="preserve">address </w:t>
      </w:r>
      <w:r w:rsidR="005B5072" w:rsidRPr="007B5BE6">
        <w:t>deficiencies in the scope of investigative response</w:t>
      </w:r>
      <w:r w:rsidR="008C5A1B" w:rsidRPr="007B5BE6">
        <w:t xml:space="preserve">s within the </w:t>
      </w:r>
      <w:r w:rsidR="00A46E2A" w:rsidRPr="007B5BE6">
        <w:t>current legal framework</w:t>
      </w:r>
      <w:r w:rsidR="005B5072" w:rsidRPr="007B5BE6">
        <w:t xml:space="preserve">.  Similarly, </w:t>
      </w:r>
      <w:r w:rsidR="003C15F2" w:rsidRPr="007B5BE6">
        <w:t>t</w:t>
      </w:r>
      <w:r w:rsidR="005B5072" w:rsidRPr="007B5BE6">
        <w:t xml:space="preserve">he TLRI’s view is that an </w:t>
      </w:r>
      <w:r w:rsidR="005B5072" w:rsidRPr="007B5BE6">
        <w:rPr>
          <w:rFonts w:eastAsia="Times" w:cs="Times New Roman"/>
          <w:szCs w:val="20"/>
        </w:rPr>
        <w:t xml:space="preserve">overarching, </w:t>
      </w:r>
      <w:r w:rsidR="00A57B68" w:rsidRPr="007B5BE6">
        <w:rPr>
          <w:rFonts w:eastAsia="Times" w:cs="Times New Roman"/>
          <w:szCs w:val="20"/>
        </w:rPr>
        <w:t>‘</w:t>
      </w:r>
      <w:r w:rsidR="005B5072" w:rsidRPr="007B5BE6">
        <w:rPr>
          <w:rFonts w:eastAsia="Times" w:cs="Times New Roman"/>
          <w:szCs w:val="20"/>
        </w:rPr>
        <w:t>subject-specific</w:t>
      </w:r>
      <w:r w:rsidR="00A57B68" w:rsidRPr="007B5BE6">
        <w:rPr>
          <w:rFonts w:eastAsia="Times" w:cs="Times New Roman"/>
          <w:szCs w:val="20"/>
        </w:rPr>
        <w:t>’</w:t>
      </w:r>
      <w:r w:rsidR="005B5072" w:rsidRPr="007B5BE6">
        <w:rPr>
          <w:rFonts w:eastAsia="Times" w:cs="Times New Roman"/>
          <w:szCs w:val="20"/>
        </w:rPr>
        <w:t xml:space="preserve"> approach to safeguarding against the abuse of older people</w:t>
      </w:r>
      <w:r w:rsidR="005B5072" w:rsidRPr="007B5BE6">
        <w:t xml:space="preserve"> can bring many potential benefits. These include creating an identifiable and accessible central point to </w:t>
      </w:r>
      <w:r w:rsidR="003D4D15" w:rsidRPr="007B5BE6">
        <w:t xml:space="preserve">bridge service gaps and </w:t>
      </w:r>
      <w:r w:rsidR="005B5072" w:rsidRPr="007B5BE6">
        <w:t>facilitate access</w:t>
      </w:r>
      <w:r w:rsidR="0032539E" w:rsidRPr="007B5BE6">
        <w:t xml:space="preserve"> </w:t>
      </w:r>
      <w:r w:rsidR="005B5072" w:rsidRPr="007B5BE6">
        <w:t xml:space="preserve">to </w:t>
      </w:r>
      <w:r w:rsidR="0032539E" w:rsidRPr="007B5BE6">
        <w:t>existing</w:t>
      </w:r>
      <w:r w:rsidR="005B5072" w:rsidRPr="007B5BE6">
        <w:t xml:space="preserve"> legal and service responses that are tailored and appropriate to the needs of the person. </w:t>
      </w:r>
      <w:r w:rsidR="00A46E2A" w:rsidRPr="007B5BE6">
        <w:t xml:space="preserve">A single-agency approach as a focal point for help-seeking or receiving complaints, investigating concerns and </w:t>
      </w:r>
      <w:r w:rsidR="00663725" w:rsidRPr="007B5BE6">
        <w:t xml:space="preserve">taking responsive </w:t>
      </w:r>
      <w:r w:rsidR="00A46E2A" w:rsidRPr="007B5BE6">
        <w:t>acti</w:t>
      </w:r>
      <w:r w:rsidR="00663725" w:rsidRPr="007B5BE6">
        <w:t>on</w:t>
      </w:r>
      <w:r w:rsidR="00A46E2A" w:rsidRPr="007B5BE6">
        <w:t xml:space="preserve"> </w:t>
      </w:r>
      <w:r w:rsidR="005B5072" w:rsidRPr="007B5BE6">
        <w:t xml:space="preserve">will have to potential to guide, coordinate and/or monitor responses </w:t>
      </w:r>
      <w:r w:rsidR="00DE5765" w:rsidRPr="007B5BE6">
        <w:t>to</w:t>
      </w:r>
      <w:r w:rsidR="007E052F" w:rsidRPr="007B5BE6">
        <w:t xml:space="preserve"> the </w:t>
      </w:r>
      <w:r w:rsidR="00DE5765" w:rsidRPr="007B5BE6">
        <w:t>abuse of older people</w:t>
      </w:r>
      <w:r w:rsidR="00BC000E" w:rsidRPr="007B5BE6">
        <w:t>.</w:t>
      </w:r>
    </w:p>
    <w:p w14:paraId="3ADDE903" w14:textId="60AD426E" w:rsidR="00627EB8" w:rsidRPr="007B5BE6" w:rsidRDefault="00BC000E" w:rsidP="0028551A">
      <w:r w:rsidRPr="007B5BE6">
        <w:t>The</w:t>
      </w:r>
      <w:r w:rsidR="00002334" w:rsidRPr="007B5BE6">
        <w:t xml:space="preserve"> </w:t>
      </w:r>
      <w:r w:rsidR="00663725" w:rsidRPr="007B5BE6">
        <w:t xml:space="preserve">TLRI’s recommended </w:t>
      </w:r>
      <w:r w:rsidR="00002334" w:rsidRPr="007B5BE6">
        <w:t>model</w:t>
      </w:r>
      <w:r w:rsidR="00702D1A" w:rsidRPr="007B5BE6">
        <w:t xml:space="preserve"> </w:t>
      </w:r>
      <w:r w:rsidR="0050342A" w:rsidRPr="007B5BE6">
        <w:t>is focused on</w:t>
      </w:r>
      <w:r w:rsidR="0097105E" w:rsidRPr="007B5BE6">
        <w:t xml:space="preserve"> </w:t>
      </w:r>
      <w:r w:rsidR="00B417CC" w:rsidRPr="007B5BE6">
        <w:t>d</w:t>
      </w:r>
      <w:r w:rsidR="00E55497" w:rsidRPr="007B5BE6">
        <w:t>evelo</w:t>
      </w:r>
      <w:r w:rsidR="00B417CC" w:rsidRPr="007B5BE6">
        <w:t>p</w:t>
      </w:r>
      <w:r w:rsidR="00882EE4" w:rsidRPr="007B5BE6">
        <w:t>ing</w:t>
      </w:r>
      <w:r w:rsidR="00E55497" w:rsidRPr="007B5BE6">
        <w:t xml:space="preserve"> consisten</w:t>
      </w:r>
      <w:r w:rsidR="0047540A" w:rsidRPr="007B5BE6">
        <w:t xml:space="preserve">cy </w:t>
      </w:r>
      <w:r w:rsidR="00A458BA" w:rsidRPr="007B5BE6">
        <w:t xml:space="preserve">in </w:t>
      </w:r>
      <w:r w:rsidR="0008226E" w:rsidRPr="007B5BE6">
        <w:t>frontline</w:t>
      </w:r>
      <w:r w:rsidR="00CC4559" w:rsidRPr="007B5BE6">
        <w:t xml:space="preserve"> responses to</w:t>
      </w:r>
      <w:r w:rsidR="007D511A" w:rsidRPr="007B5BE6">
        <w:t xml:space="preserve"> </w:t>
      </w:r>
      <w:r w:rsidR="00E55497" w:rsidRPr="007B5BE6">
        <w:t xml:space="preserve">help-seeking, </w:t>
      </w:r>
      <w:r w:rsidR="00663725" w:rsidRPr="007B5BE6">
        <w:t>supporting appropriate</w:t>
      </w:r>
      <w:r w:rsidR="005A107B" w:rsidRPr="007B5BE6">
        <w:t xml:space="preserve"> </w:t>
      </w:r>
      <w:r w:rsidR="00BA1A42" w:rsidRPr="007B5BE6">
        <w:t>information sharing and coordination</w:t>
      </w:r>
      <w:r w:rsidR="005A107B" w:rsidRPr="007B5BE6">
        <w:t xml:space="preserve"> </w:t>
      </w:r>
      <w:r w:rsidR="0008226E" w:rsidRPr="007B5BE6">
        <w:t>between</w:t>
      </w:r>
      <w:r w:rsidR="0070505D" w:rsidRPr="007B5BE6">
        <w:t xml:space="preserve"> services that </w:t>
      </w:r>
      <w:r w:rsidR="00A24153" w:rsidRPr="007B5BE6">
        <w:t>support</w:t>
      </w:r>
      <w:r w:rsidR="006E55D5" w:rsidRPr="007B5BE6">
        <w:t xml:space="preserve"> older people </w:t>
      </w:r>
      <w:r w:rsidR="002A5E4E" w:rsidRPr="007B5BE6">
        <w:t>and</w:t>
      </w:r>
      <w:r w:rsidR="0059547E" w:rsidRPr="007B5BE6">
        <w:t xml:space="preserve"> </w:t>
      </w:r>
      <w:r w:rsidR="00663725" w:rsidRPr="007B5BE6">
        <w:t xml:space="preserve">developing </w:t>
      </w:r>
      <w:r w:rsidR="0059547E" w:rsidRPr="007B5BE6">
        <w:t>a</w:t>
      </w:r>
      <w:r w:rsidR="00A46E2A" w:rsidRPr="007B5BE6">
        <w:t xml:space="preserve"> shared un</w:t>
      </w:r>
      <w:r w:rsidR="00C360D4" w:rsidRPr="007B5BE6">
        <w:t>d</w:t>
      </w:r>
      <w:r w:rsidR="00A46E2A" w:rsidRPr="007B5BE6">
        <w:t xml:space="preserve">erstanding of the </w:t>
      </w:r>
      <w:r w:rsidR="005C4D02" w:rsidRPr="007B5BE6">
        <w:t>nature and</w:t>
      </w:r>
      <w:r w:rsidR="00A46E2A" w:rsidRPr="007B5BE6">
        <w:t xml:space="preserve"> </w:t>
      </w:r>
      <w:r w:rsidR="001225F1" w:rsidRPr="007B5BE6">
        <w:t xml:space="preserve">dynamics </w:t>
      </w:r>
      <w:r w:rsidR="005C4D02" w:rsidRPr="007B5BE6">
        <w:t xml:space="preserve">of </w:t>
      </w:r>
      <w:r w:rsidR="00663725" w:rsidRPr="007B5BE6">
        <w:t xml:space="preserve">the </w:t>
      </w:r>
      <w:r w:rsidR="005C08F2" w:rsidRPr="007B5BE6">
        <w:t>abuse of older people</w:t>
      </w:r>
      <w:r w:rsidR="00A46E2A" w:rsidRPr="007B5BE6">
        <w:t xml:space="preserve">. </w:t>
      </w:r>
      <w:r w:rsidR="00563C1D" w:rsidRPr="007B5BE6">
        <w:t>In recommending an</w:t>
      </w:r>
      <w:r w:rsidR="0043248A" w:rsidRPr="007B5BE6">
        <w:t xml:space="preserve"> overarching</w:t>
      </w:r>
      <w:r w:rsidR="006C4002" w:rsidRPr="007B5BE6">
        <w:t xml:space="preserve"> approach</w:t>
      </w:r>
      <w:r w:rsidR="00DC437F" w:rsidRPr="007B5BE6">
        <w:t xml:space="preserve"> </w:t>
      </w:r>
      <w:r w:rsidR="0043248A" w:rsidRPr="007B5BE6">
        <w:t xml:space="preserve">to safeguarding older </w:t>
      </w:r>
      <w:r w:rsidR="004C3AC1" w:rsidRPr="007B5BE6">
        <w:t>people</w:t>
      </w:r>
      <w:r w:rsidR="00563C1D" w:rsidRPr="007B5BE6">
        <w:t>, t</w:t>
      </w:r>
      <w:r w:rsidR="004B6CD2" w:rsidRPr="007B5BE6">
        <w:t>he</w:t>
      </w:r>
      <w:r w:rsidR="00FE18F6" w:rsidRPr="007B5BE6">
        <w:t xml:space="preserve"> TLRI has </w:t>
      </w:r>
      <w:r w:rsidR="004B6CD2" w:rsidRPr="007B5BE6">
        <w:t>been informed by</w:t>
      </w:r>
      <w:r w:rsidR="006C4002" w:rsidRPr="007B5BE6">
        <w:t xml:space="preserve"> </w:t>
      </w:r>
      <w:r w:rsidR="005B5072" w:rsidRPr="007B5BE6">
        <w:t xml:space="preserve">the </w:t>
      </w:r>
      <w:r w:rsidR="00663725" w:rsidRPr="007B5BE6">
        <w:t xml:space="preserve">Australian Law Reform Commission’s </w:t>
      </w:r>
      <w:r w:rsidR="009B760C" w:rsidRPr="007B5BE6">
        <w:t xml:space="preserve">views and </w:t>
      </w:r>
      <w:r w:rsidR="006531B5" w:rsidRPr="007B5BE6">
        <w:t xml:space="preserve">recommendations </w:t>
      </w:r>
      <w:r w:rsidR="009B760C" w:rsidRPr="007B5BE6">
        <w:t>around</w:t>
      </w:r>
      <w:r w:rsidR="006531B5" w:rsidRPr="007B5BE6">
        <w:t xml:space="preserve"> the need for a </w:t>
      </w:r>
      <w:r w:rsidR="00D266B8" w:rsidRPr="007B5BE6">
        <w:t>more holistic</w:t>
      </w:r>
      <w:r w:rsidR="006531B5" w:rsidRPr="007B5BE6">
        <w:t xml:space="preserve"> </w:t>
      </w:r>
      <w:r w:rsidR="0096786F" w:rsidRPr="007B5BE6">
        <w:t xml:space="preserve">approach to safeguarding </w:t>
      </w:r>
      <w:r w:rsidR="00D266B8" w:rsidRPr="007B5BE6">
        <w:t xml:space="preserve">a broader cohort of </w:t>
      </w:r>
      <w:r w:rsidR="0096786F" w:rsidRPr="007B5BE6">
        <w:t xml:space="preserve">older </w:t>
      </w:r>
      <w:r w:rsidR="00D266B8" w:rsidRPr="007B5BE6">
        <w:t>people</w:t>
      </w:r>
      <w:r w:rsidR="000E16A4" w:rsidRPr="007B5BE6">
        <w:t>,</w:t>
      </w:r>
      <w:r w:rsidR="00391749" w:rsidRPr="007B5BE6">
        <w:t xml:space="preserve"> the </w:t>
      </w:r>
      <w:r w:rsidR="005B5072" w:rsidRPr="007B5BE6">
        <w:t>approach</w:t>
      </w:r>
      <w:r w:rsidR="00391749" w:rsidRPr="007B5BE6">
        <w:t>es</w:t>
      </w:r>
      <w:r w:rsidR="005B5072" w:rsidRPr="007B5BE6">
        <w:t xml:space="preserve"> </w:t>
      </w:r>
      <w:r w:rsidR="00563C1D" w:rsidRPr="007B5BE6">
        <w:t xml:space="preserve">to safeguarding </w:t>
      </w:r>
      <w:r w:rsidR="004A2F67" w:rsidRPr="007B5BE6">
        <w:t>and legislative</w:t>
      </w:r>
      <w:r w:rsidR="00563C1D" w:rsidRPr="007B5BE6">
        <w:t xml:space="preserve"> models </w:t>
      </w:r>
      <w:r w:rsidR="004A2F67" w:rsidRPr="007B5BE6">
        <w:t>operating</w:t>
      </w:r>
      <w:r w:rsidR="005B5072" w:rsidRPr="007B5BE6">
        <w:t xml:space="preserve"> in </w:t>
      </w:r>
      <w:r w:rsidR="00523A64" w:rsidRPr="007B5BE6">
        <w:t>other jurisdictions</w:t>
      </w:r>
      <w:r w:rsidR="009B760C" w:rsidRPr="007B5BE6">
        <w:t xml:space="preserve"> (</w:t>
      </w:r>
      <w:r w:rsidR="00523A64" w:rsidRPr="007B5BE6">
        <w:t xml:space="preserve">including </w:t>
      </w:r>
      <w:r w:rsidR="005B5072" w:rsidRPr="007B5BE6">
        <w:t>South Australia</w:t>
      </w:r>
      <w:r w:rsidR="00523A64" w:rsidRPr="007B5BE6">
        <w:t>,</w:t>
      </w:r>
      <w:r w:rsidR="005B5072" w:rsidRPr="007B5BE6">
        <w:t xml:space="preserve"> New South Wales</w:t>
      </w:r>
      <w:r w:rsidR="00523A64" w:rsidRPr="007B5BE6">
        <w:t xml:space="preserve"> and the Australian Capital Territory</w:t>
      </w:r>
      <w:r w:rsidR="009B760C" w:rsidRPr="007B5BE6">
        <w:t>)</w:t>
      </w:r>
      <w:r w:rsidR="00217E7A" w:rsidRPr="007B5BE6">
        <w:t>,</w:t>
      </w:r>
      <w:r w:rsidR="000E16A4" w:rsidRPr="007B5BE6">
        <w:t xml:space="preserve"> recommendations in previous Tasmanian reviews and research</w:t>
      </w:r>
      <w:r w:rsidR="009B760C" w:rsidRPr="007B5BE6">
        <w:t>,</w:t>
      </w:r>
      <w:r w:rsidR="00217E7A" w:rsidRPr="007B5BE6">
        <w:t xml:space="preserve"> and Tasmania’s strategic </w:t>
      </w:r>
      <w:r w:rsidR="005645E7" w:rsidRPr="007B5BE6">
        <w:t>approach</w:t>
      </w:r>
      <w:r w:rsidR="00EB03E3" w:rsidRPr="007B5BE6">
        <w:t xml:space="preserve">, priority actions </w:t>
      </w:r>
      <w:r w:rsidR="0032539E" w:rsidRPr="007B5BE6">
        <w:t xml:space="preserve">and guiding principles in </w:t>
      </w:r>
      <w:r w:rsidR="004E2541" w:rsidRPr="007B5BE6">
        <w:t xml:space="preserve">its </w:t>
      </w:r>
      <w:r w:rsidR="005645E7" w:rsidRPr="007B5BE6">
        <w:t>policy framework</w:t>
      </w:r>
      <w:r w:rsidR="0032539E" w:rsidRPr="007B5BE6">
        <w:t xml:space="preserve"> for responding to and preventing the abuse of older Tasmanians</w:t>
      </w:r>
      <w:r w:rsidR="003E1848" w:rsidRPr="007B5BE6">
        <w:t xml:space="preserve">, as well as </w:t>
      </w:r>
      <w:r w:rsidR="009E0427" w:rsidRPr="007B5BE6">
        <w:t>stakeholder feedback</w:t>
      </w:r>
      <w:r w:rsidR="005B3BCC" w:rsidRPr="007B5BE6">
        <w:t xml:space="preserve"> in </w:t>
      </w:r>
      <w:r w:rsidR="004E2541" w:rsidRPr="007B5BE6">
        <w:t xml:space="preserve">the TLRI’s </w:t>
      </w:r>
      <w:r w:rsidR="005B3BCC" w:rsidRPr="007B5BE6">
        <w:t>interviews</w:t>
      </w:r>
      <w:r w:rsidR="0032539E" w:rsidRPr="007B5BE6">
        <w:t xml:space="preserve">. </w:t>
      </w:r>
    </w:p>
    <w:p w14:paraId="53967A66" w14:textId="77777777" w:rsidR="00385270" w:rsidRDefault="00385270">
      <w:pPr>
        <w:spacing w:after="200" w:line="276" w:lineRule="auto"/>
        <w:jc w:val="left"/>
      </w:pPr>
      <w:r>
        <w:br w:type="page"/>
      </w:r>
    </w:p>
    <w:p w14:paraId="58270055" w14:textId="5BE0A13D" w:rsidR="001B3A48" w:rsidRPr="007B5BE6" w:rsidRDefault="0028551A" w:rsidP="0028551A">
      <w:r w:rsidRPr="007B5BE6">
        <w:lastRenderedPageBreak/>
        <w:t xml:space="preserve">The TRLI has considered the approach to creating the </w:t>
      </w:r>
      <w:r w:rsidR="00115B1E" w:rsidRPr="007B5BE6">
        <w:t xml:space="preserve">independent </w:t>
      </w:r>
      <w:r w:rsidR="00090E98" w:rsidRPr="007B5BE6">
        <w:t>statutory entity</w:t>
      </w:r>
      <w:r w:rsidR="0022243E" w:rsidRPr="007B5BE6">
        <w:t xml:space="preserve"> and its</w:t>
      </w:r>
      <w:r w:rsidR="00EB63EE" w:rsidRPr="007B5BE6">
        <w:t xml:space="preserve"> </w:t>
      </w:r>
      <w:r w:rsidRPr="007B5BE6">
        <w:t>structure</w:t>
      </w:r>
      <w:r w:rsidR="00C87E04" w:rsidRPr="007B5BE6">
        <w:t xml:space="preserve">, including what </w:t>
      </w:r>
      <w:r w:rsidR="00AC4303" w:rsidRPr="007B5BE6">
        <w:t xml:space="preserve">kind of entity should </w:t>
      </w:r>
      <w:r w:rsidR="00D8573E" w:rsidRPr="007B5BE6">
        <w:t>have</w:t>
      </w:r>
      <w:r w:rsidR="00AC4303" w:rsidRPr="007B5BE6">
        <w:t xml:space="preserve"> the </w:t>
      </w:r>
      <w:r w:rsidR="009C6F98" w:rsidRPr="007B5BE6">
        <w:t xml:space="preserve">safeguarding </w:t>
      </w:r>
      <w:r w:rsidR="00AC4303" w:rsidRPr="007B5BE6">
        <w:t>role</w:t>
      </w:r>
      <w:r w:rsidR="009C6F98" w:rsidRPr="007B5BE6">
        <w:t>,</w:t>
      </w:r>
      <w:r w:rsidR="00AC4303" w:rsidRPr="007B5BE6">
        <w:t xml:space="preserve"> and powers and functions</w:t>
      </w:r>
      <w:r w:rsidR="009C6F98" w:rsidRPr="007B5BE6">
        <w:t>,</w:t>
      </w:r>
      <w:r w:rsidR="00AC4303" w:rsidRPr="007B5BE6">
        <w:t xml:space="preserve"> under an overarching approach to safeguarding older adults</w:t>
      </w:r>
      <w:r w:rsidR="009B398F" w:rsidRPr="007B5BE6">
        <w:t xml:space="preserve">. </w:t>
      </w:r>
      <w:r w:rsidR="001B3A48" w:rsidRPr="007B5BE6">
        <w:rPr>
          <w:rFonts w:eastAsia="Times" w:cs="Times New Roman"/>
          <w:szCs w:val="20"/>
        </w:rPr>
        <w:t xml:space="preserve">The </w:t>
      </w:r>
      <w:r w:rsidR="001B3A48" w:rsidRPr="007B5BE6">
        <w:t xml:space="preserve">TLRI’s preferred approach is to establish an independent statutory Commissioner role </w:t>
      </w:r>
      <w:r w:rsidR="001B3A48" w:rsidRPr="007B5BE6">
        <w:rPr>
          <w:rFonts w:eastAsia="Times" w:cs="Times New Roman"/>
          <w:szCs w:val="20"/>
        </w:rPr>
        <w:t>(as exists in New South Wales)</w:t>
      </w:r>
      <w:r w:rsidR="009E0427" w:rsidRPr="007B5BE6">
        <w:rPr>
          <w:rFonts w:eastAsia="Times" w:cs="Times New Roman"/>
          <w:szCs w:val="20"/>
        </w:rPr>
        <w:t>.</w:t>
      </w:r>
      <w:r w:rsidR="005B3BCC" w:rsidRPr="007B5BE6">
        <w:rPr>
          <w:rFonts w:eastAsia="Times" w:cs="Times New Roman"/>
          <w:szCs w:val="20"/>
        </w:rPr>
        <w:t xml:space="preserve"> </w:t>
      </w:r>
      <w:r w:rsidR="00A14EBE" w:rsidRPr="007B5BE6">
        <w:rPr>
          <w:rFonts w:eastAsia="Times" w:cs="Times New Roman"/>
          <w:szCs w:val="20"/>
        </w:rPr>
        <w:t xml:space="preserve">The TLRI’s view is that the Commissioner should operate independently of any government agency and should have its own dedicated legislative framework that focuses on the safeguarding </w:t>
      </w:r>
      <w:r w:rsidR="007B6CAE" w:rsidRPr="007B5BE6">
        <w:rPr>
          <w:rFonts w:eastAsia="Times" w:cs="Times New Roman"/>
          <w:szCs w:val="20"/>
        </w:rPr>
        <w:t>for</w:t>
      </w:r>
      <w:r w:rsidR="00A14EBE" w:rsidRPr="007B5BE6">
        <w:rPr>
          <w:rFonts w:eastAsia="Times" w:cs="Times New Roman"/>
          <w:szCs w:val="20"/>
        </w:rPr>
        <w:t xml:space="preserve"> older people. However, in developing this independent </w:t>
      </w:r>
      <w:r w:rsidR="006C04AB" w:rsidRPr="007B5BE6">
        <w:rPr>
          <w:rFonts w:eastAsia="Times" w:cs="Times New Roman"/>
          <w:szCs w:val="20"/>
        </w:rPr>
        <w:t xml:space="preserve">statutory </w:t>
      </w:r>
      <w:r w:rsidR="00A14EBE" w:rsidRPr="007B5BE6">
        <w:rPr>
          <w:rFonts w:eastAsia="Times" w:cs="Times New Roman"/>
          <w:szCs w:val="20"/>
        </w:rPr>
        <w:t xml:space="preserve">role, the TLRI supports an approach that aligns </w:t>
      </w:r>
      <w:r w:rsidR="003E707D" w:rsidRPr="007B5BE6">
        <w:rPr>
          <w:rFonts w:eastAsia="Times" w:cs="Times New Roman"/>
          <w:szCs w:val="20"/>
        </w:rPr>
        <w:t xml:space="preserve">the </w:t>
      </w:r>
      <w:r w:rsidR="003905A2" w:rsidRPr="007B5BE6">
        <w:rPr>
          <w:rFonts w:eastAsia="Times" w:cs="Times New Roman"/>
          <w:szCs w:val="20"/>
        </w:rPr>
        <w:t xml:space="preserve">role with that of the Disability Commissioner </w:t>
      </w:r>
      <w:r w:rsidR="00F54C2E" w:rsidRPr="007B5BE6">
        <w:rPr>
          <w:rFonts w:eastAsia="Times" w:cs="Times New Roman"/>
          <w:szCs w:val="20"/>
        </w:rPr>
        <w:t xml:space="preserve">in Tasmania </w:t>
      </w:r>
      <w:r w:rsidR="003905A2" w:rsidRPr="007B5BE6">
        <w:rPr>
          <w:rFonts w:eastAsia="Times" w:cs="Times New Roman"/>
          <w:szCs w:val="20"/>
        </w:rPr>
        <w:t>by modelling the</w:t>
      </w:r>
      <w:r w:rsidR="003E707D" w:rsidRPr="007B5BE6">
        <w:rPr>
          <w:rFonts w:eastAsia="Times" w:cs="Times New Roman"/>
          <w:szCs w:val="20"/>
        </w:rPr>
        <w:t xml:space="preserve"> </w:t>
      </w:r>
      <w:r w:rsidR="007B6CAE" w:rsidRPr="007B5BE6">
        <w:rPr>
          <w:rFonts w:eastAsia="Times" w:cs="Times New Roman"/>
          <w:szCs w:val="20"/>
        </w:rPr>
        <w:t xml:space="preserve">Commissioner for Older People’s </w:t>
      </w:r>
      <w:r w:rsidR="00985241" w:rsidRPr="007B5BE6">
        <w:rPr>
          <w:rFonts w:eastAsia="Times" w:cs="Times New Roman"/>
          <w:szCs w:val="20"/>
        </w:rPr>
        <w:t>powers</w:t>
      </w:r>
      <w:r w:rsidR="00A14EBE" w:rsidRPr="007B5BE6">
        <w:rPr>
          <w:rFonts w:eastAsia="Times" w:cs="Times New Roman"/>
          <w:szCs w:val="20"/>
        </w:rPr>
        <w:t xml:space="preserve"> and functions </w:t>
      </w:r>
      <w:r w:rsidR="00C94A13" w:rsidRPr="007B5BE6">
        <w:rPr>
          <w:rFonts w:eastAsia="Times" w:cs="Times New Roman"/>
          <w:szCs w:val="20"/>
        </w:rPr>
        <w:t>on</w:t>
      </w:r>
      <w:r w:rsidR="00A14EBE" w:rsidRPr="007B5BE6">
        <w:rPr>
          <w:rFonts w:eastAsia="Times" w:cs="Times New Roman"/>
          <w:szCs w:val="20"/>
        </w:rPr>
        <w:t xml:space="preserve"> the </w:t>
      </w:r>
      <w:r w:rsidR="007B6CAE" w:rsidRPr="007B5BE6">
        <w:rPr>
          <w:rFonts w:eastAsia="Times" w:cs="Times New Roman"/>
          <w:szCs w:val="20"/>
        </w:rPr>
        <w:t xml:space="preserve">Disability Commissioner’s </w:t>
      </w:r>
      <w:r w:rsidR="00A14EBE" w:rsidRPr="007B5BE6">
        <w:rPr>
          <w:rFonts w:eastAsia="Times" w:cs="Times New Roman"/>
          <w:szCs w:val="20"/>
        </w:rPr>
        <w:t xml:space="preserve">powers and functions </w:t>
      </w:r>
      <w:r w:rsidR="00985241" w:rsidRPr="007B5BE6">
        <w:rPr>
          <w:rFonts w:eastAsia="Times" w:cs="Times New Roman"/>
          <w:szCs w:val="20"/>
        </w:rPr>
        <w:t xml:space="preserve">under the </w:t>
      </w:r>
      <w:r w:rsidR="00985241" w:rsidRPr="007B5BE6">
        <w:rPr>
          <w:rFonts w:eastAsia="Times" w:cs="Times New Roman"/>
          <w:i/>
          <w:szCs w:val="20"/>
        </w:rPr>
        <w:t>Disability Rights, Inclusion and Safeguarding Act 2024</w:t>
      </w:r>
      <w:r w:rsidR="00985241" w:rsidRPr="007B5BE6">
        <w:rPr>
          <w:rFonts w:eastAsia="Times" w:cs="Times New Roman"/>
          <w:szCs w:val="20"/>
        </w:rPr>
        <w:t xml:space="preserve"> (Tas)</w:t>
      </w:r>
      <w:r w:rsidR="00921585" w:rsidRPr="007B5BE6">
        <w:rPr>
          <w:rFonts w:eastAsia="Times" w:cs="Times New Roman"/>
          <w:szCs w:val="20"/>
        </w:rPr>
        <w:t xml:space="preserve"> (</w:t>
      </w:r>
      <w:r w:rsidR="00921585" w:rsidRPr="007B5BE6">
        <w:rPr>
          <w:rFonts w:eastAsia="Times" w:cs="Times New Roman"/>
          <w:b/>
          <w:bCs/>
          <w:szCs w:val="20"/>
        </w:rPr>
        <w:t>Recommendation 3</w:t>
      </w:r>
      <w:r w:rsidR="00921585" w:rsidRPr="007B5BE6">
        <w:rPr>
          <w:rFonts w:eastAsia="Times" w:cs="Times New Roman"/>
          <w:szCs w:val="20"/>
        </w:rPr>
        <w:t>)</w:t>
      </w:r>
      <w:r w:rsidR="00985241" w:rsidRPr="007B5BE6">
        <w:rPr>
          <w:rFonts w:eastAsia="Times" w:cs="Times New Roman"/>
          <w:szCs w:val="20"/>
        </w:rPr>
        <w:t>.</w:t>
      </w:r>
      <w:r w:rsidR="00E12F2F" w:rsidRPr="007B5BE6">
        <w:rPr>
          <w:rFonts w:eastAsia="Times" w:cs="Times New Roman"/>
          <w:szCs w:val="20"/>
        </w:rPr>
        <w:t xml:space="preserve"> In doing so</w:t>
      </w:r>
      <w:r w:rsidR="005B1061" w:rsidRPr="007B5BE6">
        <w:rPr>
          <w:rFonts w:eastAsia="Times" w:cs="Times New Roman"/>
          <w:szCs w:val="20"/>
        </w:rPr>
        <w:t>,</w:t>
      </w:r>
      <w:r w:rsidR="00E12F2F" w:rsidRPr="007B5BE6">
        <w:rPr>
          <w:rFonts w:eastAsia="Times" w:cs="Times New Roman"/>
          <w:szCs w:val="20"/>
        </w:rPr>
        <w:t xml:space="preserve"> the TLRI acknowledges the </w:t>
      </w:r>
      <w:r w:rsidR="00077830" w:rsidRPr="007B5BE6">
        <w:rPr>
          <w:rFonts w:eastAsia="Times" w:cs="Times New Roman"/>
          <w:szCs w:val="20"/>
        </w:rPr>
        <w:t xml:space="preserve">significant </w:t>
      </w:r>
      <w:r w:rsidR="00A7689F" w:rsidRPr="007B5BE6">
        <w:rPr>
          <w:rFonts w:eastAsia="Times" w:cs="Times New Roman"/>
          <w:szCs w:val="20"/>
        </w:rPr>
        <w:t xml:space="preserve">national and Tasmanian review work that </w:t>
      </w:r>
      <w:r w:rsidR="00C30389" w:rsidRPr="007B5BE6">
        <w:rPr>
          <w:rFonts w:eastAsia="Times" w:cs="Times New Roman"/>
          <w:szCs w:val="20"/>
        </w:rPr>
        <w:t xml:space="preserve">informed </w:t>
      </w:r>
      <w:r w:rsidR="005B1061" w:rsidRPr="007B5BE6">
        <w:rPr>
          <w:rFonts w:eastAsia="Times" w:cs="Times New Roman"/>
          <w:szCs w:val="20"/>
        </w:rPr>
        <w:t xml:space="preserve">safeguarding </w:t>
      </w:r>
      <w:r w:rsidR="0069557B" w:rsidRPr="007B5BE6">
        <w:rPr>
          <w:rFonts w:eastAsia="Times" w:cs="Times New Roman"/>
          <w:szCs w:val="20"/>
        </w:rPr>
        <w:t>reform</w:t>
      </w:r>
      <w:r w:rsidR="005B1061" w:rsidRPr="007B5BE6">
        <w:rPr>
          <w:rFonts w:eastAsia="Times" w:cs="Times New Roman"/>
          <w:szCs w:val="20"/>
        </w:rPr>
        <w:t xml:space="preserve"> for people with disability</w:t>
      </w:r>
      <w:r w:rsidR="00CD6846" w:rsidRPr="007B5BE6">
        <w:rPr>
          <w:rFonts w:eastAsia="Times" w:cs="Times New Roman"/>
          <w:szCs w:val="20"/>
        </w:rPr>
        <w:t xml:space="preserve">. Reflecting this, </w:t>
      </w:r>
      <w:r w:rsidR="001E6774" w:rsidRPr="007B5BE6">
        <w:rPr>
          <w:rFonts w:eastAsia="Times" w:cs="Times New Roman"/>
          <w:szCs w:val="20"/>
        </w:rPr>
        <w:t>the TLRI’s</w:t>
      </w:r>
      <w:r w:rsidR="00DC0A51" w:rsidRPr="007B5BE6">
        <w:rPr>
          <w:rFonts w:eastAsia="Times" w:cs="Times New Roman"/>
          <w:szCs w:val="20"/>
        </w:rPr>
        <w:t xml:space="preserve"> approach in relation to</w:t>
      </w:r>
      <w:r w:rsidR="0085707E" w:rsidRPr="007B5BE6">
        <w:rPr>
          <w:rFonts w:eastAsia="Times" w:cs="Times New Roman"/>
          <w:szCs w:val="20"/>
        </w:rPr>
        <w:t xml:space="preserve"> t</w:t>
      </w:r>
      <w:r w:rsidR="00C42DC8" w:rsidRPr="007B5BE6">
        <w:rPr>
          <w:rFonts w:eastAsia="Times" w:cs="Times New Roman"/>
          <w:szCs w:val="20"/>
        </w:rPr>
        <w:t xml:space="preserve">he new Commissioner role </w:t>
      </w:r>
      <w:r w:rsidR="001E6774" w:rsidRPr="007B5BE6">
        <w:rPr>
          <w:rFonts w:eastAsia="Times" w:cs="Times New Roman"/>
          <w:szCs w:val="20"/>
        </w:rPr>
        <w:t>seeks to draw on the strengths of the model</w:t>
      </w:r>
      <w:r w:rsidR="00147619" w:rsidRPr="007B5BE6">
        <w:rPr>
          <w:rFonts w:eastAsia="Times" w:cs="Times New Roman"/>
          <w:szCs w:val="20"/>
        </w:rPr>
        <w:t xml:space="preserve"> underpinning these reforms</w:t>
      </w:r>
      <w:r w:rsidR="000424F1" w:rsidRPr="007B5BE6">
        <w:rPr>
          <w:rFonts w:eastAsia="Times" w:cs="Times New Roman"/>
          <w:szCs w:val="20"/>
        </w:rPr>
        <w:t>,</w:t>
      </w:r>
      <w:r w:rsidR="004158A6" w:rsidRPr="007B5BE6">
        <w:rPr>
          <w:rFonts w:eastAsia="Times" w:cs="Times New Roman"/>
          <w:szCs w:val="20"/>
        </w:rPr>
        <w:t xml:space="preserve"> </w:t>
      </w:r>
      <w:r w:rsidR="001E6774" w:rsidRPr="007B5BE6">
        <w:rPr>
          <w:rFonts w:eastAsia="Times" w:cs="Times New Roman"/>
          <w:szCs w:val="20"/>
        </w:rPr>
        <w:t>rather than detra</w:t>
      </w:r>
      <w:r w:rsidR="005B1061" w:rsidRPr="007B5BE6">
        <w:rPr>
          <w:rFonts w:eastAsia="Times" w:cs="Times New Roman"/>
          <w:szCs w:val="20"/>
        </w:rPr>
        <w:t>ctin</w:t>
      </w:r>
      <w:r w:rsidR="00C054A3" w:rsidRPr="007B5BE6">
        <w:rPr>
          <w:rFonts w:eastAsia="Times" w:cs="Times New Roman"/>
          <w:szCs w:val="20"/>
        </w:rPr>
        <w:t>g</w:t>
      </w:r>
      <w:r w:rsidR="000B43BA" w:rsidRPr="007B5BE6">
        <w:rPr>
          <w:rFonts w:eastAsia="Times" w:cs="Times New Roman"/>
          <w:szCs w:val="20"/>
        </w:rPr>
        <w:t xml:space="preserve"> from</w:t>
      </w:r>
      <w:r w:rsidR="00147619" w:rsidRPr="007B5BE6">
        <w:rPr>
          <w:rFonts w:eastAsia="Times" w:cs="Times New Roman"/>
          <w:szCs w:val="20"/>
        </w:rPr>
        <w:t>,</w:t>
      </w:r>
      <w:r w:rsidR="000B43BA" w:rsidRPr="007B5BE6">
        <w:rPr>
          <w:rFonts w:eastAsia="Times" w:cs="Times New Roman"/>
          <w:szCs w:val="20"/>
        </w:rPr>
        <w:t xml:space="preserve"> </w:t>
      </w:r>
      <w:r w:rsidR="005B1061" w:rsidRPr="007B5BE6">
        <w:rPr>
          <w:rFonts w:eastAsia="Times" w:cs="Times New Roman"/>
          <w:szCs w:val="20"/>
        </w:rPr>
        <w:t xml:space="preserve">or </w:t>
      </w:r>
      <w:r w:rsidR="00147619" w:rsidRPr="007B5BE6">
        <w:rPr>
          <w:rFonts w:eastAsia="Times" w:cs="Times New Roman"/>
          <w:szCs w:val="20"/>
        </w:rPr>
        <w:t>undermining,</w:t>
      </w:r>
      <w:r w:rsidR="005B1061" w:rsidRPr="007B5BE6">
        <w:rPr>
          <w:rFonts w:eastAsia="Times" w:cs="Times New Roman"/>
          <w:szCs w:val="20"/>
        </w:rPr>
        <w:t xml:space="preserve"> </w:t>
      </w:r>
      <w:r w:rsidR="000B43BA" w:rsidRPr="007B5BE6">
        <w:rPr>
          <w:rFonts w:eastAsia="Times" w:cs="Times New Roman"/>
          <w:szCs w:val="20"/>
        </w:rPr>
        <w:t>the approach taken for people with disability</w:t>
      </w:r>
      <w:r w:rsidR="005B1061" w:rsidRPr="007B5BE6">
        <w:rPr>
          <w:rFonts w:eastAsia="Times" w:cs="Times New Roman"/>
          <w:szCs w:val="20"/>
        </w:rPr>
        <w:t>.</w:t>
      </w:r>
      <w:r w:rsidR="00A7689F" w:rsidRPr="007B5BE6">
        <w:rPr>
          <w:rFonts w:eastAsia="Times" w:cs="Times New Roman"/>
          <w:szCs w:val="20"/>
        </w:rPr>
        <w:t xml:space="preserve"> </w:t>
      </w:r>
      <w:r w:rsidR="00C054A3" w:rsidRPr="007B5BE6">
        <w:rPr>
          <w:rFonts w:eastAsia="Times" w:cs="Times New Roman"/>
          <w:szCs w:val="20"/>
        </w:rPr>
        <w:t>Further, the TLRI’s view is that c</w:t>
      </w:r>
      <w:r w:rsidR="00921585" w:rsidRPr="007B5BE6">
        <w:rPr>
          <w:rFonts w:eastAsia="Times" w:cs="Times New Roman"/>
          <w:szCs w:val="20"/>
        </w:rPr>
        <w:t xml:space="preserve">onsideration and development of approaches regarding the structure and operation of the </w:t>
      </w:r>
      <w:r w:rsidR="00225641" w:rsidRPr="007B5BE6">
        <w:rPr>
          <w:rFonts w:eastAsia="Times" w:cs="Times New Roman"/>
          <w:szCs w:val="20"/>
        </w:rPr>
        <w:t>new</w:t>
      </w:r>
      <w:r w:rsidR="00921585" w:rsidRPr="007B5BE6">
        <w:rPr>
          <w:rFonts w:eastAsia="Times" w:cs="Times New Roman"/>
          <w:szCs w:val="20"/>
        </w:rPr>
        <w:t xml:space="preserve"> Commissioner role, including its intersection with the Disability Commissioner role, should be informed by consultation with relevant stakeholders (</w:t>
      </w:r>
      <w:r w:rsidR="00921585" w:rsidRPr="007B5BE6">
        <w:rPr>
          <w:rFonts w:eastAsia="Times" w:cs="Times New Roman"/>
          <w:b/>
          <w:bCs/>
          <w:szCs w:val="20"/>
        </w:rPr>
        <w:t>Recommendation 4</w:t>
      </w:r>
      <w:r w:rsidR="00921585" w:rsidRPr="007B5BE6">
        <w:rPr>
          <w:rFonts w:eastAsia="Times" w:cs="Times New Roman"/>
          <w:szCs w:val="20"/>
        </w:rPr>
        <w:t>)</w:t>
      </w:r>
      <w:r w:rsidR="00B85AB8" w:rsidRPr="007B5BE6">
        <w:rPr>
          <w:rFonts w:eastAsia="Times" w:cs="Times New Roman"/>
          <w:szCs w:val="20"/>
        </w:rPr>
        <w:t>.</w:t>
      </w:r>
    </w:p>
    <w:p w14:paraId="7434CE48" w14:textId="6D48DFEC" w:rsidR="0028551A" w:rsidRPr="007B5BE6" w:rsidRDefault="00434337" w:rsidP="0028551A">
      <w:r w:rsidRPr="007B5BE6">
        <w:t>The TL</w:t>
      </w:r>
      <w:r w:rsidR="0083121B" w:rsidRPr="007B5BE6">
        <w:t xml:space="preserve">RI </w:t>
      </w:r>
      <w:r w:rsidR="00E94EAE" w:rsidRPr="007B5BE6">
        <w:t xml:space="preserve">also makes further recommendations </w:t>
      </w:r>
      <w:r w:rsidR="007A40CB" w:rsidRPr="007B5BE6">
        <w:t>related to creation of</w:t>
      </w:r>
      <w:r w:rsidR="00E94EAE" w:rsidRPr="007B5BE6">
        <w:t xml:space="preserve"> </w:t>
      </w:r>
      <w:r w:rsidR="007A40CB" w:rsidRPr="007B5BE6">
        <w:t>an</w:t>
      </w:r>
      <w:r w:rsidR="00E94EAE" w:rsidRPr="007B5BE6">
        <w:t xml:space="preserve"> independent statutory entity</w:t>
      </w:r>
      <w:r w:rsidR="00773317" w:rsidRPr="007B5BE6">
        <w:t xml:space="preserve">. This includes </w:t>
      </w:r>
      <w:r w:rsidR="00E94EAE" w:rsidRPr="007B5BE6">
        <w:t>a</w:t>
      </w:r>
      <w:r w:rsidR="00D624E2" w:rsidRPr="007B5BE6">
        <w:t xml:space="preserve"> mechanism f</w:t>
      </w:r>
      <w:r w:rsidRPr="007B5BE6">
        <w:t>or monitoring the Commission</w:t>
      </w:r>
      <w:r w:rsidR="007A40CB" w:rsidRPr="007B5BE6">
        <w:t>er</w:t>
      </w:r>
      <w:r w:rsidR="004E3098" w:rsidRPr="007B5BE6">
        <w:t xml:space="preserve"> for Older People</w:t>
      </w:r>
      <w:r w:rsidR="007A40CB" w:rsidRPr="007B5BE6">
        <w:t xml:space="preserve"> </w:t>
      </w:r>
      <w:r w:rsidRPr="007B5BE6">
        <w:t xml:space="preserve">role </w:t>
      </w:r>
      <w:r w:rsidR="00E94EAE" w:rsidRPr="007B5BE6">
        <w:t>(</w:t>
      </w:r>
      <w:r w:rsidR="00E94EAE" w:rsidRPr="007B5BE6">
        <w:rPr>
          <w:b/>
          <w:bCs/>
        </w:rPr>
        <w:t xml:space="preserve">Recommendation </w:t>
      </w:r>
      <w:r w:rsidR="00C574CF" w:rsidRPr="007B5BE6">
        <w:rPr>
          <w:b/>
          <w:bCs/>
        </w:rPr>
        <w:t>5</w:t>
      </w:r>
      <w:r w:rsidR="002911CC" w:rsidRPr="007B5BE6">
        <w:t>) and</w:t>
      </w:r>
      <w:r w:rsidR="00C574CF" w:rsidRPr="007B5BE6">
        <w:t xml:space="preserve"> </w:t>
      </w:r>
      <w:r w:rsidR="0028551A" w:rsidRPr="007B5BE6">
        <w:t>appropriately resourc</w:t>
      </w:r>
      <w:r w:rsidR="00C574CF" w:rsidRPr="007B5BE6">
        <w:t xml:space="preserve">ing </w:t>
      </w:r>
      <w:r w:rsidR="005F1C76" w:rsidRPr="007B5BE6">
        <w:t>the role</w:t>
      </w:r>
      <w:r w:rsidR="0028551A" w:rsidRPr="007B5BE6">
        <w:t xml:space="preserve"> to allow</w:t>
      </w:r>
      <w:r w:rsidR="0028551A" w:rsidRPr="007B5BE6" w:rsidDel="005F1C76">
        <w:t xml:space="preserve"> </w:t>
      </w:r>
      <w:r w:rsidR="0028551A" w:rsidRPr="007B5BE6">
        <w:t>the Commissioner to carry out the functions</w:t>
      </w:r>
      <w:r w:rsidR="002911CC" w:rsidRPr="007B5BE6">
        <w:t xml:space="preserve"> and powers</w:t>
      </w:r>
      <w:r w:rsidR="0028551A" w:rsidRPr="007B5BE6">
        <w:t xml:space="preserve"> relating to safeguarding </w:t>
      </w:r>
      <w:r w:rsidR="005F1C76" w:rsidRPr="007B5BE6">
        <w:t xml:space="preserve">of </w:t>
      </w:r>
      <w:r w:rsidR="0028551A" w:rsidRPr="007B5BE6">
        <w:t>older people (</w:t>
      </w:r>
      <w:r w:rsidR="0028551A" w:rsidRPr="007B5BE6">
        <w:rPr>
          <w:b/>
          <w:bCs/>
        </w:rPr>
        <w:t xml:space="preserve">Recommendation </w:t>
      </w:r>
      <w:r w:rsidR="005F1C76" w:rsidRPr="007B5BE6">
        <w:rPr>
          <w:b/>
          <w:bCs/>
        </w:rPr>
        <w:t>6</w:t>
      </w:r>
      <w:r w:rsidR="0028551A" w:rsidRPr="007B5BE6">
        <w:t>).</w:t>
      </w:r>
    </w:p>
    <w:p w14:paraId="63F2CF38" w14:textId="5DB286D9" w:rsidR="005B5072" w:rsidRPr="007B5BE6" w:rsidRDefault="005329C4" w:rsidP="00584D6A">
      <w:r w:rsidRPr="007B5BE6">
        <w:rPr>
          <w:b/>
          <w:bCs/>
        </w:rPr>
        <w:t xml:space="preserve">Recommendations </w:t>
      </w:r>
      <w:r w:rsidR="008514E4" w:rsidRPr="007B5BE6">
        <w:rPr>
          <w:b/>
          <w:bCs/>
        </w:rPr>
        <w:t>7</w:t>
      </w:r>
      <w:r w:rsidR="00AE0D24" w:rsidRPr="007B5BE6">
        <w:rPr>
          <w:b/>
          <w:bCs/>
        </w:rPr>
        <w:t>–1</w:t>
      </w:r>
      <w:r w:rsidR="00A2658A" w:rsidRPr="007B5BE6">
        <w:rPr>
          <w:b/>
          <w:bCs/>
        </w:rPr>
        <w:t>9</w:t>
      </w:r>
      <w:r w:rsidR="00AE0D24" w:rsidRPr="007B5BE6">
        <w:t xml:space="preserve"> address additional matters </w:t>
      </w:r>
      <w:r w:rsidR="00F527A9" w:rsidRPr="007B5BE6">
        <w:t>necessary</w:t>
      </w:r>
      <w:r w:rsidR="006B34C3" w:rsidRPr="007B5BE6">
        <w:t xml:space="preserve"> to devise the </w:t>
      </w:r>
      <w:r w:rsidR="00584D6A" w:rsidRPr="007B5BE6">
        <w:t>accompanying legal and operational framework</w:t>
      </w:r>
      <w:r w:rsidR="000B27C7" w:rsidRPr="007B5BE6">
        <w:t xml:space="preserve"> for safeguarding</w:t>
      </w:r>
      <w:r w:rsidR="00D66406" w:rsidRPr="007B5BE6">
        <w:t xml:space="preserve">. This includes </w:t>
      </w:r>
      <w:r w:rsidR="006B34C3" w:rsidRPr="007B5BE6">
        <w:t>t</w:t>
      </w:r>
      <w:r w:rsidR="00584D6A" w:rsidRPr="007B5BE6">
        <w:t>he coverage of the safeguarding legislation</w:t>
      </w:r>
      <w:r w:rsidR="006148ED" w:rsidRPr="007B5BE6">
        <w:t xml:space="preserve"> (</w:t>
      </w:r>
      <w:r w:rsidR="006148ED" w:rsidRPr="007B5BE6">
        <w:rPr>
          <w:b/>
          <w:bCs/>
        </w:rPr>
        <w:t>Recommendations 7 and 8</w:t>
      </w:r>
      <w:r w:rsidR="006148ED" w:rsidRPr="007B5BE6">
        <w:t xml:space="preserve">) and </w:t>
      </w:r>
      <w:r w:rsidR="00584D6A" w:rsidRPr="007B5BE6">
        <w:t>the definition of abuse under the legislation</w:t>
      </w:r>
      <w:r w:rsidR="00D66406" w:rsidRPr="007B5BE6">
        <w:t xml:space="preserve"> (</w:t>
      </w:r>
      <w:r w:rsidR="00D66406" w:rsidRPr="007B5BE6">
        <w:rPr>
          <w:b/>
          <w:bCs/>
        </w:rPr>
        <w:t>Recommendations</w:t>
      </w:r>
      <w:r w:rsidR="006148ED" w:rsidRPr="007B5BE6">
        <w:rPr>
          <w:b/>
          <w:bCs/>
        </w:rPr>
        <w:t xml:space="preserve"> 9</w:t>
      </w:r>
      <w:r w:rsidR="006148ED" w:rsidRPr="007B5BE6">
        <w:t>).</w:t>
      </w:r>
      <w:r w:rsidR="006B34C3" w:rsidRPr="007B5BE6">
        <w:t xml:space="preserve"> The TLRI recommends that the</w:t>
      </w:r>
      <w:r w:rsidR="005B5072" w:rsidRPr="007B5BE6" w:rsidDel="006B34C3">
        <w:t xml:space="preserve"> </w:t>
      </w:r>
      <w:r w:rsidR="005B5072" w:rsidRPr="007B5BE6">
        <w:t xml:space="preserve">independent statutory role </w:t>
      </w:r>
      <w:r w:rsidR="006B34C3" w:rsidRPr="007B5BE6">
        <w:t xml:space="preserve">should </w:t>
      </w:r>
      <w:r w:rsidR="00AB4D55" w:rsidRPr="007B5BE6">
        <w:t>have legislative powers to</w:t>
      </w:r>
      <w:r w:rsidR="005B5072" w:rsidRPr="007B5BE6">
        <w:t xml:space="preserve"> receive reports </w:t>
      </w:r>
      <w:r w:rsidR="00E6739F" w:rsidRPr="007B5BE6">
        <w:t>concern</w:t>
      </w:r>
      <w:r w:rsidR="0086223C" w:rsidRPr="007B5BE6">
        <w:t xml:space="preserve">ing the possible </w:t>
      </w:r>
      <w:r w:rsidR="005B5072" w:rsidRPr="007B5BE6">
        <w:t>abuse of older people, with powers to</w:t>
      </w:r>
      <w:r w:rsidR="00AB4D55" w:rsidRPr="007B5BE6">
        <w:t xml:space="preserve"> </w:t>
      </w:r>
      <w:r w:rsidR="00096629" w:rsidRPr="007B5BE6">
        <w:t>make</w:t>
      </w:r>
      <w:r w:rsidR="00AB4D55" w:rsidRPr="007B5BE6">
        <w:t xml:space="preserve"> </w:t>
      </w:r>
      <w:r w:rsidR="00AF2C20" w:rsidRPr="007B5BE6">
        <w:t xml:space="preserve">preliminary </w:t>
      </w:r>
      <w:r w:rsidR="00096629" w:rsidRPr="007B5BE6">
        <w:t xml:space="preserve">inquiries, </w:t>
      </w:r>
      <w:r w:rsidR="005B5072" w:rsidRPr="007B5BE6">
        <w:t>investigate</w:t>
      </w:r>
      <w:r w:rsidR="00764A59" w:rsidRPr="007B5BE6">
        <w:t xml:space="preserve"> reports</w:t>
      </w:r>
      <w:r w:rsidR="005B5072" w:rsidRPr="007B5BE6">
        <w:t xml:space="preserve">, make referrals </w:t>
      </w:r>
      <w:r w:rsidR="00516821" w:rsidRPr="007B5BE6">
        <w:t xml:space="preserve">to other </w:t>
      </w:r>
      <w:r w:rsidR="008F0FC1" w:rsidRPr="007B5BE6">
        <w:t>agencies,</w:t>
      </w:r>
      <w:r w:rsidR="00764A59" w:rsidRPr="007B5BE6">
        <w:t xml:space="preserve"> persons or bodies</w:t>
      </w:r>
      <w:r w:rsidR="008F0FC1" w:rsidRPr="007B5BE6">
        <w:t xml:space="preserve"> </w:t>
      </w:r>
      <w:r w:rsidR="005B5072" w:rsidRPr="007B5BE6">
        <w:t>(as appropriate)</w:t>
      </w:r>
      <w:r w:rsidR="00514747" w:rsidRPr="007B5BE6">
        <w:t xml:space="preserve"> or decline to </w:t>
      </w:r>
      <w:proofErr w:type="gramStart"/>
      <w:r w:rsidR="00514747" w:rsidRPr="007B5BE6">
        <w:t>take action</w:t>
      </w:r>
      <w:proofErr w:type="gramEnd"/>
      <w:r w:rsidR="005B5072" w:rsidRPr="007B5BE6">
        <w:t xml:space="preserve"> (</w:t>
      </w:r>
      <w:r w:rsidR="005B5072" w:rsidRPr="007B5BE6">
        <w:rPr>
          <w:b/>
          <w:bCs/>
        </w:rPr>
        <w:t xml:space="preserve">Recommendations </w:t>
      </w:r>
      <w:r w:rsidR="00CD7707" w:rsidRPr="007B5BE6">
        <w:rPr>
          <w:b/>
          <w:bCs/>
        </w:rPr>
        <w:t>10</w:t>
      </w:r>
      <w:r w:rsidR="005B5072" w:rsidRPr="007B5BE6">
        <w:rPr>
          <w:b/>
          <w:bCs/>
        </w:rPr>
        <w:t>–15</w:t>
      </w:r>
      <w:r w:rsidR="005B5072" w:rsidRPr="007B5BE6">
        <w:t xml:space="preserve">). </w:t>
      </w:r>
      <w:r w:rsidR="00C575D4" w:rsidRPr="007B5BE6">
        <w:t>The</w:t>
      </w:r>
      <w:r w:rsidR="00C47571" w:rsidRPr="007B5BE6">
        <w:t xml:space="preserve"> </w:t>
      </w:r>
      <w:r w:rsidR="00AD476E" w:rsidRPr="007B5BE6">
        <w:t>overarching approach to safeguarding</w:t>
      </w:r>
      <w:r w:rsidR="00AA1C8F" w:rsidRPr="007B5BE6">
        <w:t xml:space="preserve"> </w:t>
      </w:r>
      <w:r w:rsidR="00C575D4" w:rsidRPr="007B5BE6">
        <w:t xml:space="preserve">recommended by the TLRI is </w:t>
      </w:r>
      <w:r w:rsidR="008A1B5E" w:rsidRPr="007B5BE6">
        <w:t xml:space="preserve">founded on a </w:t>
      </w:r>
      <w:r w:rsidR="00327015" w:rsidRPr="007B5BE6">
        <w:t>collaborative</w:t>
      </w:r>
      <w:r w:rsidR="008A1B5E" w:rsidRPr="007B5BE6">
        <w:t xml:space="preserve"> interagency</w:t>
      </w:r>
      <w:r w:rsidR="00327015" w:rsidRPr="007B5BE6">
        <w:t xml:space="preserve"> approach, building on</w:t>
      </w:r>
      <w:r w:rsidR="009413AC" w:rsidRPr="007B5BE6">
        <w:t xml:space="preserve"> existing </w:t>
      </w:r>
      <w:r w:rsidR="008A1B5E" w:rsidRPr="007B5BE6">
        <w:t xml:space="preserve">networks, </w:t>
      </w:r>
      <w:r w:rsidR="003140FB" w:rsidRPr="007B5BE6">
        <w:t xml:space="preserve">with the TLRI recommending that </w:t>
      </w:r>
      <w:r w:rsidR="00327015" w:rsidRPr="007B5BE6">
        <w:t>r</w:t>
      </w:r>
      <w:r w:rsidR="00514747" w:rsidRPr="007B5BE6">
        <w:t>eferral pathways, information sharing arrangements</w:t>
      </w:r>
      <w:r w:rsidR="00D9681B" w:rsidRPr="007B5BE6">
        <w:t>,</w:t>
      </w:r>
      <w:r w:rsidR="00514747" w:rsidRPr="007B5BE6">
        <w:t xml:space="preserve"> and policies and agreements that allow for collaboration be established with the </w:t>
      </w:r>
      <w:r w:rsidR="003140FB" w:rsidRPr="007B5BE6">
        <w:t>safeguarding entity (</w:t>
      </w:r>
      <w:r w:rsidR="003140FB" w:rsidRPr="007B5BE6">
        <w:rPr>
          <w:b/>
          <w:bCs/>
        </w:rPr>
        <w:t>Recommendation 1</w:t>
      </w:r>
      <w:r w:rsidR="00D66406" w:rsidRPr="007B5BE6">
        <w:rPr>
          <w:b/>
          <w:bCs/>
        </w:rPr>
        <w:t>9</w:t>
      </w:r>
      <w:r w:rsidR="003140FB" w:rsidRPr="007B5BE6">
        <w:t>).</w:t>
      </w:r>
      <w:r w:rsidR="00514747" w:rsidRPr="007B5BE6">
        <w:t xml:space="preserve"> </w:t>
      </w:r>
      <w:r w:rsidR="005B5072" w:rsidRPr="007B5BE6">
        <w:t>The safeguarding entity should also have a key role in primary and secondary prevention of the abuse of older pe</w:t>
      </w:r>
      <w:r w:rsidR="00240CFE">
        <w:t>ople</w:t>
      </w:r>
      <w:r w:rsidR="005B5072" w:rsidRPr="007B5BE6">
        <w:t xml:space="preserve"> through the development and delivery of specialist education </w:t>
      </w:r>
      <w:r w:rsidR="00664282" w:rsidRPr="007B5BE6">
        <w:t>and training</w:t>
      </w:r>
      <w:r w:rsidR="00933F4A" w:rsidRPr="007B5BE6">
        <w:t xml:space="preserve">, which should include supported decision making. </w:t>
      </w:r>
      <w:r w:rsidR="004E5BD3" w:rsidRPr="007B5BE6">
        <w:t xml:space="preserve">This education and training </w:t>
      </w:r>
      <w:r w:rsidR="00012FE0" w:rsidRPr="007B5BE6">
        <w:t xml:space="preserve">should aim to </w:t>
      </w:r>
      <w:r w:rsidR="005B5072" w:rsidRPr="007B5BE6">
        <w:t xml:space="preserve">equip </w:t>
      </w:r>
      <w:r w:rsidR="00A41FCC" w:rsidRPr="007B5BE6">
        <w:t xml:space="preserve">older </w:t>
      </w:r>
      <w:r w:rsidR="00846B5A" w:rsidRPr="007B5BE6">
        <w:t>Tasmanians</w:t>
      </w:r>
      <w:r w:rsidR="00A41FCC" w:rsidRPr="007B5BE6">
        <w:t xml:space="preserve">, other members of the </w:t>
      </w:r>
      <w:r w:rsidR="005B5072" w:rsidRPr="007B5BE6">
        <w:t>Tasmanian community</w:t>
      </w:r>
      <w:r w:rsidR="00A41FCC" w:rsidRPr="007B5BE6">
        <w:t>,</w:t>
      </w:r>
      <w:r w:rsidR="005B5072" w:rsidRPr="007B5BE6">
        <w:t xml:space="preserve"> and</w:t>
      </w:r>
      <w:r w:rsidR="00A41FCC" w:rsidRPr="007B5BE6">
        <w:t xml:space="preserve"> </w:t>
      </w:r>
      <w:r w:rsidR="005B5072" w:rsidRPr="007B5BE6">
        <w:t>services and businesses that interact with o</w:t>
      </w:r>
      <w:r w:rsidR="00A41FCC" w:rsidRPr="007B5BE6">
        <w:t>l</w:t>
      </w:r>
      <w:r w:rsidR="005B5072" w:rsidRPr="007B5BE6">
        <w:t>der people</w:t>
      </w:r>
      <w:r w:rsidR="00846B5A" w:rsidRPr="007B5BE6">
        <w:t>,</w:t>
      </w:r>
      <w:r w:rsidR="00846B5A" w:rsidRPr="007B5BE6">
        <w:rPr>
          <w:rFonts w:eastAsia="Times" w:cs="Times New Roman"/>
          <w:szCs w:val="20"/>
        </w:rPr>
        <w:t xml:space="preserve"> including Tasmania Police</w:t>
      </w:r>
      <w:r w:rsidR="00846B5A" w:rsidRPr="007B5BE6">
        <w:t xml:space="preserve">, </w:t>
      </w:r>
      <w:r w:rsidR="00A41FCC" w:rsidRPr="007B5BE6">
        <w:t>with the capacity to</w:t>
      </w:r>
      <w:r w:rsidR="005B5072" w:rsidRPr="007B5BE6">
        <w:t xml:space="preserve"> </w:t>
      </w:r>
      <w:r w:rsidR="005B5072" w:rsidRPr="007B5BE6">
        <w:rPr>
          <w:rFonts w:eastAsia="Times" w:cs="Times New Roman"/>
          <w:szCs w:val="20"/>
        </w:rPr>
        <w:t>recognise, respond to and help prevent the abuse of older people</w:t>
      </w:r>
      <w:r w:rsidR="00A56008" w:rsidRPr="007B5BE6">
        <w:rPr>
          <w:rFonts w:eastAsia="Times" w:cs="Times New Roman"/>
          <w:szCs w:val="20"/>
        </w:rPr>
        <w:t xml:space="preserve"> </w:t>
      </w:r>
      <w:r w:rsidR="005B5072" w:rsidRPr="007B5BE6">
        <w:rPr>
          <w:rFonts w:eastAsia="Times" w:cs="Times New Roman"/>
          <w:b/>
          <w:bCs/>
          <w:szCs w:val="20"/>
        </w:rPr>
        <w:t>(Recommendation 1</w:t>
      </w:r>
      <w:r w:rsidR="00D66406" w:rsidRPr="007B5BE6">
        <w:rPr>
          <w:rFonts w:eastAsia="Times" w:cs="Times New Roman"/>
          <w:b/>
          <w:bCs/>
          <w:szCs w:val="20"/>
        </w:rPr>
        <w:t>8</w:t>
      </w:r>
      <w:r w:rsidR="005B5072" w:rsidRPr="007B5BE6">
        <w:rPr>
          <w:rFonts w:eastAsia="Times" w:cs="Times New Roman"/>
          <w:szCs w:val="20"/>
        </w:rPr>
        <w:t>).</w:t>
      </w:r>
      <w:r w:rsidR="005B5072" w:rsidRPr="007B5BE6">
        <w:t xml:space="preserve"> Further, </w:t>
      </w:r>
      <w:r w:rsidR="00F85FF7" w:rsidRPr="007B5BE6">
        <w:t>the legislative model</w:t>
      </w:r>
      <w:r w:rsidR="005B5072" w:rsidRPr="007B5BE6">
        <w:t xml:space="preserve"> should be underpinned by a principled approach to safeguardin</w:t>
      </w:r>
      <w:r w:rsidR="00591FD1" w:rsidRPr="007B5BE6">
        <w:t>g—</w:t>
      </w:r>
      <w:r w:rsidR="005B5072" w:rsidRPr="007B5BE6">
        <w:t>reflect</w:t>
      </w:r>
      <w:r w:rsidR="00591FD1" w:rsidRPr="007B5BE6">
        <w:t>ing</w:t>
      </w:r>
      <w:r w:rsidR="005B5072" w:rsidRPr="007B5BE6">
        <w:t xml:space="preserve"> autonomy</w:t>
      </w:r>
      <w:r w:rsidR="00591FD1" w:rsidRPr="007B5BE6">
        <w:t xml:space="preserve">, </w:t>
      </w:r>
      <w:r w:rsidR="00F87318" w:rsidRPr="007B5BE6">
        <w:t>self-determination</w:t>
      </w:r>
      <w:r w:rsidR="005B5072" w:rsidRPr="007B5BE6">
        <w:t xml:space="preserve"> and </w:t>
      </w:r>
      <w:r w:rsidR="00D35E14" w:rsidRPr="007B5BE6">
        <w:t xml:space="preserve">the </w:t>
      </w:r>
      <w:r w:rsidR="005B5072" w:rsidRPr="007B5BE6">
        <w:t>rights of older people</w:t>
      </w:r>
      <w:r w:rsidR="00591FD1" w:rsidRPr="007B5BE6">
        <w:t xml:space="preserve">, while also </w:t>
      </w:r>
      <w:r w:rsidR="005B5072" w:rsidRPr="007B5BE6">
        <w:t>facilitat</w:t>
      </w:r>
      <w:r w:rsidR="00591FD1" w:rsidRPr="007B5BE6">
        <w:t>ing</w:t>
      </w:r>
      <w:r w:rsidR="005B5072" w:rsidRPr="007B5BE6">
        <w:t xml:space="preserve"> safety and protection</w:t>
      </w:r>
      <w:r w:rsidR="00E00F16" w:rsidRPr="007B5BE6">
        <w:t xml:space="preserve"> against</w:t>
      </w:r>
      <w:r w:rsidR="005B5072" w:rsidRPr="007B5BE6">
        <w:t xml:space="preserve"> abuse. The model should be consent</w:t>
      </w:r>
      <w:r w:rsidR="00846B5A" w:rsidRPr="007B5BE6">
        <w:t>-</w:t>
      </w:r>
      <w:r w:rsidR="005B5072" w:rsidRPr="007B5BE6">
        <w:t xml:space="preserve">based with a requirement to </w:t>
      </w:r>
      <w:r w:rsidR="00776687" w:rsidRPr="007B5BE6">
        <w:t>obtain the consent of the o</w:t>
      </w:r>
      <w:r w:rsidR="005B5072" w:rsidRPr="007B5BE6">
        <w:t>lder person</w:t>
      </w:r>
      <w:r w:rsidR="002A785F" w:rsidRPr="007B5BE6">
        <w:t>,</w:t>
      </w:r>
      <w:r w:rsidR="005B5072" w:rsidRPr="007B5BE6">
        <w:t xml:space="preserve"> unless the nature of the abuse or the circumstances of the older person mean that action is required </w:t>
      </w:r>
      <w:r w:rsidR="00776687" w:rsidRPr="007B5BE6">
        <w:t>in the absence of</w:t>
      </w:r>
      <w:r w:rsidR="005B5072" w:rsidRPr="007B5BE6">
        <w:t xml:space="preserve"> consent (</w:t>
      </w:r>
      <w:r w:rsidR="005B5072" w:rsidRPr="007B5BE6">
        <w:rPr>
          <w:b/>
          <w:bCs/>
        </w:rPr>
        <w:t>Recommendation</w:t>
      </w:r>
      <w:r w:rsidR="00937E9F" w:rsidRPr="007B5BE6">
        <w:rPr>
          <w:b/>
          <w:bCs/>
        </w:rPr>
        <w:t>s 1</w:t>
      </w:r>
      <w:r w:rsidR="00D66406" w:rsidRPr="007B5BE6">
        <w:rPr>
          <w:b/>
          <w:bCs/>
        </w:rPr>
        <w:t>6</w:t>
      </w:r>
      <w:r w:rsidR="00937E9F" w:rsidRPr="007B5BE6">
        <w:rPr>
          <w:b/>
          <w:bCs/>
        </w:rPr>
        <w:t xml:space="preserve"> and</w:t>
      </w:r>
      <w:r w:rsidR="005B5072" w:rsidRPr="007B5BE6">
        <w:rPr>
          <w:b/>
          <w:bCs/>
        </w:rPr>
        <w:t xml:space="preserve"> 1</w:t>
      </w:r>
      <w:r w:rsidR="00D66406" w:rsidRPr="007B5BE6">
        <w:rPr>
          <w:b/>
          <w:bCs/>
        </w:rPr>
        <w:t>7</w:t>
      </w:r>
      <w:r w:rsidR="005B5072" w:rsidRPr="007B5BE6">
        <w:t>).</w:t>
      </w:r>
    </w:p>
    <w:p w14:paraId="4AE93688" w14:textId="08C4C2B1" w:rsidR="005B5072" w:rsidRPr="007B5BE6" w:rsidRDefault="005B5072" w:rsidP="005B5072">
      <w:r w:rsidRPr="007B5BE6">
        <w:t xml:space="preserve">In addition, the TLRI makes </w:t>
      </w:r>
      <w:r w:rsidR="00D3006C" w:rsidRPr="007B5BE6">
        <w:t>12</w:t>
      </w:r>
      <w:r w:rsidRPr="007B5BE6">
        <w:t xml:space="preserve"> recommendations for reforms to </w:t>
      </w:r>
      <w:r w:rsidRPr="007B5BE6">
        <w:rPr>
          <w:b/>
          <w:bCs/>
        </w:rPr>
        <w:t xml:space="preserve">existing laws to improve their ability to form part of a safeguarding response against the abuse of older Tasmanians (Part 5 and Recommendations </w:t>
      </w:r>
      <w:r w:rsidR="009E10B2" w:rsidRPr="007B5BE6">
        <w:rPr>
          <w:b/>
          <w:bCs/>
        </w:rPr>
        <w:t>20</w:t>
      </w:r>
      <w:r w:rsidR="00D3006C" w:rsidRPr="007B5BE6">
        <w:rPr>
          <w:b/>
          <w:bCs/>
        </w:rPr>
        <w:t>–3</w:t>
      </w:r>
      <w:r w:rsidR="009E10B2" w:rsidRPr="007B5BE6">
        <w:rPr>
          <w:b/>
          <w:bCs/>
        </w:rPr>
        <w:t>1</w:t>
      </w:r>
      <w:r w:rsidRPr="007B5BE6">
        <w:rPr>
          <w:b/>
          <w:bCs/>
        </w:rPr>
        <w:t>)</w:t>
      </w:r>
      <w:r w:rsidRPr="007B5BE6">
        <w:t xml:space="preserve">. These include reforms to </w:t>
      </w:r>
      <w:r w:rsidR="00995858" w:rsidRPr="007B5BE6">
        <w:t xml:space="preserve">create a </w:t>
      </w:r>
      <w:r w:rsidR="006F7F7D" w:rsidRPr="007B5BE6">
        <w:t xml:space="preserve">more </w:t>
      </w:r>
      <w:r w:rsidR="00995858" w:rsidRPr="007B5BE6">
        <w:t xml:space="preserve">specialised </w:t>
      </w:r>
      <w:r w:rsidR="008C3AD8" w:rsidRPr="007B5BE6">
        <w:t xml:space="preserve">approach for </w:t>
      </w:r>
      <w:r w:rsidRPr="007B5BE6">
        <w:t>restraint orders (</w:t>
      </w:r>
      <w:r w:rsidRPr="007B5BE6">
        <w:rPr>
          <w:b/>
          <w:bCs/>
        </w:rPr>
        <w:t xml:space="preserve">Recommendations </w:t>
      </w:r>
      <w:r w:rsidR="009E10B2" w:rsidRPr="007B5BE6">
        <w:rPr>
          <w:b/>
          <w:bCs/>
        </w:rPr>
        <w:t>20</w:t>
      </w:r>
      <w:r w:rsidR="00FB73D6" w:rsidRPr="007B5BE6">
        <w:rPr>
          <w:b/>
          <w:bCs/>
        </w:rPr>
        <w:t>–</w:t>
      </w:r>
      <w:r w:rsidRPr="007B5BE6">
        <w:rPr>
          <w:b/>
          <w:bCs/>
        </w:rPr>
        <w:t>2</w:t>
      </w:r>
      <w:r w:rsidR="009E10B2" w:rsidRPr="007B5BE6">
        <w:rPr>
          <w:b/>
          <w:bCs/>
        </w:rPr>
        <w:t>1</w:t>
      </w:r>
      <w:r w:rsidRPr="007B5BE6">
        <w:t xml:space="preserve">), </w:t>
      </w:r>
      <w:r w:rsidR="00271530" w:rsidRPr="007B5BE6">
        <w:t xml:space="preserve">maintain existing criminal offences and </w:t>
      </w:r>
      <w:r w:rsidR="00F04669" w:rsidRPr="007B5BE6">
        <w:t xml:space="preserve">improve record-keeping </w:t>
      </w:r>
      <w:r w:rsidR="0031049A" w:rsidRPr="007B5BE6">
        <w:t>regarding the</w:t>
      </w:r>
      <w:r w:rsidR="00271530" w:rsidRPr="007B5BE6">
        <w:t>ir</w:t>
      </w:r>
      <w:r w:rsidR="0031049A" w:rsidRPr="007B5BE6">
        <w:t xml:space="preserve"> occurrence in circumstances involv</w:t>
      </w:r>
      <w:r w:rsidR="00271530" w:rsidRPr="007B5BE6">
        <w:t>ing</w:t>
      </w:r>
      <w:r w:rsidR="0031049A" w:rsidRPr="007B5BE6">
        <w:t xml:space="preserve"> the abuse of an older person (</w:t>
      </w:r>
      <w:r w:rsidR="0031049A" w:rsidRPr="007B5BE6">
        <w:rPr>
          <w:b/>
          <w:bCs/>
        </w:rPr>
        <w:t>Recommendation</w:t>
      </w:r>
      <w:r w:rsidR="00271530" w:rsidRPr="007B5BE6">
        <w:rPr>
          <w:b/>
          <w:bCs/>
        </w:rPr>
        <w:t>s</w:t>
      </w:r>
      <w:r w:rsidR="0031049A" w:rsidRPr="007B5BE6">
        <w:rPr>
          <w:b/>
          <w:bCs/>
        </w:rPr>
        <w:t xml:space="preserve"> </w:t>
      </w:r>
      <w:r w:rsidR="00271530" w:rsidRPr="007B5BE6">
        <w:rPr>
          <w:b/>
          <w:bCs/>
        </w:rPr>
        <w:t>22–</w:t>
      </w:r>
      <w:r w:rsidR="00226A38" w:rsidRPr="007B5BE6">
        <w:rPr>
          <w:b/>
          <w:bCs/>
        </w:rPr>
        <w:t>23</w:t>
      </w:r>
      <w:r w:rsidR="00226A38" w:rsidRPr="007B5BE6">
        <w:t xml:space="preserve">), </w:t>
      </w:r>
      <w:r w:rsidR="005D7E71" w:rsidRPr="007B5BE6">
        <w:t>create</w:t>
      </w:r>
      <w:r w:rsidRPr="007B5BE6">
        <w:t xml:space="preserve"> additional criminal offences and civil compensation orders relating to abuse o</w:t>
      </w:r>
      <w:r w:rsidR="005D7E71" w:rsidRPr="007B5BE6">
        <w:t>r</w:t>
      </w:r>
      <w:r w:rsidRPr="007B5BE6">
        <w:t xml:space="preserve"> misuse of enduring powers of attorney, as well as powers under guardianship and/or administration orders (</w:t>
      </w:r>
      <w:r w:rsidRPr="007B5BE6">
        <w:rPr>
          <w:b/>
          <w:bCs/>
        </w:rPr>
        <w:t>Recommendations 2</w:t>
      </w:r>
      <w:r w:rsidR="00ED14A6" w:rsidRPr="007B5BE6">
        <w:rPr>
          <w:b/>
          <w:bCs/>
        </w:rPr>
        <w:t>4</w:t>
      </w:r>
      <w:r w:rsidRPr="007B5BE6">
        <w:rPr>
          <w:b/>
          <w:bCs/>
        </w:rPr>
        <w:t>–2</w:t>
      </w:r>
      <w:r w:rsidR="00ED14A6" w:rsidRPr="007B5BE6">
        <w:rPr>
          <w:b/>
          <w:bCs/>
        </w:rPr>
        <w:t>7</w:t>
      </w:r>
      <w:r w:rsidRPr="007B5BE6">
        <w:t>),</w:t>
      </w:r>
      <w:r w:rsidR="00FB73D6" w:rsidRPr="007B5BE6">
        <w:t xml:space="preserve"> </w:t>
      </w:r>
      <w:r w:rsidR="005D7E71" w:rsidRPr="007B5BE6">
        <w:t>create</w:t>
      </w:r>
      <w:r w:rsidR="00FB73D6" w:rsidRPr="007B5BE6">
        <w:t xml:space="preserve"> speci</w:t>
      </w:r>
      <w:r w:rsidR="00D8124B" w:rsidRPr="007B5BE6">
        <w:t xml:space="preserve">alist </w:t>
      </w:r>
      <w:r w:rsidR="00845BDD" w:rsidRPr="007B5BE6">
        <w:t xml:space="preserve">policing </w:t>
      </w:r>
      <w:r w:rsidR="00D8124B" w:rsidRPr="007B5BE6">
        <w:t>roles</w:t>
      </w:r>
      <w:r w:rsidR="006259A5" w:rsidRPr="007B5BE6">
        <w:t xml:space="preserve"> and </w:t>
      </w:r>
      <w:r w:rsidRPr="007B5BE6">
        <w:t xml:space="preserve">education </w:t>
      </w:r>
      <w:r w:rsidR="006259A5" w:rsidRPr="007B5BE6">
        <w:t xml:space="preserve">and training </w:t>
      </w:r>
      <w:r w:rsidRPr="007B5BE6">
        <w:t xml:space="preserve">to facilitate </w:t>
      </w:r>
      <w:r w:rsidR="00226A38" w:rsidRPr="007B5BE6">
        <w:t xml:space="preserve">detection, </w:t>
      </w:r>
      <w:r w:rsidRPr="007B5BE6">
        <w:t>investigative</w:t>
      </w:r>
      <w:r w:rsidR="00441C88" w:rsidRPr="007B5BE6">
        <w:t xml:space="preserve"> and prosecutorial</w:t>
      </w:r>
      <w:r w:rsidRPr="007B5BE6">
        <w:t xml:space="preserve"> responses (</w:t>
      </w:r>
      <w:r w:rsidRPr="007B5BE6">
        <w:rPr>
          <w:b/>
          <w:bCs/>
        </w:rPr>
        <w:t>Recommendations 2</w:t>
      </w:r>
      <w:r w:rsidR="00ED14A6" w:rsidRPr="007B5BE6">
        <w:rPr>
          <w:b/>
          <w:bCs/>
        </w:rPr>
        <w:t>8</w:t>
      </w:r>
      <w:r w:rsidRPr="007B5BE6">
        <w:rPr>
          <w:b/>
          <w:bCs/>
        </w:rPr>
        <w:t>–</w:t>
      </w:r>
      <w:r w:rsidR="00ED14A6" w:rsidRPr="007B5BE6">
        <w:rPr>
          <w:b/>
          <w:bCs/>
        </w:rPr>
        <w:t>30</w:t>
      </w:r>
      <w:r w:rsidRPr="007B5BE6">
        <w:t>)</w:t>
      </w:r>
      <w:r w:rsidR="008413D1" w:rsidRPr="007B5BE6">
        <w:t>,</w:t>
      </w:r>
      <w:r w:rsidRPr="007B5BE6">
        <w:t xml:space="preserve"> and </w:t>
      </w:r>
      <w:r w:rsidR="008413D1" w:rsidRPr="007B5BE6">
        <w:t>enhance</w:t>
      </w:r>
      <w:r w:rsidRPr="007B5BE6">
        <w:t xml:space="preserve"> support for older people navigating the legal system (</w:t>
      </w:r>
      <w:r w:rsidRPr="007B5BE6">
        <w:rPr>
          <w:b/>
          <w:bCs/>
        </w:rPr>
        <w:t>Recommendation 3</w:t>
      </w:r>
      <w:r w:rsidR="00ED14A6" w:rsidRPr="007B5BE6">
        <w:rPr>
          <w:b/>
          <w:bCs/>
        </w:rPr>
        <w:t>1</w:t>
      </w:r>
      <w:r w:rsidRPr="007B5BE6">
        <w:t>).</w:t>
      </w:r>
      <w:r w:rsidR="00ED14A6" w:rsidRPr="007B5BE6">
        <w:t xml:space="preserve"> </w:t>
      </w:r>
    </w:p>
    <w:p w14:paraId="67BC8EB5" w14:textId="276A8950" w:rsidR="00E6797A" w:rsidRPr="007B5BE6" w:rsidRDefault="00467C50" w:rsidP="00467C50">
      <w:pPr>
        <w:pStyle w:val="Headingunnumbered"/>
      </w:pPr>
      <w:bookmarkStart w:id="4" w:name="_Toc212561709"/>
      <w:r w:rsidRPr="007B5BE6">
        <w:lastRenderedPageBreak/>
        <w:t>Recommendations</w:t>
      </w:r>
      <w:bookmarkEnd w:id="4"/>
      <w:r w:rsidRPr="007B5BE6">
        <w:t xml:space="preserve"> </w:t>
      </w:r>
    </w:p>
    <w:p w14:paraId="0A0CF0CC" w14:textId="4358E8D8" w:rsidR="00E34264" w:rsidRPr="007B5BE6" w:rsidRDefault="00E34264" w:rsidP="00E34264">
      <w:pPr>
        <w:rPr>
          <w:b/>
          <w:bCs/>
        </w:rPr>
      </w:pPr>
      <w:r w:rsidRPr="007B5BE6">
        <w:rPr>
          <w:b/>
          <w:bCs/>
        </w:rPr>
        <w:t>Recommendation 1</w:t>
      </w:r>
    </w:p>
    <w:p w14:paraId="2D7E80D3" w14:textId="68D312B2" w:rsidR="00E34264" w:rsidRPr="007B5BE6" w:rsidRDefault="00405745" w:rsidP="00405745">
      <w:r w:rsidRPr="007B5BE6">
        <w:t>An overarching approach to safeguarding older people in Tasmania should be introduced through a legislative framework that creates</w:t>
      </w:r>
      <w:r w:rsidRPr="007B5BE6" w:rsidDel="00787724">
        <w:t xml:space="preserve"> </w:t>
      </w:r>
      <w:r w:rsidRPr="007B5BE6">
        <w:t>an independent statutory entity</w:t>
      </w:r>
      <w:r w:rsidR="00FC29CA" w:rsidRPr="007B5BE6">
        <w:t>,</w:t>
      </w:r>
      <w:r w:rsidRPr="007B5BE6">
        <w:t xml:space="preserve"> with the role to receive matters (enquiries and reports) about violence, abuse, neglect, coercion and exploitation of older people, with powers and functions that operate as safeguarding mechanisms.</w:t>
      </w:r>
    </w:p>
    <w:p w14:paraId="6920F9C3" w14:textId="77777777" w:rsidR="00E34264" w:rsidRPr="007B5BE6" w:rsidRDefault="00E34264" w:rsidP="00E34264">
      <w:pPr>
        <w:rPr>
          <w:b/>
          <w:bCs/>
        </w:rPr>
      </w:pPr>
      <w:r w:rsidRPr="007B5BE6">
        <w:rPr>
          <w:b/>
          <w:bCs/>
        </w:rPr>
        <w:t>Recommendation 2</w:t>
      </w:r>
    </w:p>
    <w:p w14:paraId="314483A3" w14:textId="7F6DC1A2" w:rsidR="007643CF" w:rsidRPr="007B5BE6" w:rsidRDefault="004E6AD6" w:rsidP="004E6AD6">
      <w:r w:rsidRPr="007B5BE6">
        <w:t>The</w:t>
      </w:r>
      <w:r w:rsidRPr="007B5BE6" w:rsidDel="00B56BA1">
        <w:t xml:space="preserve"> </w:t>
      </w:r>
      <w:r w:rsidRPr="007B5BE6">
        <w:t>approach to designating the entity with the role and creating its powers and functions under the</w:t>
      </w:r>
      <w:r w:rsidRPr="007B5BE6" w:rsidDel="000A6F7F">
        <w:t xml:space="preserve"> </w:t>
      </w:r>
      <w:r w:rsidRPr="007B5BE6">
        <w:t>legislative framework</w:t>
      </w:r>
      <w:r w:rsidR="00FC29CA" w:rsidRPr="007B5BE6">
        <w:t>,</w:t>
      </w:r>
      <w:r w:rsidRPr="007B5BE6">
        <w:t xml:space="preserve"> within an overarching approach to safeguarding older people</w:t>
      </w:r>
      <w:r w:rsidR="00FC29CA" w:rsidRPr="007B5BE6">
        <w:t>,</w:t>
      </w:r>
      <w:r w:rsidRPr="007B5BE6">
        <w:t xml:space="preserve"> should be complementary to the existing legal and service framework and appropriate to the Tasmanian context.</w:t>
      </w:r>
    </w:p>
    <w:p w14:paraId="7897638C" w14:textId="77EE5CD4" w:rsidR="00457174" w:rsidRPr="007B5BE6" w:rsidRDefault="00457174" w:rsidP="006B0029">
      <w:pPr>
        <w:rPr>
          <w:b/>
          <w:bCs/>
        </w:rPr>
      </w:pPr>
      <w:r w:rsidRPr="007B5BE6">
        <w:rPr>
          <w:b/>
          <w:bCs/>
        </w:rPr>
        <w:t>Recommendation 3</w:t>
      </w:r>
    </w:p>
    <w:p w14:paraId="1C30E4B5" w14:textId="77777777" w:rsidR="000D79E5" w:rsidRPr="007B5BE6" w:rsidRDefault="0040372F" w:rsidP="006B0029">
      <w:r w:rsidRPr="007B5BE6">
        <w:t>The approach to creating the independent statutory entity should</w:t>
      </w:r>
      <w:r w:rsidR="000D79E5" w:rsidRPr="007B5BE6">
        <w:t>:</w:t>
      </w:r>
    </w:p>
    <w:p w14:paraId="069CF9C1" w14:textId="19F60A3B" w:rsidR="000C14D8" w:rsidRPr="007B5BE6" w:rsidRDefault="0040372F" w:rsidP="005A71B7">
      <w:pPr>
        <w:pStyle w:val="ListParagraph"/>
        <w:numPr>
          <w:ilvl w:val="0"/>
          <w:numId w:val="23"/>
        </w:numPr>
      </w:pPr>
      <w:r w:rsidRPr="007B5BE6">
        <w:t xml:space="preserve">comprise a </w:t>
      </w:r>
      <w:proofErr w:type="gramStart"/>
      <w:r w:rsidRPr="007B5BE6">
        <w:t>Commissioner</w:t>
      </w:r>
      <w:proofErr w:type="gramEnd"/>
      <w:r w:rsidRPr="007B5BE6">
        <w:t xml:space="preserve"> role for older people (</w:t>
      </w:r>
      <w:r w:rsidR="000D79E5" w:rsidRPr="007B5BE6">
        <w:t>‘</w:t>
      </w:r>
      <w:r w:rsidRPr="007B5BE6">
        <w:t>Commissioner for Older People’)</w:t>
      </w:r>
      <w:r w:rsidR="000C14D8" w:rsidRPr="007B5BE6">
        <w:t xml:space="preserve">; and </w:t>
      </w:r>
    </w:p>
    <w:p w14:paraId="2308D06B" w14:textId="77777777" w:rsidR="0001075C" w:rsidRPr="007B5BE6" w:rsidRDefault="0001075C" w:rsidP="0001075C">
      <w:pPr>
        <w:pStyle w:val="ListParagraph"/>
        <w:ind w:left="1080"/>
      </w:pPr>
    </w:p>
    <w:p w14:paraId="68E66083" w14:textId="36CB0C73" w:rsidR="0040372F" w:rsidRPr="007B5BE6" w:rsidRDefault="00476835" w:rsidP="005A71B7">
      <w:pPr>
        <w:pStyle w:val="ListParagraph"/>
        <w:numPr>
          <w:ilvl w:val="0"/>
          <w:numId w:val="23"/>
        </w:numPr>
        <w:rPr>
          <w:i/>
          <w:iCs/>
        </w:rPr>
      </w:pPr>
      <w:r w:rsidRPr="007B5BE6">
        <w:t xml:space="preserve">be aligned with the Disability Commissioner role by modelling the powers and functions of the Commissioner for Older People with the powers and functions of the Disability Commissioner under the </w:t>
      </w:r>
      <w:r w:rsidRPr="007B5BE6">
        <w:rPr>
          <w:i/>
          <w:iCs/>
        </w:rPr>
        <w:t>Disability Rights, Inclusion and Safeguarding Act 2024</w:t>
      </w:r>
      <w:r w:rsidRPr="007B5BE6">
        <w:t xml:space="preserve"> (Tas). </w:t>
      </w:r>
      <w:r w:rsidR="0040372F" w:rsidRPr="007B5BE6">
        <w:t xml:space="preserve"> </w:t>
      </w:r>
    </w:p>
    <w:p w14:paraId="73C5CE3F" w14:textId="31AA2F53" w:rsidR="006B0029" w:rsidRPr="007B5BE6" w:rsidRDefault="006B0029" w:rsidP="006B0029">
      <w:pPr>
        <w:rPr>
          <w:b/>
          <w:bCs/>
        </w:rPr>
      </w:pPr>
      <w:r w:rsidRPr="007B5BE6">
        <w:rPr>
          <w:b/>
          <w:bCs/>
        </w:rPr>
        <w:t>Recommendation 4</w:t>
      </w:r>
    </w:p>
    <w:p w14:paraId="69FDA63F" w14:textId="77777777" w:rsidR="00232F72" w:rsidRPr="007B5BE6" w:rsidRDefault="00232F72" w:rsidP="006B0029">
      <w:r w:rsidRPr="007B5BE6">
        <w:t xml:space="preserve">Consideration and development of approaches regarding the structure and operation of the Commissioner for Older People role, including its intersection with the Disability Commissioner role, should be informed by consultation with relevant stakeholders. </w:t>
      </w:r>
    </w:p>
    <w:p w14:paraId="681D1234" w14:textId="479CEB5A" w:rsidR="006B0029" w:rsidRPr="007B5BE6" w:rsidRDefault="006B0029" w:rsidP="006B0029">
      <w:pPr>
        <w:rPr>
          <w:b/>
          <w:bCs/>
        </w:rPr>
      </w:pPr>
      <w:r w:rsidRPr="007B5BE6">
        <w:rPr>
          <w:b/>
          <w:bCs/>
        </w:rPr>
        <w:t>Recommendation 5</w:t>
      </w:r>
    </w:p>
    <w:p w14:paraId="076747C1" w14:textId="77777777" w:rsidR="00EF2B7C" w:rsidRPr="007B5BE6" w:rsidRDefault="00EF2B7C" w:rsidP="006B0029">
      <w:r w:rsidRPr="007B5BE6">
        <w:t>A mechanism for monitoring the Commissioner for Older People role should be implemented to allow for any issues to be identified and any further legislative reforms made.</w:t>
      </w:r>
    </w:p>
    <w:p w14:paraId="296A7C13" w14:textId="77777777" w:rsidR="006B0029" w:rsidRPr="007B5BE6" w:rsidRDefault="006B0029" w:rsidP="006B0029">
      <w:pPr>
        <w:rPr>
          <w:b/>
          <w:bCs/>
        </w:rPr>
      </w:pPr>
      <w:r w:rsidRPr="007B5BE6">
        <w:rPr>
          <w:b/>
          <w:bCs/>
        </w:rPr>
        <w:t>Recommendation 6</w:t>
      </w:r>
    </w:p>
    <w:p w14:paraId="7526B8D2" w14:textId="160C24F8" w:rsidR="006B0029" w:rsidRPr="007B5BE6" w:rsidRDefault="004C7E04" w:rsidP="006B0029">
      <w:r w:rsidRPr="007B5BE6">
        <w:t>The Commissioner for Older People role should be appropriately resourced to allow for the Commissioner to carry out</w:t>
      </w:r>
      <w:r w:rsidR="0010660E" w:rsidRPr="007B5BE6">
        <w:t xml:space="preserve"> functions relating to safeguarding for older people</w:t>
      </w:r>
      <w:r w:rsidRPr="007B5BE6">
        <w:t>.</w:t>
      </w:r>
    </w:p>
    <w:p w14:paraId="698D3AE9" w14:textId="77777777" w:rsidR="006B0029" w:rsidRPr="007B5BE6" w:rsidRDefault="006B0029" w:rsidP="006B0029">
      <w:pPr>
        <w:rPr>
          <w:b/>
          <w:bCs/>
        </w:rPr>
      </w:pPr>
      <w:r w:rsidRPr="007B5BE6">
        <w:rPr>
          <w:b/>
          <w:bCs/>
        </w:rPr>
        <w:t>Recommendation 7</w:t>
      </w:r>
    </w:p>
    <w:p w14:paraId="68557691" w14:textId="0B612992" w:rsidR="00166456" w:rsidRPr="007B5BE6" w:rsidRDefault="00166456" w:rsidP="006B0029">
      <w:r w:rsidRPr="007B5BE6">
        <w:t>The safeguarding function</w:t>
      </w:r>
      <w:r w:rsidR="00FE0951" w:rsidRPr="007B5BE6">
        <w:t>s</w:t>
      </w:r>
      <w:r w:rsidRPr="007B5BE6">
        <w:t xml:space="preserve"> of the Commissioner for Older People should apply to ‘older people’. </w:t>
      </w:r>
    </w:p>
    <w:p w14:paraId="7F038529" w14:textId="77777777" w:rsidR="006B0029" w:rsidRPr="007B5BE6" w:rsidRDefault="006B0029" w:rsidP="006B0029">
      <w:pPr>
        <w:rPr>
          <w:b/>
          <w:bCs/>
        </w:rPr>
      </w:pPr>
      <w:r w:rsidRPr="007B5BE6">
        <w:rPr>
          <w:b/>
          <w:bCs/>
        </w:rPr>
        <w:t>Recommendation 8</w:t>
      </w:r>
    </w:p>
    <w:p w14:paraId="74B166D6" w14:textId="0AE277F7" w:rsidR="00E34264" w:rsidRPr="007B5BE6" w:rsidRDefault="00876857" w:rsidP="006B0029">
      <w:r w:rsidRPr="007B5BE6">
        <w:t>Consultation should be undertaken in relation to the age criteria that should be included in definition of ‘older people’</w:t>
      </w:r>
      <w:r w:rsidR="003F0EC7" w:rsidRPr="007B5BE6">
        <w:t>,</w:t>
      </w:r>
      <w:r w:rsidRPr="007B5BE6">
        <w:t xml:space="preserve"> with an option being to define ‘older people’ as ‘people who are aged 65 years or more and Aboriginal people who are aged 50 years or more’.</w:t>
      </w:r>
    </w:p>
    <w:p w14:paraId="703D9257" w14:textId="77777777" w:rsidR="0001075C" w:rsidRPr="007B5BE6" w:rsidRDefault="0001075C">
      <w:pPr>
        <w:spacing w:after="200" w:line="276" w:lineRule="auto"/>
        <w:jc w:val="left"/>
        <w:rPr>
          <w:b/>
          <w:bCs/>
        </w:rPr>
      </w:pPr>
      <w:r w:rsidRPr="007B5BE6">
        <w:rPr>
          <w:b/>
          <w:bCs/>
        </w:rPr>
        <w:br w:type="page"/>
      </w:r>
    </w:p>
    <w:p w14:paraId="402BD689" w14:textId="2430691F" w:rsidR="00B55815" w:rsidRPr="007B5BE6" w:rsidRDefault="00B55815" w:rsidP="00B55815">
      <w:pPr>
        <w:rPr>
          <w:b/>
          <w:bCs/>
        </w:rPr>
      </w:pPr>
      <w:r w:rsidRPr="007B5BE6">
        <w:rPr>
          <w:b/>
          <w:bCs/>
        </w:rPr>
        <w:lastRenderedPageBreak/>
        <w:t>Recommendation 9</w:t>
      </w:r>
    </w:p>
    <w:p w14:paraId="493323AA" w14:textId="1ACB153F" w:rsidR="00E062B2" w:rsidRPr="007B5BE6" w:rsidRDefault="00ED0AFF" w:rsidP="00B55815">
      <w:r w:rsidRPr="007B5BE6">
        <w:t xml:space="preserve">The safeguarding mechanism for older people should mirror the provisions in the </w:t>
      </w:r>
      <w:r w:rsidRPr="007B5BE6">
        <w:rPr>
          <w:i/>
          <w:iCs/>
        </w:rPr>
        <w:t xml:space="preserve">Disability Rights, Inclusion and Safeguarding Act 2024 </w:t>
      </w:r>
      <w:r w:rsidRPr="007B5BE6">
        <w:t>(Tas) and apply in relation to violence, abuse, neglect, coercion and exploitation of an older person.</w:t>
      </w:r>
    </w:p>
    <w:p w14:paraId="51F42DC9" w14:textId="3BC6E466" w:rsidR="00B55815" w:rsidRPr="007B5BE6" w:rsidRDefault="00B55815" w:rsidP="00B55815">
      <w:pPr>
        <w:rPr>
          <w:b/>
          <w:bCs/>
        </w:rPr>
      </w:pPr>
      <w:r w:rsidRPr="007B5BE6">
        <w:rPr>
          <w:b/>
          <w:bCs/>
        </w:rPr>
        <w:t>Recommendation 10</w:t>
      </w:r>
    </w:p>
    <w:p w14:paraId="1F8D5D1A" w14:textId="39D4D86D" w:rsidR="00B55815" w:rsidRPr="007B5BE6" w:rsidRDefault="00B55815" w:rsidP="00B55815">
      <w:r w:rsidRPr="007B5BE6">
        <w:t xml:space="preserve">The Commissioner </w:t>
      </w:r>
      <w:r w:rsidR="00FA1C34" w:rsidRPr="007B5BE6">
        <w:t xml:space="preserve">for Older People </w:t>
      </w:r>
      <w:r w:rsidRPr="007B5BE6">
        <w:t>should have legislative power to make preliminary inquiries to decide how to deal with a report.</w:t>
      </w:r>
    </w:p>
    <w:p w14:paraId="0D396333" w14:textId="4932059B" w:rsidR="00B55815" w:rsidRPr="007B5BE6" w:rsidRDefault="00B55815" w:rsidP="00B55815">
      <w:pPr>
        <w:rPr>
          <w:b/>
          <w:bCs/>
        </w:rPr>
      </w:pPr>
      <w:r w:rsidRPr="007B5BE6">
        <w:rPr>
          <w:b/>
          <w:bCs/>
        </w:rPr>
        <w:t>Recommendation 11</w:t>
      </w:r>
    </w:p>
    <w:p w14:paraId="6D9F4A35" w14:textId="62B6D0C8" w:rsidR="00B55815" w:rsidRPr="007B5BE6" w:rsidRDefault="00AE52C6" w:rsidP="00B55815">
      <w:r w:rsidRPr="007B5BE6">
        <w:t>The Commissioner for Older People should have legislative powers to investigate a report, refer the report to another person or body</w:t>
      </w:r>
      <w:r w:rsidR="00A540AE" w:rsidRPr="007B5BE6">
        <w:t>,</w:t>
      </w:r>
      <w:r w:rsidRPr="007B5BE6">
        <w:t xml:space="preserve"> or decline to </w:t>
      </w:r>
      <w:proofErr w:type="gramStart"/>
      <w:r w:rsidRPr="007B5BE6">
        <w:t>take action</w:t>
      </w:r>
      <w:proofErr w:type="gramEnd"/>
      <w:r w:rsidRPr="007B5BE6">
        <w:t xml:space="preserve"> once a report is received that mirror the provisions in s</w:t>
      </w:r>
      <w:r w:rsidR="00A540AE" w:rsidRPr="007B5BE6">
        <w:t>ection</w:t>
      </w:r>
      <w:r w:rsidRPr="007B5BE6">
        <w:t xml:space="preserve"> 37 of the </w:t>
      </w:r>
      <w:r w:rsidRPr="007B5BE6">
        <w:rPr>
          <w:i/>
          <w:iCs/>
        </w:rPr>
        <w:t>Disability Rights, Inclusion and Safeguarding Act 2024</w:t>
      </w:r>
      <w:r w:rsidRPr="007B5BE6">
        <w:t xml:space="preserve"> (Tas).</w:t>
      </w:r>
    </w:p>
    <w:p w14:paraId="12EEB351" w14:textId="77777777" w:rsidR="00B55815" w:rsidRPr="007B5BE6" w:rsidRDefault="00B55815" w:rsidP="00B55815">
      <w:pPr>
        <w:rPr>
          <w:b/>
          <w:bCs/>
        </w:rPr>
      </w:pPr>
      <w:r w:rsidRPr="007B5BE6">
        <w:rPr>
          <w:b/>
          <w:bCs/>
        </w:rPr>
        <w:t>Recommendation 12</w:t>
      </w:r>
    </w:p>
    <w:p w14:paraId="2633FB8B" w14:textId="37736531" w:rsidR="00A26281" w:rsidRPr="007B5BE6" w:rsidRDefault="00A26281" w:rsidP="00A26281">
      <w:r w:rsidRPr="007B5BE6">
        <w:t xml:space="preserve">The Commissioner for Older People, as the safeguarding entity, should be provided with appropriate coercive powers to </w:t>
      </w:r>
      <w:proofErr w:type="gramStart"/>
      <w:r w:rsidRPr="007B5BE6">
        <w:t>conduct an investigation</w:t>
      </w:r>
      <w:proofErr w:type="gramEnd"/>
      <w:r w:rsidRPr="007B5BE6">
        <w:t xml:space="preserve">. This should include powers to require a person to provide relevant information </w:t>
      </w:r>
      <w:proofErr w:type="gramStart"/>
      <w:r w:rsidRPr="007B5BE6">
        <w:t>and also</w:t>
      </w:r>
      <w:proofErr w:type="gramEnd"/>
      <w:r w:rsidRPr="007B5BE6">
        <w:t xml:space="preserve"> the power to enter premises, in defined circumstances. This should be informed by the powers of the Disability Commissioner under the </w:t>
      </w:r>
      <w:r w:rsidRPr="007B5BE6">
        <w:rPr>
          <w:i/>
          <w:iCs/>
        </w:rPr>
        <w:t>Disability Rights, Inclusion and Safeguarding Act 2024</w:t>
      </w:r>
      <w:r w:rsidRPr="007B5BE6">
        <w:t xml:space="preserve"> (Tas).</w:t>
      </w:r>
    </w:p>
    <w:p w14:paraId="46C74162" w14:textId="77777777" w:rsidR="00B55815" w:rsidRPr="007B5BE6" w:rsidRDefault="00B55815" w:rsidP="00B55815">
      <w:pPr>
        <w:rPr>
          <w:b/>
          <w:bCs/>
        </w:rPr>
      </w:pPr>
      <w:r w:rsidRPr="007B5BE6">
        <w:rPr>
          <w:b/>
          <w:bCs/>
        </w:rPr>
        <w:t>Recommendation 13</w:t>
      </w:r>
    </w:p>
    <w:p w14:paraId="12CD9F6A" w14:textId="6642FB85" w:rsidR="005A43F0" w:rsidRPr="007B5BE6" w:rsidRDefault="005A43F0" w:rsidP="00B55815">
      <w:r w:rsidRPr="007B5BE6">
        <w:t xml:space="preserve">The Commissioner for Older People, as the safeguarding entity, should be provided with appropriate powers to respond to a finding that an older person has experienced violence, abuse, neglect, coercion or exploitation. This should be informed by the powers of the Disability Commissioner under the </w:t>
      </w:r>
      <w:r w:rsidRPr="007B5BE6">
        <w:rPr>
          <w:i/>
          <w:iCs/>
        </w:rPr>
        <w:t>Disability Rights, Inclusion and Safeguarding Act 2024</w:t>
      </w:r>
      <w:r w:rsidRPr="007B5BE6">
        <w:t xml:space="preserve"> (Tas).</w:t>
      </w:r>
    </w:p>
    <w:p w14:paraId="70293431" w14:textId="77777777" w:rsidR="00B55815" w:rsidRPr="007B5BE6" w:rsidRDefault="00B55815" w:rsidP="00B55815">
      <w:pPr>
        <w:rPr>
          <w:b/>
          <w:bCs/>
        </w:rPr>
      </w:pPr>
      <w:r w:rsidRPr="007B5BE6">
        <w:rPr>
          <w:b/>
          <w:bCs/>
        </w:rPr>
        <w:t>Recommendation 14</w:t>
      </w:r>
    </w:p>
    <w:p w14:paraId="385E68AF" w14:textId="77777777" w:rsidR="004D207D" w:rsidRPr="007B5BE6" w:rsidRDefault="004D207D" w:rsidP="004D207D">
      <w:r w:rsidRPr="007B5BE6">
        <w:t>The Commissioner for Older People, as the safeguarding entity, should be required to make referrals in the following circumstances:</w:t>
      </w:r>
    </w:p>
    <w:p w14:paraId="008EB352" w14:textId="6AE91BC9" w:rsidR="004D207D" w:rsidRPr="007B5BE6" w:rsidRDefault="004D207D" w:rsidP="005A71B7">
      <w:pPr>
        <w:pStyle w:val="ListParagraph"/>
        <w:numPr>
          <w:ilvl w:val="0"/>
          <w:numId w:val="19"/>
        </w:numPr>
      </w:pPr>
      <w:r w:rsidRPr="007B5BE6">
        <w:t>if the Commissioner is of the opinion that a report or investigation may provide evidence of the commission of a criminal offence, the Commissioner must refer the report o</w:t>
      </w:r>
      <w:r w:rsidR="00321CE3" w:rsidRPr="007B5BE6">
        <w:t>r</w:t>
      </w:r>
      <w:r w:rsidRPr="007B5BE6">
        <w:t xml:space="preserve"> investigation, or part of the report or investigation, to the Commissioner of Police or the Director of Public Prosecutions; and</w:t>
      </w:r>
    </w:p>
    <w:p w14:paraId="52978F46" w14:textId="77777777" w:rsidR="0001075C" w:rsidRPr="007B5BE6" w:rsidRDefault="0001075C" w:rsidP="0001075C">
      <w:pPr>
        <w:pStyle w:val="ListParagraph"/>
        <w:ind w:left="1080"/>
      </w:pPr>
    </w:p>
    <w:p w14:paraId="534754D3" w14:textId="5502047B" w:rsidR="004D207D" w:rsidRPr="007B5BE6" w:rsidRDefault="004D207D" w:rsidP="005A71B7">
      <w:pPr>
        <w:pStyle w:val="ListParagraph"/>
        <w:numPr>
          <w:ilvl w:val="0"/>
          <w:numId w:val="19"/>
        </w:numPr>
      </w:pPr>
      <w:r w:rsidRPr="007B5BE6">
        <w:t>if the Commissioner is of the opinion that a matter that is</w:t>
      </w:r>
      <w:r w:rsidR="006A3980" w:rsidRPr="007B5BE6">
        <w:t xml:space="preserve"> the</w:t>
      </w:r>
      <w:r w:rsidRPr="007B5BE6">
        <w:t xml:space="preserve"> subject of a report or investigation constitutes a complaint that may be made to a prescribed person or body (</w:t>
      </w:r>
      <w:r w:rsidR="004B4D4B" w:rsidRPr="007B5BE6">
        <w:t>such persons or bodies to be determined and informed by consultation with relevant stakeholders</w:t>
      </w:r>
      <w:r w:rsidRPr="007B5BE6">
        <w:t>), the Commissioner must refer the matter to the person or body.</w:t>
      </w:r>
    </w:p>
    <w:p w14:paraId="123EABDA" w14:textId="6AF30BDE" w:rsidR="004D207D" w:rsidRPr="007B5BE6" w:rsidRDefault="004D207D" w:rsidP="004D207D">
      <w:r w:rsidRPr="007B5BE6">
        <w:t>Th</w:t>
      </w:r>
      <w:r w:rsidR="00382D05" w:rsidRPr="007B5BE6">
        <w:t>ese matters</w:t>
      </w:r>
      <w:r w:rsidRPr="007B5BE6">
        <w:t xml:space="preserve"> should be informed by the powers of the Disability Commissioner under the </w:t>
      </w:r>
      <w:r w:rsidRPr="007B5BE6">
        <w:rPr>
          <w:i/>
          <w:iCs/>
        </w:rPr>
        <w:t>Disability Rights, Inclusion and Safeguarding Act 2024</w:t>
      </w:r>
      <w:r w:rsidRPr="007B5BE6">
        <w:t xml:space="preserve"> (Tas).</w:t>
      </w:r>
    </w:p>
    <w:p w14:paraId="3F2D5974" w14:textId="77777777" w:rsidR="00B55815" w:rsidRPr="007B5BE6" w:rsidRDefault="00B55815" w:rsidP="00B55815">
      <w:pPr>
        <w:rPr>
          <w:b/>
          <w:bCs/>
        </w:rPr>
      </w:pPr>
      <w:r w:rsidRPr="007B5BE6">
        <w:rPr>
          <w:b/>
          <w:bCs/>
        </w:rPr>
        <w:t>Recommendation 15</w:t>
      </w:r>
    </w:p>
    <w:p w14:paraId="1D6B7962" w14:textId="6E7AC440" w:rsidR="00B80350" w:rsidRPr="007B5BE6" w:rsidRDefault="00B80350" w:rsidP="00B55815">
      <w:r w:rsidRPr="007B5BE6">
        <w:t>The Commissioner for Older People should not require the consent of the older person to make preliminary inquiries.</w:t>
      </w:r>
    </w:p>
    <w:p w14:paraId="05C0E2A4" w14:textId="77777777" w:rsidR="00E94F9E" w:rsidRPr="007B5BE6" w:rsidRDefault="00E94F9E">
      <w:pPr>
        <w:spacing w:after="200" w:line="276" w:lineRule="auto"/>
        <w:jc w:val="left"/>
        <w:rPr>
          <w:b/>
          <w:bCs/>
        </w:rPr>
      </w:pPr>
      <w:r w:rsidRPr="007B5BE6">
        <w:rPr>
          <w:b/>
          <w:bCs/>
        </w:rPr>
        <w:br w:type="page"/>
      </w:r>
    </w:p>
    <w:p w14:paraId="6B03E419" w14:textId="17788632" w:rsidR="00B55815" w:rsidRPr="007B5BE6" w:rsidRDefault="00B55815" w:rsidP="00B55815">
      <w:pPr>
        <w:rPr>
          <w:b/>
          <w:bCs/>
        </w:rPr>
      </w:pPr>
      <w:r w:rsidRPr="007B5BE6">
        <w:rPr>
          <w:b/>
          <w:bCs/>
        </w:rPr>
        <w:lastRenderedPageBreak/>
        <w:t>Recommendation 16</w:t>
      </w:r>
    </w:p>
    <w:p w14:paraId="4A063BEC" w14:textId="77777777" w:rsidR="00F54FF8" w:rsidRPr="007B5BE6" w:rsidRDefault="00F54FF8" w:rsidP="00F54FF8">
      <w:r w:rsidRPr="007B5BE6">
        <w:t xml:space="preserve">In circumstances where the Commissioner for Older People </w:t>
      </w:r>
      <w:proofErr w:type="gramStart"/>
      <w:r w:rsidRPr="007B5BE6">
        <w:t>conducts an investigation</w:t>
      </w:r>
      <w:proofErr w:type="gramEnd"/>
      <w:r w:rsidRPr="007B5BE6">
        <w:t>, the Commissioner must obtain the consent of the older person, unless:</w:t>
      </w:r>
    </w:p>
    <w:p w14:paraId="63240185" w14:textId="77777777" w:rsidR="00662145" w:rsidRPr="007B5BE6" w:rsidRDefault="00F54FF8" w:rsidP="005A71B7">
      <w:pPr>
        <w:pStyle w:val="ListParagraph"/>
        <w:numPr>
          <w:ilvl w:val="0"/>
          <w:numId w:val="20"/>
        </w:numPr>
      </w:pPr>
      <w:r w:rsidRPr="007B5BE6">
        <w:t xml:space="preserve">the person cannot be contacted despite reasonable efforts to contact the person; </w:t>
      </w:r>
    </w:p>
    <w:p w14:paraId="5B4CC55D" w14:textId="77777777" w:rsidR="0001075C" w:rsidRPr="007B5BE6" w:rsidRDefault="0001075C" w:rsidP="0001075C">
      <w:pPr>
        <w:pStyle w:val="ListParagraph"/>
        <w:ind w:left="1080"/>
      </w:pPr>
    </w:p>
    <w:p w14:paraId="451A218C" w14:textId="2E6B540B" w:rsidR="0001075C" w:rsidRPr="007B5BE6" w:rsidRDefault="00F54FF8" w:rsidP="005A71B7">
      <w:pPr>
        <w:pStyle w:val="ListParagraph"/>
        <w:numPr>
          <w:ilvl w:val="0"/>
          <w:numId w:val="20"/>
        </w:numPr>
      </w:pPr>
      <w:r w:rsidRPr="007B5BE6">
        <w:t xml:space="preserve">the Commissioner is of the opinion that the person is incapable of giving consent, despite </w:t>
      </w:r>
      <w:r w:rsidR="00D761EE" w:rsidRPr="007B5BE6">
        <w:t xml:space="preserve">the person </w:t>
      </w:r>
      <w:r w:rsidRPr="007B5BE6">
        <w:t>having been provided with the appropriate support for the purpose of making such a decision; or</w:t>
      </w:r>
    </w:p>
    <w:p w14:paraId="5BA822F1" w14:textId="77777777" w:rsidR="0001075C" w:rsidRPr="007B5BE6" w:rsidRDefault="0001075C" w:rsidP="0001075C">
      <w:pPr>
        <w:pStyle w:val="ListParagraph"/>
      </w:pPr>
    </w:p>
    <w:p w14:paraId="59CA303F" w14:textId="38060318" w:rsidR="00F54FF8" w:rsidRPr="007B5BE6" w:rsidRDefault="00F54FF8" w:rsidP="005A71B7">
      <w:pPr>
        <w:pStyle w:val="ListParagraph"/>
        <w:numPr>
          <w:ilvl w:val="0"/>
          <w:numId w:val="20"/>
        </w:numPr>
      </w:pPr>
      <w:r w:rsidRPr="007B5BE6">
        <w:t>it is not necessary to obtain consent due to the seriousness of the allegation or the risk to the personal safety of the person.</w:t>
      </w:r>
    </w:p>
    <w:p w14:paraId="466D3E37" w14:textId="77777777" w:rsidR="00B55815" w:rsidRPr="007B5BE6" w:rsidRDefault="00B55815" w:rsidP="00B55815">
      <w:pPr>
        <w:rPr>
          <w:b/>
          <w:bCs/>
        </w:rPr>
      </w:pPr>
      <w:r w:rsidRPr="007B5BE6">
        <w:rPr>
          <w:b/>
          <w:bCs/>
        </w:rPr>
        <w:t>Recommendation 17</w:t>
      </w:r>
    </w:p>
    <w:p w14:paraId="0AA09A31" w14:textId="78E85289" w:rsidR="00763EB0" w:rsidRPr="007B5BE6" w:rsidRDefault="00763EB0" w:rsidP="00B55815">
      <w:r w:rsidRPr="007B5BE6">
        <w:t>Consideration of the approach regarding other circumstances where consent of an older person may be required should be informed by consultation with relevant stakeholders and informed by the need to balance safety with autonomy and self-determination, such that a consent-based approach that reflects these principles should be taken wherever possible.</w:t>
      </w:r>
    </w:p>
    <w:p w14:paraId="490D447A" w14:textId="61BF800F" w:rsidR="00B55815" w:rsidRPr="007B5BE6" w:rsidRDefault="00B55815" w:rsidP="00B55815">
      <w:pPr>
        <w:rPr>
          <w:b/>
          <w:bCs/>
        </w:rPr>
      </w:pPr>
      <w:r w:rsidRPr="007B5BE6">
        <w:rPr>
          <w:b/>
          <w:bCs/>
        </w:rPr>
        <w:t xml:space="preserve">Recommendation 18 </w:t>
      </w:r>
    </w:p>
    <w:p w14:paraId="62AC5D60" w14:textId="4C2F87BC" w:rsidR="006F355B" w:rsidRPr="007B5BE6" w:rsidRDefault="004E228A" w:rsidP="00EF16FB">
      <w:pPr>
        <w:rPr>
          <w:b/>
          <w:bCs/>
        </w:rPr>
      </w:pPr>
      <w:r w:rsidRPr="007B5BE6">
        <w:t>The functions of the Commissioner for Older People should include education and training for services and businesses who interact with older Tasmanians as a primary and secondary prevention response to the abuse of older people, including Tasmania Police, and such education and training should include supported decision making.</w:t>
      </w:r>
    </w:p>
    <w:p w14:paraId="3E2939ED" w14:textId="4A52B9BD" w:rsidR="0054487F" w:rsidRPr="007B5BE6" w:rsidRDefault="0054487F" w:rsidP="0054487F">
      <w:pPr>
        <w:rPr>
          <w:b/>
          <w:bCs/>
        </w:rPr>
      </w:pPr>
      <w:r w:rsidRPr="007B5BE6">
        <w:rPr>
          <w:b/>
          <w:bCs/>
        </w:rPr>
        <w:t>Recommendation 19</w:t>
      </w:r>
    </w:p>
    <w:p w14:paraId="1A982E4F" w14:textId="73663234" w:rsidR="005C1691" w:rsidRPr="007B5BE6" w:rsidRDefault="005C1691" w:rsidP="0054487F">
      <w:r w:rsidRPr="007B5BE6">
        <w:t xml:space="preserve">Referral pathways, information sharing arrangements and policies and agreements that allow for collaboration between relevant government and non-government agencies should be established </w:t>
      </w:r>
      <w:r w:rsidR="00A27330" w:rsidRPr="007B5BE6">
        <w:t xml:space="preserve">regarding </w:t>
      </w:r>
      <w:r w:rsidRPr="007B5BE6">
        <w:t>the Commissioner for Older People.</w:t>
      </w:r>
    </w:p>
    <w:p w14:paraId="140F64D3" w14:textId="77777777" w:rsidR="00EB6FFD" w:rsidRPr="007B5BE6" w:rsidRDefault="00EB6FFD" w:rsidP="00EF16FB">
      <w:pPr>
        <w:rPr>
          <w:b/>
          <w:bCs/>
        </w:rPr>
      </w:pPr>
      <w:r w:rsidRPr="007B5BE6">
        <w:rPr>
          <w:b/>
          <w:bCs/>
        </w:rPr>
        <w:t>Recommendation 20</w:t>
      </w:r>
    </w:p>
    <w:p w14:paraId="5FA590C9" w14:textId="32A0DA7F" w:rsidR="006C11C2" w:rsidRPr="007B5BE6" w:rsidRDefault="00B16019" w:rsidP="008F12B3">
      <w:r w:rsidRPr="007B5BE6">
        <w:t xml:space="preserve">The </w:t>
      </w:r>
      <w:r w:rsidRPr="007B5BE6">
        <w:rPr>
          <w:i/>
          <w:iCs/>
        </w:rPr>
        <w:t>Justices Act 1959</w:t>
      </w:r>
      <w:r w:rsidRPr="007B5BE6">
        <w:t xml:space="preserve"> (Tas) should be reformed to create a specialised restraint order that may be applied for by or on behalf of </w:t>
      </w:r>
      <w:r w:rsidR="006D47F5" w:rsidRPr="007B5BE6">
        <w:t xml:space="preserve">an </w:t>
      </w:r>
      <w:r w:rsidRPr="007B5BE6">
        <w:t xml:space="preserve">older </w:t>
      </w:r>
      <w:r w:rsidR="006D47F5" w:rsidRPr="007B5BE6">
        <w:t>person</w:t>
      </w:r>
      <w:r w:rsidRPr="007B5BE6">
        <w:t xml:space="preserve"> to restrain another person from certain behaviour directed at the</w:t>
      </w:r>
      <w:r w:rsidR="00C84C2F" w:rsidRPr="007B5BE6">
        <w:t xml:space="preserve"> older person</w:t>
      </w:r>
      <w:r w:rsidRPr="007B5BE6">
        <w:t>. This should include consideration of:</w:t>
      </w:r>
    </w:p>
    <w:p w14:paraId="4CA7AE83" w14:textId="53A04387" w:rsidR="006C11C2" w:rsidRPr="007B5BE6" w:rsidRDefault="00B16019" w:rsidP="005A71B7">
      <w:pPr>
        <w:pStyle w:val="ListParagraph"/>
        <w:numPr>
          <w:ilvl w:val="0"/>
          <w:numId w:val="21"/>
        </w:numPr>
      </w:pPr>
      <w:r w:rsidRPr="007B5BE6">
        <w:t>changes to s</w:t>
      </w:r>
      <w:r w:rsidR="00C84C2F" w:rsidRPr="007B5BE6">
        <w:t>ection</w:t>
      </w:r>
      <w:r w:rsidRPr="007B5BE6">
        <w:t xml:space="preserve"> 106B of the </w:t>
      </w:r>
      <w:r w:rsidRPr="007B5BE6">
        <w:rPr>
          <w:i/>
          <w:iCs/>
        </w:rPr>
        <w:t>Justices Act 1959</w:t>
      </w:r>
      <w:r w:rsidRPr="007B5BE6">
        <w:t xml:space="preserve"> (Tas) to cover a wider range of behaviour in the specialised restraint order, which could be modelled on the definition of family violence under the </w:t>
      </w:r>
      <w:r w:rsidRPr="007B5BE6">
        <w:rPr>
          <w:i/>
          <w:iCs/>
        </w:rPr>
        <w:t>Family Violence Act 2004</w:t>
      </w:r>
      <w:r w:rsidRPr="007B5BE6">
        <w:t xml:space="preserve"> (Tas)</w:t>
      </w:r>
      <w:r w:rsidR="006C11C2" w:rsidRPr="007B5BE6">
        <w:t>;</w:t>
      </w:r>
      <w:r w:rsidRPr="007B5BE6">
        <w:t xml:space="preserve"> and</w:t>
      </w:r>
      <w:r w:rsidR="006C11C2" w:rsidRPr="007B5BE6">
        <w:t xml:space="preserve"> </w:t>
      </w:r>
    </w:p>
    <w:p w14:paraId="284F02F9" w14:textId="77777777" w:rsidR="00303ACA" w:rsidRPr="007B5BE6" w:rsidRDefault="00303ACA" w:rsidP="00303ACA">
      <w:pPr>
        <w:pStyle w:val="ListParagraph"/>
        <w:ind w:left="1080"/>
      </w:pPr>
    </w:p>
    <w:p w14:paraId="21DECF74" w14:textId="546ADD88" w:rsidR="00B16019" w:rsidRPr="007B5BE6" w:rsidRDefault="001F3023" w:rsidP="005A71B7">
      <w:pPr>
        <w:pStyle w:val="ListParagraph"/>
        <w:numPr>
          <w:ilvl w:val="0"/>
          <w:numId w:val="21"/>
        </w:numPr>
      </w:pPr>
      <w:r w:rsidRPr="007B5BE6">
        <w:t>the creation of a</w:t>
      </w:r>
      <w:r w:rsidR="00FB0514" w:rsidRPr="007B5BE6">
        <w:t xml:space="preserve"> specialised</w:t>
      </w:r>
      <w:r w:rsidRPr="007B5BE6">
        <w:t xml:space="preserve"> interim restraint order that may be imposed by police when an older person is in immediate need of protection (similar to the powers of a police officer to make a </w:t>
      </w:r>
      <w:r w:rsidR="00C70CD6" w:rsidRPr="007B5BE6">
        <w:t xml:space="preserve">police family violence order </w:t>
      </w:r>
      <w:r w:rsidRPr="007B5BE6">
        <w:t>but of shorter duration) or imposed by a court upon application to the court, including whether an interim order can be sought by the Commissioner for Older People to allow for an investigation into a report or to facilitate entry by an authorised officer, with provisions setting out criteria for the imposition of such orders in each circumstance and specifying limits on the duration of such orders</w:t>
      </w:r>
      <w:r w:rsidR="00B16019" w:rsidRPr="007B5BE6">
        <w:t xml:space="preserve">.  </w:t>
      </w:r>
    </w:p>
    <w:p w14:paraId="58AD7436" w14:textId="7796FD2A" w:rsidR="00B16019" w:rsidRPr="007B5BE6" w:rsidRDefault="00B16019" w:rsidP="00EF16FB">
      <w:r w:rsidRPr="007B5BE6">
        <w:t>Consideration of these matters should be informed by consultation with relevant stakeholders.</w:t>
      </w:r>
    </w:p>
    <w:p w14:paraId="639AB11D" w14:textId="77777777" w:rsidR="00303ACA" w:rsidRPr="007B5BE6" w:rsidRDefault="00303ACA">
      <w:pPr>
        <w:spacing w:after="200" w:line="276" w:lineRule="auto"/>
        <w:jc w:val="left"/>
        <w:rPr>
          <w:b/>
          <w:bCs/>
        </w:rPr>
      </w:pPr>
      <w:r w:rsidRPr="007B5BE6">
        <w:rPr>
          <w:b/>
          <w:bCs/>
        </w:rPr>
        <w:br w:type="page"/>
      </w:r>
    </w:p>
    <w:p w14:paraId="4B3AA3E1" w14:textId="7A31CD37" w:rsidR="00EB6FFD" w:rsidRPr="007B5BE6" w:rsidRDefault="00EB6FFD" w:rsidP="00175E41">
      <w:pPr>
        <w:rPr>
          <w:b/>
          <w:bCs/>
        </w:rPr>
      </w:pPr>
      <w:r w:rsidRPr="007B5BE6">
        <w:rPr>
          <w:b/>
          <w:bCs/>
        </w:rPr>
        <w:lastRenderedPageBreak/>
        <w:t>Recommendation 21</w:t>
      </w:r>
    </w:p>
    <w:p w14:paraId="08FF9F94" w14:textId="22C18D17" w:rsidR="00EF16FB" w:rsidRPr="007B5BE6" w:rsidRDefault="00430D21" w:rsidP="00622EB8">
      <w:r w:rsidRPr="007B5BE6">
        <w:t>Consideration should be given to the development of a model for a court</w:t>
      </w:r>
      <w:r w:rsidR="00D947CA" w:rsidRPr="007B5BE6">
        <w:t>-</w:t>
      </w:r>
      <w:r w:rsidRPr="007B5BE6">
        <w:t xml:space="preserve">ordered mediation. This should be informed by consultation with relevant stakeholders. </w:t>
      </w:r>
    </w:p>
    <w:p w14:paraId="6E78053F" w14:textId="53C36313" w:rsidR="00622EB8" w:rsidRPr="007B5BE6" w:rsidRDefault="00622EB8" w:rsidP="00622EB8">
      <w:pPr>
        <w:rPr>
          <w:b/>
          <w:bCs/>
        </w:rPr>
      </w:pPr>
      <w:r w:rsidRPr="007B5BE6">
        <w:rPr>
          <w:b/>
          <w:bCs/>
        </w:rPr>
        <w:t>Recommendation 22</w:t>
      </w:r>
    </w:p>
    <w:p w14:paraId="081EEED0" w14:textId="33AA4CF4" w:rsidR="006E5012" w:rsidRPr="007B5BE6" w:rsidRDefault="006E5012" w:rsidP="00622EB8">
      <w:r w:rsidRPr="007B5BE6">
        <w:t>New specific offences for the abuse of older people should not be created within the general criminal law.</w:t>
      </w:r>
    </w:p>
    <w:p w14:paraId="22119466" w14:textId="77777777" w:rsidR="00161E00" w:rsidRPr="007B5BE6" w:rsidRDefault="00161E00" w:rsidP="00161E00">
      <w:pPr>
        <w:rPr>
          <w:b/>
          <w:bCs/>
        </w:rPr>
      </w:pPr>
      <w:r w:rsidRPr="007B5BE6">
        <w:rPr>
          <w:b/>
          <w:bCs/>
        </w:rPr>
        <w:t>Recommendation 23</w:t>
      </w:r>
    </w:p>
    <w:p w14:paraId="1933557D" w14:textId="186DF085" w:rsidR="00E2195E" w:rsidRPr="007B5BE6" w:rsidRDefault="00E2195E" w:rsidP="00E2195E">
      <w:r w:rsidRPr="007B5BE6">
        <w:t>Changes should be made to improve record-keeping regarding the occurrence of criminal offences in circumstances that involve the abuse of an older person. This could include:</w:t>
      </w:r>
    </w:p>
    <w:p w14:paraId="3D60A215" w14:textId="5E34E6E8" w:rsidR="00E2195E" w:rsidRPr="007B5BE6" w:rsidRDefault="00E2195E" w:rsidP="005A71B7">
      <w:pPr>
        <w:pStyle w:val="ListParagraph"/>
        <w:numPr>
          <w:ilvl w:val="0"/>
          <w:numId w:val="18"/>
        </w:numPr>
      </w:pPr>
      <w:r w:rsidRPr="007B5BE6">
        <w:t xml:space="preserve">Tasmania Police adding a flag to the records made of incident responses, welfare checks and reported offences, in circumstances where this relates to an older person; </w:t>
      </w:r>
    </w:p>
    <w:p w14:paraId="47F972B4" w14:textId="77777777" w:rsidR="00303ACA" w:rsidRPr="007B5BE6" w:rsidRDefault="00303ACA" w:rsidP="00303ACA">
      <w:pPr>
        <w:pStyle w:val="ListParagraph"/>
        <w:ind w:left="1080"/>
      </w:pPr>
    </w:p>
    <w:p w14:paraId="60ED2728" w14:textId="15DE9B0C" w:rsidR="00303ACA" w:rsidRPr="007B5BE6" w:rsidRDefault="00E2195E" w:rsidP="005A71B7">
      <w:pPr>
        <w:pStyle w:val="ListParagraph"/>
        <w:numPr>
          <w:ilvl w:val="0"/>
          <w:numId w:val="18"/>
        </w:numPr>
      </w:pPr>
      <w:r w:rsidRPr="007B5BE6">
        <w:t xml:space="preserve">amending the </w:t>
      </w:r>
      <w:r w:rsidRPr="007B5BE6">
        <w:rPr>
          <w:i/>
          <w:iCs/>
        </w:rPr>
        <w:t>Sentencing Act 1997</w:t>
      </w:r>
      <w:r w:rsidRPr="007B5BE6">
        <w:t xml:space="preserve"> (Tas) to facilitate the recording of the victim being an older person as a particular of any offence to appear on a person’s criminal record where the circumstances meet the definition of abuse of an ‘older person’; and</w:t>
      </w:r>
    </w:p>
    <w:p w14:paraId="7E6685D5" w14:textId="77777777" w:rsidR="00303ACA" w:rsidRPr="007B5BE6" w:rsidRDefault="00303ACA" w:rsidP="00303ACA">
      <w:pPr>
        <w:pStyle w:val="ListParagraph"/>
      </w:pPr>
    </w:p>
    <w:p w14:paraId="1F2AED76" w14:textId="0644E48B" w:rsidR="00E2195E" w:rsidRPr="007B5BE6" w:rsidRDefault="00E2195E" w:rsidP="005A71B7">
      <w:pPr>
        <w:pStyle w:val="ListParagraph"/>
        <w:numPr>
          <w:ilvl w:val="0"/>
          <w:numId w:val="18"/>
        </w:numPr>
      </w:pPr>
      <w:r w:rsidRPr="007B5BE6">
        <w:t>amending s</w:t>
      </w:r>
      <w:r w:rsidR="001E5883" w:rsidRPr="007B5BE6">
        <w:t>ection</w:t>
      </w:r>
      <w:r w:rsidRPr="007B5BE6">
        <w:t xml:space="preserve"> 13A of the </w:t>
      </w:r>
      <w:r w:rsidRPr="007B5BE6">
        <w:rPr>
          <w:i/>
          <w:iCs/>
        </w:rPr>
        <w:t>Family Violence Act 2004</w:t>
      </w:r>
      <w:r w:rsidRPr="007B5BE6">
        <w:t xml:space="preserve"> (Tas) to provide for recording that the victim was an older person as a particular of a </w:t>
      </w:r>
      <w:r w:rsidR="00DE49D2" w:rsidRPr="007B5BE6">
        <w:t>‘</w:t>
      </w:r>
      <w:r w:rsidRPr="007B5BE6">
        <w:t>family violence offence</w:t>
      </w:r>
      <w:r w:rsidR="00DE49D2" w:rsidRPr="007B5BE6">
        <w:t>’</w:t>
      </w:r>
      <w:r w:rsidRPr="007B5BE6">
        <w:t xml:space="preserve"> on a person’s criminal record.</w:t>
      </w:r>
    </w:p>
    <w:p w14:paraId="232F707D" w14:textId="77777777" w:rsidR="004F7302" w:rsidRPr="007B5BE6" w:rsidRDefault="004F7302" w:rsidP="00EF16FB">
      <w:pPr>
        <w:rPr>
          <w:b/>
          <w:bCs/>
        </w:rPr>
      </w:pPr>
      <w:r w:rsidRPr="007B5BE6">
        <w:rPr>
          <w:b/>
          <w:bCs/>
        </w:rPr>
        <w:t>Recommendation 24</w:t>
      </w:r>
    </w:p>
    <w:p w14:paraId="1776D823" w14:textId="3E1B21F3" w:rsidR="00161E00" w:rsidRPr="007B5BE6" w:rsidRDefault="00161E00" w:rsidP="00161E00">
      <w:r w:rsidRPr="007B5BE6">
        <w:t xml:space="preserve">The </w:t>
      </w:r>
      <w:r w:rsidRPr="007B5BE6">
        <w:rPr>
          <w:i/>
          <w:iCs/>
        </w:rPr>
        <w:t>Powers of Attorney Act 2000</w:t>
      </w:r>
      <w:r w:rsidRPr="007B5BE6">
        <w:t xml:space="preserve"> (Tas) should be amended to create additional criminal offences in relation to the abuse or misuse of powers</w:t>
      </w:r>
      <w:r w:rsidR="000E3BFA" w:rsidRPr="007B5BE6">
        <w:t xml:space="preserve"> of attorney</w:t>
      </w:r>
      <w:r w:rsidRPr="007B5BE6">
        <w:t xml:space="preserve">, including offences that cover dishonestly inducing the making of a power of attorney. </w:t>
      </w:r>
    </w:p>
    <w:p w14:paraId="6C526B36" w14:textId="41E7CCAD" w:rsidR="00161E00" w:rsidRPr="007B5BE6" w:rsidRDefault="00161E00" w:rsidP="00161E00">
      <w:pPr>
        <w:rPr>
          <w:b/>
          <w:bCs/>
        </w:rPr>
      </w:pPr>
      <w:r w:rsidRPr="007B5BE6">
        <w:rPr>
          <w:b/>
          <w:bCs/>
        </w:rPr>
        <w:t>Recommendation 2</w:t>
      </w:r>
      <w:r w:rsidR="00B41D00" w:rsidRPr="007B5BE6">
        <w:rPr>
          <w:b/>
          <w:bCs/>
        </w:rPr>
        <w:t>5</w:t>
      </w:r>
    </w:p>
    <w:p w14:paraId="30E7EE21" w14:textId="28BCE685" w:rsidR="00161E00" w:rsidRPr="007B5BE6" w:rsidRDefault="00161E00" w:rsidP="00161E00">
      <w:r w:rsidRPr="007B5BE6">
        <w:t xml:space="preserve">The powers of the Tasmanian Civil and Administrative Tribunal </w:t>
      </w:r>
      <w:r w:rsidR="00430F84" w:rsidRPr="007B5BE6">
        <w:t>(</w:t>
      </w:r>
      <w:r w:rsidR="004A12ED" w:rsidRPr="007B5BE6">
        <w:t>‘</w:t>
      </w:r>
      <w:r w:rsidR="00430F84" w:rsidRPr="007B5BE6">
        <w:t>TASCAT</w:t>
      </w:r>
      <w:r w:rsidR="004A12ED" w:rsidRPr="007B5BE6">
        <w:t>’</w:t>
      </w:r>
      <w:r w:rsidR="00430F84" w:rsidRPr="007B5BE6">
        <w:t xml:space="preserve">) </w:t>
      </w:r>
      <w:r w:rsidRPr="007B5BE6">
        <w:t>in s</w:t>
      </w:r>
      <w:r w:rsidR="006D5014" w:rsidRPr="007B5BE6">
        <w:t>ection</w:t>
      </w:r>
      <w:r w:rsidRPr="007B5BE6">
        <w:t xml:space="preserve"> 33 of the </w:t>
      </w:r>
      <w:r w:rsidRPr="007B5BE6">
        <w:rPr>
          <w:i/>
          <w:iCs/>
        </w:rPr>
        <w:t xml:space="preserve">Powers of Attorney Act 2000 </w:t>
      </w:r>
      <w:r w:rsidRPr="007B5BE6">
        <w:t>(Tas) should be expanded to allow it to make orders as to remedy or restitution when reviewing an enduring power of attorney.</w:t>
      </w:r>
    </w:p>
    <w:p w14:paraId="4CA7370A" w14:textId="6BC62E10" w:rsidR="00161E00" w:rsidRPr="007B5BE6" w:rsidRDefault="00161E00" w:rsidP="00161E00">
      <w:pPr>
        <w:rPr>
          <w:b/>
          <w:bCs/>
        </w:rPr>
      </w:pPr>
      <w:r w:rsidRPr="007B5BE6">
        <w:rPr>
          <w:b/>
          <w:bCs/>
        </w:rPr>
        <w:t>Recommendation 2</w:t>
      </w:r>
      <w:r w:rsidR="009775DD" w:rsidRPr="007B5BE6">
        <w:rPr>
          <w:b/>
          <w:bCs/>
        </w:rPr>
        <w:t>6</w:t>
      </w:r>
    </w:p>
    <w:p w14:paraId="11AB5DA7" w14:textId="77777777" w:rsidR="00424918" w:rsidRPr="007B5BE6" w:rsidRDefault="00424918" w:rsidP="00424918">
      <w:r w:rsidRPr="007B5BE6">
        <w:t xml:space="preserve">The </w:t>
      </w:r>
      <w:r w:rsidRPr="007B5BE6">
        <w:rPr>
          <w:i/>
          <w:iCs/>
        </w:rPr>
        <w:t>Guardianship and Administration Act 1995</w:t>
      </w:r>
      <w:r w:rsidRPr="007B5BE6">
        <w:t xml:space="preserve"> (Tas) should be amended to create additional criminal offences in relation to the abuse or misuse of administration and guardianship powers. </w:t>
      </w:r>
    </w:p>
    <w:p w14:paraId="3A513012" w14:textId="5AB1F8A1" w:rsidR="00161E00" w:rsidRPr="007B5BE6" w:rsidRDefault="00161E00" w:rsidP="00161E00">
      <w:pPr>
        <w:rPr>
          <w:b/>
          <w:bCs/>
        </w:rPr>
      </w:pPr>
      <w:r w:rsidRPr="007B5BE6">
        <w:rPr>
          <w:b/>
          <w:bCs/>
        </w:rPr>
        <w:t>Recommendation 2</w:t>
      </w:r>
      <w:r w:rsidR="00424918" w:rsidRPr="007B5BE6">
        <w:rPr>
          <w:b/>
          <w:bCs/>
        </w:rPr>
        <w:t>7</w:t>
      </w:r>
    </w:p>
    <w:p w14:paraId="7DE1D285" w14:textId="30D5776A" w:rsidR="00424918" w:rsidRPr="007B5BE6" w:rsidRDefault="00424918" w:rsidP="00424918">
      <w:r w:rsidRPr="007B5BE6">
        <w:t xml:space="preserve">The powers of the Tasmanian Civil and Administrative Tribunal </w:t>
      </w:r>
      <w:r w:rsidR="00430F84" w:rsidRPr="007B5BE6">
        <w:t>(</w:t>
      </w:r>
      <w:r w:rsidR="004A12ED" w:rsidRPr="007B5BE6">
        <w:t>‘</w:t>
      </w:r>
      <w:r w:rsidR="00430F84" w:rsidRPr="007B5BE6">
        <w:t>TASCAT</w:t>
      </w:r>
      <w:r w:rsidR="004A12ED" w:rsidRPr="007B5BE6">
        <w:t>’</w:t>
      </w:r>
      <w:r w:rsidR="00430F84" w:rsidRPr="007B5BE6">
        <w:t xml:space="preserve">) </w:t>
      </w:r>
      <w:r w:rsidRPr="007B5BE6">
        <w:t xml:space="preserve">in the </w:t>
      </w:r>
      <w:r w:rsidRPr="007B5BE6">
        <w:rPr>
          <w:i/>
          <w:iCs/>
        </w:rPr>
        <w:t xml:space="preserve">Guardianship and Administration Act 1995 </w:t>
      </w:r>
      <w:r w:rsidRPr="007B5BE6">
        <w:t>(Tas) should be expanded to allow it to make orders as to remedy or restitution when reviewing an enduring guardianship appointment, a guardianship or administration order.</w:t>
      </w:r>
    </w:p>
    <w:p w14:paraId="1D121614" w14:textId="77777777" w:rsidR="00303ACA" w:rsidRPr="007B5BE6" w:rsidRDefault="00303ACA">
      <w:pPr>
        <w:spacing w:after="200" w:line="276" w:lineRule="auto"/>
        <w:jc w:val="left"/>
        <w:rPr>
          <w:b/>
          <w:bCs/>
        </w:rPr>
      </w:pPr>
      <w:r w:rsidRPr="007B5BE6">
        <w:rPr>
          <w:b/>
          <w:bCs/>
        </w:rPr>
        <w:br w:type="page"/>
      </w:r>
    </w:p>
    <w:p w14:paraId="30726D83" w14:textId="167B8E62" w:rsidR="000710E9" w:rsidRPr="007B5BE6" w:rsidRDefault="000710E9" w:rsidP="000710E9">
      <w:pPr>
        <w:rPr>
          <w:b/>
          <w:bCs/>
        </w:rPr>
      </w:pPr>
      <w:r w:rsidRPr="007B5BE6">
        <w:rPr>
          <w:b/>
          <w:bCs/>
        </w:rPr>
        <w:lastRenderedPageBreak/>
        <w:t>Recommendation 2</w:t>
      </w:r>
      <w:r w:rsidR="00424918" w:rsidRPr="007B5BE6">
        <w:rPr>
          <w:b/>
          <w:bCs/>
        </w:rPr>
        <w:t>8</w:t>
      </w:r>
    </w:p>
    <w:p w14:paraId="5C6A3C2A" w14:textId="77777777" w:rsidR="00025847" w:rsidRPr="007B5BE6" w:rsidRDefault="00025847" w:rsidP="00025847">
      <w:r w:rsidRPr="007B5BE6">
        <w:t xml:space="preserve">Specialist roles in Tasmania Police should be created that focus on responding to the abuse, neglect and exploitation of older people through detection, investigation and prosecution, including consideration given to the introduction of a dedicated unit with specialist police prosecutors. The development of these roles and their scope and purpose should be informed by other recommendations of the TLRI, particularly: </w:t>
      </w:r>
    </w:p>
    <w:p w14:paraId="6DDA0848" w14:textId="1D4CD025" w:rsidR="00025847" w:rsidRPr="007B5BE6" w:rsidRDefault="00025847" w:rsidP="005A71B7">
      <w:pPr>
        <w:pStyle w:val="ListParagraph"/>
        <w:numPr>
          <w:ilvl w:val="0"/>
          <w:numId w:val="22"/>
        </w:numPr>
      </w:pPr>
      <w:r w:rsidRPr="007B5BE6">
        <w:t xml:space="preserve">Recommendation </w:t>
      </w:r>
      <w:r w:rsidR="00942586" w:rsidRPr="007B5BE6">
        <w:t>20</w:t>
      </w:r>
      <w:r w:rsidRPr="007B5BE6">
        <w:t xml:space="preserve"> (reform of the </w:t>
      </w:r>
      <w:r w:rsidRPr="007B5BE6">
        <w:rPr>
          <w:i/>
          <w:iCs/>
        </w:rPr>
        <w:t>Justices Act 1959</w:t>
      </w:r>
      <w:r w:rsidRPr="007B5BE6">
        <w:t xml:space="preserve"> (Tas) with a view to creating a specialised restraint order); and </w:t>
      </w:r>
    </w:p>
    <w:p w14:paraId="361FB734" w14:textId="77777777" w:rsidR="00303ACA" w:rsidRPr="007B5BE6" w:rsidRDefault="00303ACA" w:rsidP="00303ACA">
      <w:pPr>
        <w:pStyle w:val="ListParagraph"/>
        <w:ind w:left="1080"/>
      </w:pPr>
    </w:p>
    <w:p w14:paraId="0DCD1481" w14:textId="1CD16548" w:rsidR="00025847" w:rsidRPr="007B5BE6" w:rsidRDefault="00025847" w:rsidP="005A71B7">
      <w:pPr>
        <w:pStyle w:val="ListParagraph"/>
        <w:numPr>
          <w:ilvl w:val="0"/>
          <w:numId w:val="22"/>
        </w:numPr>
      </w:pPr>
      <w:r w:rsidRPr="007B5BE6">
        <w:t>Recommendations 1–</w:t>
      </w:r>
      <w:r w:rsidR="00942586" w:rsidRPr="007B5BE6">
        <w:t>19</w:t>
      </w:r>
      <w:r w:rsidRPr="007B5BE6">
        <w:t xml:space="preserve"> (overarching safeguarding legislation through the creation of a </w:t>
      </w:r>
      <w:proofErr w:type="gramStart"/>
      <w:r w:rsidRPr="007B5BE6">
        <w:t>Commissioner</w:t>
      </w:r>
      <w:proofErr w:type="gramEnd"/>
      <w:r w:rsidRPr="007B5BE6">
        <w:t xml:space="preserve"> role and referral processes involving Tasmania Police). </w:t>
      </w:r>
    </w:p>
    <w:p w14:paraId="0116A75D" w14:textId="4BAFDF32" w:rsidR="00025847" w:rsidRPr="007B5BE6" w:rsidRDefault="00025847" w:rsidP="00025847">
      <w:r w:rsidRPr="007B5BE6">
        <w:t>Consideration of these matters should be informed by consultation with relevant stakeholders.</w:t>
      </w:r>
    </w:p>
    <w:p w14:paraId="1BEF4661" w14:textId="45CBF0BB" w:rsidR="000710E9" w:rsidRPr="007B5BE6" w:rsidRDefault="000710E9" w:rsidP="000710E9">
      <w:pPr>
        <w:rPr>
          <w:b/>
          <w:bCs/>
        </w:rPr>
      </w:pPr>
      <w:r w:rsidRPr="007B5BE6">
        <w:rPr>
          <w:b/>
          <w:bCs/>
        </w:rPr>
        <w:t>Recommendation 2</w:t>
      </w:r>
      <w:r w:rsidR="00424918" w:rsidRPr="007B5BE6">
        <w:rPr>
          <w:b/>
          <w:bCs/>
        </w:rPr>
        <w:t>9</w:t>
      </w:r>
    </w:p>
    <w:p w14:paraId="655C4ACA" w14:textId="77777777" w:rsidR="00EF16FB" w:rsidRPr="007B5BE6" w:rsidRDefault="007439E0" w:rsidP="000710E9">
      <w:r w:rsidRPr="007B5BE6">
        <w:t xml:space="preserve">The current training provided to Tasmania Police should be reviewed by Tasmania Police to ensure that it adequately meets the needs for police to have knowledge about the abuse of older people as part of operational, investigative and prosecutorial responses to matters involving the abuse of older people. </w:t>
      </w:r>
    </w:p>
    <w:p w14:paraId="4EA65E78" w14:textId="5CDB5517" w:rsidR="000710E9" w:rsidRPr="007B5BE6" w:rsidRDefault="000710E9" w:rsidP="000710E9">
      <w:pPr>
        <w:rPr>
          <w:b/>
          <w:bCs/>
        </w:rPr>
      </w:pPr>
      <w:r w:rsidRPr="007B5BE6">
        <w:rPr>
          <w:b/>
          <w:bCs/>
        </w:rPr>
        <w:t xml:space="preserve">Recommendation </w:t>
      </w:r>
      <w:r w:rsidR="00424918" w:rsidRPr="007B5BE6">
        <w:rPr>
          <w:b/>
          <w:bCs/>
        </w:rPr>
        <w:t>30</w:t>
      </w:r>
    </w:p>
    <w:p w14:paraId="5F831222" w14:textId="77777777" w:rsidR="000710E9" w:rsidRPr="007B5BE6" w:rsidRDefault="000710E9" w:rsidP="000710E9">
      <w:r w:rsidRPr="007B5BE6">
        <w:t>Tasmania Police should be provided with appropriate resources to support these reforms.</w:t>
      </w:r>
    </w:p>
    <w:p w14:paraId="4F753EE6" w14:textId="08D48ABE" w:rsidR="000710E9" w:rsidRPr="007B5BE6" w:rsidRDefault="000710E9" w:rsidP="000710E9">
      <w:pPr>
        <w:rPr>
          <w:b/>
          <w:bCs/>
        </w:rPr>
      </w:pPr>
      <w:r w:rsidRPr="007B5BE6">
        <w:rPr>
          <w:b/>
          <w:bCs/>
        </w:rPr>
        <w:t xml:space="preserve">Recommendation </w:t>
      </w:r>
      <w:r w:rsidR="00424918" w:rsidRPr="007B5BE6">
        <w:rPr>
          <w:b/>
          <w:bCs/>
        </w:rPr>
        <w:t>31</w:t>
      </w:r>
    </w:p>
    <w:p w14:paraId="78FD6516" w14:textId="13534D2E" w:rsidR="00161E00" w:rsidRPr="007B5BE6" w:rsidRDefault="000710E9" w:rsidP="000710E9">
      <w:r w:rsidRPr="007B5BE6">
        <w:t xml:space="preserve">Consideration should be given to providing access to an intermediary for older people with communication needs to assist with communication before and during proceedings in other legal forums, such as in relation to civil protection order hearings and </w:t>
      </w:r>
      <w:r w:rsidR="003A0BF6" w:rsidRPr="007B5BE6">
        <w:t>Tasmanian Civil and Administrative Tribunal</w:t>
      </w:r>
      <w:r w:rsidR="00430F84" w:rsidRPr="007B5BE6">
        <w:t xml:space="preserve"> (</w:t>
      </w:r>
      <w:r w:rsidR="004A12ED" w:rsidRPr="007B5BE6">
        <w:t>‘</w:t>
      </w:r>
      <w:r w:rsidR="00430F84" w:rsidRPr="007B5BE6">
        <w:t>TASCAT</w:t>
      </w:r>
      <w:r w:rsidR="004A12ED" w:rsidRPr="007B5BE6">
        <w:t>’</w:t>
      </w:r>
      <w:r w:rsidR="00430F84" w:rsidRPr="007B5BE6">
        <w:t>)</w:t>
      </w:r>
      <w:r w:rsidRPr="007B5BE6">
        <w:t xml:space="preserve"> hearings.</w:t>
      </w:r>
    </w:p>
    <w:p w14:paraId="7A416A5A" w14:textId="77777777" w:rsidR="00622EB8" w:rsidRPr="007B5BE6" w:rsidRDefault="00622EB8" w:rsidP="00622EB8"/>
    <w:p w14:paraId="19698873" w14:textId="77777777" w:rsidR="00E34264" w:rsidRPr="007B5BE6" w:rsidRDefault="00E34264" w:rsidP="00E34264"/>
    <w:p w14:paraId="110A4E26" w14:textId="77777777" w:rsidR="007C58E1" w:rsidRPr="007B5BE6" w:rsidRDefault="007C58E1" w:rsidP="00B52613"/>
    <w:p w14:paraId="76CE7EDF" w14:textId="2DD5B137" w:rsidR="002A112C" w:rsidRPr="007B5BE6" w:rsidRDefault="002A112C" w:rsidP="00B52613">
      <w:r w:rsidRPr="007B5BE6">
        <w:br w:type="page"/>
      </w:r>
    </w:p>
    <w:p w14:paraId="02D2B6EE" w14:textId="77777777" w:rsidR="003B4ABF" w:rsidRPr="007B5BE6" w:rsidRDefault="003B4ABF" w:rsidP="00422C63">
      <w:pPr>
        <w:sectPr w:rsidR="003B4ABF" w:rsidRPr="007B5BE6" w:rsidSect="00D8729E">
          <w:headerReference w:type="even" r:id="rId17"/>
          <w:headerReference w:type="default" r:id="rId18"/>
          <w:footnotePr>
            <w:numFmt w:val="lowerRoman"/>
            <w:numRestart w:val="eachSect"/>
          </w:footnotePr>
          <w:type w:val="oddPage"/>
          <w:pgSz w:w="11906" w:h="16838"/>
          <w:pgMar w:top="1440" w:right="1440" w:bottom="1440" w:left="1440" w:header="708" w:footer="708" w:gutter="0"/>
          <w:pgNumType w:fmt="lowerRoman" w:start="1"/>
          <w:cols w:space="708"/>
          <w:docGrid w:linePitch="360"/>
        </w:sectPr>
      </w:pPr>
      <w:bookmarkStart w:id="5" w:name="_Toc161577811"/>
      <w:bookmarkStart w:id="6" w:name="_Toc161586512"/>
      <w:bookmarkStart w:id="7" w:name="_Toc161586930"/>
      <w:bookmarkEnd w:id="5"/>
      <w:bookmarkEnd w:id="6"/>
      <w:bookmarkEnd w:id="7"/>
    </w:p>
    <w:p w14:paraId="68C08CDE" w14:textId="77777777" w:rsidR="00A433FC" w:rsidRPr="007B5BE6" w:rsidRDefault="00A433FC" w:rsidP="00DA0D3F">
      <w:pPr>
        <w:pStyle w:val="PartNoTLRI"/>
      </w:pPr>
      <w:bookmarkStart w:id="8" w:name="_Toc212561710"/>
      <w:bookmarkEnd w:id="8"/>
    </w:p>
    <w:p w14:paraId="3DE91AA2" w14:textId="77777777" w:rsidR="00A433FC" w:rsidRPr="007B5BE6" w:rsidRDefault="00A433FC" w:rsidP="00A433FC">
      <w:pPr>
        <w:pStyle w:val="PartHeadingTLRI"/>
      </w:pPr>
      <w:bookmarkStart w:id="9" w:name="_Toc212561711"/>
      <w:r w:rsidRPr="007B5BE6">
        <w:t>Introd</w:t>
      </w:r>
      <w:r w:rsidR="003B4ABF" w:rsidRPr="007B5BE6">
        <w:t>uction</w:t>
      </w:r>
      <w:bookmarkEnd w:id="9"/>
    </w:p>
    <w:p w14:paraId="40ECBDD5" w14:textId="77777777" w:rsidR="006041E5" w:rsidRPr="007B5BE6" w:rsidRDefault="006041E5" w:rsidP="00744D17">
      <w:pPr>
        <w:pStyle w:val="NumberedHeadingTLRI"/>
      </w:pPr>
      <w:bookmarkStart w:id="10" w:name="_Toc161577816"/>
      <w:bookmarkStart w:id="11" w:name="_Toc161586517"/>
      <w:bookmarkStart w:id="12" w:name="_Toc161586935"/>
      <w:bookmarkStart w:id="13" w:name="_Toc194525335"/>
      <w:bookmarkStart w:id="14" w:name="_Toc212561712"/>
      <w:bookmarkEnd w:id="10"/>
      <w:bookmarkEnd w:id="11"/>
      <w:bookmarkEnd w:id="12"/>
      <w:r w:rsidRPr="007B5BE6">
        <w:t>The abuse of older Tasmanians and safeguarding</w:t>
      </w:r>
      <w:bookmarkEnd w:id="13"/>
      <w:bookmarkEnd w:id="14"/>
      <w:r w:rsidRPr="007B5BE6">
        <w:t xml:space="preserve"> </w:t>
      </w:r>
    </w:p>
    <w:p w14:paraId="331D74BD" w14:textId="5DC1B327" w:rsidR="00C57AA5" w:rsidRPr="007B5BE6" w:rsidRDefault="00C24958" w:rsidP="008C4192">
      <w:pPr>
        <w:pStyle w:val="NormalNumberedTextTLRI"/>
      </w:pPr>
      <w:bookmarkStart w:id="15" w:name="_Toc194525336"/>
      <w:r w:rsidRPr="007B5BE6">
        <w:t>In Tasmania, the issue of abuse of older people</w:t>
      </w:r>
      <w:r w:rsidR="00AB2FBC" w:rsidRPr="007B5BE6">
        <w:t xml:space="preserve"> (also referred to as ‘elder abuse’)</w:t>
      </w:r>
      <w:r w:rsidR="00304CA2" w:rsidRPr="007B5BE6">
        <w:rPr>
          <w:rStyle w:val="FootnoteReference"/>
        </w:rPr>
        <w:footnoteReference w:id="2"/>
      </w:r>
      <w:r w:rsidR="00D7289E" w:rsidRPr="007B5BE6">
        <w:t xml:space="preserve"> </w:t>
      </w:r>
      <w:r w:rsidRPr="007B5BE6">
        <w:t xml:space="preserve">was brought into sharp focus </w:t>
      </w:r>
      <w:r w:rsidR="006A2D68" w:rsidRPr="007B5BE6">
        <w:t xml:space="preserve">following </w:t>
      </w:r>
      <w:r w:rsidR="00E223B4" w:rsidRPr="007B5BE6">
        <w:t xml:space="preserve">a </w:t>
      </w:r>
      <w:r w:rsidR="006A2D68" w:rsidRPr="007B5BE6">
        <w:t xml:space="preserve">2017 </w:t>
      </w:r>
      <w:r w:rsidR="00FC74DE" w:rsidRPr="007B5BE6">
        <w:t xml:space="preserve">death investigation and </w:t>
      </w:r>
      <w:r w:rsidR="006A2D68" w:rsidRPr="007B5BE6">
        <w:t xml:space="preserve">inquest </w:t>
      </w:r>
      <w:r w:rsidR="00E223B4" w:rsidRPr="007B5BE6">
        <w:t xml:space="preserve">where the </w:t>
      </w:r>
      <w:r w:rsidR="00104DC9" w:rsidRPr="007B5BE6">
        <w:t>coroner</w:t>
      </w:r>
      <w:r w:rsidR="006A2D68" w:rsidRPr="007B5BE6">
        <w:t xml:space="preserve"> identifi</w:t>
      </w:r>
      <w:r w:rsidR="00E223B4" w:rsidRPr="007B5BE6">
        <w:t>ed</w:t>
      </w:r>
      <w:r w:rsidR="006A2D68" w:rsidRPr="007B5BE6">
        <w:t xml:space="preserve"> gaps in </w:t>
      </w:r>
      <w:r w:rsidR="00E3587D" w:rsidRPr="007B5BE6">
        <w:t xml:space="preserve">legal and </w:t>
      </w:r>
      <w:r w:rsidR="006A2D68" w:rsidRPr="007B5BE6">
        <w:t xml:space="preserve">service responses and </w:t>
      </w:r>
      <w:r w:rsidR="00E223B4" w:rsidRPr="007B5BE6">
        <w:t xml:space="preserve">highlighted </w:t>
      </w:r>
      <w:r w:rsidR="006A2D68" w:rsidRPr="007B5BE6">
        <w:t>numerous areas where reform could be considered.</w:t>
      </w:r>
      <w:r w:rsidR="001E55AD" w:rsidRPr="007B5BE6">
        <w:rPr>
          <w:rStyle w:val="FootnoteReference"/>
        </w:rPr>
        <w:footnoteReference w:id="3"/>
      </w:r>
      <w:r w:rsidR="006D671B" w:rsidRPr="007B5BE6">
        <w:t xml:space="preserve"> </w:t>
      </w:r>
      <w:r w:rsidR="006A2D68" w:rsidRPr="007B5BE6">
        <w:t xml:space="preserve">A central recommendation </w:t>
      </w:r>
      <w:r w:rsidR="00FC74DE" w:rsidRPr="007B5BE6">
        <w:t>as part of the</w:t>
      </w:r>
      <w:r w:rsidR="006A2D68" w:rsidRPr="007B5BE6">
        <w:t xml:space="preserve"> inquest</w:t>
      </w:r>
      <w:r w:rsidR="00FD75F0" w:rsidRPr="007B5BE6">
        <w:t xml:space="preserve"> </w:t>
      </w:r>
      <w:r w:rsidR="006A2D68" w:rsidRPr="007B5BE6">
        <w:t>was that consideration be given to establishing an independent body that is ‘appropriately empowered and resourced to deal with complaints, investigations, education and oversight of elder abuse’.</w:t>
      </w:r>
      <w:r w:rsidR="001E55AD" w:rsidRPr="007B5BE6">
        <w:rPr>
          <w:rStyle w:val="FootnoteReference"/>
        </w:rPr>
        <w:footnoteReference w:id="4"/>
      </w:r>
      <w:r w:rsidR="00F1332E" w:rsidRPr="007B5BE6">
        <w:t xml:space="preserve"> </w:t>
      </w:r>
      <w:r w:rsidR="006A2D68" w:rsidRPr="007B5BE6">
        <w:t xml:space="preserve">A small body of </w:t>
      </w:r>
      <w:r w:rsidR="00104DC9" w:rsidRPr="007B5BE6">
        <w:t xml:space="preserve">Tasmanian </w:t>
      </w:r>
      <w:r w:rsidR="006A2D68" w:rsidRPr="007B5BE6">
        <w:t xml:space="preserve">research that preceded and followed the inquest identified similar themes regarding gaps in legal and service responses to </w:t>
      </w:r>
      <w:r w:rsidR="00FD75F0" w:rsidRPr="007B5BE6">
        <w:t xml:space="preserve">the </w:t>
      </w:r>
      <w:r w:rsidR="006A2D68" w:rsidRPr="007B5BE6">
        <w:t xml:space="preserve">abuse of older people, echoing the </w:t>
      </w:r>
      <w:r w:rsidR="00FD75F0" w:rsidRPr="007B5BE6">
        <w:t xml:space="preserve">coroner’s </w:t>
      </w:r>
      <w:r w:rsidR="006A2D68" w:rsidRPr="007B5BE6">
        <w:t>recommendation for a body to be established with responsibility for receiving, investigating and act</w:t>
      </w:r>
      <w:r w:rsidR="001523C5" w:rsidRPr="007B5BE6">
        <w:t>ing</w:t>
      </w:r>
      <w:r w:rsidR="006A2D68" w:rsidRPr="007B5BE6">
        <w:t xml:space="preserve"> on complaints regarding the abuse of older people.</w:t>
      </w:r>
      <w:r w:rsidR="006A2D68" w:rsidRPr="007B5BE6">
        <w:rPr>
          <w:rStyle w:val="FootnoteReference"/>
        </w:rPr>
        <w:footnoteReference w:id="5"/>
      </w:r>
      <w:r w:rsidR="006A2D68" w:rsidRPr="007B5BE6">
        <w:t xml:space="preserve"> </w:t>
      </w:r>
    </w:p>
    <w:p w14:paraId="0A962A8D" w14:textId="2C7B7056" w:rsidR="002B24EC" w:rsidRPr="007B5BE6" w:rsidRDefault="00037C4B" w:rsidP="002B24EC">
      <w:pPr>
        <w:pStyle w:val="NormalNumberedTextTLRI"/>
      </w:pPr>
      <w:r w:rsidRPr="007B5BE6">
        <w:t xml:space="preserve">In line with the </w:t>
      </w:r>
      <w:r w:rsidR="00AD2899" w:rsidRPr="007B5BE6">
        <w:t xml:space="preserve">aims </w:t>
      </w:r>
      <w:r w:rsidR="00B66A31" w:rsidRPr="007B5BE6">
        <w:t>of the McBurnie Fellowship, t</w:t>
      </w:r>
      <w:r w:rsidR="00DD1979" w:rsidRPr="007B5BE6">
        <w:t>his Research Paper evaluates the current legal landscape for safeguarding against the abuse of older Tasmanian</w:t>
      </w:r>
      <w:r w:rsidR="00782C55" w:rsidRPr="007B5BE6">
        <w:t>s</w:t>
      </w:r>
      <w:r w:rsidR="00DD1979" w:rsidRPr="007B5BE6">
        <w:t xml:space="preserve">’ legal rights and </w:t>
      </w:r>
      <w:proofErr w:type="gramStart"/>
      <w:r w:rsidR="00DD1979" w:rsidRPr="007B5BE6">
        <w:t>interests</w:t>
      </w:r>
      <w:r w:rsidR="00757670" w:rsidRPr="007B5BE6">
        <w:t>,</w:t>
      </w:r>
      <w:r w:rsidR="00DD1979" w:rsidRPr="007B5BE6">
        <w:t xml:space="preserve"> and</w:t>
      </w:r>
      <w:proofErr w:type="gramEnd"/>
      <w:r w:rsidR="00DD1979" w:rsidRPr="007B5BE6">
        <w:t xml:space="preserve"> protecting older people</w:t>
      </w:r>
      <w:r w:rsidR="00D27612" w:rsidRPr="007B5BE6">
        <w:t xml:space="preserve"> in Tasmania</w:t>
      </w:r>
      <w:r w:rsidR="00DD1979" w:rsidRPr="007B5BE6">
        <w:t xml:space="preserve"> from harm.</w:t>
      </w:r>
      <w:r w:rsidR="000D25CE" w:rsidRPr="007B5BE6">
        <w:rPr>
          <w:rStyle w:val="FootnoteReference"/>
        </w:rPr>
        <w:footnoteReference w:id="6"/>
      </w:r>
      <w:r w:rsidR="00DD1979" w:rsidRPr="007B5BE6">
        <w:t xml:space="preserve"> </w:t>
      </w:r>
      <w:r w:rsidR="00D801B4" w:rsidRPr="007B5BE6">
        <w:t>Accordingly</w:t>
      </w:r>
      <w:r w:rsidR="00E144F7" w:rsidRPr="007B5BE6">
        <w:t xml:space="preserve">, </w:t>
      </w:r>
      <w:r w:rsidR="00D801B4" w:rsidRPr="007B5BE6">
        <w:t xml:space="preserve">key terminology </w:t>
      </w:r>
      <w:r w:rsidR="00BD2D9A" w:rsidRPr="007B5BE6">
        <w:t xml:space="preserve">or concepts </w:t>
      </w:r>
      <w:r w:rsidR="00D801B4" w:rsidRPr="007B5BE6">
        <w:t xml:space="preserve">that </w:t>
      </w:r>
      <w:r w:rsidR="00BD2D9A" w:rsidRPr="007B5BE6">
        <w:t>are</w:t>
      </w:r>
      <w:r w:rsidR="00D801B4" w:rsidRPr="007B5BE6">
        <w:t xml:space="preserve"> used in th</w:t>
      </w:r>
      <w:r w:rsidR="00D27612" w:rsidRPr="007B5BE6">
        <w:t>is</w:t>
      </w:r>
      <w:r w:rsidR="00D801B4" w:rsidRPr="007B5BE6">
        <w:t xml:space="preserve"> paper </w:t>
      </w:r>
      <w:r w:rsidR="00BD2D9A" w:rsidRPr="007B5BE6">
        <w:t>are</w:t>
      </w:r>
      <w:r w:rsidR="00D801B4" w:rsidRPr="007B5BE6">
        <w:t xml:space="preserve"> ‘older person’ and ‘safeguarding’</w:t>
      </w:r>
      <w:r w:rsidR="00BD2D9A" w:rsidRPr="007B5BE6">
        <w:t>.</w:t>
      </w:r>
    </w:p>
    <w:p w14:paraId="0B919A5E" w14:textId="37EC98CA" w:rsidR="00A006E7" w:rsidRPr="007B5BE6" w:rsidRDefault="00BD2D9A">
      <w:pPr>
        <w:pStyle w:val="NormalNumberedTextTLRI"/>
      </w:pPr>
      <w:r w:rsidRPr="007B5BE6">
        <w:lastRenderedPageBreak/>
        <w:t>As the A</w:t>
      </w:r>
      <w:r w:rsidR="00D27612" w:rsidRPr="007B5BE6">
        <w:t>ustralian Law Reform Commission (‘A</w:t>
      </w:r>
      <w:r w:rsidRPr="007B5BE6">
        <w:t>LRC</w:t>
      </w:r>
      <w:r w:rsidR="00D27612" w:rsidRPr="007B5BE6">
        <w:t>’)</w:t>
      </w:r>
      <w:r w:rsidRPr="007B5BE6">
        <w:t xml:space="preserve"> has </w:t>
      </w:r>
      <w:r w:rsidR="0002003F" w:rsidRPr="007B5BE6">
        <w:t>recognised</w:t>
      </w:r>
      <w:r w:rsidRPr="007B5BE6">
        <w:t>, ‘[t]he idea of someone being an “older” person is a relative concep</w:t>
      </w:r>
      <w:r w:rsidR="00F47664" w:rsidRPr="007B5BE6">
        <w:t>t—c</w:t>
      </w:r>
      <w:r w:rsidR="0002003F" w:rsidRPr="007B5BE6">
        <w:t>hronologically</w:t>
      </w:r>
      <w:r w:rsidRPr="007B5BE6">
        <w:t xml:space="preserve">, medically and </w:t>
      </w:r>
      <w:r w:rsidR="0002003F" w:rsidRPr="007B5BE6">
        <w:t>culturally. It does not have a precise definition and specific ages may be used for particular purposes’.</w:t>
      </w:r>
      <w:r w:rsidR="000D25CE" w:rsidRPr="007B5BE6">
        <w:rPr>
          <w:rStyle w:val="FootnoteReference"/>
        </w:rPr>
        <w:footnoteReference w:id="7"/>
      </w:r>
      <w:r w:rsidR="0002003F" w:rsidRPr="007B5BE6">
        <w:t xml:space="preserve"> In </w:t>
      </w:r>
      <w:r w:rsidR="00B75776" w:rsidRPr="007B5BE6">
        <w:t>the Australian and Tasmanian context,</w:t>
      </w:r>
      <w:r w:rsidR="0002003F" w:rsidRPr="007B5BE6">
        <w:t xml:space="preserve"> policy </w:t>
      </w:r>
      <w:r w:rsidR="00B75776" w:rsidRPr="007B5BE6">
        <w:t>responses</w:t>
      </w:r>
      <w:r w:rsidR="0002003F" w:rsidRPr="007B5BE6">
        <w:t xml:space="preserve"> to the abuse of older people,</w:t>
      </w:r>
      <w:r w:rsidR="00B75776" w:rsidRPr="007B5BE6">
        <w:t xml:space="preserve"> have defined </w:t>
      </w:r>
      <w:r w:rsidR="00DD1979" w:rsidRPr="007B5BE6">
        <w:t>‘older people’</w:t>
      </w:r>
      <w:r w:rsidR="00B75776" w:rsidRPr="007B5BE6">
        <w:t xml:space="preserve"> </w:t>
      </w:r>
      <w:r w:rsidR="00D27612" w:rsidRPr="007B5BE6">
        <w:t>as</w:t>
      </w:r>
      <w:r w:rsidR="00DD1979" w:rsidRPr="007B5BE6">
        <w:t xml:space="preserve"> people who are aged 65 years and over and </w:t>
      </w:r>
      <w:r w:rsidR="008966DB" w:rsidRPr="007B5BE6">
        <w:t xml:space="preserve">Indigenous </w:t>
      </w:r>
      <w:r w:rsidR="00C4579C" w:rsidRPr="007B5BE6">
        <w:t xml:space="preserve">people </w:t>
      </w:r>
      <w:r w:rsidR="002A25F9" w:rsidRPr="007B5BE6">
        <w:t>(</w:t>
      </w:r>
      <w:r w:rsidR="00DD1979" w:rsidRPr="007B5BE6">
        <w:t>Aboriginal</w:t>
      </w:r>
      <w:r w:rsidR="00C4579C" w:rsidRPr="007B5BE6">
        <w:t xml:space="preserve">/Aboriginal and </w:t>
      </w:r>
      <w:r w:rsidR="00DD1979" w:rsidRPr="007B5BE6">
        <w:t>Torres Strait Islander people</w:t>
      </w:r>
      <w:r w:rsidR="00467E6B" w:rsidRPr="007B5BE6">
        <w:t>)</w:t>
      </w:r>
      <w:r w:rsidR="00DD1979" w:rsidRPr="007B5BE6">
        <w:t xml:space="preserve"> who are aged 50 years.</w:t>
      </w:r>
      <w:r w:rsidR="00A565E2" w:rsidRPr="007B5BE6">
        <w:rPr>
          <w:rStyle w:val="FootnoteReference"/>
        </w:rPr>
        <w:footnoteReference w:id="8"/>
      </w:r>
      <w:r w:rsidR="00DD1979" w:rsidRPr="007B5BE6">
        <w:t xml:space="preserve"> </w:t>
      </w:r>
      <w:r w:rsidR="00B343FF" w:rsidRPr="007B5BE6">
        <w:t xml:space="preserve">This is also the age criteria applied in Tasmania for the </w:t>
      </w:r>
      <w:r w:rsidR="003617D6" w:rsidRPr="007B5BE6">
        <w:t xml:space="preserve">Tasmanian Elder Abuse Helpline (‘the Helpline’) </w:t>
      </w:r>
      <w:r w:rsidR="00B343FF" w:rsidRPr="007B5BE6">
        <w:t xml:space="preserve">and </w:t>
      </w:r>
      <w:r w:rsidR="004410D8" w:rsidRPr="007B5BE6">
        <w:t>Tasmania Legal Aid’s Senior Assist program</w:t>
      </w:r>
      <w:r w:rsidR="003617D6" w:rsidRPr="007B5BE6">
        <w:t xml:space="preserve"> (‘Senior Assist’)</w:t>
      </w:r>
      <w:r w:rsidR="004410D8" w:rsidRPr="007B5BE6">
        <w:t>.</w:t>
      </w:r>
      <w:r w:rsidR="00A565E2" w:rsidRPr="007B5BE6">
        <w:rPr>
          <w:rStyle w:val="FootnoteReference"/>
        </w:rPr>
        <w:footnoteReference w:id="9"/>
      </w:r>
      <w:r w:rsidR="004410D8" w:rsidRPr="007B5BE6">
        <w:t xml:space="preserve"> </w:t>
      </w:r>
      <w:r w:rsidR="00C15C40" w:rsidRPr="007B5BE6">
        <w:t xml:space="preserve">For the general population, the age of 65 </w:t>
      </w:r>
      <w:r w:rsidR="00C22E4E" w:rsidRPr="007B5BE6">
        <w:t xml:space="preserve">years </w:t>
      </w:r>
      <w:r w:rsidR="00C15C40" w:rsidRPr="007B5BE6">
        <w:t xml:space="preserve">also reflects the distinction drawn between services </w:t>
      </w:r>
      <w:r w:rsidR="00505A37" w:rsidRPr="007B5BE6">
        <w:t xml:space="preserve">delivered under the National Disability </w:t>
      </w:r>
      <w:r w:rsidR="00E86C9A" w:rsidRPr="007B5BE6">
        <w:t xml:space="preserve">Insurance </w:t>
      </w:r>
      <w:r w:rsidR="00505A37" w:rsidRPr="007B5BE6">
        <w:t xml:space="preserve">Scheme </w:t>
      </w:r>
      <w:r w:rsidR="00A44668" w:rsidRPr="007B5BE6">
        <w:t xml:space="preserve">(‘NDIS’) </w:t>
      </w:r>
      <w:r w:rsidR="00505A37" w:rsidRPr="007B5BE6">
        <w:t>and the Commonwealth Aged Care System.</w:t>
      </w:r>
      <w:r w:rsidR="00B343FF" w:rsidRPr="007B5BE6">
        <w:t xml:space="preserve"> </w:t>
      </w:r>
      <w:r w:rsidR="00E90019" w:rsidRPr="007B5BE6">
        <w:t xml:space="preserve">Accordingly, </w:t>
      </w:r>
      <w:r w:rsidR="00964D23" w:rsidRPr="007B5BE6">
        <w:t xml:space="preserve">accepting that there are complexities in defining ‘older’ age, </w:t>
      </w:r>
      <w:r w:rsidR="00E90019" w:rsidRPr="007B5BE6">
        <w:t xml:space="preserve">in developing this </w:t>
      </w:r>
      <w:r w:rsidR="00A44668" w:rsidRPr="007B5BE6">
        <w:t>R</w:t>
      </w:r>
      <w:r w:rsidR="00E90019" w:rsidRPr="007B5BE6">
        <w:t xml:space="preserve">esearch </w:t>
      </w:r>
      <w:r w:rsidR="00A44668" w:rsidRPr="007B5BE6">
        <w:t>P</w:t>
      </w:r>
      <w:r w:rsidR="00E90019" w:rsidRPr="007B5BE6">
        <w:t xml:space="preserve">aper, the TLRI has </w:t>
      </w:r>
      <w:r w:rsidR="00964D23" w:rsidRPr="007B5BE6">
        <w:t>adopted t</w:t>
      </w:r>
      <w:r w:rsidR="00AF0EEC" w:rsidRPr="007B5BE6">
        <w:t>he</w:t>
      </w:r>
      <w:r w:rsidR="00E90019" w:rsidRPr="007B5BE6">
        <w:t xml:space="preserve"> definition of older person</w:t>
      </w:r>
      <w:r w:rsidR="00AF0EEC" w:rsidRPr="007B5BE6">
        <w:t xml:space="preserve"> that is generally applied in </w:t>
      </w:r>
      <w:r w:rsidR="00643437" w:rsidRPr="007B5BE6">
        <w:t>Australia</w:t>
      </w:r>
      <w:r w:rsidR="008E6E07" w:rsidRPr="007B5BE6">
        <w:t xml:space="preserve"> and Tasmania</w:t>
      </w:r>
      <w:r w:rsidR="00E90019" w:rsidRPr="007B5BE6">
        <w:t>.</w:t>
      </w:r>
      <w:r w:rsidR="00980FF5" w:rsidRPr="007B5BE6">
        <w:t xml:space="preserve"> This issue is addressed further at </w:t>
      </w:r>
      <w:r w:rsidR="00E322EF" w:rsidRPr="007B5BE6">
        <w:t>[4.5.14]–[4.5.19]</w:t>
      </w:r>
      <w:r w:rsidR="00395E36" w:rsidRPr="007B5BE6">
        <w:t>.</w:t>
      </w:r>
      <w:r w:rsidR="005D5B89" w:rsidRPr="007B5BE6">
        <w:rPr>
          <w:rStyle w:val="FootnoteReference"/>
        </w:rPr>
        <w:footnoteReference w:id="10"/>
      </w:r>
    </w:p>
    <w:p w14:paraId="4ADF8098" w14:textId="3172A3FB" w:rsidR="00DD1979" w:rsidRPr="007B5BE6" w:rsidRDefault="00A006E7" w:rsidP="00DD1979">
      <w:pPr>
        <w:pStyle w:val="NormalNumberedTextTLRI"/>
      </w:pPr>
      <w:r w:rsidRPr="007B5BE6">
        <w:t>A</w:t>
      </w:r>
      <w:r w:rsidR="0026793B" w:rsidRPr="007B5BE6">
        <w:t>nother</w:t>
      </w:r>
      <w:r w:rsidR="00DD1979" w:rsidRPr="007B5BE6">
        <w:t xml:space="preserve"> key concept addressed in the Research Paper is safeguarding. </w:t>
      </w:r>
      <w:r w:rsidR="009F08C0" w:rsidRPr="007B5BE6">
        <w:t>Safeguarding</w:t>
      </w:r>
      <w:r w:rsidR="00DD1979" w:rsidRPr="007B5BE6">
        <w:t xml:space="preserve"> has developed as a focus in the national policy agenda </w:t>
      </w:r>
      <w:r w:rsidR="00191125" w:rsidRPr="007B5BE6">
        <w:t>in response to the</w:t>
      </w:r>
      <w:r w:rsidR="004570F8" w:rsidRPr="007B5BE6">
        <w:t xml:space="preserve"> abuse of older people </w:t>
      </w:r>
      <w:r w:rsidR="00DD1979" w:rsidRPr="007B5BE6">
        <w:t xml:space="preserve">and adult safeguarding legislation has been introduced </w:t>
      </w:r>
      <w:r w:rsidR="009F08C0" w:rsidRPr="007B5BE6">
        <w:t>with</w:t>
      </w:r>
      <w:r w:rsidR="00DD1979" w:rsidRPr="007B5BE6">
        <w:t>in some state or territory laws and legal frameworks. Adult safeguarding has been defined as</w:t>
      </w:r>
      <w:r w:rsidR="00D50054" w:rsidRPr="007B5BE6">
        <w:t xml:space="preserve"> being about</w:t>
      </w:r>
    </w:p>
    <w:p w14:paraId="7B551298" w14:textId="1609AE07" w:rsidR="00DD1979" w:rsidRPr="007B5BE6" w:rsidRDefault="00D50054" w:rsidP="00DD1979">
      <w:pPr>
        <w:pStyle w:val="Indentedquote"/>
        <w:rPr>
          <w:sz w:val="20"/>
          <w:szCs w:val="20"/>
        </w:rPr>
      </w:pPr>
      <w:r w:rsidRPr="007B5BE6">
        <w:rPr>
          <w:sz w:val="20"/>
          <w:szCs w:val="20"/>
        </w:rPr>
        <w:t>[p]</w:t>
      </w:r>
      <w:r w:rsidR="00DD1979" w:rsidRPr="007B5BE6">
        <w:rPr>
          <w:sz w:val="20"/>
          <w:szCs w:val="20"/>
        </w:rPr>
        <w:t>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w:t>
      </w:r>
      <w:r w:rsidR="004E6BA3" w:rsidRPr="007B5BE6">
        <w:rPr>
          <w:rStyle w:val="FootnoteReference"/>
          <w:sz w:val="20"/>
          <w:szCs w:val="20"/>
        </w:rPr>
        <w:footnoteReference w:id="11"/>
      </w:r>
    </w:p>
    <w:p w14:paraId="6E4A161D" w14:textId="77777777" w:rsidR="000360E4" w:rsidRPr="007B5BE6" w:rsidRDefault="00DD1979" w:rsidP="00DD1979">
      <w:pPr>
        <w:pStyle w:val="NormalNumberedTextTLRI"/>
        <w:numPr>
          <w:ilvl w:val="0"/>
          <w:numId w:val="0"/>
        </w:numPr>
      </w:pPr>
      <w:r w:rsidRPr="007B5BE6">
        <w:t>In this way, safeguarding is not the same as protection.</w:t>
      </w:r>
      <w:r w:rsidRPr="007B5BE6">
        <w:rPr>
          <w:rStyle w:val="FootnoteReference"/>
        </w:rPr>
        <w:footnoteReference w:id="12"/>
      </w:r>
      <w:r w:rsidRPr="007B5BE6">
        <w:t xml:space="preserve"> As well as safety, central to safeguarding older people is a recognition of the need to have ‘respect for dignity, autonomy and self-determination’ and ‘empowering older people to exercise their rights as fully as possible for as long as possible’.</w:t>
      </w:r>
      <w:r w:rsidR="008543AE" w:rsidRPr="007B5BE6">
        <w:rPr>
          <w:rStyle w:val="FootnoteReference"/>
        </w:rPr>
        <w:footnoteReference w:id="13"/>
      </w:r>
      <w:r w:rsidRPr="007B5BE6">
        <w:t xml:space="preserve"> The rights of older people, like all people, are derived from inherent dignity of the human person and include</w:t>
      </w:r>
      <w:r w:rsidR="00AF5CBC" w:rsidRPr="007B5BE6">
        <w:t>,</w:t>
      </w:r>
      <w:r w:rsidRPr="007B5BE6">
        <w:t xml:space="preserve"> among many other rights, the right to</w:t>
      </w:r>
      <w:r w:rsidR="000360E4" w:rsidRPr="007B5BE6">
        <w:t>:</w:t>
      </w:r>
    </w:p>
    <w:p w14:paraId="2DD0AD65" w14:textId="0B4451B9" w:rsidR="000360E4" w:rsidRPr="007B5BE6" w:rsidRDefault="00DD1979" w:rsidP="000360E4">
      <w:pPr>
        <w:pStyle w:val="DotPointTLRI"/>
      </w:pPr>
      <w:r w:rsidRPr="007B5BE6">
        <w:t>self-determination</w:t>
      </w:r>
      <w:r w:rsidR="000360E4" w:rsidRPr="007B5BE6">
        <w:t>;</w:t>
      </w:r>
      <w:r w:rsidRPr="007B5BE6">
        <w:t xml:space="preserve"> </w:t>
      </w:r>
    </w:p>
    <w:p w14:paraId="431669D1" w14:textId="6147E6D4" w:rsidR="000360E4" w:rsidRPr="007B5BE6" w:rsidRDefault="000360E4" w:rsidP="000360E4">
      <w:pPr>
        <w:pStyle w:val="DotPointTLRI"/>
      </w:pPr>
      <w:r w:rsidRPr="007B5BE6">
        <w:t>l</w:t>
      </w:r>
      <w:r w:rsidR="00DD1979" w:rsidRPr="007B5BE6">
        <w:t>ife</w:t>
      </w:r>
      <w:r w:rsidRPr="007B5BE6">
        <w:t>;</w:t>
      </w:r>
      <w:r w:rsidR="00DD1979" w:rsidRPr="007B5BE6">
        <w:t xml:space="preserve"> </w:t>
      </w:r>
    </w:p>
    <w:p w14:paraId="446B4F0B" w14:textId="1E6F4DE7" w:rsidR="000360E4" w:rsidRPr="007B5BE6" w:rsidRDefault="00DD1979" w:rsidP="000360E4">
      <w:pPr>
        <w:pStyle w:val="DotPointTLRI"/>
      </w:pPr>
      <w:r w:rsidRPr="007B5BE6">
        <w:t>not be subjected to torture or to cruel, inhuman or degrading treatment or punishment</w:t>
      </w:r>
      <w:r w:rsidR="000360E4" w:rsidRPr="007B5BE6">
        <w:t>;</w:t>
      </w:r>
      <w:r w:rsidRPr="007B5BE6">
        <w:t xml:space="preserve"> </w:t>
      </w:r>
    </w:p>
    <w:p w14:paraId="66765980" w14:textId="77777777" w:rsidR="000360E4" w:rsidRPr="007B5BE6" w:rsidRDefault="00DD1979" w:rsidP="000360E4">
      <w:pPr>
        <w:pStyle w:val="DotPointTLRI"/>
      </w:pPr>
      <w:r w:rsidRPr="007B5BE6">
        <w:lastRenderedPageBreak/>
        <w:t>liberty and security of person</w:t>
      </w:r>
      <w:r w:rsidR="000360E4" w:rsidRPr="007B5BE6">
        <w:t>;</w:t>
      </w:r>
      <w:r w:rsidRPr="007B5BE6">
        <w:t xml:space="preserve"> and </w:t>
      </w:r>
    </w:p>
    <w:p w14:paraId="376C254B" w14:textId="2F0C4633" w:rsidR="00DD1979" w:rsidRPr="007B5BE6" w:rsidRDefault="00DD1979" w:rsidP="00C36293">
      <w:pPr>
        <w:pStyle w:val="DotPointTLRI"/>
      </w:pPr>
      <w:r w:rsidRPr="007B5BE6">
        <w:t>be treated with humanity and with respect for the inherent dignity of the human person.</w:t>
      </w:r>
      <w:r w:rsidR="007A1419" w:rsidRPr="007B5BE6">
        <w:rPr>
          <w:rStyle w:val="FootnoteReference"/>
        </w:rPr>
        <w:footnoteReference w:id="14"/>
      </w:r>
    </w:p>
    <w:p w14:paraId="3D5FE944" w14:textId="758E4272" w:rsidR="004833A3" w:rsidRPr="007B5BE6" w:rsidRDefault="00C83522" w:rsidP="00233B15">
      <w:pPr>
        <w:pStyle w:val="NormalNumberedTextTLRI"/>
      </w:pPr>
      <w:r w:rsidRPr="007B5BE6">
        <w:t>People are generally living longer than they ever have</w:t>
      </w:r>
      <w:r w:rsidR="006265E7" w:rsidRPr="007B5BE6">
        <w:t>. A</w:t>
      </w:r>
      <w:r w:rsidRPr="007B5BE6">
        <w:t>n ag</w:t>
      </w:r>
      <w:r w:rsidR="00337DA8" w:rsidRPr="007B5BE6">
        <w:t>e</w:t>
      </w:r>
      <w:r w:rsidRPr="007B5BE6">
        <w:t>ing population and ageism have been identified as risk factors for the abuse of older people.</w:t>
      </w:r>
      <w:r w:rsidR="00623CCD" w:rsidRPr="007B5BE6">
        <w:t xml:space="preserve"> Disability and cognitive impairment are more common among older people and are associated with an increased likelihood of being susceptible to abuse.</w:t>
      </w:r>
      <w:r w:rsidR="003947FB" w:rsidRPr="007B5BE6">
        <w:rPr>
          <w:rStyle w:val="FootnoteReference"/>
        </w:rPr>
        <w:footnoteReference w:id="15"/>
      </w:r>
      <w:r w:rsidRPr="007B5BE6">
        <w:t xml:space="preserve"> </w:t>
      </w:r>
      <w:r w:rsidR="0049738D" w:rsidRPr="007B5BE6">
        <w:t>In Australia, w</w:t>
      </w:r>
      <w:r w:rsidR="00C04260" w:rsidRPr="007B5BE6">
        <w:t>e are seeing the largest intergenerational transfer of wealth in history, which is coupled with growing economic pressures.</w:t>
      </w:r>
      <w:r w:rsidR="00C04260" w:rsidRPr="007B5BE6">
        <w:rPr>
          <w:rStyle w:val="FootnoteReference"/>
        </w:rPr>
        <w:footnoteReference w:id="16"/>
      </w:r>
      <w:r w:rsidR="00C04260" w:rsidRPr="007B5BE6">
        <w:t xml:space="preserve"> Multiple sources of data indicate that </w:t>
      </w:r>
      <w:r w:rsidR="006A2F06" w:rsidRPr="007B5BE6">
        <w:t xml:space="preserve">family and </w:t>
      </w:r>
      <w:r w:rsidR="00C04260" w:rsidRPr="007B5BE6">
        <w:t>domestic violence continues to be prevalent in the community, particularly experienced by women and children, the dynamics of which can perpetuate within family relationships into older age.</w:t>
      </w:r>
      <w:r w:rsidR="00C04260" w:rsidRPr="007B5BE6">
        <w:rPr>
          <w:rStyle w:val="FootnoteReference"/>
        </w:rPr>
        <w:footnoteReference w:id="17"/>
      </w:r>
      <w:r w:rsidR="00C04260" w:rsidRPr="007B5BE6">
        <w:t xml:space="preserve"> Services and institutions charged with the care of older people, including older people with disability, can instead be settings where the risk and prevalence of abuse is increased.</w:t>
      </w:r>
      <w:r w:rsidR="00C04260" w:rsidRPr="007B5BE6">
        <w:rPr>
          <w:rStyle w:val="FootnoteReference"/>
        </w:rPr>
        <w:footnoteReference w:id="18"/>
      </w:r>
      <w:r w:rsidR="00241EDF" w:rsidRPr="007B5BE6">
        <w:t xml:space="preserve"> </w:t>
      </w:r>
      <w:r w:rsidR="00C04260" w:rsidRPr="007B5BE6">
        <w:t xml:space="preserve"> </w:t>
      </w:r>
      <w:r w:rsidR="0049103B" w:rsidRPr="007B5BE6">
        <w:t>T</w:t>
      </w:r>
      <w:r w:rsidR="00C36FBB" w:rsidRPr="007B5BE6">
        <w:t xml:space="preserve">hese </w:t>
      </w:r>
      <w:r w:rsidR="006D0F03" w:rsidRPr="007B5BE6">
        <w:t>developments</w:t>
      </w:r>
      <w:r w:rsidR="00C36FBB" w:rsidRPr="007B5BE6">
        <w:t xml:space="preserve"> are giving rise to new or evolving issues for society </w:t>
      </w:r>
      <w:r w:rsidR="00891680" w:rsidRPr="007B5BE6">
        <w:t>(</w:t>
      </w:r>
      <w:r w:rsidR="00C36FBB" w:rsidRPr="007B5BE6">
        <w:t>and the law</w:t>
      </w:r>
      <w:r w:rsidR="00891680" w:rsidRPr="007B5BE6">
        <w:t>)</w:t>
      </w:r>
      <w:r w:rsidR="00C36FBB" w:rsidRPr="007B5BE6">
        <w:t xml:space="preserve"> to conten</w:t>
      </w:r>
      <w:r w:rsidR="0049103B" w:rsidRPr="007B5BE6">
        <w:t>d</w:t>
      </w:r>
      <w:r w:rsidR="00C36FBB" w:rsidRPr="007B5BE6">
        <w:t xml:space="preserve"> with</w:t>
      </w:r>
      <w:r w:rsidR="0049103B" w:rsidRPr="007B5BE6">
        <w:t xml:space="preserve">. However, </w:t>
      </w:r>
      <w:r w:rsidR="00C36FBB" w:rsidRPr="007B5BE6">
        <w:t>ageing should not be seen as a ‘problem’</w:t>
      </w:r>
      <w:r w:rsidR="0062781E" w:rsidRPr="007B5BE6">
        <w:t>.</w:t>
      </w:r>
      <w:r w:rsidR="00C36FBB" w:rsidRPr="007B5BE6">
        <w:t xml:space="preserve"> </w:t>
      </w:r>
      <w:r w:rsidR="0062781E" w:rsidRPr="007B5BE6">
        <w:t>R</w:t>
      </w:r>
      <w:r w:rsidR="00C36FBB" w:rsidRPr="007B5BE6">
        <w:t>ather, the diversity of experiences, contributions and capabilities of older Tasmanians are something to be celebrated</w:t>
      </w:r>
      <w:r w:rsidR="00891680" w:rsidRPr="007B5BE6">
        <w:t>,</w:t>
      </w:r>
      <w:r w:rsidR="00AF5ADD" w:rsidRPr="007B5BE6">
        <w:rPr>
          <w:rStyle w:val="FootnoteReference"/>
        </w:rPr>
        <w:footnoteReference w:id="19"/>
      </w:r>
      <w:r w:rsidR="00C36FBB" w:rsidRPr="007B5BE6">
        <w:t xml:space="preserve"> </w:t>
      </w:r>
      <w:r w:rsidR="00891680" w:rsidRPr="007B5BE6">
        <w:t>and make</w:t>
      </w:r>
      <w:r w:rsidR="008F3F01" w:rsidRPr="007B5BE6">
        <w:t xml:space="preserve"> it </w:t>
      </w:r>
      <w:proofErr w:type="gramStart"/>
      <w:r w:rsidR="008F3F01" w:rsidRPr="007B5BE6">
        <w:t>all the more</w:t>
      </w:r>
      <w:proofErr w:type="gramEnd"/>
      <w:r w:rsidR="008F3F01" w:rsidRPr="007B5BE6">
        <w:t xml:space="preserve"> important that </w:t>
      </w:r>
      <w:r w:rsidR="00891680" w:rsidRPr="007B5BE6">
        <w:t xml:space="preserve">the </w:t>
      </w:r>
      <w:r w:rsidR="008F3F01" w:rsidRPr="007B5BE6">
        <w:t>law</w:t>
      </w:r>
      <w:r w:rsidR="00891680" w:rsidRPr="007B5BE6">
        <w:t xml:space="preserve"> be reviewed</w:t>
      </w:r>
      <w:r w:rsidR="0062781E" w:rsidRPr="007B5BE6">
        <w:t>,</w:t>
      </w:r>
      <w:r w:rsidR="00891680" w:rsidRPr="007B5BE6">
        <w:t xml:space="preserve"> </w:t>
      </w:r>
      <w:proofErr w:type="gramStart"/>
      <w:r w:rsidR="009E2ACF" w:rsidRPr="007B5BE6">
        <w:t>in light of</w:t>
      </w:r>
      <w:proofErr w:type="gramEnd"/>
      <w:r w:rsidR="009E2ACF" w:rsidRPr="007B5BE6">
        <w:t xml:space="preserve"> </w:t>
      </w:r>
      <w:r w:rsidR="0062781E" w:rsidRPr="007B5BE6">
        <w:t xml:space="preserve">these </w:t>
      </w:r>
      <w:r w:rsidR="00396560" w:rsidRPr="007B5BE6">
        <w:t>societal developments</w:t>
      </w:r>
      <w:r w:rsidR="0062781E" w:rsidRPr="007B5BE6">
        <w:t>,</w:t>
      </w:r>
      <w:r w:rsidR="00396560" w:rsidRPr="007B5BE6">
        <w:t xml:space="preserve"> to consider whether </w:t>
      </w:r>
      <w:r w:rsidR="008F3F01" w:rsidRPr="007B5BE6">
        <w:t>adapt</w:t>
      </w:r>
      <w:r w:rsidR="00396560" w:rsidRPr="007B5BE6">
        <w:t>ations are needed</w:t>
      </w:r>
      <w:r w:rsidR="008F3F01" w:rsidRPr="007B5BE6">
        <w:t xml:space="preserve"> to address any new and evolving issues in this area.</w:t>
      </w:r>
    </w:p>
    <w:p w14:paraId="2D741AC8" w14:textId="62C65AAE" w:rsidR="001A52CC" w:rsidRPr="007B5BE6" w:rsidRDefault="008E5003">
      <w:pPr>
        <w:pStyle w:val="NormalNumberedTextTLRI"/>
      </w:pPr>
      <w:r w:rsidRPr="007B5BE6">
        <w:lastRenderedPageBreak/>
        <w:t>Tasmania’s population ‘presents significant risk factors for the abuse of older Tasmanians, including the highest per capita ageing population in Australia’,</w:t>
      </w:r>
      <w:r w:rsidR="00B06E9F" w:rsidRPr="007B5BE6">
        <w:rPr>
          <w:rStyle w:val="FootnoteReference"/>
        </w:rPr>
        <w:footnoteReference w:id="20"/>
      </w:r>
      <w:r w:rsidRPr="007B5BE6">
        <w:t xml:space="preserve"> the highest median age rate</w:t>
      </w:r>
      <w:r w:rsidRPr="007B5BE6">
        <w:rPr>
          <w:rStyle w:val="FootnoteReference"/>
        </w:rPr>
        <w:footnoteReference w:id="21"/>
      </w:r>
      <w:r w:rsidRPr="007B5BE6">
        <w:t xml:space="preserve"> and the highest prevalence of disability compared with other Australian states and territories.</w:t>
      </w:r>
      <w:r w:rsidRPr="007B5BE6">
        <w:rPr>
          <w:rStyle w:val="FootnoteReference"/>
        </w:rPr>
        <w:footnoteReference w:id="22"/>
      </w:r>
      <w:r w:rsidRPr="007B5BE6">
        <w:t xml:space="preserve"> </w:t>
      </w:r>
      <w:r w:rsidR="006A2D68" w:rsidRPr="007B5BE6">
        <w:t xml:space="preserve">However, </w:t>
      </w:r>
      <w:r w:rsidR="008216BE" w:rsidRPr="007B5BE6">
        <w:t xml:space="preserve">Tasmania has not had a comprehensive review of the </w:t>
      </w:r>
      <w:r w:rsidR="006A2D68" w:rsidRPr="007B5BE6">
        <w:t xml:space="preserve">current legal frameworks with a view to understanding </w:t>
      </w:r>
      <w:r w:rsidR="00262E0F" w:rsidRPr="007B5BE6">
        <w:t>potential</w:t>
      </w:r>
      <w:r w:rsidR="00D436C0" w:rsidRPr="007B5BE6">
        <w:t xml:space="preserve"> </w:t>
      </w:r>
      <w:r w:rsidR="006A2D68" w:rsidRPr="007B5BE6">
        <w:t>gaps in legal safeguards focused specifically on older Tasmanians</w:t>
      </w:r>
      <w:r w:rsidR="00283052" w:rsidRPr="007B5BE6">
        <w:t>,</w:t>
      </w:r>
      <w:r w:rsidR="006A2D68" w:rsidRPr="007B5BE6">
        <w:t xml:space="preserve"> and whether reforms in this area are needed or appropriate to the Tasmanian context.</w:t>
      </w:r>
      <w:r w:rsidR="00233B15" w:rsidRPr="007B5BE6">
        <w:t xml:space="preserve"> </w:t>
      </w:r>
      <w:r w:rsidR="00B91164" w:rsidRPr="007B5BE6">
        <w:t>In</w:t>
      </w:r>
      <w:r w:rsidR="006041E5" w:rsidRPr="007B5BE6">
        <w:t xml:space="preserve"> Tasmania</w:t>
      </w:r>
      <w:r w:rsidR="00714A16" w:rsidRPr="007B5BE6">
        <w:t>, there are</w:t>
      </w:r>
      <w:r w:rsidR="00C8466E" w:rsidRPr="007B5BE6">
        <w:t xml:space="preserve"> </w:t>
      </w:r>
      <w:r w:rsidR="006041E5" w:rsidRPr="007B5BE6">
        <w:t>a range of laws that may apply in circumstances where an older Tasmania</w:t>
      </w:r>
      <w:r w:rsidR="005A50D5" w:rsidRPr="007B5BE6">
        <w:t>n</w:t>
      </w:r>
      <w:r w:rsidR="006041E5" w:rsidRPr="007B5BE6">
        <w:t xml:space="preserve"> is</w:t>
      </w:r>
      <w:r w:rsidR="00222A22" w:rsidRPr="007B5BE6">
        <w:t>,</w:t>
      </w:r>
      <w:r w:rsidR="006041E5" w:rsidRPr="007B5BE6">
        <w:t xml:space="preserve"> or may be</w:t>
      </w:r>
      <w:r w:rsidR="00C12CC0" w:rsidRPr="007B5BE6">
        <w:t>,</w:t>
      </w:r>
      <w:r w:rsidR="006041E5" w:rsidRPr="007B5BE6">
        <w:t xml:space="preserve"> subject to physical, sexual, emotional</w:t>
      </w:r>
      <w:r w:rsidR="00222A22" w:rsidRPr="007B5BE6">
        <w:t xml:space="preserve"> or</w:t>
      </w:r>
      <w:r w:rsidR="006041E5" w:rsidRPr="007B5BE6">
        <w:t xml:space="preserve"> financial abuse</w:t>
      </w:r>
      <w:r w:rsidR="00222A22" w:rsidRPr="007B5BE6">
        <w:t>,</w:t>
      </w:r>
      <w:r w:rsidR="006041E5" w:rsidRPr="007B5BE6">
        <w:t xml:space="preserve"> or neglect. These include criminal and civil law</w:t>
      </w:r>
      <w:r w:rsidR="00C11A3F" w:rsidRPr="007B5BE6">
        <w:t>s</w:t>
      </w:r>
      <w:r w:rsidR="006041E5" w:rsidRPr="007B5BE6">
        <w:t>, as well as laws in the coronial jurisdiction. They include legal responses under common law or equity, and those set out in legislation. Legislative responses affecting the rights and interests of older Tasmanians include frameworks that govern legal decision</w:t>
      </w:r>
      <w:r w:rsidR="00877588" w:rsidRPr="007B5BE6">
        <w:t xml:space="preserve"> </w:t>
      </w:r>
      <w:r w:rsidR="006041E5" w:rsidRPr="007B5BE6">
        <w:t>making</w:t>
      </w:r>
      <w:r w:rsidR="000D74D2" w:rsidRPr="007B5BE6">
        <w:t xml:space="preserve"> </w:t>
      </w:r>
      <w:r w:rsidR="00455A62" w:rsidRPr="007B5BE6">
        <w:t xml:space="preserve">for people who have impaired </w:t>
      </w:r>
      <w:r w:rsidR="00E55812" w:rsidRPr="007B5BE6">
        <w:t>decision-making ability</w:t>
      </w:r>
      <w:r w:rsidR="00455A62" w:rsidRPr="007B5BE6">
        <w:t xml:space="preserve">. </w:t>
      </w:r>
      <w:r w:rsidR="000D74D2" w:rsidRPr="007B5BE6">
        <w:t>Th</w:t>
      </w:r>
      <w:r w:rsidR="00D50173" w:rsidRPr="007B5BE6">
        <w:t>ese frameworks</w:t>
      </w:r>
      <w:r w:rsidR="000D74D2" w:rsidRPr="007B5BE6">
        <w:t xml:space="preserve"> include </w:t>
      </w:r>
      <w:r w:rsidR="005B3F7B" w:rsidRPr="007B5BE6">
        <w:t>laws governing</w:t>
      </w:r>
      <w:r w:rsidR="00057157" w:rsidRPr="007B5BE6">
        <w:t xml:space="preserve"> decision</w:t>
      </w:r>
      <w:r w:rsidR="00877588" w:rsidRPr="007B5BE6">
        <w:t xml:space="preserve"> </w:t>
      </w:r>
      <w:r w:rsidR="00057157" w:rsidRPr="007B5BE6">
        <w:t>making</w:t>
      </w:r>
      <w:r w:rsidR="001825F6" w:rsidRPr="007B5BE6">
        <w:t xml:space="preserve"> </w:t>
      </w:r>
      <w:r w:rsidR="005B3F7B" w:rsidRPr="007B5BE6">
        <w:t xml:space="preserve">in areas </w:t>
      </w:r>
      <w:r w:rsidR="006041E5" w:rsidRPr="007B5BE6">
        <w:t>such as powers of attorney</w:t>
      </w:r>
      <w:r w:rsidR="00780A87" w:rsidRPr="007B5BE6">
        <w:t>,</w:t>
      </w:r>
      <w:r w:rsidR="006041E5" w:rsidRPr="007B5BE6">
        <w:t xml:space="preserve"> and guardianship</w:t>
      </w:r>
      <w:r w:rsidR="00660BBA" w:rsidRPr="007B5BE6">
        <w:t xml:space="preserve"> and administration</w:t>
      </w:r>
      <w:r w:rsidR="00D50173" w:rsidRPr="007B5BE6">
        <w:t>,</w:t>
      </w:r>
      <w:r w:rsidR="00455A62" w:rsidRPr="007B5BE6">
        <w:t xml:space="preserve"> and current </w:t>
      </w:r>
      <w:r w:rsidR="006041E5" w:rsidRPr="007B5BE6">
        <w:t xml:space="preserve">mechanisms to safeguard against abuse in the operation of these laws. </w:t>
      </w:r>
      <w:r w:rsidR="00AE196E" w:rsidRPr="007B5BE6">
        <w:t xml:space="preserve">However, these broad areas of law have developed separately and incrementally in different areas in recognition of requirements to address the protection needs or rights of groups of people, </w:t>
      </w:r>
      <w:r w:rsidR="00061E7C" w:rsidRPr="007B5BE6">
        <w:t>which</w:t>
      </w:r>
      <w:r w:rsidR="00AE196E" w:rsidRPr="007B5BE6">
        <w:t xml:space="preserve"> </w:t>
      </w:r>
      <w:r w:rsidR="00AE196E" w:rsidRPr="007B5BE6">
        <w:rPr>
          <w:i/>
          <w:iCs/>
        </w:rPr>
        <w:t>may</w:t>
      </w:r>
      <w:r w:rsidR="00AE196E" w:rsidRPr="007B5BE6">
        <w:t xml:space="preserve"> include some older Tasmanians. </w:t>
      </w:r>
      <w:proofErr w:type="gramStart"/>
      <w:r w:rsidR="00AE196E" w:rsidRPr="007B5BE6">
        <w:t>As a general rule</w:t>
      </w:r>
      <w:proofErr w:type="gramEnd"/>
      <w:r w:rsidR="00AE196E" w:rsidRPr="007B5BE6">
        <w:t xml:space="preserve">, the laws currently in place (and </w:t>
      </w:r>
      <w:r w:rsidR="00602ADB" w:rsidRPr="007B5BE6">
        <w:t xml:space="preserve">any </w:t>
      </w:r>
      <w:r w:rsidR="00AE196E" w:rsidRPr="007B5BE6">
        <w:t xml:space="preserve">recent or proposed reforms to these laws) have not been specifically developed with the abuse of </w:t>
      </w:r>
      <w:r w:rsidR="00283052" w:rsidRPr="007B5BE6">
        <w:t xml:space="preserve">an </w:t>
      </w:r>
      <w:r w:rsidR="00AE196E" w:rsidRPr="007B5BE6">
        <w:t xml:space="preserve">older person in mind. </w:t>
      </w:r>
      <w:r w:rsidR="006041E5" w:rsidRPr="007B5BE6">
        <w:t xml:space="preserve">There are also several independent Commissioner roles for receiving and making complaints, which may have relevance for </w:t>
      </w:r>
      <w:r w:rsidR="006041E5" w:rsidRPr="007B5BE6">
        <w:rPr>
          <w:i/>
          <w:iCs/>
        </w:rPr>
        <w:t>some</w:t>
      </w:r>
      <w:r w:rsidR="006041E5" w:rsidRPr="007B5BE6">
        <w:t xml:space="preserve"> type</w:t>
      </w:r>
      <w:r w:rsidR="00602ADB" w:rsidRPr="007B5BE6">
        <w:t>s</w:t>
      </w:r>
      <w:r w:rsidR="006041E5" w:rsidRPr="007B5BE6">
        <w:t xml:space="preserve"> of abuse experienced by older</w:t>
      </w:r>
      <w:r w:rsidR="001E390C" w:rsidRPr="007B5BE6">
        <w:t xml:space="preserve"> Tasmanians</w:t>
      </w:r>
      <w:r w:rsidR="007A773C" w:rsidRPr="007B5BE6">
        <w:t>, but do not provide a comprehensive framework</w:t>
      </w:r>
      <w:r w:rsidR="00981732" w:rsidRPr="007B5BE6">
        <w:t xml:space="preserve"> covering all forms of abuse</w:t>
      </w:r>
      <w:r w:rsidR="006041E5" w:rsidRPr="007B5BE6">
        <w:t>.</w:t>
      </w:r>
    </w:p>
    <w:p w14:paraId="1540F570" w14:textId="56C5B704" w:rsidR="006041E5" w:rsidRPr="007B5BE6" w:rsidRDefault="006806C0" w:rsidP="00744D17">
      <w:pPr>
        <w:pStyle w:val="NumberedHeadingTLRI"/>
      </w:pPr>
      <w:bookmarkStart w:id="16" w:name="_Toc197609380"/>
      <w:bookmarkStart w:id="17" w:name="_Toc212561713"/>
      <w:bookmarkEnd w:id="15"/>
      <w:r w:rsidRPr="007B5BE6">
        <w:t>The s</w:t>
      </w:r>
      <w:r w:rsidR="006041E5" w:rsidRPr="007B5BE6">
        <w:t xml:space="preserve">cope </w:t>
      </w:r>
      <w:r w:rsidR="00297A5A" w:rsidRPr="007B5BE6">
        <w:t xml:space="preserve">of this Research Paper </w:t>
      </w:r>
      <w:r w:rsidRPr="007B5BE6">
        <w:t xml:space="preserve">and the </w:t>
      </w:r>
      <w:r w:rsidR="00E949B9" w:rsidRPr="007B5BE6">
        <w:t xml:space="preserve">TLRI’s </w:t>
      </w:r>
      <w:r w:rsidRPr="007B5BE6">
        <w:t>approach</w:t>
      </w:r>
      <w:bookmarkEnd w:id="16"/>
      <w:bookmarkEnd w:id="17"/>
    </w:p>
    <w:p w14:paraId="17E30955" w14:textId="36270E71" w:rsidR="006041E5" w:rsidRPr="007B5BE6" w:rsidRDefault="0039783D" w:rsidP="006041E5">
      <w:pPr>
        <w:pStyle w:val="NormalNumberedTextTLRI"/>
      </w:pPr>
      <w:r w:rsidRPr="007B5BE6">
        <w:t>The</w:t>
      </w:r>
      <w:r w:rsidR="007E3585" w:rsidRPr="007B5BE6">
        <w:t xml:space="preserve"> </w:t>
      </w:r>
      <w:r w:rsidR="00601F6F" w:rsidRPr="007B5BE6">
        <w:t xml:space="preserve">McBurnie Fellowship </w:t>
      </w:r>
      <w:r w:rsidR="000F3560" w:rsidRPr="007B5BE6">
        <w:t>is ‘</w:t>
      </w:r>
      <w:r w:rsidR="00421D47" w:rsidRPr="007B5BE6">
        <w:t>aimed</w:t>
      </w:r>
      <w:r w:rsidR="007E3585" w:rsidRPr="007B5BE6">
        <w:t xml:space="preserve"> </w:t>
      </w:r>
      <w:r w:rsidR="000F3560" w:rsidRPr="007B5BE6">
        <w:t>at</w:t>
      </w:r>
      <w:r w:rsidR="00961F76" w:rsidRPr="007B5BE6">
        <w:t xml:space="preserve"> generat</w:t>
      </w:r>
      <w:r w:rsidR="000F3560" w:rsidRPr="007B5BE6">
        <w:t xml:space="preserve">ing </w:t>
      </w:r>
      <w:r w:rsidR="00961F76" w:rsidRPr="007B5BE6">
        <w:t>res</w:t>
      </w:r>
      <w:r w:rsidR="003A124A" w:rsidRPr="007B5BE6">
        <w:t>earch</w:t>
      </w:r>
      <w:r w:rsidR="00961F76" w:rsidRPr="007B5BE6">
        <w:t xml:space="preserve"> </w:t>
      </w:r>
      <w:r w:rsidR="00EF1321" w:rsidRPr="007B5BE6">
        <w:t xml:space="preserve">that promotes the legal rights and interests of older Tasmanians … [which] may include improving the ways in which older Tasmanians are considered, included and provided for in the state’s system of law, government and justice; and recommending ways in which elder abuse in Tasmania can be better detected, responded to and ultimately reduced’. </w:t>
      </w:r>
      <w:r w:rsidR="00D270C6" w:rsidRPr="007B5BE6">
        <w:t xml:space="preserve">At a preliminary stage of the study, the TLRI liaised with stakeholders to </w:t>
      </w:r>
      <w:r w:rsidR="006424A9" w:rsidRPr="007B5BE6">
        <w:t>determine</w:t>
      </w:r>
      <w:r w:rsidR="00ED54BE" w:rsidRPr="007B5BE6">
        <w:t xml:space="preserve"> </w:t>
      </w:r>
      <w:r w:rsidR="00D270C6" w:rsidRPr="007B5BE6">
        <w:t>the scope of research within th</w:t>
      </w:r>
      <w:r w:rsidR="002F7008" w:rsidRPr="007B5BE6">
        <w:t>is</w:t>
      </w:r>
      <w:r w:rsidR="00D270C6" w:rsidRPr="007B5BE6">
        <w:t xml:space="preserve"> broad aim</w:t>
      </w:r>
      <w:r w:rsidR="005A637F" w:rsidRPr="007B5BE6">
        <w:t>.</w:t>
      </w:r>
      <w:r w:rsidR="00324BE6" w:rsidRPr="007B5BE6">
        <w:rPr>
          <w:rStyle w:val="FootnoteReference"/>
        </w:rPr>
        <w:footnoteReference w:id="23"/>
      </w:r>
      <w:r w:rsidR="00D270C6" w:rsidRPr="007B5BE6">
        <w:t xml:space="preserve"> </w:t>
      </w:r>
      <w:r w:rsidR="005A637F" w:rsidRPr="007B5BE6">
        <w:t xml:space="preserve">This informed the </w:t>
      </w:r>
      <w:r w:rsidR="004A1EDC" w:rsidRPr="007B5BE6">
        <w:t>refinement</w:t>
      </w:r>
      <w:r w:rsidR="005A637F" w:rsidRPr="007B5BE6">
        <w:t xml:space="preserve"> of </w:t>
      </w:r>
      <w:r w:rsidR="000C689C" w:rsidRPr="007B5BE6">
        <w:t>the</w:t>
      </w:r>
      <w:r w:rsidR="006041E5" w:rsidRPr="007B5BE6">
        <w:t xml:space="preserve"> overall purpose of </w:t>
      </w:r>
      <w:r w:rsidR="006041E5" w:rsidRPr="007B5BE6">
        <w:lastRenderedPageBreak/>
        <w:t>th</w:t>
      </w:r>
      <w:r w:rsidR="00A158F3" w:rsidRPr="007B5BE6">
        <w:t>is</w:t>
      </w:r>
      <w:r w:rsidR="006041E5" w:rsidRPr="007B5BE6">
        <w:t xml:space="preserve"> </w:t>
      </w:r>
      <w:r w:rsidR="00A158F3" w:rsidRPr="007B5BE6">
        <w:t>Research Paper</w:t>
      </w:r>
      <w:r w:rsidR="00436810" w:rsidRPr="007B5BE6">
        <w:t>, as indicated</w:t>
      </w:r>
      <w:r w:rsidR="005F7070" w:rsidRPr="007B5BE6">
        <w:t>,</w:t>
      </w:r>
      <w:r w:rsidR="00A158F3" w:rsidRPr="007B5BE6">
        <w:t xml:space="preserve"> </w:t>
      </w:r>
      <w:r w:rsidR="006041E5" w:rsidRPr="007B5BE6">
        <w:t>to evaluate the current legal landscape for addressing the abuse of older Tasmanian</w:t>
      </w:r>
      <w:r w:rsidR="00AC614C" w:rsidRPr="007B5BE6">
        <w:t>s</w:t>
      </w:r>
      <w:r w:rsidR="006041E5" w:rsidRPr="007B5BE6">
        <w:t>’ legal rights and interests. Within this, the study had</w:t>
      </w:r>
      <w:r w:rsidR="00202C2C" w:rsidRPr="007B5BE6">
        <w:t xml:space="preserve"> the following</w:t>
      </w:r>
      <w:r w:rsidR="006041E5" w:rsidRPr="007B5BE6">
        <w:t xml:space="preserve"> four aims</w:t>
      </w:r>
      <w:r w:rsidR="00202C2C" w:rsidRPr="007B5BE6">
        <w:t>:</w:t>
      </w:r>
    </w:p>
    <w:p w14:paraId="7BE9B1E8" w14:textId="77777777" w:rsidR="006041E5" w:rsidRPr="007B5BE6" w:rsidRDefault="006041E5" w:rsidP="00F96F7E">
      <w:pPr>
        <w:pStyle w:val="ListParagraph"/>
        <w:numPr>
          <w:ilvl w:val="0"/>
          <w:numId w:val="4"/>
        </w:numPr>
      </w:pPr>
      <w:r w:rsidRPr="007B5BE6">
        <w:t>Map the current legal landscape for addressing the abuse of older Tasmanians and explore how identified gaps limit the ability to safeguard against different forms of abuse.</w:t>
      </w:r>
    </w:p>
    <w:p w14:paraId="54D9867B" w14:textId="77777777" w:rsidR="00B26B6A" w:rsidRPr="007B5BE6" w:rsidRDefault="00B26B6A" w:rsidP="00B26B6A">
      <w:pPr>
        <w:pStyle w:val="ListParagraph"/>
        <w:ind w:left="1080"/>
      </w:pPr>
    </w:p>
    <w:p w14:paraId="58BE8AB0" w14:textId="2DFED502" w:rsidR="00B26B6A" w:rsidRPr="007B5BE6" w:rsidRDefault="006041E5" w:rsidP="00B26B6A">
      <w:pPr>
        <w:pStyle w:val="ListParagraph"/>
        <w:numPr>
          <w:ilvl w:val="0"/>
          <w:numId w:val="4"/>
        </w:numPr>
      </w:pPr>
      <w:r w:rsidRPr="007B5BE6">
        <w:t xml:space="preserve">Conduct a </w:t>
      </w:r>
      <w:r w:rsidR="009D1781" w:rsidRPr="007B5BE6">
        <w:t>comparison</w:t>
      </w:r>
      <w:r w:rsidRPr="007B5BE6">
        <w:t xml:space="preserve"> of Tasmania with other Australian jurisdictions to identify key drivers that have underpinned reforms to the legal landscape in these jurisdictions.</w:t>
      </w:r>
    </w:p>
    <w:p w14:paraId="04F9606F" w14:textId="77777777" w:rsidR="00B26B6A" w:rsidRPr="007B5BE6" w:rsidRDefault="00B26B6A" w:rsidP="00B26B6A">
      <w:pPr>
        <w:pStyle w:val="ListParagraph"/>
      </w:pPr>
    </w:p>
    <w:p w14:paraId="7076195A" w14:textId="37BC942C" w:rsidR="006041E5" w:rsidRPr="007B5BE6" w:rsidRDefault="006041E5" w:rsidP="00F96F7E">
      <w:pPr>
        <w:pStyle w:val="ListParagraph"/>
        <w:numPr>
          <w:ilvl w:val="0"/>
          <w:numId w:val="4"/>
        </w:numPr>
      </w:pPr>
      <w:r w:rsidRPr="007B5BE6">
        <w:t xml:space="preserve">Consider implications regarding the applicability of these drivers in the Tasmanian context </w:t>
      </w:r>
      <w:r w:rsidR="00516F4B" w:rsidRPr="007B5BE6">
        <w:t xml:space="preserve">and </w:t>
      </w:r>
      <w:r w:rsidRPr="007B5BE6">
        <w:t>reforms that may have the potential to fill the identified gaps in the legal landscape</w:t>
      </w:r>
      <w:r w:rsidR="00F040B6" w:rsidRPr="007B5BE6">
        <w:t>,</w:t>
      </w:r>
      <w:r w:rsidRPr="007B5BE6">
        <w:t xml:space="preserve"> and </w:t>
      </w:r>
      <w:r w:rsidR="00015338" w:rsidRPr="007B5BE6">
        <w:t xml:space="preserve">to </w:t>
      </w:r>
      <w:r w:rsidRPr="007B5BE6">
        <w:t>remove barriers that limit safeguarding against abuse of older Tasmanians.</w:t>
      </w:r>
    </w:p>
    <w:p w14:paraId="26404ED9" w14:textId="77777777" w:rsidR="00B26B6A" w:rsidRPr="007B5BE6" w:rsidRDefault="00B26B6A" w:rsidP="00B26B6A">
      <w:pPr>
        <w:pStyle w:val="ListParagraph"/>
      </w:pPr>
    </w:p>
    <w:p w14:paraId="7DB7750C" w14:textId="3D3CA6FB" w:rsidR="006041E5" w:rsidRPr="007B5BE6" w:rsidRDefault="006041E5" w:rsidP="00F96F7E">
      <w:pPr>
        <w:pStyle w:val="ListParagraph"/>
        <w:numPr>
          <w:ilvl w:val="0"/>
          <w:numId w:val="4"/>
        </w:numPr>
      </w:pPr>
      <w:r w:rsidRPr="007B5BE6">
        <w:t>Identify additional requirements in Tasmania to support implementation of any such reforms aimed at developing effective responses to risk factors for the occurrence of abuse and</w:t>
      </w:r>
      <w:r w:rsidR="00C0275E" w:rsidRPr="007B5BE6">
        <w:t xml:space="preserve"> of</w:t>
      </w:r>
      <w:r w:rsidRPr="007B5BE6">
        <w:t xml:space="preserve"> help-seeking.  </w:t>
      </w:r>
    </w:p>
    <w:p w14:paraId="0212482C" w14:textId="6078E4ED" w:rsidR="006041E5" w:rsidRPr="007B5BE6" w:rsidRDefault="005A7B99" w:rsidP="00B6718F">
      <w:pPr>
        <w:pStyle w:val="NormalNumberedTextTLRI"/>
      </w:pPr>
      <w:r w:rsidRPr="007B5BE6">
        <w:t>Informed by the TLRI’s preliminary work, s</w:t>
      </w:r>
      <w:r w:rsidR="006041E5" w:rsidRPr="007B5BE6">
        <w:t xml:space="preserve">even research questions </w:t>
      </w:r>
      <w:r w:rsidR="00B6718F" w:rsidRPr="007B5BE6">
        <w:t xml:space="preserve">were </w:t>
      </w:r>
      <w:r w:rsidR="00A4159B" w:rsidRPr="007B5BE6">
        <w:t xml:space="preserve">also </w:t>
      </w:r>
      <w:r w:rsidR="00B6718F" w:rsidRPr="007B5BE6">
        <w:t>developed</w:t>
      </w:r>
      <w:r w:rsidR="006041E5" w:rsidRPr="007B5BE6">
        <w:t>,</w:t>
      </w:r>
      <w:r w:rsidR="00D276FD" w:rsidRPr="007B5BE6">
        <w:t xml:space="preserve"> and these guided</w:t>
      </w:r>
      <w:r w:rsidR="006041E5" w:rsidRPr="007B5BE6">
        <w:t xml:space="preserve"> </w:t>
      </w:r>
      <w:r w:rsidR="00077A7B" w:rsidRPr="007B5BE6">
        <w:t>t</w:t>
      </w:r>
      <w:r w:rsidR="006041E5" w:rsidRPr="007B5BE6">
        <w:t xml:space="preserve">he focus of interviews, and the scope of this Paper. </w:t>
      </w:r>
    </w:p>
    <w:p w14:paraId="12676860" w14:textId="5ADEADCB" w:rsidR="006041E5" w:rsidRPr="007B5BE6" w:rsidRDefault="006041E5" w:rsidP="00F96F7E">
      <w:pPr>
        <w:pStyle w:val="ListParagraph"/>
        <w:numPr>
          <w:ilvl w:val="0"/>
          <w:numId w:val="5"/>
        </w:numPr>
      </w:pPr>
      <w:r w:rsidRPr="007B5BE6">
        <w:t>What is the current legal landscape for addressing the abuse of older Tasmanian</w:t>
      </w:r>
      <w:r w:rsidR="00C16DBD" w:rsidRPr="007B5BE6">
        <w:t>s</w:t>
      </w:r>
      <w:r w:rsidRPr="007B5BE6">
        <w:t xml:space="preserve">’ legal rights and interests? </w:t>
      </w:r>
    </w:p>
    <w:p w14:paraId="7AC4E2BB" w14:textId="77777777" w:rsidR="00B26B6A" w:rsidRPr="007B5BE6" w:rsidRDefault="00B26B6A" w:rsidP="00B26B6A">
      <w:pPr>
        <w:pStyle w:val="ListParagraph"/>
        <w:ind w:left="1080"/>
      </w:pPr>
    </w:p>
    <w:p w14:paraId="241BDAAF" w14:textId="77777777" w:rsidR="006041E5" w:rsidRPr="007B5BE6" w:rsidRDefault="006041E5" w:rsidP="00F96F7E">
      <w:pPr>
        <w:pStyle w:val="ListParagraph"/>
        <w:numPr>
          <w:ilvl w:val="0"/>
          <w:numId w:val="5"/>
        </w:numPr>
      </w:pPr>
      <w:r w:rsidRPr="007B5BE6">
        <w:t>What are the gaps in the legal landscape and how do they operate to limit safeguarding against such abuse?</w:t>
      </w:r>
    </w:p>
    <w:p w14:paraId="47A51FAA" w14:textId="77777777" w:rsidR="00B26B6A" w:rsidRPr="007B5BE6" w:rsidRDefault="00B26B6A" w:rsidP="00B26B6A">
      <w:pPr>
        <w:pStyle w:val="ListParagraph"/>
      </w:pPr>
    </w:p>
    <w:p w14:paraId="5BA131B5" w14:textId="77777777" w:rsidR="006041E5" w:rsidRPr="007B5BE6" w:rsidRDefault="006041E5" w:rsidP="00F96F7E">
      <w:pPr>
        <w:pStyle w:val="ListParagraph"/>
        <w:numPr>
          <w:ilvl w:val="0"/>
          <w:numId w:val="5"/>
        </w:numPr>
      </w:pPr>
      <w:r w:rsidRPr="007B5BE6">
        <w:t>What have other jurisdictions done to address these gaps and remove barriers that limit safeguarding against the abuse of older people?</w:t>
      </w:r>
    </w:p>
    <w:p w14:paraId="6F8360D8" w14:textId="77777777" w:rsidR="00B26B6A" w:rsidRPr="007B5BE6" w:rsidRDefault="00B26B6A" w:rsidP="00B26B6A">
      <w:pPr>
        <w:pStyle w:val="ListParagraph"/>
      </w:pPr>
    </w:p>
    <w:p w14:paraId="51FCC731" w14:textId="27DB3D3C" w:rsidR="006041E5" w:rsidRPr="007B5BE6" w:rsidRDefault="006041E5" w:rsidP="00F96F7E">
      <w:pPr>
        <w:pStyle w:val="ListParagraph"/>
        <w:numPr>
          <w:ilvl w:val="0"/>
          <w:numId w:val="5"/>
        </w:numPr>
      </w:pPr>
      <w:r w:rsidRPr="007B5BE6">
        <w:t xml:space="preserve">What does an </w:t>
      </w:r>
      <w:r w:rsidR="00E47812" w:rsidRPr="007B5BE6">
        <w:t>‘</w:t>
      </w:r>
      <w:r w:rsidRPr="007B5BE6">
        <w:t>environmental scan</w:t>
      </w:r>
      <w:r w:rsidR="00E47812" w:rsidRPr="007B5BE6">
        <w:t>’</w:t>
      </w:r>
      <w:r w:rsidRPr="007B5BE6">
        <w:t xml:space="preserve"> of these jurisdictions suggest were the key drivers of reforms in these areas?</w:t>
      </w:r>
    </w:p>
    <w:p w14:paraId="648AFD35" w14:textId="77777777" w:rsidR="00B26B6A" w:rsidRPr="007B5BE6" w:rsidRDefault="00B26B6A" w:rsidP="00B26B6A">
      <w:pPr>
        <w:pStyle w:val="ListParagraph"/>
      </w:pPr>
    </w:p>
    <w:p w14:paraId="697285DB" w14:textId="1FAAE17A" w:rsidR="006041E5" w:rsidRPr="007B5BE6" w:rsidRDefault="006041E5" w:rsidP="00F96F7E">
      <w:pPr>
        <w:pStyle w:val="ListParagraph"/>
        <w:numPr>
          <w:ilvl w:val="0"/>
          <w:numId w:val="5"/>
        </w:numPr>
      </w:pPr>
      <w:r w:rsidRPr="007B5BE6">
        <w:t xml:space="preserve">What aspects identified in the </w:t>
      </w:r>
      <w:r w:rsidR="002968FC" w:rsidRPr="007B5BE6">
        <w:t>‘</w:t>
      </w:r>
      <w:r w:rsidRPr="007B5BE6">
        <w:t>environmental scan</w:t>
      </w:r>
      <w:r w:rsidR="002968FC" w:rsidRPr="007B5BE6">
        <w:t>’</w:t>
      </w:r>
      <w:r w:rsidRPr="007B5BE6">
        <w:t xml:space="preserve"> exist in Tasmania, and what does Tasmania need to do or have in place to progress reforms that fill any identified gaps in the legal landscape and improve safeguarding against abuse of older Tasmanians?</w:t>
      </w:r>
    </w:p>
    <w:p w14:paraId="3CC0C5A4" w14:textId="77777777" w:rsidR="00B26B6A" w:rsidRPr="007B5BE6" w:rsidRDefault="00B26B6A" w:rsidP="00B26B6A">
      <w:pPr>
        <w:pStyle w:val="ListParagraph"/>
      </w:pPr>
    </w:p>
    <w:p w14:paraId="69860157" w14:textId="21193B82" w:rsidR="006041E5" w:rsidRPr="007B5BE6" w:rsidRDefault="006041E5" w:rsidP="00F96F7E">
      <w:pPr>
        <w:pStyle w:val="ListParagraph"/>
        <w:numPr>
          <w:ilvl w:val="0"/>
          <w:numId w:val="5"/>
        </w:numPr>
      </w:pPr>
      <w:r w:rsidRPr="007B5BE6">
        <w:t xml:space="preserve">Given what is known about the prevalence and forms of abuse of older people in Tasmania, and in the rest of Australia, what are risk factors in the Tasmanian context for high rates of </w:t>
      </w:r>
      <w:r w:rsidR="002968FC" w:rsidRPr="007B5BE6">
        <w:t xml:space="preserve">its </w:t>
      </w:r>
      <w:r w:rsidRPr="007B5BE6">
        <w:t>occurrence and low rates of help-seeking?</w:t>
      </w:r>
    </w:p>
    <w:p w14:paraId="3190F5DB" w14:textId="77777777" w:rsidR="00B26B6A" w:rsidRPr="007B5BE6" w:rsidRDefault="00B26B6A" w:rsidP="00B26B6A">
      <w:pPr>
        <w:pStyle w:val="ListParagraph"/>
      </w:pPr>
    </w:p>
    <w:p w14:paraId="54EE5E31" w14:textId="77777777" w:rsidR="006041E5" w:rsidRPr="007B5BE6" w:rsidRDefault="006041E5" w:rsidP="00F96F7E">
      <w:pPr>
        <w:pStyle w:val="ListParagraph"/>
        <w:numPr>
          <w:ilvl w:val="0"/>
          <w:numId w:val="5"/>
        </w:numPr>
      </w:pPr>
      <w:r w:rsidRPr="007B5BE6">
        <w:t>What is needed in Tasmania to effectively respond to these risk factors and for ongoing monitoring of any changes to the legal landscape in this area?</w:t>
      </w:r>
    </w:p>
    <w:p w14:paraId="37BF86FB" w14:textId="3319F832" w:rsidR="001374BF" w:rsidRPr="007B5BE6" w:rsidRDefault="006041E5" w:rsidP="00D276FD">
      <w:pPr>
        <w:pStyle w:val="NormalNumberedTextTLRI"/>
      </w:pPr>
      <w:r w:rsidRPr="007B5BE6">
        <w:t>Reflecting the scope of the study, the TLRI’s view</w:t>
      </w:r>
      <w:r w:rsidR="008559A9" w:rsidRPr="007B5BE6">
        <w:t>s</w:t>
      </w:r>
      <w:r w:rsidRPr="007B5BE6">
        <w:t xml:space="preserve"> and recommendations have been informed by doctrinal research as well as reviews of relevant literature. It also has been informed by empirical research, with quantitative and qualitative data obtained for this study.</w:t>
      </w:r>
      <w:r w:rsidR="00324BE6" w:rsidRPr="007B5BE6">
        <w:rPr>
          <w:rStyle w:val="FootnoteReference"/>
        </w:rPr>
        <w:footnoteReference w:id="24"/>
      </w:r>
      <w:r w:rsidRPr="007B5BE6">
        <w:t xml:space="preserve"> </w:t>
      </w:r>
      <w:r w:rsidR="001374BF" w:rsidRPr="007B5BE6">
        <w:t xml:space="preserve">The TLRI conducted 22 interviews with 34 representatives of key Tasmanian agencies and experts with knowledge and </w:t>
      </w:r>
      <w:r w:rsidR="001374BF" w:rsidRPr="007B5BE6">
        <w:lastRenderedPageBreak/>
        <w:t>expertise in this area</w:t>
      </w:r>
      <w:r w:rsidR="00F3556E" w:rsidRPr="007B5BE6">
        <w:t xml:space="preserve"> and</w:t>
      </w:r>
      <w:r w:rsidR="00753444" w:rsidRPr="007B5BE6">
        <w:t xml:space="preserve"> </w:t>
      </w:r>
      <w:r w:rsidR="00AF17F1" w:rsidRPr="007B5BE6">
        <w:t xml:space="preserve">one agency provided a written response </w:t>
      </w:r>
      <w:r w:rsidR="00C36E2C" w:rsidRPr="007B5BE6">
        <w:t>instead of</w:t>
      </w:r>
      <w:r w:rsidR="00AF17F1" w:rsidRPr="007B5BE6">
        <w:t xml:space="preserve"> an interview.</w:t>
      </w:r>
      <w:r w:rsidR="00EF153F" w:rsidRPr="007B5BE6">
        <w:rPr>
          <w:rStyle w:val="FootnoteReference"/>
        </w:rPr>
        <w:footnoteReference w:id="25"/>
      </w:r>
      <w:r w:rsidR="001374BF" w:rsidRPr="007B5BE6">
        <w:t xml:space="preserve"> </w:t>
      </w:r>
      <w:r w:rsidR="00097752" w:rsidRPr="007B5BE6">
        <w:t>The TLRI</w:t>
      </w:r>
      <w:r w:rsidR="001374BF" w:rsidRPr="007B5BE6">
        <w:t xml:space="preserve"> obtained </w:t>
      </w:r>
      <w:r w:rsidR="00AA47B4" w:rsidRPr="007B5BE6">
        <w:t xml:space="preserve">de-identified </w:t>
      </w:r>
      <w:r w:rsidR="006A1BD0" w:rsidRPr="007B5BE6">
        <w:t xml:space="preserve">quantitative </w:t>
      </w:r>
      <w:r w:rsidR="001374BF" w:rsidRPr="007B5BE6">
        <w:t>data from:</w:t>
      </w:r>
    </w:p>
    <w:p w14:paraId="5D19EB0C" w14:textId="4956F3C3" w:rsidR="001374BF" w:rsidRPr="007B5BE6" w:rsidRDefault="001374BF" w:rsidP="001374BF">
      <w:pPr>
        <w:pStyle w:val="DotPointTLRI"/>
      </w:pPr>
      <w:r w:rsidRPr="007B5BE6">
        <w:t xml:space="preserve">the Department of Premier and Cabinet on </w:t>
      </w:r>
      <w:r w:rsidR="008E15A6" w:rsidRPr="007B5BE6">
        <w:t xml:space="preserve">the </w:t>
      </w:r>
      <w:r w:rsidRPr="007B5BE6">
        <w:t>Tasmanian Elder Abuse Helpline</w:t>
      </w:r>
      <w:r w:rsidR="008A5521" w:rsidRPr="007B5BE6">
        <w:t xml:space="preserve"> (‘the Helpline’)</w:t>
      </w:r>
      <w:r w:rsidR="00EF153F" w:rsidRPr="007B5BE6">
        <w:rPr>
          <w:rStyle w:val="FootnoteReference"/>
        </w:rPr>
        <w:footnoteReference w:id="26"/>
      </w:r>
      <w:r w:rsidRPr="007B5BE6">
        <w:t xml:space="preserve"> (operated by Advocacy Tasmania) from 1 July 2022 </w:t>
      </w:r>
      <w:r w:rsidR="00952B41" w:rsidRPr="007B5BE6">
        <w:t xml:space="preserve">to </w:t>
      </w:r>
      <w:r w:rsidRPr="007B5BE6">
        <w:t>30 June 2023;</w:t>
      </w:r>
      <w:r w:rsidR="00AA47B4" w:rsidRPr="007B5BE6">
        <w:t xml:space="preserve"> and</w:t>
      </w:r>
    </w:p>
    <w:p w14:paraId="465B2545" w14:textId="319DA86D" w:rsidR="001374BF" w:rsidRPr="007B5BE6" w:rsidRDefault="001374BF" w:rsidP="001374BF">
      <w:pPr>
        <w:pStyle w:val="DotPointTLRI"/>
      </w:pPr>
      <w:r w:rsidRPr="007B5BE6">
        <w:t>the Commonwealth Attorney-General’s Department (</w:t>
      </w:r>
      <w:r w:rsidR="001B17EF" w:rsidRPr="007B5BE6">
        <w:t>‘</w:t>
      </w:r>
      <w:r w:rsidRPr="007B5BE6">
        <w:t>AGD</w:t>
      </w:r>
      <w:r w:rsidR="001B17EF" w:rsidRPr="007B5BE6">
        <w:t>’</w:t>
      </w:r>
      <w:r w:rsidRPr="007B5BE6">
        <w:t xml:space="preserve">) on the Senior Assist program </w:t>
      </w:r>
      <w:r w:rsidR="008A5521" w:rsidRPr="007B5BE6">
        <w:t xml:space="preserve">(‘Senior Assist’) </w:t>
      </w:r>
      <w:r w:rsidRPr="007B5BE6">
        <w:t xml:space="preserve">(operated by Tasmania Legal Aid) from 1 July </w:t>
      </w:r>
      <w:r w:rsidR="001A1895" w:rsidRPr="007B5BE6">
        <w:t xml:space="preserve">2023 </w:t>
      </w:r>
      <w:r w:rsidR="00952B41" w:rsidRPr="007B5BE6">
        <w:t xml:space="preserve">to </w:t>
      </w:r>
      <w:r w:rsidRPr="007B5BE6">
        <w:t>31 December 2023</w:t>
      </w:r>
      <w:r w:rsidR="009143FD" w:rsidRPr="007B5BE6">
        <w:t>.</w:t>
      </w:r>
      <w:r w:rsidR="00EF153F" w:rsidRPr="007B5BE6">
        <w:rPr>
          <w:rStyle w:val="FootnoteReference"/>
        </w:rPr>
        <w:footnoteReference w:id="27"/>
      </w:r>
      <w:r w:rsidRPr="007B5BE6">
        <w:t xml:space="preserve"> </w:t>
      </w:r>
    </w:p>
    <w:p w14:paraId="68B8770B" w14:textId="4FBDD800" w:rsidR="001374BF" w:rsidRPr="007B5BE6" w:rsidRDefault="00AA47B4" w:rsidP="00AA47B4">
      <w:r w:rsidRPr="007B5BE6">
        <w:t xml:space="preserve">The TLRI has also had regard to </w:t>
      </w:r>
      <w:r w:rsidR="001374BF" w:rsidRPr="007B5BE6">
        <w:t>publicly available quantitative data collected from a range of sources.</w:t>
      </w:r>
      <w:r w:rsidR="00525756" w:rsidRPr="007B5BE6">
        <w:rPr>
          <w:rStyle w:val="FootnoteReference"/>
        </w:rPr>
        <w:footnoteReference w:id="28"/>
      </w:r>
      <w:r w:rsidR="001374BF" w:rsidRPr="007B5BE6">
        <w:t xml:space="preserve">  </w:t>
      </w:r>
    </w:p>
    <w:p w14:paraId="4150F6C2" w14:textId="27CF15ED" w:rsidR="00D77314" w:rsidRPr="007B5BE6" w:rsidRDefault="00D77314" w:rsidP="00D77314">
      <w:pPr>
        <w:pStyle w:val="NormalNumberedTextTLRI"/>
      </w:pPr>
      <w:r w:rsidRPr="007B5BE6">
        <w:t>In addition, the TLRI was invited to observe the meetings of the ‘Tasmanian Lifelong Respect Community of Practice Ending the Abuse of Older People’. The McBurnie Fellowship Senior Research Fellow attended five meetings in 2024 and two meetings in 2025,</w:t>
      </w:r>
      <w:r w:rsidR="002032B5" w:rsidRPr="007B5BE6">
        <w:rPr>
          <w:rStyle w:val="FootnoteReference"/>
        </w:rPr>
        <w:footnoteReference w:id="29"/>
      </w:r>
      <w:r w:rsidRPr="007B5BE6">
        <w:t xml:space="preserve"> which assisted the TLRI to understand practice and operational matters regarding current responses to abuse of older Tasmanians</w:t>
      </w:r>
      <w:r w:rsidR="007E6FE7" w:rsidRPr="007B5BE6">
        <w:t>.</w:t>
      </w:r>
    </w:p>
    <w:p w14:paraId="5CCB8385" w14:textId="21E9EE01" w:rsidR="006041E5" w:rsidRPr="007B5BE6" w:rsidRDefault="006041E5" w:rsidP="00D77314">
      <w:pPr>
        <w:pStyle w:val="NormalNumberedTextTLRI"/>
      </w:pPr>
      <w:r w:rsidRPr="007B5BE6">
        <w:t xml:space="preserve">In coming to its conclusions and making recommendations, the TLRI has </w:t>
      </w:r>
      <w:r w:rsidR="003518CE" w:rsidRPr="007B5BE6">
        <w:t>recognised the</w:t>
      </w:r>
      <w:r w:rsidRPr="007B5BE6">
        <w:t xml:space="preserve"> significant focus in Tasmanian and national policy frameworks </w:t>
      </w:r>
      <w:r w:rsidR="007836E6" w:rsidRPr="007B5BE6">
        <w:t>on minimising</w:t>
      </w:r>
      <w:r w:rsidRPr="007B5BE6">
        <w:t xml:space="preserve"> the gaps in the current protections for older people </w:t>
      </w:r>
      <w:r w:rsidR="00226530" w:rsidRPr="007B5BE6">
        <w:t>regarding</w:t>
      </w:r>
      <w:r w:rsidRPr="007B5BE6">
        <w:t xml:space="preserve"> abuse, and the need to strengthen safeguards as responsive and preventative measures.</w:t>
      </w:r>
      <w:r w:rsidR="00EE5094" w:rsidRPr="007B5BE6">
        <w:rPr>
          <w:rStyle w:val="FootnoteReference"/>
        </w:rPr>
        <w:footnoteReference w:id="30"/>
      </w:r>
      <w:r w:rsidRPr="007B5BE6">
        <w:t xml:space="preserve"> This Research Paper builds on prior work, and</w:t>
      </w:r>
      <w:r w:rsidR="00B219A6" w:rsidRPr="007B5BE6">
        <w:t xml:space="preserve"> articulate</w:t>
      </w:r>
      <w:r w:rsidR="00470FC3" w:rsidRPr="007B5BE6">
        <w:t>s</w:t>
      </w:r>
      <w:r w:rsidR="00B219A6" w:rsidRPr="007B5BE6">
        <w:t xml:space="preserve"> </w:t>
      </w:r>
      <w:r w:rsidR="003D0AC7" w:rsidRPr="007B5BE6">
        <w:t>the TLRI’s</w:t>
      </w:r>
      <w:r w:rsidR="00B219A6" w:rsidRPr="007B5BE6">
        <w:t xml:space="preserve"> findings regarding </w:t>
      </w:r>
      <w:r w:rsidR="00FE6CCF" w:rsidRPr="007B5BE6">
        <w:t>the gaps that exist in the current legal landscape</w:t>
      </w:r>
      <w:r w:rsidR="00226530" w:rsidRPr="007B5BE6">
        <w:t>,</w:t>
      </w:r>
      <w:r w:rsidR="00FE6CCF" w:rsidRPr="007B5BE6">
        <w:t xml:space="preserve"> informed by its research and the feedback received in </w:t>
      </w:r>
      <w:r w:rsidR="003D0AC7" w:rsidRPr="007B5BE6">
        <w:t xml:space="preserve">stakeholder </w:t>
      </w:r>
      <w:r w:rsidR="00FE6CCF" w:rsidRPr="007B5BE6">
        <w:t>interviews</w:t>
      </w:r>
      <w:r w:rsidR="00226530" w:rsidRPr="007B5BE6">
        <w:t>.</w:t>
      </w:r>
      <w:r w:rsidR="00FE6CCF" w:rsidRPr="007B5BE6">
        <w:t xml:space="preserve"> Further, where</w:t>
      </w:r>
      <w:r w:rsidRPr="007B5BE6">
        <w:t xml:space="preserve"> gaps are identified, </w:t>
      </w:r>
      <w:r w:rsidR="00FE6CCF" w:rsidRPr="007B5BE6">
        <w:t xml:space="preserve">the TLRI </w:t>
      </w:r>
      <w:r w:rsidRPr="007B5BE6">
        <w:t xml:space="preserve">has considered the most appropriate </w:t>
      </w:r>
      <w:r w:rsidR="00D276FD" w:rsidRPr="007B5BE6">
        <w:t xml:space="preserve">way to </w:t>
      </w:r>
      <w:r w:rsidRPr="007B5BE6">
        <w:t>address the</w:t>
      </w:r>
      <w:r w:rsidR="00F811B9" w:rsidRPr="007B5BE6">
        <w:t>m</w:t>
      </w:r>
      <w:r w:rsidRPr="007B5BE6">
        <w:t xml:space="preserve">, while still upholding principles of autonomy and self-determination. The TLRI has also sought to develop </w:t>
      </w:r>
      <w:r w:rsidR="00C53B26" w:rsidRPr="007B5BE6">
        <w:t>recommendations for</w:t>
      </w:r>
      <w:r w:rsidRPr="007B5BE6">
        <w:t xml:space="preserve"> response</w:t>
      </w:r>
      <w:r w:rsidR="00C53B26" w:rsidRPr="007B5BE6">
        <w:t>s</w:t>
      </w:r>
      <w:r w:rsidR="00E00882" w:rsidRPr="007B5BE6">
        <w:t xml:space="preserve"> that are </w:t>
      </w:r>
      <w:r w:rsidRPr="007B5BE6">
        <w:t xml:space="preserve">appropriate and tailored to the Tasmanian context. In this regard, the TLRI has identified </w:t>
      </w:r>
      <w:r w:rsidR="00F811B9" w:rsidRPr="007B5BE6">
        <w:t xml:space="preserve">the features of </w:t>
      </w:r>
      <w:r w:rsidRPr="007B5BE6">
        <w:t xml:space="preserve">what is working well </w:t>
      </w:r>
      <w:r w:rsidR="00E153D1" w:rsidRPr="007B5BE6">
        <w:t xml:space="preserve">in Tasmania </w:t>
      </w:r>
      <w:r w:rsidRPr="007B5BE6">
        <w:t>and has sought to build on th</w:t>
      </w:r>
      <w:r w:rsidR="00F811B9" w:rsidRPr="007B5BE6">
        <w:t>em</w:t>
      </w:r>
      <w:r w:rsidRPr="007B5BE6">
        <w:t xml:space="preserve"> to address the needs of older Tasmanians. </w:t>
      </w:r>
      <w:r w:rsidR="00E153D1" w:rsidRPr="007B5BE6">
        <w:t>Given the wide-</w:t>
      </w:r>
      <w:r w:rsidR="00AC4CB2" w:rsidRPr="007B5BE6">
        <w:t>ranging</w:t>
      </w:r>
      <w:r w:rsidR="00E153D1" w:rsidRPr="007B5BE6">
        <w:t xml:space="preserve"> </w:t>
      </w:r>
      <w:r w:rsidR="00AC4CB2" w:rsidRPr="007B5BE6">
        <w:t>nature of this project</w:t>
      </w:r>
      <w:r w:rsidR="00BC207E" w:rsidRPr="007B5BE6">
        <w:t>,</w:t>
      </w:r>
      <w:r w:rsidR="00345C6C" w:rsidRPr="007B5BE6">
        <w:t xml:space="preserve"> conducted as a </w:t>
      </w:r>
      <w:r w:rsidR="00501EA6" w:rsidRPr="007B5BE6">
        <w:t>R</w:t>
      </w:r>
      <w:r w:rsidR="00345C6C" w:rsidRPr="007B5BE6">
        <w:t xml:space="preserve">esearch </w:t>
      </w:r>
      <w:r w:rsidR="00501EA6" w:rsidRPr="007B5BE6">
        <w:t>P</w:t>
      </w:r>
      <w:r w:rsidR="00345C6C" w:rsidRPr="007B5BE6">
        <w:t>aper</w:t>
      </w:r>
      <w:r w:rsidR="00805288" w:rsidRPr="007B5BE6">
        <w:t xml:space="preserve"> </w:t>
      </w:r>
      <w:r w:rsidR="00BC207E" w:rsidRPr="007B5BE6">
        <w:t>as a basis for the TLRI’s</w:t>
      </w:r>
      <w:r w:rsidR="00AC4CB2" w:rsidRPr="007B5BE6">
        <w:t xml:space="preserve"> </w:t>
      </w:r>
      <w:r w:rsidR="00BC207E" w:rsidRPr="007B5BE6">
        <w:t xml:space="preserve">approach in </w:t>
      </w:r>
      <w:r w:rsidR="00AC4CB2" w:rsidRPr="007B5BE6">
        <w:t xml:space="preserve">developing its recommendations, there remain areas of specificity </w:t>
      </w:r>
      <w:r w:rsidR="00345C6C" w:rsidRPr="007B5BE6">
        <w:t xml:space="preserve">that will require further consultation </w:t>
      </w:r>
      <w:r w:rsidR="00345C6C" w:rsidRPr="007B5BE6">
        <w:lastRenderedPageBreak/>
        <w:t>with stakeholders</w:t>
      </w:r>
      <w:r w:rsidR="00BC207E" w:rsidRPr="007B5BE6">
        <w:t>,</w:t>
      </w:r>
      <w:r w:rsidR="00F200C2" w:rsidRPr="007B5BE6">
        <w:t xml:space="preserve"> informed by the findings in this research.</w:t>
      </w:r>
      <w:r w:rsidR="00D31B56" w:rsidRPr="007B5BE6">
        <w:rPr>
          <w:rStyle w:val="FootnoteReference"/>
        </w:rPr>
        <w:footnoteReference w:id="31"/>
      </w:r>
      <w:r w:rsidR="00F200C2" w:rsidRPr="007B5BE6">
        <w:t xml:space="preserve"> </w:t>
      </w:r>
      <w:r w:rsidRPr="007B5BE6">
        <w:t>The TLRI has also taken the view that it is important to ensure that any</w:t>
      </w:r>
      <w:r w:rsidR="00E00882" w:rsidRPr="007B5BE6">
        <w:t xml:space="preserve"> safeguarding</w:t>
      </w:r>
      <w:r w:rsidRPr="007B5BE6">
        <w:t xml:space="preserve"> mechanism</w:t>
      </w:r>
      <w:r w:rsidR="00E00882" w:rsidRPr="007B5BE6">
        <w:t>s</w:t>
      </w:r>
      <w:r w:rsidR="00BC207E" w:rsidRPr="007B5BE6">
        <w:t xml:space="preserve"> it has</w:t>
      </w:r>
      <w:r w:rsidRPr="007B5BE6">
        <w:t xml:space="preserve"> recommended can be adequately resourced, will operate in the practice context of Tasmania and </w:t>
      </w:r>
      <w:r w:rsidR="00E00882" w:rsidRPr="007B5BE6">
        <w:t>are</w:t>
      </w:r>
      <w:r w:rsidRPr="007B5BE6">
        <w:t xml:space="preserve"> appropriate to any factors</w:t>
      </w:r>
      <w:r w:rsidR="007E5AE8" w:rsidRPr="007B5BE6">
        <w:t>,</w:t>
      </w:r>
      <w:r w:rsidRPr="007B5BE6">
        <w:t xml:space="preserve"> relevant to risk and help</w:t>
      </w:r>
      <w:r w:rsidR="00FF136C" w:rsidRPr="007B5BE6">
        <w:t>-</w:t>
      </w:r>
      <w:r w:rsidRPr="007B5BE6">
        <w:t>seeking</w:t>
      </w:r>
      <w:r w:rsidR="007E5AE8" w:rsidRPr="007B5BE6">
        <w:t>,</w:t>
      </w:r>
      <w:r w:rsidR="001E3CA9" w:rsidRPr="007B5BE6">
        <w:t xml:space="preserve"> that are</w:t>
      </w:r>
      <w:r w:rsidRPr="007B5BE6">
        <w:t xml:space="preserve"> particularly relevant to the Tasmanian population. </w:t>
      </w:r>
    </w:p>
    <w:p w14:paraId="06816B73" w14:textId="7BA327EE" w:rsidR="006041E5" w:rsidRPr="007B5BE6" w:rsidRDefault="006041E5" w:rsidP="003470DC">
      <w:pPr>
        <w:pStyle w:val="NormalNumberedTextTLRI"/>
      </w:pPr>
      <w:r w:rsidRPr="007B5BE6">
        <w:t>The</w:t>
      </w:r>
      <w:r w:rsidR="00BB754B" w:rsidRPr="007B5BE6">
        <w:t>re are some limits</w:t>
      </w:r>
      <w:r w:rsidR="0081686C" w:rsidRPr="007B5BE6">
        <w:t xml:space="preserve"> to</w:t>
      </w:r>
      <w:r w:rsidR="00BB754B" w:rsidRPr="007B5BE6">
        <w:t xml:space="preserve"> the scope </w:t>
      </w:r>
      <w:r w:rsidR="003004F5" w:rsidRPr="007B5BE6">
        <w:t>of</w:t>
      </w:r>
      <w:r w:rsidR="00BB754B" w:rsidRPr="007B5BE6">
        <w:t xml:space="preserve"> the review undertaken by the TLRI. While the </w:t>
      </w:r>
      <w:r w:rsidR="0081686C" w:rsidRPr="007B5BE6">
        <w:t>TLRI describes</w:t>
      </w:r>
      <w:r w:rsidR="003004F5" w:rsidRPr="007B5BE6">
        <w:t xml:space="preserve"> both the</w:t>
      </w:r>
      <w:r w:rsidR="001E3CA9" w:rsidRPr="007B5BE6">
        <w:t xml:space="preserve"> relevant</w:t>
      </w:r>
      <w:r w:rsidR="003004F5" w:rsidRPr="007B5BE6">
        <w:t xml:space="preserve"> Commonwealth and Tasmanian laws </w:t>
      </w:r>
      <w:r w:rsidR="00125CAA" w:rsidRPr="007B5BE6">
        <w:t>to set out</w:t>
      </w:r>
      <w:r w:rsidR="003004F5" w:rsidRPr="007B5BE6">
        <w:t xml:space="preserve"> the </w:t>
      </w:r>
      <w:r w:rsidR="00125CAA" w:rsidRPr="007B5BE6">
        <w:t xml:space="preserve">broad legal framework that operates in Tasmania, the TLRI has necessarily restricted its views and recommendations </w:t>
      </w:r>
      <w:r w:rsidR="007E5AE8" w:rsidRPr="007B5BE6">
        <w:t xml:space="preserve">to </w:t>
      </w:r>
      <w:r w:rsidR="00125CAA" w:rsidRPr="007B5BE6">
        <w:t>reform o</w:t>
      </w:r>
      <w:r w:rsidR="00EB63E3" w:rsidRPr="007B5BE6">
        <w:t>f</w:t>
      </w:r>
      <w:r w:rsidR="00125CAA" w:rsidRPr="007B5BE6">
        <w:t xml:space="preserve"> Tasmanian laws. For this reason, while the TLRI recognises that abuse of older people can occur in a range of settings, including in institutional and health settings (for example, residential or in-home aged care or in hospitals) as well as personal and family relationships (for example, abuse by a current or former intimate partner, by an adult child or grandchild or by a friend or neighbour)</w:t>
      </w:r>
      <w:r w:rsidR="003470DC" w:rsidRPr="007B5BE6">
        <w:t xml:space="preserve">, it does not make recommendations relating to </w:t>
      </w:r>
      <w:r w:rsidR="00671720" w:rsidRPr="007B5BE6">
        <w:t xml:space="preserve">matters regulated by Commonwealth legislation, such as </w:t>
      </w:r>
      <w:r w:rsidR="003470DC" w:rsidRPr="007B5BE6">
        <w:t xml:space="preserve">aged care. In addition, the </w:t>
      </w:r>
      <w:r w:rsidRPr="007B5BE6">
        <w:t xml:space="preserve">TLRI recognises the importance of including perspectives and knowledge of older people with lived experience of abuse. </w:t>
      </w:r>
      <w:r w:rsidR="003470DC" w:rsidRPr="007B5BE6">
        <w:t>However, i</w:t>
      </w:r>
      <w:r w:rsidRPr="007B5BE6">
        <w:t xml:space="preserve">t was not possible under the ethical approval for the project for the qualitative research component to include interviews with older Tasmanians with such lived experience. </w:t>
      </w:r>
      <w:r w:rsidR="003470DC" w:rsidRPr="007B5BE6">
        <w:t>Nevertheless, the TLRI had</w:t>
      </w:r>
      <w:r w:rsidRPr="007B5BE6">
        <w:t xml:space="preserve"> the benefit of hearing perspectives from two older Tasmanians with lived experience of abuse through public engagements in their work as Older Voices for Change Advocates, </w:t>
      </w:r>
      <w:r w:rsidR="0030273B" w:rsidRPr="007B5BE6">
        <w:t>and this</w:t>
      </w:r>
      <w:r w:rsidRPr="007B5BE6">
        <w:t xml:space="preserve"> informed the TLRI’s approach in this study.</w:t>
      </w:r>
      <w:r w:rsidR="00753942" w:rsidRPr="007B5BE6">
        <w:rPr>
          <w:rStyle w:val="FootnoteReference"/>
        </w:rPr>
        <w:footnoteReference w:id="32"/>
      </w:r>
      <w:r w:rsidRPr="007B5BE6">
        <w:t xml:space="preserve"> </w:t>
      </w:r>
      <w:r w:rsidR="001773D5" w:rsidRPr="007B5BE6">
        <w:t xml:space="preserve">In addition, </w:t>
      </w:r>
      <w:r w:rsidR="00BB310A" w:rsidRPr="007B5BE6">
        <w:t xml:space="preserve">in line with the scope of the Fellowship, </w:t>
      </w:r>
      <w:r w:rsidR="001773D5" w:rsidRPr="007B5BE6">
        <w:t>the TLRI</w:t>
      </w:r>
      <w:r w:rsidR="00AD2726" w:rsidRPr="007B5BE6">
        <w:t>’s focus</w:t>
      </w:r>
      <w:r w:rsidR="00F740B9" w:rsidRPr="007B5BE6">
        <w:t>, in this Research Paper,</w:t>
      </w:r>
      <w:r w:rsidR="00AD2726" w:rsidRPr="007B5BE6">
        <w:t xml:space="preserve"> is on </w:t>
      </w:r>
      <w:r w:rsidR="00904BFB" w:rsidRPr="007B5BE6">
        <w:t xml:space="preserve">consideration of </w:t>
      </w:r>
      <w:r w:rsidR="00AD2726" w:rsidRPr="007B5BE6">
        <w:t xml:space="preserve">the provision of a </w:t>
      </w:r>
      <w:r w:rsidR="00FD4F4F" w:rsidRPr="007B5BE6">
        <w:t>safeguarding</w:t>
      </w:r>
      <w:r w:rsidR="00AD2726" w:rsidRPr="007B5BE6">
        <w:t xml:space="preserve"> </w:t>
      </w:r>
      <w:r w:rsidR="00FD4F4F" w:rsidRPr="007B5BE6">
        <w:t xml:space="preserve">function for older Tasmanians and </w:t>
      </w:r>
      <w:r w:rsidR="001773D5" w:rsidRPr="007B5BE6">
        <w:t xml:space="preserve">does not </w:t>
      </w:r>
      <w:r w:rsidR="00D97E2B" w:rsidRPr="007B5BE6">
        <w:t xml:space="preserve">address </w:t>
      </w:r>
      <w:r w:rsidR="009128BF" w:rsidRPr="007B5BE6">
        <w:t>the broader question of whether or not it is appropriate for a</w:t>
      </w:r>
      <w:r w:rsidR="00B34876" w:rsidRPr="007B5BE6">
        <w:t>n age</w:t>
      </w:r>
      <w:r w:rsidR="00F740B9" w:rsidRPr="007B5BE6">
        <w:t xml:space="preserve">- </w:t>
      </w:r>
      <w:r w:rsidR="00B34876" w:rsidRPr="007B5BE6">
        <w:t>and/or disability</w:t>
      </w:r>
      <w:r w:rsidR="00F740B9" w:rsidRPr="007B5BE6">
        <w:t>-</w:t>
      </w:r>
      <w:r w:rsidR="00B34876" w:rsidRPr="007B5BE6">
        <w:t>neutral safeguarding framework</w:t>
      </w:r>
      <w:r w:rsidR="00FD4F4F" w:rsidRPr="007B5BE6">
        <w:t xml:space="preserve"> to be introduced in Tasmania</w:t>
      </w:r>
      <w:r w:rsidR="00876A93" w:rsidRPr="007B5BE6">
        <w:t>.</w:t>
      </w:r>
      <w:r w:rsidR="001773D5" w:rsidRPr="007B5BE6">
        <w:t xml:space="preserve"> </w:t>
      </w:r>
    </w:p>
    <w:p w14:paraId="2E03BDFF" w14:textId="77777777" w:rsidR="006041E5" w:rsidRPr="007B5BE6" w:rsidRDefault="006041E5" w:rsidP="00744D17">
      <w:pPr>
        <w:pStyle w:val="NumberedHeadingTLRI"/>
      </w:pPr>
      <w:bookmarkStart w:id="18" w:name="_Toc194525341"/>
      <w:bookmarkStart w:id="19" w:name="_Toc212561714"/>
      <w:r w:rsidRPr="007B5BE6">
        <w:t>Structure of this Research Paper</w:t>
      </w:r>
      <w:bookmarkEnd w:id="18"/>
      <w:bookmarkEnd w:id="19"/>
      <w:r w:rsidRPr="007B5BE6">
        <w:t xml:space="preserve"> </w:t>
      </w:r>
    </w:p>
    <w:p w14:paraId="609CA159" w14:textId="3D3FD3CA" w:rsidR="006041E5" w:rsidRPr="007B5BE6" w:rsidRDefault="006041E5" w:rsidP="006041E5">
      <w:pPr>
        <w:pStyle w:val="NormalNumberedTextTLRI"/>
      </w:pPr>
      <w:r w:rsidRPr="007B5BE6">
        <w:t xml:space="preserve">This Research Paper is divided into </w:t>
      </w:r>
      <w:r w:rsidR="00904BFB" w:rsidRPr="007B5BE6">
        <w:t>five</w:t>
      </w:r>
      <w:r w:rsidR="0076108B" w:rsidRPr="007B5BE6">
        <w:t xml:space="preserve"> </w:t>
      </w:r>
      <w:r w:rsidRPr="007B5BE6">
        <w:t xml:space="preserve">parts. </w:t>
      </w:r>
    </w:p>
    <w:p w14:paraId="73E6B8A2" w14:textId="09ED8395" w:rsidR="006041E5" w:rsidRPr="007B5BE6" w:rsidRDefault="006041E5" w:rsidP="005F7BEF">
      <w:pPr>
        <w:pStyle w:val="DotPointTLRI"/>
      </w:pPr>
      <w:r w:rsidRPr="007B5BE6">
        <w:rPr>
          <w:b/>
          <w:bCs/>
        </w:rPr>
        <w:t>Part 2</w:t>
      </w:r>
      <w:r w:rsidRPr="007B5BE6">
        <w:t xml:space="preserve"> </w:t>
      </w:r>
      <w:r w:rsidR="00853652" w:rsidRPr="007B5BE6">
        <w:t>provides context for the TLRI’s research on the abuse of older Tasmanians</w:t>
      </w:r>
      <w:r w:rsidR="002F62FC" w:rsidRPr="007B5BE6">
        <w:t xml:space="preserve">. It </w:t>
      </w:r>
      <w:r w:rsidR="00853652" w:rsidRPr="007B5BE6">
        <w:t>explain</w:t>
      </w:r>
      <w:r w:rsidR="002F62FC" w:rsidRPr="007B5BE6">
        <w:t>s</w:t>
      </w:r>
      <w:r w:rsidR="00853652" w:rsidRPr="007B5BE6">
        <w:t xml:space="preserve"> the nature of abuse of older people, including definitions and types of abuse, prevalence and dynamics of abuse, and risk factors associated with abuse and help-seeking by older people</w:t>
      </w:r>
      <w:r w:rsidR="00135FD7" w:rsidRPr="007B5BE6">
        <w:t>,</w:t>
      </w:r>
      <w:r w:rsidR="00853652" w:rsidRPr="007B5BE6">
        <w:t xml:space="preserve"> or others</w:t>
      </w:r>
      <w:r w:rsidR="00135FD7" w:rsidRPr="007B5BE6">
        <w:t>,</w:t>
      </w:r>
      <w:r w:rsidR="00853652" w:rsidRPr="007B5BE6">
        <w:t xml:space="preserve"> when there are concerns about abuse.</w:t>
      </w:r>
      <w:r w:rsidR="00E437BD" w:rsidRPr="007B5BE6">
        <w:t xml:space="preserve"> </w:t>
      </w:r>
    </w:p>
    <w:p w14:paraId="6ACBB1D2" w14:textId="13A65D1D" w:rsidR="000B29FF" w:rsidRPr="007B5BE6" w:rsidRDefault="006041E5" w:rsidP="005F7BEF">
      <w:pPr>
        <w:pStyle w:val="DotPointTLRI"/>
      </w:pPr>
      <w:r w:rsidRPr="007B5BE6">
        <w:rPr>
          <w:b/>
          <w:bCs/>
        </w:rPr>
        <w:t>Part 3</w:t>
      </w:r>
      <w:r w:rsidRPr="007B5BE6">
        <w:t xml:space="preserve"> </w:t>
      </w:r>
      <w:r w:rsidR="000B29FF" w:rsidRPr="007B5BE6">
        <w:t>focuses on</w:t>
      </w:r>
      <w:r w:rsidR="002E68EA" w:rsidRPr="007B5BE6">
        <w:t xml:space="preserve"> current approaches for addressing and </w:t>
      </w:r>
      <w:r w:rsidR="00814949" w:rsidRPr="007B5BE6">
        <w:t>respon</w:t>
      </w:r>
      <w:r w:rsidR="00411DEF" w:rsidRPr="007B5BE6">
        <w:t>ding</w:t>
      </w:r>
      <w:r w:rsidR="00814949" w:rsidRPr="007B5BE6">
        <w:t xml:space="preserve"> to the abuse of older people</w:t>
      </w:r>
      <w:r w:rsidR="00411DEF" w:rsidRPr="007B5BE6">
        <w:t xml:space="preserve"> in Tasmania</w:t>
      </w:r>
      <w:r w:rsidR="00CC219B" w:rsidRPr="007B5BE6">
        <w:t>. It</w:t>
      </w:r>
      <w:r w:rsidR="00324F62" w:rsidRPr="007B5BE6">
        <w:t xml:space="preserve"> reviews the current approach </w:t>
      </w:r>
      <w:r w:rsidR="000B29FF" w:rsidRPr="007B5BE6">
        <w:t>to addressing</w:t>
      </w:r>
      <w:r w:rsidR="005D0972" w:rsidRPr="007B5BE6">
        <w:t>,</w:t>
      </w:r>
      <w:r w:rsidR="000B29FF" w:rsidRPr="007B5BE6">
        <w:t xml:space="preserve"> </w:t>
      </w:r>
      <w:r w:rsidR="00324F62" w:rsidRPr="007B5BE6">
        <w:t xml:space="preserve">and responding </w:t>
      </w:r>
      <w:r w:rsidR="00135FD7" w:rsidRPr="007B5BE6">
        <w:t>to</w:t>
      </w:r>
      <w:r w:rsidR="005D0972" w:rsidRPr="007B5BE6">
        <w:t>,</w:t>
      </w:r>
      <w:r w:rsidR="00135FD7" w:rsidRPr="007B5BE6">
        <w:t xml:space="preserve"> </w:t>
      </w:r>
      <w:r w:rsidR="000B29FF" w:rsidRPr="007B5BE6">
        <w:t>the abuse of older Tasmanians</w:t>
      </w:r>
      <w:r w:rsidR="00324F62" w:rsidRPr="007B5BE6">
        <w:t xml:space="preserve"> under</w:t>
      </w:r>
      <w:r w:rsidR="0076100D" w:rsidRPr="007B5BE6">
        <w:t xml:space="preserve"> </w:t>
      </w:r>
      <w:r w:rsidR="00C81287" w:rsidRPr="007B5BE6">
        <w:t xml:space="preserve">both </w:t>
      </w:r>
      <w:r w:rsidR="00EB42EA" w:rsidRPr="007B5BE6">
        <w:t xml:space="preserve">the legal framework </w:t>
      </w:r>
      <w:r w:rsidR="004567E3" w:rsidRPr="007B5BE6">
        <w:t xml:space="preserve">and </w:t>
      </w:r>
      <w:r w:rsidR="0069648B" w:rsidRPr="007B5BE6">
        <w:t xml:space="preserve">service systems. </w:t>
      </w:r>
    </w:p>
    <w:p w14:paraId="1BB549C5" w14:textId="074B9667" w:rsidR="006041E5" w:rsidRPr="007B5BE6" w:rsidRDefault="006041E5" w:rsidP="005F7BEF">
      <w:pPr>
        <w:pStyle w:val="DotPointTLRI"/>
      </w:pPr>
      <w:r w:rsidRPr="007B5BE6">
        <w:rPr>
          <w:b/>
          <w:bCs/>
        </w:rPr>
        <w:t>Part 4</w:t>
      </w:r>
      <w:r w:rsidR="00116845" w:rsidRPr="007B5BE6">
        <w:t xml:space="preserve"> identifies </w:t>
      </w:r>
      <w:r w:rsidR="00BD182B" w:rsidRPr="007B5BE6">
        <w:t>gaps in the current legal framework and</w:t>
      </w:r>
      <w:r w:rsidR="004A2F7D" w:rsidRPr="007B5BE6">
        <w:t xml:space="preserve"> implications for safeguarding against the abuse of older </w:t>
      </w:r>
      <w:r w:rsidR="002817BC" w:rsidRPr="007B5BE6">
        <w:t>Tasmanians</w:t>
      </w:r>
      <w:r w:rsidR="004567E3" w:rsidRPr="007B5BE6">
        <w:t xml:space="preserve">, </w:t>
      </w:r>
      <w:r w:rsidR="00BD182B" w:rsidRPr="007B5BE6">
        <w:t>outlin</w:t>
      </w:r>
      <w:r w:rsidR="004567E3" w:rsidRPr="007B5BE6">
        <w:t>ing</w:t>
      </w:r>
      <w:r w:rsidR="00BD182B" w:rsidRPr="007B5BE6">
        <w:t xml:space="preserve"> </w:t>
      </w:r>
      <w:r w:rsidR="004567E3" w:rsidRPr="007B5BE6">
        <w:t>the TLRI’s</w:t>
      </w:r>
      <w:r w:rsidR="00012705" w:rsidRPr="007B5BE6">
        <w:t xml:space="preserve"> views and</w:t>
      </w:r>
      <w:r w:rsidR="00BD182B" w:rsidRPr="007B5BE6">
        <w:t xml:space="preserve"> recommendation</w:t>
      </w:r>
      <w:r w:rsidR="00012705" w:rsidRPr="007B5BE6">
        <w:t>s to address th</w:t>
      </w:r>
      <w:r w:rsidR="00743D3F" w:rsidRPr="007B5BE6">
        <w:t>ese</w:t>
      </w:r>
      <w:r w:rsidR="00012705" w:rsidRPr="007B5BE6">
        <w:t xml:space="preserve"> gap</w:t>
      </w:r>
      <w:r w:rsidR="003E7930" w:rsidRPr="007B5BE6">
        <w:t>s</w:t>
      </w:r>
      <w:r w:rsidR="00012705" w:rsidRPr="007B5BE6">
        <w:t xml:space="preserve"> by providing</w:t>
      </w:r>
      <w:r w:rsidR="00BD182B" w:rsidRPr="007B5BE6">
        <w:t xml:space="preserve"> for an overarching </w:t>
      </w:r>
      <w:r w:rsidR="009A2EA7" w:rsidRPr="007B5BE6">
        <w:t>legislative response</w:t>
      </w:r>
      <w:r w:rsidR="00012705" w:rsidRPr="007B5BE6">
        <w:t xml:space="preserve"> to safeguarding</w:t>
      </w:r>
      <w:r w:rsidR="009A2EA7" w:rsidRPr="007B5BE6">
        <w:t>.</w:t>
      </w:r>
    </w:p>
    <w:p w14:paraId="58B26986" w14:textId="04AD39D4" w:rsidR="006041E5" w:rsidRPr="007B5BE6" w:rsidRDefault="006041E5" w:rsidP="005F7BEF">
      <w:pPr>
        <w:pStyle w:val="DotPointTLRI"/>
        <w:rPr>
          <w:b/>
        </w:rPr>
        <w:sectPr w:rsidR="006041E5" w:rsidRPr="007B5BE6" w:rsidSect="006041E5">
          <w:headerReference w:type="even" r:id="rId19"/>
          <w:headerReference w:type="default" r:id="rId20"/>
          <w:pgSz w:w="11906" w:h="16838"/>
          <w:pgMar w:top="1440" w:right="1440" w:bottom="1440" w:left="1440" w:header="708" w:footer="708" w:gutter="0"/>
          <w:pgNumType w:start="1"/>
          <w:cols w:space="708"/>
          <w:docGrid w:linePitch="360"/>
        </w:sectPr>
      </w:pPr>
      <w:r w:rsidRPr="007B5BE6">
        <w:rPr>
          <w:b/>
          <w:bCs/>
        </w:rPr>
        <w:t>Part 5</w:t>
      </w:r>
      <w:r w:rsidRPr="007B5BE6">
        <w:t xml:space="preserve"> </w:t>
      </w:r>
      <w:r w:rsidR="004567E3" w:rsidRPr="007B5BE6">
        <w:t>presents the</w:t>
      </w:r>
      <w:r w:rsidR="00DC5DF8" w:rsidRPr="007B5BE6">
        <w:t xml:space="preserve"> TLRI’s views and recommendations regarding reforms to </w:t>
      </w:r>
      <w:r w:rsidR="006612E5" w:rsidRPr="007B5BE6">
        <w:t xml:space="preserve">address </w:t>
      </w:r>
      <w:r w:rsidR="00183204" w:rsidRPr="007B5BE6">
        <w:t xml:space="preserve">additional </w:t>
      </w:r>
      <w:r w:rsidR="006612E5" w:rsidRPr="007B5BE6">
        <w:t xml:space="preserve">gaps </w:t>
      </w:r>
      <w:r w:rsidR="00743D3F" w:rsidRPr="007B5BE6">
        <w:t xml:space="preserve">identified </w:t>
      </w:r>
      <w:r w:rsidR="006612E5" w:rsidRPr="007B5BE6">
        <w:t xml:space="preserve">in existing </w:t>
      </w:r>
      <w:r w:rsidR="009D1368" w:rsidRPr="007B5BE6">
        <w:t>substantive Tasmanian</w:t>
      </w:r>
      <w:r w:rsidR="00A043A1" w:rsidRPr="007B5BE6">
        <w:t xml:space="preserve"> </w:t>
      </w:r>
      <w:r w:rsidR="00064B8A" w:rsidRPr="007B5BE6">
        <w:t>laws</w:t>
      </w:r>
      <w:r w:rsidR="0024296C" w:rsidRPr="007B5BE6">
        <w:t xml:space="preserve"> under the current legal framework</w:t>
      </w:r>
      <w:r w:rsidR="00064B8A" w:rsidRPr="007B5BE6">
        <w:t>.</w:t>
      </w:r>
      <w:r w:rsidR="006612E5" w:rsidRPr="007B5BE6">
        <w:t xml:space="preserve"> </w:t>
      </w:r>
    </w:p>
    <w:p w14:paraId="66CEF68E" w14:textId="77777777" w:rsidR="005711EC" w:rsidRPr="007B5BE6" w:rsidRDefault="00586187" w:rsidP="00A52525">
      <w:pPr>
        <w:pStyle w:val="PartNoTLRI"/>
      </w:pPr>
      <w:r w:rsidRPr="007B5BE6">
        <w:lastRenderedPageBreak/>
        <w:t xml:space="preserve"> </w:t>
      </w:r>
      <w:bookmarkStart w:id="20" w:name="_Toc212561715"/>
      <w:bookmarkEnd w:id="20"/>
    </w:p>
    <w:p w14:paraId="05D82F39" w14:textId="1BB73F4D" w:rsidR="00030CE7" w:rsidRPr="007B5BE6" w:rsidRDefault="00964813" w:rsidP="00A52525">
      <w:pPr>
        <w:pStyle w:val="PartHeadingTLRI"/>
      </w:pPr>
      <w:bookmarkStart w:id="21" w:name="_Toc212561716"/>
      <w:r w:rsidRPr="007B5BE6">
        <w:t xml:space="preserve">The </w:t>
      </w:r>
      <w:r w:rsidR="00BD32CB" w:rsidRPr="007B5BE6">
        <w:t>N</w:t>
      </w:r>
      <w:r w:rsidR="000E487A" w:rsidRPr="007B5BE6">
        <w:t>ature</w:t>
      </w:r>
      <w:r w:rsidR="00030CE7" w:rsidRPr="007B5BE6">
        <w:t xml:space="preserve"> of </w:t>
      </w:r>
      <w:r w:rsidR="00BD32CB" w:rsidRPr="007B5BE6">
        <w:t>A</w:t>
      </w:r>
      <w:r w:rsidR="00030CE7" w:rsidRPr="007B5BE6">
        <w:t>buse</w:t>
      </w:r>
      <w:r w:rsidRPr="007B5BE6">
        <w:t xml:space="preserve"> of </w:t>
      </w:r>
      <w:r w:rsidR="00BD32CB" w:rsidRPr="007B5BE6">
        <w:t>O</w:t>
      </w:r>
      <w:r w:rsidRPr="007B5BE6">
        <w:t xml:space="preserve">lder </w:t>
      </w:r>
      <w:r w:rsidR="00BD32CB" w:rsidRPr="007B5BE6">
        <w:t>P</w:t>
      </w:r>
      <w:r w:rsidRPr="007B5BE6">
        <w:t>eople</w:t>
      </w:r>
      <w:bookmarkEnd w:id="21"/>
    </w:p>
    <w:p w14:paraId="343770A0" w14:textId="10417578" w:rsidR="00030CE7" w:rsidRPr="007B5BE6" w:rsidRDefault="00030CE7" w:rsidP="00744D17">
      <w:pPr>
        <w:pStyle w:val="NumberedHeadingTLRI"/>
      </w:pPr>
      <w:bookmarkStart w:id="22" w:name="_Toc212561717"/>
      <w:r w:rsidRPr="007B5BE6">
        <w:t>Introduction</w:t>
      </w:r>
      <w:bookmarkEnd w:id="22"/>
      <w:r w:rsidRPr="007B5BE6">
        <w:t xml:space="preserve"> </w:t>
      </w:r>
    </w:p>
    <w:p w14:paraId="34C788C2" w14:textId="6A46335C" w:rsidR="00F4548F" w:rsidRPr="007B5BE6" w:rsidRDefault="00464E9D" w:rsidP="000846C7">
      <w:pPr>
        <w:pStyle w:val="NormalNumberedTextTLRI"/>
      </w:pPr>
      <w:r w:rsidRPr="007B5BE6">
        <w:rPr>
          <w:b/>
          <w:bCs/>
        </w:rPr>
        <w:t>Part 2</w:t>
      </w:r>
      <w:r w:rsidRPr="007B5BE6">
        <w:t xml:space="preserve"> </w:t>
      </w:r>
      <w:r w:rsidR="00B558D0" w:rsidRPr="007B5BE6">
        <w:t xml:space="preserve">provides </w:t>
      </w:r>
      <w:r w:rsidR="008A74C1" w:rsidRPr="007B5BE6">
        <w:t>context for the TLRI’s research</w:t>
      </w:r>
      <w:r w:rsidR="00870A22" w:rsidRPr="007B5BE6">
        <w:t xml:space="preserve"> on the abuse of older Tasmanians,</w:t>
      </w:r>
      <w:r w:rsidR="00EC6CFA" w:rsidRPr="007B5BE6">
        <w:t xml:space="preserve"> </w:t>
      </w:r>
      <w:r w:rsidR="00B558D0" w:rsidRPr="007B5BE6">
        <w:t xml:space="preserve">by explaining </w:t>
      </w:r>
      <w:r w:rsidR="00337811" w:rsidRPr="007B5BE6">
        <w:t>the nature of</w:t>
      </w:r>
      <w:r w:rsidR="00B558D0" w:rsidRPr="007B5BE6">
        <w:t xml:space="preserve"> </w:t>
      </w:r>
      <w:r w:rsidR="00870A22" w:rsidRPr="007B5BE6">
        <w:t>abuse of older people</w:t>
      </w:r>
      <w:r w:rsidR="002B176F" w:rsidRPr="007B5BE6">
        <w:t xml:space="preserve">, </w:t>
      </w:r>
      <w:r w:rsidR="00337811" w:rsidRPr="007B5BE6">
        <w:t xml:space="preserve">including </w:t>
      </w:r>
      <w:r w:rsidR="00CE4684" w:rsidRPr="007B5BE6">
        <w:t xml:space="preserve">definitions and </w:t>
      </w:r>
      <w:r w:rsidR="00964813" w:rsidRPr="007B5BE6">
        <w:t>types of abuse</w:t>
      </w:r>
      <w:r w:rsidR="00CE4684" w:rsidRPr="007B5BE6">
        <w:t>, prevalence</w:t>
      </w:r>
      <w:r w:rsidR="009A2E04" w:rsidRPr="007B5BE6">
        <w:t xml:space="preserve"> </w:t>
      </w:r>
      <w:r w:rsidR="00EB3E2E" w:rsidRPr="007B5BE6">
        <w:t xml:space="preserve">and </w:t>
      </w:r>
      <w:r w:rsidR="00337811" w:rsidRPr="007B5BE6">
        <w:t>dynamics</w:t>
      </w:r>
      <w:r w:rsidR="001668A0" w:rsidRPr="007B5BE6">
        <w:t xml:space="preserve"> </w:t>
      </w:r>
      <w:r w:rsidR="00901BF9" w:rsidRPr="007B5BE6">
        <w:t>of</w:t>
      </w:r>
      <w:r w:rsidR="001668A0" w:rsidRPr="007B5BE6">
        <w:t xml:space="preserve"> abuse, and</w:t>
      </w:r>
      <w:r w:rsidR="002B176F" w:rsidRPr="007B5BE6">
        <w:t xml:space="preserve"> risk factors associated with abuse and help-seeking</w:t>
      </w:r>
      <w:r w:rsidR="00583AFB" w:rsidRPr="007B5BE6">
        <w:t xml:space="preserve"> by older people or others</w:t>
      </w:r>
      <w:r w:rsidR="0073003B" w:rsidRPr="007B5BE6">
        <w:t>. It draws on recent key international and national research that has informed an emerging understanding of the phenomenon of the abuse of older people and contributes to this evidence-base by presenting insights on the nature of abuse of older people in the Tasmanian context</w:t>
      </w:r>
      <w:r w:rsidR="003D4F4A" w:rsidRPr="007B5BE6">
        <w:t>. This is</w:t>
      </w:r>
      <w:r w:rsidR="0073003B" w:rsidRPr="007B5BE6">
        <w:t xml:space="preserve"> drawn from analys</w:t>
      </w:r>
      <w:r w:rsidR="00A37EC0" w:rsidRPr="007B5BE6">
        <w:t>e</w:t>
      </w:r>
      <w:r w:rsidR="0073003B" w:rsidRPr="007B5BE6">
        <w:t xml:space="preserve">s of data made available to the TLRI </w:t>
      </w:r>
      <w:r w:rsidR="003D4F4A" w:rsidRPr="007B5BE6">
        <w:t xml:space="preserve">from the </w:t>
      </w:r>
      <w:r w:rsidR="00E50C5D" w:rsidRPr="007B5BE6">
        <w:t xml:space="preserve">Tasmanian Elder Abuse Helpline (‘the Helpline’) </w:t>
      </w:r>
      <w:r w:rsidR="00C0724B" w:rsidRPr="007B5BE6">
        <w:t>and</w:t>
      </w:r>
      <w:r w:rsidR="008E04A4" w:rsidRPr="007B5BE6">
        <w:t xml:space="preserve"> </w:t>
      </w:r>
      <w:r w:rsidR="00C74FA9" w:rsidRPr="007B5BE6">
        <w:t xml:space="preserve">Tasmania Legal Aid’s Senior Assist program (‘Senior Assist’) </w:t>
      </w:r>
      <w:r w:rsidR="00235B9E" w:rsidRPr="007B5BE6">
        <w:t xml:space="preserve">and data from stakeholder interviews, </w:t>
      </w:r>
      <w:r w:rsidR="008E04A4" w:rsidRPr="007B5BE6">
        <w:t>as well as publicly available information</w:t>
      </w:r>
      <w:r w:rsidR="00235B9E" w:rsidRPr="007B5BE6">
        <w:t>.</w:t>
      </w:r>
      <w:r w:rsidR="008E04A4" w:rsidRPr="007B5BE6">
        <w:t xml:space="preserve"> </w:t>
      </w:r>
    </w:p>
    <w:p w14:paraId="5BE29393" w14:textId="089C1908" w:rsidR="00030CE7" w:rsidRPr="007B5BE6" w:rsidRDefault="00796698" w:rsidP="00744D17">
      <w:pPr>
        <w:pStyle w:val="NumberedHeadingTLRI"/>
      </w:pPr>
      <w:bookmarkStart w:id="23" w:name="_Toc212561718"/>
      <w:r w:rsidRPr="007B5BE6">
        <w:t>Definition and t</w:t>
      </w:r>
      <w:r w:rsidR="00030CE7" w:rsidRPr="007B5BE6">
        <w:t>ypes of abuse</w:t>
      </w:r>
      <w:bookmarkEnd w:id="23"/>
    </w:p>
    <w:p w14:paraId="3C271DE3" w14:textId="3FE05658" w:rsidR="008D28CF" w:rsidRPr="007B5BE6" w:rsidRDefault="007E7819" w:rsidP="000161E1">
      <w:pPr>
        <w:pStyle w:val="NormalNumberedTextTLRI"/>
      </w:pPr>
      <w:r w:rsidRPr="007B5BE6">
        <w:t xml:space="preserve">An increased awareness of the abuse of older people, both nationally and internationally, has </w:t>
      </w:r>
      <w:r w:rsidR="00814D39" w:rsidRPr="007B5BE6">
        <w:t xml:space="preserve">been reflected in attempts to </w:t>
      </w:r>
      <w:r w:rsidR="00353E7E" w:rsidRPr="007B5BE6">
        <w:t xml:space="preserve">describe </w:t>
      </w:r>
      <w:r w:rsidR="00937B11" w:rsidRPr="007B5BE6">
        <w:t>what is meant by elder abuse</w:t>
      </w:r>
      <w:r w:rsidR="008B54B4" w:rsidRPr="007B5BE6">
        <w:t xml:space="preserve">. </w:t>
      </w:r>
      <w:r w:rsidR="001D7DE8" w:rsidRPr="007B5BE6">
        <w:t xml:space="preserve">Although </w:t>
      </w:r>
      <w:r w:rsidR="00C470AD" w:rsidRPr="007B5BE6">
        <w:t>a</w:t>
      </w:r>
      <w:r w:rsidR="002A3C16" w:rsidRPr="007B5BE6">
        <w:t xml:space="preserve">greement on a </w:t>
      </w:r>
      <w:r w:rsidR="00C470AD" w:rsidRPr="007B5BE6">
        <w:t>precise definition has been problematic, o</w:t>
      </w:r>
      <w:r w:rsidR="008B54B4" w:rsidRPr="007B5BE6">
        <w:t xml:space="preserve">ver time, </w:t>
      </w:r>
      <w:r w:rsidR="00D52C8D" w:rsidRPr="007B5BE6">
        <w:t xml:space="preserve">the </w:t>
      </w:r>
      <w:r w:rsidR="00553912" w:rsidRPr="007B5BE6">
        <w:t>definition</w:t>
      </w:r>
      <w:r w:rsidR="00D52C8D" w:rsidRPr="007B5BE6">
        <w:t xml:space="preserve"> </w:t>
      </w:r>
      <w:r w:rsidR="00553912" w:rsidRPr="007B5BE6">
        <w:t>developed</w:t>
      </w:r>
      <w:r w:rsidR="00D52C8D" w:rsidRPr="007B5BE6">
        <w:t xml:space="preserve"> by the World Health Organi</w:t>
      </w:r>
      <w:r w:rsidR="00E835CC" w:rsidRPr="007B5BE6">
        <w:t>z</w:t>
      </w:r>
      <w:r w:rsidR="00D52C8D" w:rsidRPr="007B5BE6">
        <w:t xml:space="preserve">ation </w:t>
      </w:r>
      <w:r w:rsidR="00B420D9" w:rsidRPr="007B5BE6">
        <w:t xml:space="preserve">(‘WHO’) </w:t>
      </w:r>
      <w:r w:rsidR="00D52C8D" w:rsidRPr="007B5BE6">
        <w:t xml:space="preserve">has been </w:t>
      </w:r>
      <w:r w:rsidR="00643B52" w:rsidRPr="007B5BE6">
        <w:t xml:space="preserve">commonly accepted </w:t>
      </w:r>
      <w:r w:rsidR="00D52C8D" w:rsidRPr="007B5BE6">
        <w:t xml:space="preserve">as a </w:t>
      </w:r>
      <w:r w:rsidR="00643B52" w:rsidRPr="007B5BE6">
        <w:t>definition of elder abuse</w:t>
      </w:r>
      <w:r w:rsidR="00553912" w:rsidRPr="007B5BE6">
        <w:t>.</w:t>
      </w:r>
      <w:r w:rsidR="00C470AD" w:rsidRPr="007B5BE6">
        <w:rPr>
          <w:rStyle w:val="FootnoteReference"/>
        </w:rPr>
        <w:footnoteReference w:id="33"/>
      </w:r>
      <w:r w:rsidR="00553912" w:rsidRPr="007B5BE6">
        <w:t xml:space="preserve"> </w:t>
      </w:r>
      <w:r w:rsidR="007E58B7" w:rsidRPr="007B5BE6">
        <w:t>This describe</w:t>
      </w:r>
      <w:r w:rsidR="002A3C16" w:rsidRPr="007B5BE6">
        <w:t>s</w:t>
      </w:r>
      <w:r w:rsidR="007E58B7" w:rsidRPr="007B5BE6">
        <w:t xml:space="preserve"> elder abuse as</w:t>
      </w:r>
      <w:r w:rsidR="00880CB5" w:rsidRPr="007B5BE6">
        <w:t xml:space="preserve"> </w:t>
      </w:r>
      <w:r w:rsidR="005810C0" w:rsidRPr="007B5BE6">
        <w:t>‘</w:t>
      </w:r>
      <w:r w:rsidR="00643B52" w:rsidRPr="007B5BE6">
        <w:t>a single, or repeated act, or lack of appropriate action, occurring within any relationship where there is an expectation of trust which causes harm or distress to an older person</w:t>
      </w:r>
      <w:r w:rsidR="005810C0" w:rsidRPr="007B5BE6">
        <w:t>’</w:t>
      </w:r>
      <w:r w:rsidR="00643B52" w:rsidRPr="007B5BE6">
        <w:t>.</w:t>
      </w:r>
      <w:r w:rsidR="00D47EAA" w:rsidRPr="007B5BE6">
        <w:rPr>
          <w:rStyle w:val="FootnoteReference"/>
        </w:rPr>
        <w:footnoteReference w:id="34"/>
      </w:r>
      <w:r w:rsidR="00643B52" w:rsidRPr="007B5BE6">
        <w:t xml:space="preserve"> </w:t>
      </w:r>
      <w:r w:rsidR="00CA03FF" w:rsidRPr="007B5BE6">
        <w:t>Consens</w:t>
      </w:r>
      <w:r w:rsidR="00BD0654" w:rsidRPr="007B5BE6">
        <w:t>us</w:t>
      </w:r>
      <w:r w:rsidR="00ED4D48" w:rsidRPr="007B5BE6">
        <w:t xml:space="preserve"> as</w:t>
      </w:r>
      <w:r w:rsidR="00AA6F01" w:rsidRPr="007B5BE6">
        <w:t xml:space="preserve"> to a</w:t>
      </w:r>
      <w:r w:rsidR="00BA2A1F" w:rsidRPr="007B5BE6">
        <w:t>n accepted</w:t>
      </w:r>
      <w:r w:rsidR="00AA6F01" w:rsidRPr="007B5BE6">
        <w:t xml:space="preserve"> </w:t>
      </w:r>
      <w:r w:rsidR="00BA2A1F" w:rsidRPr="007B5BE6">
        <w:t>broad</w:t>
      </w:r>
      <w:r w:rsidR="00AA6F01" w:rsidRPr="007B5BE6">
        <w:t xml:space="preserve"> </w:t>
      </w:r>
      <w:r w:rsidR="00BA2A1F" w:rsidRPr="007B5BE6">
        <w:t xml:space="preserve">definition has been </w:t>
      </w:r>
      <w:r w:rsidR="00ED4D48" w:rsidRPr="007B5BE6">
        <w:t>an important step in developing an evidence base</w:t>
      </w:r>
      <w:r w:rsidR="00AA6F01" w:rsidRPr="007B5BE6">
        <w:t xml:space="preserve"> about elder abuse</w:t>
      </w:r>
      <w:r w:rsidR="00BA2A1F" w:rsidRPr="007B5BE6">
        <w:t xml:space="preserve">, and </w:t>
      </w:r>
      <w:r w:rsidR="00BD0654" w:rsidRPr="007B5BE6">
        <w:t xml:space="preserve">has </w:t>
      </w:r>
      <w:r w:rsidR="006C2EB2" w:rsidRPr="007B5BE6">
        <w:t>inform</w:t>
      </w:r>
      <w:r w:rsidR="00BD0654" w:rsidRPr="007B5BE6">
        <w:t xml:space="preserve">ed </w:t>
      </w:r>
      <w:r w:rsidR="00812717" w:rsidRPr="007B5BE6">
        <w:t>a wid</w:t>
      </w:r>
      <w:r w:rsidR="00BD0654" w:rsidRPr="007B5BE6">
        <w:t xml:space="preserve">e </w:t>
      </w:r>
      <w:r w:rsidR="006C2EB2" w:rsidRPr="007B5BE6">
        <w:t>range</w:t>
      </w:r>
      <w:r w:rsidR="00812717" w:rsidRPr="007B5BE6">
        <w:t xml:space="preserve"> of policy </w:t>
      </w:r>
      <w:r w:rsidR="006C2EB2" w:rsidRPr="007B5BE6">
        <w:t>responses</w:t>
      </w:r>
      <w:r w:rsidR="005810C0" w:rsidRPr="007B5BE6">
        <w:t>; however</w:t>
      </w:r>
      <w:r w:rsidR="00FF1D30" w:rsidRPr="007B5BE6">
        <w:t>,</w:t>
      </w:r>
      <w:r w:rsidR="005810C0" w:rsidRPr="007B5BE6">
        <w:t xml:space="preserve"> this is not a legal definition</w:t>
      </w:r>
      <w:r w:rsidR="006C2EB2" w:rsidRPr="007B5BE6" w:rsidDel="005810C0">
        <w:t>.</w:t>
      </w:r>
      <w:r w:rsidR="00ED4D48" w:rsidRPr="007B5BE6">
        <w:t xml:space="preserve"> </w:t>
      </w:r>
      <w:r w:rsidR="007E58B7" w:rsidRPr="007B5BE6">
        <w:t>As noted by the A</w:t>
      </w:r>
      <w:r w:rsidR="00FF1D30" w:rsidRPr="007B5BE6">
        <w:t>ustralian Law Reform Commission (‘A</w:t>
      </w:r>
      <w:r w:rsidR="007E58B7" w:rsidRPr="007B5BE6">
        <w:t>LRC</w:t>
      </w:r>
      <w:r w:rsidR="00FF1D30" w:rsidRPr="007B5BE6">
        <w:t>’)</w:t>
      </w:r>
      <w:r w:rsidR="007E58B7" w:rsidRPr="007B5BE6">
        <w:t xml:space="preserve">, this definition </w:t>
      </w:r>
      <w:r w:rsidR="00070900" w:rsidRPr="007B5BE6">
        <w:t>‘is used across a range of government and non-government bodies in Australia’</w:t>
      </w:r>
      <w:r w:rsidR="00171EA4" w:rsidRPr="007B5BE6">
        <w:rPr>
          <w:rStyle w:val="FootnoteReference"/>
        </w:rPr>
        <w:footnoteReference w:id="35"/>
      </w:r>
      <w:r w:rsidR="00070900" w:rsidRPr="007B5BE6">
        <w:t xml:space="preserve"> and </w:t>
      </w:r>
      <w:r w:rsidR="007E58B7" w:rsidRPr="007B5BE6">
        <w:t>has been adopted in the national and Tasmanian policy framework</w:t>
      </w:r>
      <w:r w:rsidR="00070900" w:rsidRPr="007B5BE6">
        <w:t>.</w:t>
      </w:r>
      <w:r w:rsidR="00070900" w:rsidRPr="007B5BE6">
        <w:rPr>
          <w:rStyle w:val="FootnoteReference"/>
        </w:rPr>
        <w:footnoteReference w:id="36"/>
      </w:r>
      <w:r w:rsidR="002A3C16" w:rsidRPr="007B5BE6">
        <w:t xml:space="preserve"> </w:t>
      </w:r>
    </w:p>
    <w:p w14:paraId="412C6334" w14:textId="79D5949A" w:rsidR="00796698" w:rsidRPr="007B5BE6" w:rsidRDefault="00892A20" w:rsidP="005F7BEF">
      <w:pPr>
        <w:pStyle w:val="NormalNumberedTextTLRI"/>
      </w:pPr>
      <w:r w:rsidRPr="007B5BE6">
        <w:t>A</w:t>
      </w:r>
      <w:r w:rsidR="00380D76" w:rsidRPr="007B5BE6">
        <w:t xml:space="preserve">buse of older people </w:t>
      </w:r>
      <w:r w:rsidRPr="007B5BE6">
        <w:t>is</w:t>
      </w:r>
      <w:r w:rsidR="00380D76" w:rsidRPr="007B5BE6">
        <w:t xml:space="preserve"> a</w:t>
      </w:r>
      <w:r w:rsidR="00C74D2C" w:rsidRPr="007B5BE6">
        <w:t xml:space="preserve"> serious health and social issue with potentially severe </w:t>
      </w:r>
      <w:r w:rsidR="006104FF" w:rsidRPr="007B5BE6">
        <w:t xml:space="preserve">physical </w:t>
      </w:r>
      <w:r w:rsidR="00C74D2C" w:rsidRPr="007B5BE6">
        <w:t>emotional</w:t>
      </w:r>
      <w:r w:rsidR="006104FF" w:rsidRPr="007B5BE6">
        <w:t xml:space="preserve"> and social impacts on older people (as well as their families and communities). It happens due to a mix of</w:t>
      </w:r>
      <w:r w:rsidR="00F143F8" w:rsidRPr="007B5BE6">
        <w:t xml:space="preserve"> personal, relationship, community </w:t>
      </w:r>
      <w:r w:rsidR="00F32E22" w:rsidRPr="007B5BE6">
        <w:t>and</w:t>
      </w:r>
      <w:r w:rsidR="00F143F8" w:rsidRPr="007B5BE6">
        <w:t xml:space="preserve"> </w:t>
      </w:r>
      <w:r w:rsidR="00F32E22" w:rsidRPr="007B5BE6">
        <w:t>societal</w:t>
      </w:r>
      <w:r w:rsidR="00F143F8" w:rsidRPr="007B5BE6">
        <w:t xml:space="preserve"> </w:t>
      </w:r>
      <w:r w:rsidR="00F32E22" w:rsidRPr="007B5BE6">
        <w:t>factors</w:t>
      </w:r>
      <w:r w:rsidR="00101F3E" w:rsidRPr="007B5BE6">
        <w:t>,</w:t>
      </w:r>
      <w:r w:rsidR="00F47E96" w:rsidRPr="007B5BE6">
        <w:t xml:space="preserve"> </w:t>
      </w:r>
      <w:r w:rsidR="00430CB3" w:rsidRPr="007B5BE6">
        <w:t xml:space="preserve">and in </w:t>
      </w:r>
      <w:r w:rsidR="00F47E96" w:rsidRPr="007B5BE6">
        <w:t xml:space="preserve">a wide range of circumstances, </w:t>
      </w:r>
      <w:r w:rsidR="00101F3E" w:rsidRPr="007B5BE6">
        <w:t xml:space="preserve">some of </w:t>
      </w:r>
      <w:r w:rsidR="00F47E96" w:rsidRPr="007B5BE6">
        <w:t xml:space="preserve">which </w:t>
      </w:r>
      <w:r w:rsidR="007E6B66" w:rsidRPr="007B5BE6">
        <w:t>may also amount to domestic and family violence.</w:t>
      </w:r>
      <w:r w:rsidR="00571799" w:rsidRPr="007B5BE6">
        <w:t xml:space="preserve"> It </w:t>
      </w:r>
      <w:r w:rsidR="00CB4ECD" w:rsidRPr="007B5BE6">
        <w:t xml:space="preserve">can be difficult to </w:t>
      </w:r>
      <w:r w:rsidR="00CB4ECD" w:rsidRPr="007B5BE6">
        <w:lastRenderedPageBreak/>
        <w:t>identify because any older person can be at risk and there is no ‘single type of person’ who may be a perpetrator</w:t>
      </w:r>
      <w:r w:rsidR="00F32E22" w:rsidRPr="007B5BE6">
        <w:t>.</w:t>
      </w:r>
      <w:r w:rsidR="00D47EAA" w:rsidRPr="007B5BE6">
        <w:rPr>
          <w:rStyle w:val="FootnoteReference"/>
        </w:rPr>
        <w:footnoteReference w:id="37"/>
      </w:r>
      <w:r w:rsidR="0073003B" w:rsidRPr="007B5BE6" w:rsidDel="0073003B">
        <w:t xml:space="preserve"> </w:t>
      </w:r>
    </w:p>
    <w:p w14:paraId="1E444300" w14:textId="02332197" w:rsidR="00030CE7" w:rsidRPr="007B5BE6" w:rsidRDefault="00030CE7" w:rsidP="0073003B">
      <w:pPr>
        <w:pStyle w:val="NormalNumberedTextTLRI"/>
      </w:pPr>
      <w:r w:rsidRPr="007B5BE6">
        <w:t xml:space="preserve">Abuse </w:t>
      </w:r>
      <w:r w:rsidR="00FC292A" w:rsidRPr="007B5BE6">
        <w:t xml:space="preserve">of older people </w:t>
      </w:r>
      <w:r w:rsidRPr="007B5BE6">
        <w:t>can encompass a wide range of</w:t>
      </w:r>
      <w:r w:rsidR="009762DC" w:rsidRPr="007B5BE6">
        <w:t xml:space="preserve"> </w:t>
      </w:r>
      <w:r w:rsidRPr="007B5BE6">
        <w:t>behaviours</w:t>
      </w:r>
      <w:r w:rsidR="007458CA" w:rsidRPr="007B5BE6">
        <w:t xml:space="preserve"> that </w:t>
      </w:r>
      <w:r w:rsidR="00D95325" w:rsidRPr="007B5BE6">
        <w:t>potentially</w:t>
      </w:r>
      <w:r w:rsidR="007458CA" w:rsidRPr="007B5BE6">
        <w:t xml:space="preserve"> overlap in </w:t>
      </w:r>
      <w:r w:rsidR="00D95325" w:rsidRPr="007B5BE6">
        <w:t>individual cases</w:t>
      </w:r>
      <w:r w:rsidR="009E0E03" w:rsidRPr="007B5BE6">
        <w:t xml:space="preserve">. It can </w:t>
      </w:r>
      <w:r w:rsidR="00FC292A" w:rsidRPr="007B5BE6">
        <w:t xml:space="preserve">be deliberate or unintentional. </w:t>
      </w:r>
      <w:r w:rsidR="007F4113" w:rsidRPr="007B5BE6">
        <w:t xml:space="preserve">It </w:t>
      </w:r>
      <w:r w:rsidR="0008178B" w:rsidRPr="007B5BE6">
        <w:t xml:space="preserve">can </w:t>
      </w:r>
      <w:r w:rsidR="009E0E03" w:rsidRPr="007B5BE6">
        <w:t xml:space="preserve">occur </w:t>
      </w:r>
      <w:r w:rsidR="00FC292A" w:rsidRPr="007B5BE6">
        <w:t>once</w:t>
      </w:r>
      <w:r w:rsidR="009E0E03" w:rsidRPr="007B5BE6">
        <w:t xml:space="preserve"> or </w:t>
      </w:r>
      <w:r w:rsidR="00FC292A" w:rsidRPr="007B5BE6">
        <w:t>on repeated occasions</w:t>
      </w:r>
      <w:r w:rsidR="00D73A35" w:rsidRPr="007B5BE6">
        <w:t xml:space="preserve">. The forms of abuse experienced by older people </w:t>
      </w:r>
      <w:r w:rsidR="0006259F" w:rsidRPr="007B5BE6">
        <w:t xml:space="preserve">are </w:t>
      </w:r>
      <w:r w:rsidRPr="007B5BE6">
        <w:t>not limited to</w:t>
      </w:r>
      <w:r w:rsidR="00755C2C" w:rsidRPr="007B5BE6">
        <w:t xml:space="preserve"> </w:t>
      </w:r>
      <w:r w:rsidRPr="007B5BE6">
        <w:t>physical abuse</w:t>
      </w:r>
      <w:r w:rsidR="007F4113" w:rsidRPr="007B5BE6">
        <w:t>.</w:t>
      </w:r>
      <w:r w:rsidR="008F23CA" w:rsidRPr="007B5BE6">
        <w:rPr>
          <w:rStyle w:val="FootnoteReference"/>
        </w:rPr>
        <w:footnoteReference w:id="38"/>
      </w:r>
      <w:r w:rsidR="007F4113" w:rsidRPr="007B5BE6">
        <w:t xml:space="preserve"> Other forms of abuse experienced by older people </w:t>
      </w:r>
      <w:r w:rsidR="001E0544" w:rsidRPr="007B5BE6">
        <w:t xml:space="preserve">(as well as physical abuse) </w:t>
      </w:r>
      <w:r w:rsidR="007F4113" w:rsidRPr="007B5BE6">
        <w:t xml:space="preserve">are </w:t>
      </w:r>
      <w:r w:rsidRPr="007B5BE6">
        <w:t>sexual abuse, psychological or emotional abuse, financial abuse, neglect, social abuse, spiritual abuse, cultural abuse and coercive control.</w:t>
      </w:r>
      <w:r w:rsidR="004A640D" w:rsidRPr="007B5BE6">
        <w:rPr>
          <w:rStyle w:val="FootnoteReference"/>
        </w:rPr>
        <w:footnoteReference w:id="39"/>
      </w:r>
      <w:r w:rsidRPr="007B5BE6">
        <w:t xml:space="preserve"> Table </w:t>
      </w:r>
      <w:r w:rsidR="00286920" w:rsidRPr="007B5BE6">
        <w:t>2</w:t>
      </w:r>
      <w:r w:rsidR="006756FA" w:rsidRPr="007B5BE6">
        <w:t>.</w:t>
      </w:r>
      <w:r w:rsidR="00286920" w:rsidRPr="007B5BE6">
        <w:t>1</w:t>
      </w:r>
      <w:r w:rsidRPr="007B5BE6">
        <w:t xml:space="preserve"> provides a brief description and some examples of these types of abuse.</w:t>
      </w:r>
      <w:r w:rsidR="009C0A4B" w:rsidRPr="007B5BE6">
        <w:rPr>
          <w:rStyle w:val="FootnoteReference"/>
        </w:rPr>
        <w:footnoteReference w:id="40"/>
      </w:r>
    </w:p>
    <w:p w14:paraId="3BCB0D40" w14:textId="0BDF787A" w:rsidR="00030CE7" w:rsidRPr="007B5BE6" w:rsidRDefault="00030CE7" w:rsidP="00BB7987">
      <w:pPr>
        <w:spacing w:before="240" w:after="240"/>
      </w:pPr>
      <w:r w:rsidRPr="007B5BE6">
        <w:rPr>
          <w:b/>
          <w:bCs/>
        </w:rPr>
        <w:t xml:space="preserve">Table </w:t>
      </w:r>
      <w:r w:rsidR="00571799" w:rsidRPr="007B5BE6">
        <w:rPr>
          <w:b/>
          <w:bCs/>
        </w:rPr>
        <w:t>2</w:t>
      </w:r>
      <w:r w:rsidR="00A80014" w:rsidRPr="007B5BE6">
        <w:rPr>
          <w:b/>
          <w:bCs/>
        </w:rPr>
        <w:t>.</w:t>
      </w:r>
      <w:r w:rsidR="00571799" w:rsidRPr="007B5BE6">
        <w:rPr>
          <w:b/>
          <w:bCs/>
        </w:rPr>
        <w:t>1</w:t>
      </w:r>
      <w:r w:rsidR="00AC4220" w:rsidRPr="007B5BE6">
        <w:rPr>
          <w:b/>
          <w:bCs/>
        </w:rPr>
        <w:t>:</w:t>
      </w:r>
      <w:r w:rsidRPr="007B5BE6">
        <w:t xml:space="preserve"> </w:t>
      </w:r>
      <w:r w:rsidR="00FC0DA2" w:rsidRPr="007B5BE6">
        <w:rPr>
          <w:b/>
          <w:bCs/>
        </w:rPr>
        <w:t>Abuse of older people: abuse t</w:t>
      </w:r>
      <w:r w:rsidRPr="007B5BE6">
        <w:rPr>
          <w:b/>
          <w:bCs/>
        </w:rPr>
        <w:t>ype, brief description and examples</w:t>
      </w:r>
      <w:r w:rsidR="00094D78" w:rsidRPr="007B5BE6">
        <w:rPr>
          <w:rStyle w:val="FootnoteReference"/>
          <w:b/>
          <w:bCs/>
        </w:rPr>
        <w:footnoteReference w:id="41"/>
      </w:r>
      <w:r w:rsidRPr="007B5BE6">
        <w:t xml:space="preserve"> </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3544"/>
        <w:gridCol w:w="3497"/>
      </w:tblGrid>
      <w:tr w:rsidR="00030CE7" w:rsidRPr="007B5BE6" w14:paraId="13D3D2B2" w14:textId="77777777" w:rsidTr="004800B0">
        <w:trPr>
          <w:trHeight w:val="588"/>
          <w:tblHeader/>
        </w:trPr>
        <w:tc>
          <w:tcPr>
            <w:tcW w:w="1985" w:type="dxa"/>
            <w:tcBorders>
              <w:top w:val="single" w:sz="8" w:space="0" w:color="auto"/>
              <w:bottom w:val="single" w:sz="8" w:space="0" w:color="auto"/>
            </w:tcBorders>
            <w:shd w:val="clear" w:color="auto" w:fill="FFFFFF" w:themeFill="background1"/>
            <w:vAlign w:val="center"/>
          </w:tcPr>
          <w:p w14:paraId="77C81734" w14:textId="77777777" w:rsidR="00030CE7" w:rsidRPr="007B5BE6" w:rsidRDefault="00030CE7" w:rsidP="00AC4220">
            <w:pPr>
              <w:jc w:val="left"/>
              <w:rPr>
                <w:b/>
                <w:bCs/>
                <w:color w:val="000000" w:themeColor="text1"/>
                <w:sz w:val="20"/>
                <w:szCs w:val="20"/>
              </w:rPr>
            </w:pPr>
            <w:r w:rsidRPr="007B5BE6">
              <w:rPr>
                <w:b/>
                <w:bCs/>
                <w:color w:val="000000" w:themeColor="text1"/>
                <w:sz w:val="20"/>
                <w:szCs w:val="20"/>
              </w:rPr>
              <w:t>Abuse type</w:t>
            </w:r>
          </w:p>
        </w:tc>
        <w:tc>
          <w:tcPr>
            <w:tcW w:w="3544" w:type="dxa"/>
            <w:tcBorders>
              <w:top w:val="single" w:sz="8" w:space="0" w:color="auto"/>
              <w:bottom w:val="single" w:sz="8" w:space="0" w:color="auto"/>
            </w:tcBorders>
            <w:shd w:val="clear" w:color="auto" w:fill="FFFFFF" w:themeFill="background1"/>
            <w:vAlign w:val="center"/>
          </w:tcPr>
          <w:p w14:paraId="522F269E" w14:textId="77777777" w:rsidR="00030CE7" w:rsidRPr="007B5BE6" w:rsidRDefault="00030CE7" w:rsidP="00AC4220">
            <w:pPr>
              <w:jc w:val="left"/>
              <w:rPr>
                <w:b/>
                <w:bCs/>
                <w:color w:val="000000" w:themeColor="text1"/>
                <w:sz w:val="20"/>
                <w:szCs w:val="20"/>
              </w:rPr>
            </w:pPr>
            <w:r w:rsidRPr="007B5BE6">
              <w:rPr>
                <w:b/>
                <w:bCs/>
                <w:color w:val="000000" w:themeColor="text1"/>
                <w:sz w:val="20"/>
                <w:szCs w:val="20"/>
              </w:rPr>
              <w:t xml:space="preserve">Brief description </w:t>
            </w:r>
          </w:p>
        </w:tc>
        <w:tc>
          <w:tcPr>
            <w:tcW w:w="3497" w:type="dxa"/>
            <w:tcBorders>
              <w:top w:val="single" w:sz="8" w:space="0" w:color="auto"/>
              <w:bottom w:val="single" w:sz="8" w:space="0" w:color="auto"/>
            </w:tcBorders>
            <w:shd w:val="clear" w:color="auto" w:fill="FFFFFF" w:themeFill="background1"/>
            <w:vAlign w:val="center"/>
          </w:tcPr>
          <w:p w14:paraId="75E957A2" w14:textId="77777777" w:rsidR="00030CE7" w:rsidRPr="007B5BE6" w:rsidRDefault="00030CE7" w:rsidP="00AC4220">
            <w:pPr>
              <w:jc w:val="left"/>
              <w:rPr>
                <w:b/>
                <w:bCs/>
                <w:color w:val="000000" w:themeColor="text1"/>
                <w:sz w:val="20"/>
                <w:szCs w:val="20"/>
              </w:rPr>
            </w:pPr>
            <w:r w:rsidRPr="007B5BE6">
              <w:rPr>
                <w:b/>
                <w:bCs/>
                <w:color w:val="000000" w:themeColor="text1"/>
                <w:sz w:val="20"/>
                <w:szCs w:val="20"/>
              </w:rPr>
              <w:t>Examples</w:t>
            </w:r>
          </w:p>
        </w:tc>
      </w:tr>
      <w:tr w:rsidR="00030CE7" w:rsidRPr="007B5BE6" w14:paraId="60CFA7F6" w14:textId="77777777" w:rsidTr="004800B0">
        <w:tc>
          <w:tcPr>
            <w:tcW w:w="1985" w:type="dxa"/>
            <w:tcBorders>
              <w:top w:val="single" w:sz="8" w:space="0" w:color="auto"/>
            </w:tcBorders>
          </w:tcPr>
          <w:p w14:paraId="4046BF6B" w14:textId="77777777" w:rsidR="00030CE7" w:rsidRPr="007B5BE6" w:rsidRDefault="00030CE7" w:rsidP="004C0361">
            <w:pPr>
              <w:jc w:val="left"/>
              <w:rPr>
                <w:sz w:val="20"/>
                <w:szCs w:val="20"/>
              </w:rPr>
            </w:pPr>
            <w:r w:rsidRPr="007B5BE6">
              <w:rPr>
                <w:sz w:val="20"/>
                <w:szCs w:val="20"/>
              </w:rPr>
              <w:t xml:space="preserve">Physical </w:t>
            </w:r>
          </w:p>
        </w:tc>
        <w:tc>
          <w:tcPr>
            <w:tcW w:w="3544" w:type="dxa"/>
            <w:tcBorders>
              <w:top w:val="single" w:sz="8" w:space="0" w:color="auto"/>
            </w:tcBorders>
          </w:tcPr>
          <w:p w14:paraId="752A5405" w14:textId="696A6611" w:rsidR="00030CE7" w:rsidRPr="007B5BE6" w:rsidRDefault="00030CE7" w:rsidP="00C36293">
            <w:pPr>
              <w:jc w:val="left"/>
              <w:rPr>
                <w:sz w:val="20"/>
                <w:szCs w:val="20"/>
              </w:rPr>
            </w:pPr>
            <w:r w:rsidRPr="007B5BE6">
              <w:rPr>
                <w:sz w:val="20"/>
                <w:szCs w:val="20"/>
              </w:rPr>
              <w:t>An act that causes physical pain or injury, including hitting, pushing</w:t>
            </w:r>
            <w:r w:rsidR="00D265E6" w:rsidRPr="007B5BE6">
              <w:rPr>
                <w:sz w:val="20"/>
                <w:szCs w:val="20"/>
              </w:rPr>
              <w:t>,</w:t>
            </w:r>
            <w:r w:rsidRPr="007B5BE6">
              <w:rPr>
                <w:sz w:val="20"/>
                <w:szCs w:val="20"/>
              </w:rPr>
              <w:t xml:space="preserve"> kicking</w:t>
            </w:r>
            <w:r w:rsidR="00D265E6" w:rsidRPr="007B5BE6">
              <w:rPr>
                <w:sz w:val="20"/>
                <w:szCs w:val="20"/>
              </w:rPr>
              <w:t xml:space="preserve">, or </w:t>
            </w:r>
            <w:r w:rsidRPr="007B5BE6">
              <w:rPr>
                <w:sz w:val="20"/>
                <w:szCs w:val="20"/>
              </w:rPr>
              <w:t>inappropriate use of drugs or physical restraints. At the extreme, it can cause death.</w:t>
            </w:r>
          </w:p>
        </w:tc>
        <w:tc>
          <w:tcPr>
            <w:tcW w:w="3497" w:type="dxa"/>
            <w:tcBorders>
              <w:top w:val="single" w:sz="8" w:space="0" w:color="auto"/>
            </w:tcBorders>
          </w:tcPr>
          <w:p w14:paraId="73E63016" w14:textId="31DA852D" w:rsidR="00030CE7" w:rsidRPr="007B5BE6" w:rsidRDefault="00030CE7" w:rsidP="00C36293">
            <w:pPr>
              <w:jc w:val="left"/>
              <w:rPr>
                <w:sz w:val="20"/>
                <w:szCs w:val="20"/>
              </w:rPr>
            </w:pPr>
            <w:r w:rsidRPr="007B5BE6">
              <w:rPr>
                <w:sz w:val="20"/>
                <w:szCs w:val="20"/>
              </w:rPr>
              <w:t>Murder, physical assault and other forms of assault (</w:t>
            </w:r>
            <w:r w:rsidR="00413820" w:rsidRPr="007B5BE6">
              <w:rPr>
                <w:sz w:val="20"/>
                <w:szCs w:val="20"/>
              </w:rPr>
              <w:t>such as</w:t>
            </w:r>
            <w:r w:rsidRPr="007B5BE6">
              <w:rPr>
                <w:sz w:val="20"/>
                <w:szCs w:val="20"/>
              </w:rPr>
              <w:t xml:space="preserve"> locking someone in a room)</w:t>
            </w:r>
            <w:r w:rsidR="003B7910" w:rsidRPr="007B5BE6">
              <w:rPr>
                <w:sz w:val="20"/>
                <w:szCs w:val="20"/>
              </w:rPr>
              <w:t>,</w:t>
            </w:r>
            <w:r w:rsidRPr="007B5BE6">
              <w:rPr>
                <w:sz w:val="20"/>
                <w:szCs w:val="20"/>
              </w:rPr>
              <w:t xml:space="preserve"> </w:t>
            </w:r>
            <w:r w:rsidR="00F72581" w:rsidRPr="007B5BE6">
              <w:rPr>
                <w:sz w:val="20"/>
                <w:szCs w:val="20"/>
              </w:rPr>
              <w:t xml:space="preserve">or </w:t>
            </w:r>
            <w:r w:rsidRPr="007B5BE6">
              <w:rPr>
                <w:sz w:val="20"/>
                <w:szCs w:val="20"/>
              </w:rPr>
              <w:t>giving more than the prescribed dose of medication without consent.</w:t>
            </w:r>
          </w:p>
        </w:tc>
      </w:tr>
      <w:tr w:rsidR="00030CE7" w:rsidRPr="007B5BE6" w14:paraId="138E3C18" w14:textId="77777777" w:rsidTr="00E71698">
        <w:tc>
          <w:tcPr>
            <w:tcW w:w="1985" w:type="dxa"/>
          </w:tcPr>
          <w:p w14:paraId="196B7ED5" w14:textId="77777777" w:rsidR="00030CE7" w:rsidRPr="007B5BE6" w:rsidRDefault="00030CE7" w:rsidP="00C36293">
            <w:pPr>
              <w:jc w:val="left"/>
              <w:rPr>
                <w:sz w:val="20"/>
                <w:szCs w:val="20"/>
              </w:rPr>
            </w:pPr>
            <w:r w:rsidRPr="007B5BE6">
              <w:rPr>
                <w:sz w:val="20"/>
                <w:szCs w:val="20"/>
              </w:rPr>
              <w:t xml:space="preserve">Sexual </w:t>
            </w:r>
          </w:p>
        </w:tc>
        <w:tc>
          <w:tcPr>
            <w:tcW w:w="3544" w:type="dxa"/>
          </w:tcPr>
          <w:p w14:paraId="4BED6B86" w14:textId="645EB803" w:rsidR="00030CE7" w:rsidRPr="007B5BE6" w:rsidRDefault="00030CE7" w:rsidP="00C36293">
            <w:pPr>
              <w:jc w:val="left"/>
              <w:rPr>
                <w:sz w:val="20"/>
                <w:szCs w:val="20"/>
              </w:rPr>
            </w:pPr>
            <w:r w:rsidRPr="007B5BE6">
              <w:rPr>
                <w:sz w:val="20"/>
                <w:szCs w:val="20"/>
              </w:rPr>
              <w:t>Any sexual behaviour without a person’s consent, including sexual contact or interactions, non-contact acts of a sexual nature</w:t>
            </w:r>
            <w:r w:rsidR="00572AD8" w:rsidRPr="007B5BE6">
              <w:rPr>
                <w:sz w:val="20"/>
                <w:szCs w:val="20"/>
              </w:rPr>
              <w:t>,</w:t>
            </w:r>
            <w:r w:rsidRPr="007B5BE6">
              <w:rPr>
                <w:sz w:val="20"/>
                <w:szCs w:val="20"/>
              </w:rPr>
              <w:t xml:space="preserve"> or sexually exploitative behaviour.</w:t>
            </w:r>
          </w:p>
        </w:tc>
        <w:tc>
          <w:tcPr>
            <w:tcW w:w="3497" w:type="dxa"/>
          </w:tcPr>
          <w:p w14:paraId="6E42CBB8" w14:textId="5093499D" w:rsidR="00030CE7" w:rsidRPr="007B5BE6" w:rsidRDefault="00030CE7" w:rsidP="00C36293">
            <w:pPr>
              <w:jc w:val="left"/>
              <w:rPr>
                <w:sz w:val="20"/>
                <w:szCs w:val="20"/>
              </w:rPr>
            </w:pPr>
            <w:r w:rsidRPr="007B5BE6">
              <w:rPr>
                <w:sz w:val="20"/>
                <w:szCs w:val="20"/>
              </w:rPr>
              <w:t xml:space="preserve">Rape, inappropriate touching, sexually offensive language, </w:t>
            </w:r>
            <w:r w:rsidR="003B7910" w:rsidRPr="007B5BE6">
              <w:rPr>
                <w:sz w:val="20"/>
                <w:szCs w:val="20"/>
              </w:rPr>
              <w:t xml:space="preserve">or </w:t>
            </w:r>
            <w:r w:rsidRPr="007B5BE6">
              <w:rPr>
                <w:sz w:val="20"/>
                <w:szCs w:val="20"/>
              </w:rPr>
              <w:t xml:space="preserve">exposure to sexually explicit material </w:t>
            </w:r>
            <w:r w:rsidR="00413820" w:rsidRPr="007B5BE6">
              <w:rPr>
                <w:sz w:val="20"/>
                <w:szCs w:val="20"/>
              </w:rPr>
              <w:t>(</w:t>
            </w:r>
            <w:r w:rsidRPr="007B5BE6">
              <w:rPr>
                <w:sz w:val="20"/>
                <w:szCs w:val="20"/>
              </w:rPr>
              <w:t>such as pornography</w:t>
            </w:r>
            <w:r w:rsidR="00413820" w:rsidRPr="007B5BE6">
              <w:rPr>
                <w:sz w:val="20"/>
                <w:szCs w:val="20"/>
              </w:rPr>
              <w:t>)</w:t>
            </w:r>
            <w:r w:rsidRPr="007B5BE6">
              <w:rPr>
                <w:sz w:val="20"/>
                <w:szCs w:val="20"/>
              </w:rPr>
              <w:t>.</w:t>
            </w:r>
          </w:p>
        </w:tc>
      </w:tr>
      <w:tr w:rsidR="00030CE7" w:rsidRPr="007B5BE6" w14:paraId="328A3FDC" w14:textId="77777777" w:rsidTr="00E71698">
        <w:tc>
          <w:tcPr>
            <w:tcW w:w="1985" w:type="dxa"/>
          </w:tcPr>
          <w:p w14:paraId="52A42E13" w14:textId="08BB4978" w:rsidR="00030CE7" w:rsidRPr="007B5BE6" w:rsidRDefault="00030CE7" w:rsidP="00C36293">
            <w:pPr>
              <w:jc w:val="left"/>
              <w:rPr>
                <w:sz w:val="20"/>
                <w:szCs w:val="20"/>
              </w:rPr>
            </w:pPr>
            <w:r w:rsidRPr="007B5BE6">
              <w:rPr>
                <w:sz w:val="20"/>
                <w:szCs w:val="20"/>
              </w:rPr>
              <w:t>Psychological</w:t>
            </w:r>
            <w:r w:rsidR="00633D09" w:rsidRPr="007B5BE6">
              <w:rPr>
                <w:sz w:val="20"/>
                <w:szCs w:val="20"/>
              </w:rPr>
              <w:t>/E</w:t>
            </w:r>
            <w:r w:rsidRPr="007B5BE6">
              <w:rPr>
                <w:sz w:val="20"/>
                <w:szCs w:val="20"/>
              </w:rPr>
              <w:t xml:space="preserve">motional </w:t>
            </w:r>
          </w:p>
        </w:tc>
        <w:tc>
          <w:tcPr>
            <w:tcW w:w="3544" w:type="dxa"/>
          </w:tcPr>
          <w:p w14:paraId="7F886212" w14:textId="13FE2649" w:rsidR="00030CE7" w:rsidRPr="007B5BE6" w:rsidRDefault="00030CE7" w:rsidP="00C36293">
            <w:pPr>
              <w:jc w:val="left"/>
              <w:rPr>
                <w:sz w:val="20"/>
                <w:szCs w:val="20"/>
              </w:rPr>
            </w:pPr>
            <w:r w:rsidRPr="007B5BE6">
              <w:rPr>
                <w:sz w:val="20"/>
                <w:szCs w:val="20"/>
              </w:rPr>
              <w:t>An act that causes emotional pain or injury, including verbal abuse, insults or threats, acts of humiliation or disrespect, bullying</w:t>
            </w:r>
            <w:r w:rsidR="007A1B66" w:rsidRPr="007B5BE6">
              <w:rPr>
                <w:sz w:val="20"/>
                <w:szCs w:val="20"/>
              </w:rPr>
              <w:t xml:space="preserve">, </w:t>
            </w:r>
            <w:r w:rsidRPr="007B5BE6">
              <w:rPr>
                <w:sz w:val="20"/>
                <w:szCs w:val="20"/>
              </w:rPr>
              <w:t>harassment</w:t>
            </w:r>
            <w:r w:rsidR="00572AD8" w:rsidRPr="007B5BE6">
              <w:rPr>
                <w:sz w:val="20"/>
                <w:szCs w:val="20"/>
              </w:rPr>
              <w:t>,</w:t>
            </w:r>
            <w:r w:rsidRPr="007B5BE6">
              <w:rPr>
                <w:sz w:val="20"/>
                <w:szCs w:val="20"/>
              </w:rPr>
              <w:t xml:space="preserve"> or controlling behaviours</w:t>
            </w:r>
            <w:r w:rsidR="00633D09" w:rsidRPr="007B5BE6">
              <w:rPr>
                <w:sz w:val="20"/>
                <w:szCs w:val="20"/>
              </w:rPr>
              <w:t>,</w:t>
            </w:r>
            <w:r w:rsidRPr="007B5BE6">
              <w:rPr>
                <w:sz w:val="20"/>
                <w:szCs w:val="20"/>
              </w:rPr>
              <w:t xml:space="preserve"> like confining or isolating a person.</w:t>
            </w:r>
          </w:p>
        </w:tc>
        <w:tc>
          <w:tcPr>
            <w:tcW w:w="3497" w:type="dxa"/>
          </w:tcPr>
          <w:p w14:paraId="2E273E35" w14:textId="5212427E" w:rsidR="00030CE7" w:rsidRPr="007B5BE6" w:rsidRDefault="00030CE7" w:rsidP="00C36293">
            <w:pPr>
              <w:jc w:val="left"/>
              <w:rPr>
                <w:sz w:val="20"/>
                <w:szCs w:val="20"/>
              </w:rPr>
            </w:pPr>
            <w:r w:rsidRPr="007B5BE6">
              <w:rPr>
                <w:sz w:val="20"/>
                <w:szCs w:val="20"/>
              </w:rPr>
              <w:t>Treating an older person like a child, repeatedly telling them they have dementia, threatening to withdraw affection or to put them in a nursing home</w:t>
            </w:r>
            <w:r w:rsidR="00413820" w:rsidRPr="007B5BE6">
              <w:rPr>
                <w:sz w:val="20"/>
                <w:szCs w:val="20"/>
              </w:rPr>
              <w:t>,</w:t>
            </w:r>
            <w:r w:rsidRPr="007B5BE6">
              <w:rPr>
                <w:sz w:val="20"/>
                <w:szCs w:val="20"/>
              </w:rPr>
              <w:t xml:space="preserve"> or to disallow contact with grandchildren (also referred to as ‘grandparental alienation’).</w:t>
            </w:r>
            <w:r w:rsidR="00AA09A4" w:rsidRPr="007B5BE6">
              <w:rPr>
                <w:rStyle w:val="FootnoteReference"/>
                <w:sz w:val="20"/>
                <w:szCs w:val="20"/>
              </w:rPr>
              <w:footnoteReference w:id="42"/>
            </w:r>
          </w:p>
        </w:tc>
      </w:tr>
      <w:tr w:rsidR="00030CE7" w:rsidRPr="007B5BE6" w14:paraId="04628C4C" w14:textId="77777777" w:rsidTr="00E71698">
        <w:tc>
          <w:tcPr>
            <w:tcW w:w="1985" w:type="dxa"/>
          </w:tcPr>
          <w:p w14:paraId="7CC0B522" w14:textId="77777777" w:rsidR="00030CE7" w:rsidRPr="007B5BE6" w:rsidRDefault="00030CE7" w:rsidP="00C36293">
            <w:pPr>
              <w:jc w:val="left"/>
              <w:rPr>
                <w:sz w:val="20"/>
                <w:szCs w:val="20"/>
              </w:rPr>
            </w:pPr>
            <w:r w:rsidRPr="007B5BE6">
              <w:rPr>
                <w:sz w:val="20"/>
                <w:szCs w:val="20"/>
              </w:rPr>
              <w:t xml:space="preserve">Financial </w:t>
            </w:r>
          </w:p>
        </w:tc>
        <w:tc>
          <w:tcPr>
            <w:tcW w:w="3544" w:type="dxa"/>
          </w:tcPr>
          <w:p w14:paraId="07F1CDDE" w14:textId="180F8002" w:rsidR="00030CE7" w:rsidRPr="007B5BE6" w:rsidRDefault="00030CE7" w:rsidP="00C36293">
            <w:pPr>
              <w:jc w:val="left"/>
              <w:rPr>
                <w:sz w:val="20"/>
                <w:szCs w:val="20"/>
              </w:rPr>
            </w:pPr>
            <w:r w:rsidRPr="007B5BE6">
              <w:rPr>
                <w:sz w:val="20"/>
                <w:szCs w:val="20"/>
              </w:rPr>
              <w:t>Misuse or theft of money or assets, including using finances without permission, using a legal document outside its original purpose, withholding care for financial gain</w:t>
            </w:r>
            <w:r w:rsidR="000B5A6F" w:rsidRPr="007B5BE6">
              <w:rPr>
                <w:sz w:val="20"/>
                <w:szCs w:val="20"/>
              </w:rPr>
              <w:t>,</w:t>
            </w:r>
            <w:r w:rsidRPr="007B5BE6">
              <w:rPr>
                <w:sz w:val="20"/>
                <w:szCs w:val="20"/>
              </w:rPr>
              <w:t xml:space="preserve"> or selling or </w:t>
            </w:r>
            <w:r w:rsidRPr="007B5BE6">
              <w:rPr>
                <w:sz w:val="20"/>
                <w:szCs w:val="20"/>
              </w:rPr>
              <w:lastRenderedPageBreak/>
              <w:t xml:space="preserve">transferring property against a person’s wishes. </w:t>
            </w:r>
          </w:p>
        </w:tc>
        <w:tc>
          <w:tcPr>
            <w:tcW w:w="3497" w:type="dxa"/>
          </w:tcPr>
          <w:p w14:paraId="62738281" w14:textId="5A8BA9A1" w:rsidR="00030CE7" w:rsidRPr="007B5BE6" w:rsidRDefault="00030CE7" w:rsidP="00C36293">
            <w:pPr>
              <w:jc w:val="left"/>
              <w:rPr>
                <w:sz w:val="20"/>
                <w:szCs w:val="20"/>
              </w:rPr>
            </w:pPr>
            <w:r w:rsidRPr="007B5BE6">
              <w:rPr>
                <w:sz w:val="20"/>
                <w:szCs w:val="20"/>
              </w:rPr>
              <w:lastRenderedPageBreak/>
              <w:t xml:space="preserve">Abusing power of attorney documents, refusing to repay a loan, living with someone without helping to pay for expenses, failing to care for someone after agreeing to do so in exchange for </w:t>
            </w:r>
            <w:r w:rsidRPr="007B5BE6">
              <w:rPr>
                <w:sz w:val="20"/>
                <w:szCs w:val="20"/>
              </w:rPr>
              <w:lastRenderedPageBreak/>
              <w:t>money or property, forcing someone to sign a legal document</w:t>
            </w:r>
            <w:r w:rsidR="00C0459B" w:rsidRPr="007B5BE6">
              <w:rPr>
                <w:sz w:val="20"/>
                <w:szCs w:val="20"/>
              </w:rPr>
              <w:t xml:space="preserve"> (such as </w:t>
            </w:r>
            <w:r w:rsidRPr="007B5BE6">
              <w:rPr>
                <w:sz w:val="20"/>
                <w:szCs w:val="20"/>
              </w:rPr>
              <w:t>a will, contract or power of attorney</w:t>
            </w:r>
            <w:r w:rsidR="00C0459B" w:rsidRPr="007B5BE6">
              <w:rPr>
                <w:sz w:val="20"/>
                <w:szCs w:val="20"/>
              </w:rPr>
              <w:t>)</w:t>
            </w:r>
            <w:r w:rsidRPr="007B5BE6">
              <w:rPr>
                <w:sz w:val="20"/>
                <w:szCs w:val="20"/>
              </w:rPr>
              <w:t>, or coercive behaviours aimed at pressuring someone to share resources or transfer an asset earlier than planned or expected (often linked to a feeling of entitlement to these assets or resources, also referred to as ‘inheritance impatience’).</w:t>
            </w:r>
            <w:r w:rsidR="001A3CDD" w:rsidRPr="007B5BE6">
              <w:rPr>
                <w:rStyle w:val="FootnoteReference"/>
                <w:sz w:val="20"/>
                <w:szCs w:val="20"/>
              </w:rPr>
              <w:footnoteReference w:id="43"/>
            </w:r>
          </w:p>
        </w:tc>
      </w:tr>
      <w:tr w:rsidR="00030CE7" w:rsidRPr="007B5BE6" w14:paraId="69BBD1EC" w14:textId="77777777" w:rsidTr="00E71698">
        <w:tc>
          <w:tcPr>
            <w:tcW w:w="1985" w:type="dxa"/>
          </w:tcPr>
          <w:p w14:paraId="53ACF5A2" w14:textId="77777777" w:rsidR="00030CE7" w:rsidRPr="007B5BE6" w:rsidRDefault="00030CE7" w:rsidP="00C36293">
            <w:pPr>
              <w:jc w:val="left"/>
              <w:rPr>
                <w:sz w:val="20"/>
                <w:szCs w:val="20"/>
              </w:rPr>
            </w:pPr>
            <w:r w:rsidRPr="007B5BE6">
              <w:rPr>
                <w:sz w:val="20"/>
                <w:szCs w:val="20"/>
              </w:rPr>
              <w:lastRenderedPageBreak/>
              <w:t>Neglect</w:t>
            </w:r>
          </w:p>
        </w:tc>
        <w:tc>
          <w:tcPr>
            <w:tcW w:w="3544" w:type="dxa"/>
          </w:tcPr>
          <w:p w14:paraId="2D582045" w14:textId="31754380" w:rsidR="00030CE7" w:rsidRPr="007B5BE6" w:rsidRDefault="00030CE7" w:rsidP="00C36293">
            <w:pPr>
              <w:jc w:val="left"/>
              <w:rPr>
                <w:sz w:val="20"/>
                <w:szCs w:val="20"/>
              </w:rPr>
            </w:pPr>
            <w:r w:rsidRPr="007B5BE6">
              <w:rPr>
                <w:sz w:val="20"/>
                <w:szCs w:val="20"/>
              </w:rPr>
              <w:t>Failure to meet basic needs</w:t>
            </w:r>
            <w:r w:rsidR="00C0459B" w:rsidRPr="007B5BE6">
              <w:rPr>
                <w:sz w:val="20"/>
                <w:szCs w:val="20"/>
              </w:rPr>
              <w:t xml:space="preserve">, such as </w:t>
            </w:r>
            <w:r w:rsidRPr="007B5BE6">
              <w:rPr>
                <w:sz w:val="20"/>
                <w:szCs w:val="20"/>
              </w:rPr>
              <w:t>food, shelter/housing</w:t>
            </w:r>
            <w:r w:rsidR="00C0459B" w:rsidRPr="007B5BE6">
              <w:rPr>
                <w:sz w:val="20"/>
                <w:szCs w:val="20"/>
              </w:rPr>
              <w:t>,</w:t>
            </w:r>
            <w:r w:rsidRPr="007B5BE6">
              <w:rPr>
                <w:sz w:val="20"/>
                <w:szCs w:val="20"/>
              </w:rPr>
              <w:t xml:space="preserve"> and essential medical care.</w:t>
            </w:r>
          </w:p>
        </w:tc>
        <w:tc>
          <w:tcPr>
            <w:tcW w:w="3497" w:type="dxa"/>
          </w:tcPr>
          <w:p w14:paraId="28DAB76E" w14:textId="04A12AC3" w:rsidR="00030CE7" w:rsidRPr="007B5BE6" w:rsidRDefault="00030CE7" w:rsidP="00C36293">
            <w:pPr>
              <w:jc w:val="left"/>
              <w:rPr>
                <w:sz w:val="20"/>
                <w:szCs w:val="20"/>
              </w:rPr>
            </w:pPr>
            <w:r w:rsidRPr="007B5BE6">
              <w:rPr>
                <w:sz w:val="20"/>
                <w:szCs w:val="20"/>
              </w:rPr>
              <w:t xml:space="preserve">Not taking </w:t>
            </w:r>
            <w:r w:rsidR="004662A7" w:rsidRPr="007B5BE6">
              <w:rPr>
                <w:sz w:val="20"/>
                <w:szCs w:val="20"/>
              </w:rPr>
              <w:t>a person</w:t>
            </w:r>
            <w:r w:rsidRPr="007B5BE6">
              <w:rPr>
                <w:sz w:val="20"/>
                <w:szCs w:val="20"/>
              </w:rPr>
              <w:t xml:space="preserve"> to a doctor or withholding prescribed medication, starving </w:t>
            </w:r>
            <w:r w:rsidR="004662A7" w:rsidRPr="007B5BE6">
              <w:rPr>
                <w:sz w:val="20"/>
                <w:szCs w:val="20"/>
              </w:rPr>
              <w:t>a person</w:t>
            </w:r>
            <w:r w:rsidRPr="007B5BE6">
              <w:rPr>
                <w:sz w:val="20"/>
                <w:szCs w:val="20"/>
              </w:rPr>
              <w:t xml:space="preserve">, not ensuring basic hygiene </w:t>
            </w:r>
            <w:r w:rsidR="004662A7" w:rsidRPr="007B5BE6">
              <w:rPr>
                <w:sz w:val="20"/>
                <w:szCs w:val="20"/>
              </w:rPr>
              <w:t>(</w:t>
            </w:r>
            <w:r w:rsidRPr="007B5BE6">
              <w:rPr>
                <w:sz w:val="20"/>
                <w:szCs w:val="20"/>
              </w:rPr>
              <w:t>such as bathing and changing clothes</w:t>
            </w:r>
            <w:r w:rsidR="004662A7" w:rsidRPr="007B5BE6">
              <w:rPr>
                <w:sz w:val="20"/>
                <w:szCs w:val="20"/>
              </w:rPr>
              <w:t>) or</w:t>
            </w:r>
            <w:r w:rsidRPr="007B5BE6">
              <w:rPr>
                <w:sz w:val="20"/>
                <w:szCs w:val="20"/>
              </w:rPr>
              <w:t xml:space="preserve"> not providing adequate heating or cooling.</w:t>
            </w:r>
          </w:p>
        </w:tc>
      </w:tr>
      <w:tr w:rsidR="00030CE7" w:rsidRPr="007B5BE6" w14:paraId="1F38DF99" w14:textId="77777777" w:rsidTr="00E71698">
        <w:tc>
          <w:tcPr>
            <w:tcW w:w="1985" w:type="dxa"/>
          </w:tcPr>
          <w:p w14:paraId="65713834" w14:textId="77777777" w:rsidR="00030CE7" w:rsidRPr="007B5BE6" w:rsidRDefault="00030CE7" w:rsidP="00C36293">
            <w:pPr>
              <w:jc w:val="left"/>
              <w:rPr>
                <w:sz w:val="20"/>
                <w:szCs w:val="20"/>
              </w:rPr>
            </w:pPr>
            <w:r w:rsidRPr="007B5BE6">
              <w:rPr>
                <w:sz w:val="20"/>
                <w:szCs w:val="20"/>
              </w:rPr>
              <w:t xml:space="preserve">Social </w:t>
            </w:r>
          </w:p>
        </w:tc>
        <w:tc>
          <w:tcPr>
            <w:tcW w:w="3544" w:type="dxa"/>
          </w:tcPr>
          <w:p w14:paraId="43860B31" w14:textId="72F72C86" w:rsidR="00030CE7" w:rsidRPr="007B5BE6" w:rsidRDefault="00030CE7" w:rsidP="00C36293">
            <w:pPr>
              <w:jc w:val="left"/>
              <w:rPr>
                <w:sz w:val="20"/>
                <w:szCs w:val="20"/>
              </w:rPr>
            </w:pPr>
            <w:r w:rsidRPr="007B5BE6">
              <w:rPr>
                <w:sz w:val="20"/>
                <w:szCs w:val="20"/>
              </w:rPr>
              <w:t xml:space="preserve">Preventing a person from having social contact with friends or </w:t>
            </w:r>
            <w:r w:rsidR="0034023D" w:rsidRPr="007B5BE6">
              <w:rPr>
                <w:sz w:val="20"/>
                <w:szCs w:val="20"/>
              </w:rPr>
              <w:t>family or preventing</w:t>
            </w:r>
            <w:r w:rsidRPr="007B5BE6">
              <w:rPr>
                <w:sz w:val="20"/>
                <w:szCs w:val="20"/>
              </w:rPr>
              <w:t xml:space="preserve"> access to social activities.</w:t>
            </w:r>
          </w:p>
        </w:tc>
        <w:tc>
          <w:tcPr>
            <w:tcW w:w="3497" w:type="dxa"/>
          </w:tcPr>
          <w:p w14:paraId="08682AA6" w14:textId="3A63B6E8" w:rsidR="00030CE7" w:rsidRPr="007B5BE6" w:rsidRDefault="00030CE7" w:rsidP="00C36293">
            <w:pPr>
              <w:jc w:val="left"/>
              <w:rPr>
                <w:sz w:val="20"/>
                <w:szCs w:val="20"/>
              </w:rPr>
            </w:pPr>
            <w:r w:rsidRPr="007B5BE6">
              <w:rPr>
                <w:sz w:val="20"/>
                <w:szCs w:val="20"/>
              </w:rPr>
              <w:t xml:space="preserve">Moving </w:t>
            </w:r>
            <w:r w:rsidR="004662A7" w:rsidRPr="007B5BE6">
              <w:rPr>
                <w:sz w:val="20"/>
                <w:szCs w:val="20"/>
              </w:rPr>
              <w:t>a person</w:t>
            </w:r>
            <w:r w:rsidRPr="007B5BE6">
              <w:rPr>
                <w:sz w:val="20"/>
                <w:szCs w:val="20"/>
              </w:rPr>
              <w:t xml:space="preserve"> away from, or cutting support from, friends or family members, restricting telephone use or screening calls,</w:t>
            </w:r>
            <w:r w:rsidR="0034023D" w:rsidRPr="007B5BE6">
              <w:rPr>
                <w:sz w:val="20"/>
                <w:szCs w:val="20"/>
              </w:rPr>
              <w:t xml:space="preserve"> </w:t>
            </w:r>
            <w:r w:rsidRPr="007B5BE6">
              <w:rPr>
                <w:sz w:val="20"/>
                <w:szCs w:val="20"/>
              </w:rPr>
              <w:t>preventing them from socialising or meeting others</w:t>
            </w:r>
            <w:r w:rsidR="0034023D" w:rsidRPr="007B5BE6">
              <w:rPr>
                <w:sz w:val="20"/>
                <w:szCs w:val="20"/>
              </w:rPr>
              <w:t>,</w:t>
            </w:r>
            <w:r w:rsidRPr="007B5BE6">
              <w:rPr>
                <w:sz w:val="20"/>
                <w:szCs w:val="20"/>
              </w:rPr>
              <w:t xml:space="preserve"> or ‘gaslighting’.</w:t>
            </w:r>
          </w:p>
        </w:tc>
      </w:tr>
      <w:tr w:rsidR="00030CE7" w:rsidRPr="007B5BE6" w14:paraId="3D0C8451" w14:textId="77777777" w:rsidTr="00E71698">
        <w:tc>
          <w:tcPr>
            <w:tcW w:w="1985" w:type="dxa"/>
          </w:tcPr>
          <w:p w14:paraId="63E6BA62" w14:textId="08B17262" w:rsidR="00030CE7" w:rsidRPr="007B5BE6" w:rsidRDefault="00030CE7" w:rsidP="00C36293">
            <w:pPr>
              <w:jc w:val="left"/>
              <w:rPr>
                <w:sz w:val="20"/>
                <w:szCs w:val="20"/>
              </w:rPr>
            </w:pPr>
            <w:r w:rsidRPr="007B5BE6">
              <w:rPr>
                <w:sz w:val="20"/>
                <w:szCs w:val="20"/>
              </w:rPr>
              <w:t>Spiritual</w:t>
            </w:r>
            <w:r w:rsidR="001A3CDD" w:rsidRPr="007B5BE6">
              <w:rPr>
                <w:rStyle w:val="FootnoteReference"/>
                <w:sz w:val="20"/>
                <w:szCs w:val="20"/>
              </w:rPr>
              <w:footnoteReference w:id="44"/>
            </w:r>
            <w:r w:rsidRPr="007B5BE6">
              <w:rPr>
                <w:sz w:val="20"/>
                <w:szCs w:val="20"/>
              </w:rPr>
              <w:t xml:space="preserve"> </w:t>
            </w:r>
          </w:p>
        </w:tc>
        <w:tc>
          <w:tcPr>
            <w:tcW w:w="3544" w:type="dxa"/>
          </w:tcPr>
          <w:p w14:paraId="25893E95" w14:textId="73F473F5" w:rsidR="00030CE7" w:rsidRPr="007B5BE6" w:rsidRDefault="00030CE7" w:rsidP="00C36293">
            <w:pPr>
              <w:jc w:val="left"/>
              <w:rPr>
                <w:sz w:val="20"/>
                <w:szCs w:val="20"/>
              </w:rPr>
            </w:pPr>
            <w:r w:rsidRPr="007B5BE6">
              <w:rPr>
                <w:sz w:val="20"/>
                <w:szCs w:val="20"/>
              </w:rPr>
              <w:t>Denial</w:t>
            </w:r>
            <w:r w:rsidR="002669C7" w:rsidRPr="007B5BE6">
              <w:rPr>
                <w:sz w:val="20"/>
                <w:szCs w:val="20"/>
              </w:rPr>
              <w:t xml:space="preserve">, </w:t>
            </w:r>
            <w:r w:rsidRPr="007B5BE6">
              <w:rPr>
                <w:sz w:val="20"/>
                <w:szCs w:val="20"/>
              </w:rPr>
              <w:t>or use</w:t>
            </w:r>
            <w:r w:rsidR="002669C7" w:rsidRPr="007B5BE6">
              <w:rPr>
                <w:sz w:val="20"/>
                <w:szCs w:val="20"/>
              </w:rPr>
              <w:t>,</w:t>
            </w:r>
            <w:r w:rsidRPr="007B5BE6">
              <w:rPr>
                <w:sz w:val="20"/>
                <w:szCs w:val="20"/>
              </w:rPr>
              <w:t xml:space="preserve"> of spiritual beliefs and practices to control and dominate a person, damage their spiritual experience, and isolate them.</w:t>
            </w:r>
          </w:p>
        </w:tc>
        <w:tc>
          <w:tcPr>
            <w:tcW w:w="3497" w:type="dxa"/>
          </w:tcPr>
          <w:p w14:paraId="1D32B312" w14:textId="125357AD" w:rsidR="00030CE7" w:rsidRPr="007B5BE6" w:rsidRDefault="00030CE7" w:rsidP="00C36293">
            <w:pPr>
              <w:jc w:val="left"/>
              <w:rPr>
                <w:sz w:val="20"/>
                <w:szCs w:val="20"/>
              </w:rPr>
            </w:pPr>
            <w:r w:rsidRPr="007B5BE6">
              <w:rPr>
                <w:sz w:val="20"/>
                <w:szCs w:val="20"/>
              </w:rPr>
              <w:t xml:space="preserve">Forcing </w:t>
            </w:r>
            <w:r w:rsidR="002669C7" w:rsidRPr="007B5BE6">
              <w:rPr>
                <w:sz w:val="20"/>
                <w:szCs w:val="20"/>
              </w:rPr>
              <w:t xml:space="preserve">a person, </w:t>
            </w:r>
            <w:r w:rsidRPr="007B5BE6">
              <w:rPr>
                <w:sz w:val="20"/>
                <w:szCs w:val="20"/>
              </w:rPr>
              <w:t>or not allowing them to go</w:t>
            </w:r>
            <w:r w:rsidR="002669C7" w:rsidRPr="007B5BE6">
              <w:rPr>
                <w:sz w:val="20"/>
                <w:szCs w:val="20"/>
              </w:rPr>
              <w:t>,</w:t>
            </w:r>
            <w:r w:rsidRPr="007B5BE6">
              <w:rPr>
                <w:sz w:val="20"/>
                <w:szCs w:val="20"/>
              </w:rPr>
              <w:t xml:space="preserve"> to a place of worship, or a religious or spiritual gathering</w:t>
            </w:r>
            <w:r w:rsidR="002669C7" w:rsidRPr="007B5BE6">
              <w:rPr>
                <w:sz w:val="20"/>
                <w:szCs w:val="20"/>
              </w:rPr>
              <w:t>,</w:t>
            </w:r>
            <w:r w:rsidRPr="007B5BE6">
              <w:rPr>
                <w:sz w:val="20"/>
                <w:szCs w:val="20"/>
              </w:rPr>
              <w:t xml:space="preserve"> or making fun of </w:t>
            </w:r>
            <w:r w:rsidR="002669C7" w:rsidRPr="007B5BE6">
              <w:rPr>
                <w:sz w:val="20"/>
                <w:szCs w:val="20"/>
              </w:rPr>
              <w:t>a person</w:t>
            </w:r>
            <w:r w:rsidRPr="007B5BE6">
              <w:rPr>
                <w:sz w:val="20"/>
                <w:szCs w:val="20"/>
              </w:rPr>
              <w:t>’s religious or spiritual beliefs to undermine their identity.</w:t>
            </w:r>
          </w:p>
        </w:tc>
      </w:tr>
      <w:tr w:rsidR="00030CE7" w:rsidRPr="007B5BE6" w14:paraId="073B8EBA" w14:textId="77777777" w:rsidTr="00E71698">
        <w:tc>
          <w:tcPr>
            <w:tcW w:w="1985" w:type="dxa"/>
          </w:tcPr>
          <w:p w14:paraId="243CFBE8" w14:textId="14AC2615" w:rsidR="00030CE7" w:rsidRPr="007B5BE6" w:rsidRDefault="00030CE7" w:rsidP="00C36293">
            <w:pPr>
              <w:jc w:val="left"/>
              <w:rPr>
                <w:sz w:val="20"/>
                <w:szCs w:val="20"/>
              </w:rPr>
            </w:pPr>
            <w:r w:rsidRPr="007B5BE6">
              <w:rPr>
                <w:sz w:val="20"/>
                <w:szCs w:val="20"/>
              </w:rPr>
              <w:t>Cultural</w:t>
            </w:r>
            <w:r w:rsidR="001A3CDD" w:rsidRPr="007B5BE6">
              <w:rPr>
                <w:rStyle w:val="FootnoteReference"/>
                <w:sz w:val="20"/>
                <w:szCs w:val="20"/>
              </w:rPr>
              <w:footnoteReference w:id="45"/>
            </w:r>
            <w:r w:rsidRPr="007B5BE6">
              <w:rPr>
                <w:sz w:val="20"/>
                <w:szCs w:val="20"/>
              </w:rPr>
              <w:t xml:space="preserve"> </w:t>
            </w:r>
          </w:p>
        </w:tc>
        <w:tc>
          <w:tcPr>
            <w:tcW w:w="3544" w:type="dxa"/>
          </w:tcPr>
          <w:p w14:paraId="5298BD03" w14:textId="0E979EFA" w:rsidR="00030CE7" w:rsidRPr="007B5BE6" w:rsidRDefault="00030CE7" w:rsidP="00C36293">
            <w:pPr>
              <w:jc w:val="left"/>
              <w:rPr>
                <w:sz w:val="20"/>
                <w:szCs w:val="20"/>
              </w:rPr>
            </w:pPr>
            <w:r w:rsidRPr="007B5BE6">
              <w:rPr>
                <w:sz w:val="20"/>
                <w:szCs w:val="20"/>
              </w:rPr>
              <w:t>Abuse that can occur in the context of a person’s cultural identity, including regarding who they are or what they need. This may be forms of abuse experienced by older people, including but not limited to those who are First Nations older people and older people in CALD</w:t>
            </w:r>
            <w:r w:rsidR="00713511" w:rsidRPr="007B5BE6">
              <w:rPr>
                <w:sz w:val="20"/>
                <w:szCs w:val="20"/>
              </w:rPr>
              <w:t>,</w:t>
            </w:r>
            <w:r w:rsidR="001A3CDD" w:rsidRPr="007B5BE6">
              <w:rPr>
                <w:rStyle w:val="FootnoteReference"/>
                <w:sz w:val="20"/>
                <w:szCs w:val="20"/>
              </w:rPr>
              <w:footnoteReference w:id="46"/>
            </w:r>
            <w:r w:rsidRPr="007B5BE6">
              <w:rPr>
                <w:sz w:val="20"/>
                <w:szCs w:val="20"/>
              </w:rPr>
              <w:t xml:space="preserve"> and LGBT</w:t>
            </w:r>
            <w:r w:rsidR="00114631">
              <w:rPr>
                <w:sz w:val="20"/>
                <w:szCs w:val="20"/>
              </w:rPr>
              <w:t>I</w:t>
            </w:r>
            <w:r w:rsidRPr="007B5BE6">
              <w:rPr>
                <w:sz w:val="20"/>
                <w:szCs w:val="20"/>
              </w:rPr>
              <w:t>QA+</w:t>
            </w:r>
            <w:r w:rsidR="00713511" w:rsidRPr="007B5BE6">
              <w:rPr>
                <w:sz w:val="20"/>
                <w:szCs w:val="20"/>
              </w:rPr>
              <w:t>,</w:t>
            </w:r>
            <w:r w:rsidR="001A3CDD" w:rsidRPr="007B5BE6">
              <w:rPr>
                <w:rStyle w:val="FootnoteReference"/>
                <w:sz w:val="20"/>
                <w:szCs w:val="20"/>
              </w:rPr>
              <w:footnoteReference w:id="47"/>
            </w:r>
            <w:r w:rsidRPr="007B5BE6">
              <w:rPr>
                <w:sz w:val="20"/>
                <w:szCs w:val="20"/>
              </w:rPr>
              <w:t xml:space="preserve"> communities. </w:t>
            </w:r>
          </w:p>
        </w:tc>
        <w:tc>
          <w:tcPr>
            <w:tcW w:w="3497" w:type="dxa"/>
          </w:tcPr>
          <w:p w14:paraId="4897EBBD" w14:textId="77777777" w:rsidR="00030CE7" w:rsidRPr="007B5BE6" w:rsidRDefault="00030CE7" w:rsidP="00C36293">
            <w:pPr>
              <w:jc w:val="left"/>
              <w:rPr>
                <w:sz w:val="20"/>
                <w:szCs w:val="20"/>
              </w:rPr>
            </w:pPr>
            <w:r w:rsidRPr="007B5BE6">
              <w:rPr>
                <w:sz w:val="20"/>
                <w:szCs w:val="20"/>
              </w:rPr>
              <w:t xml:space="preserve">Abuse that can occur in the context of cultural obligations and responsibilities, such as grandparents sharing and maintaining family bonds. </w:t>
            </w:r>
          </w:p>
        </w:tc>
      </w:tr>
    </w:tbl>
    <w:p w14:paraId="13E65DAD" w14:textId="3DFDB9E9" w:rsidR="00030CE7" w:rsidRPr="007B5BE6" w:rsidRDefault="00030CE7" w:rsidP="00030CE7">
      <w:pPr>
        <w:pStyle w:val="NormalNumberedTextTLRI"/>
      </w:pPr>
      <w:r w:rsidRPr="007B5BE6">
        <w:lastRenderedPageBreak/>
        <w:t xml:space="preserve">An important concept regarding types of abuse of older people is ‘coercive control’. </w:t>
      </w:r>
      <w:r w:rsidR="009B5258" w:rsidRPr="007B5BE6">
        <w:t>Coercive control ‘can be used in isolation or in conjunction with other forms of abuse and is designed to make a person dependent by isolating them from support, exploiting them, depriving them of independence and regulating everyday behaviour’.</w:t>
      </w:r>
      <w:r w:rsidR="001A3CDD" w:rsidRPr="007B5BE6">
        <w:rPr>
          <w:rStyle w:val="FootnoteReference"/>
        </w:rPr>
        <w:footnoteReference w:id="48"/>
      </w:r>
      <w:r w:rsidR="009B5258" w:rsidRPr="007B5BE6">
        <w:t xml:space="preserve"> </w:t>
      </w:r>
      <w:r w:rsidR="00C446A8" w:rsidRPr="007B5BE6">
        <w:t xml:space="preserve">Coercive control is a pattern of behaviour that over time establishes and maintains power and dominance. </w:t>
      </w:r>
      <w:r w:rsidRPr="007B5BE6">
        <w:t xml:space="preserve">It can also be used as a way of perpetrating violence, abuse and mistreatment in relationships and </w:t>
      </w:r>
      <w:r w:rsidR="00C446A8" w:rsidRPr="007B5BE6">
        <w:t xml:space="preserve">other </w:t>
      </w:r>
      <w:r w:rsidRPr="007B5BE6">
        <w:t xml:space="preserve">settings. </w:t>
      </w:r>
      <w:r w:rsidR="00C446A8" w:rsidRPr="007B5BE6">
        <w:t xml:space="preserve">It </w:t>
      </w:r>
      <w:r w:rsidR="000B2E7B" w:rsidRPr="007B5BE6">
        <w:t xml:space="preserve">is now recognised as a form of </w:t>
      </w:r>
      <w:r w:rsidR="00E04F08" w:rsidRPr="007B5BE6">
        <w:t xml:space="preserve">family and </w:t>
      </w:r>
      <w:r w:rsidR="00C446A8" w:rsidRPr="007B5BE6">
        <w:t xml:space="preserve">domestic </w:t>
      </w:r>
      <w:r w:rsidR="009B1EFC" w:rsidRPr="007B5BE6">
        <w:t xml:space="preserve">violence </w:t>
      </w:r>
      <w:r w:rsidR="000B2E7B" w:rsidRPr="007B5BE6">
        <w:t xml:space="preserve">and a dynamic that underpins almost all forms of abuse and violence perpetrated in </w:t>
      </w:r>
      <w:r w:rsidR="00E04F08" w:rsidRPr="007B5BE6">
        <w:t xml:space="preserve">family and </w:t>
      </w:r>
      <w:r w:rsidR="000B2E7B" w:rsidRPr="007B5BE6">
        <w:t>domestic relationships.</w:t>
      </w:r>
      <w:r w:rsidR="00C901E1" w:rsidRPr="007B5BE6">
        <w:rPr>
          <w:rStyle w:val="FootnoteReference"/>
        </w:rPr>
        <w:footnoteReference w:id="49"/>
      </w:r>
      <w:r w:rsidR="00C446A8" w:rsidRPr="007B5BE6">
        <w:t xml:space="preserve"> This recognition is reflected by all Australian governments in adopting </w:t>
      </w:r>
      <w:r w:rsidR="00C446A8" w:rsidRPr="007B5BE6">
        <w:rPr>
          <w:i/>
          <w:iCs/>
        </w:rPr>
        <w:t>National Principles to Address Coercive Control in Family and Domestic Violence</w:t>
      </w:r>
      <w:r w:rsidR="00FA6735" w:rsidRPr="007B5BE6">
        <w:t>,</w:t>
      </w:r>
      <w:r w:rsidR="00535D23" w:rsidRPr="007B5BE6">
        <w:rPr>
          <w:rStyle w:val="FootnoteReference"/>
        </w:rPr>
        <w:footnoteReference w:id="50"/>
      </w:r>
      <w:r w:rsidR="00FA6735" w:rsidRPr="007B5BE6">
        <w:t xml:space="preserve"> and has led to law reform in some Australian jurisdictions, such as introduction of criminal offences of coercive control.</w:t>
      </w:r>
      <w:r w:rsidR="00850F53" w:rsidRPr="007B5BE6">
        <w:rPr>
          <w:rStyle w:val="FootnoteReference"/>
        </w:rPr>
        <w:footnoteReference w:id="51"/>
      </w:r>
    </w:p>
    <w:p w14:paraId="7737A1AC" w14:textId="705AEC78" w:rsidR="00900CCE" w:rsidRPr="007B5BE6" w:rsidRDefault="00900CCE" w:rsidP="00900CCE">
      <w:pPr>
        <w:pStyle w:val="NormalNumberedTextTLRI"/>
      </w:pPr>
      <w:r w:rsidRPr="007B5BE6">
        <w:t>Financial scams targeting older people is a developing area of concern as a form of financial abuse of older people, which ‘can be devastating … with financial losses leaving such persons in a precarious financial position with limited time to recoup losses.’</w:t>
      </w:r>
      <w:r w:rsidR="00850F53" w:rsidRPr="007B5BE6">
        <w:rPr>
          <w:rStyle w:val="FootnoteReference"/>
        </w:rPr>
        <w:footnoteReference w:id="52"/>
      </w:r>
      <w:r w:rsidRPr="007B5BE6">
        <w:t xml:space="preserve"> Examples may include:</w:t>
      </w:r>
    </w:p>
    <w:p w14:paraId="2C422BA3" w14:textId="3E0DCC1B" w:rsidR="00900CCE" w:rsidRPr="007B5BE6" w:rsidRDefault="00900CCE" w:rsidP="00900CCE">
      <w:pPr>
        <w:pStyle w:val="DotPointTLRI"/>
      </w:pPr>
      <w:r w:rsidRPr="007B5BE6">
        <w:t>consumer fraud, such as scams and other fraudulent and deceptive behaviour, which include ‘crimes of dishonesty such as forgery, counterfeiting, on-line deception, and theft that are targeted at people who seek to purchase goods and services’;</w:t>
      </w:r>
      <w:r w:rsidR="00850F53" w:rsidRPr="007B5BE6">
        <w:rPr>
          <w:rStyle w:val="FootnoteReference"/>
        </w:rPr>
        <w:footnoteReference w:id="53"/>
      </w:r>
    </w:p>
    <w:p w14:paraId="0190D247" w14:textId="77777777" w:rsidR="00900CCE" w:rsidRPr="007B5BE6" w:rsidRDefault="00900CCE" w:rsidP="00900CCE">
      <w:pPr>
        <w:pStyle w:val="DotPointTLRI"/>
      </w:pPr>
      <w:r w:rsidRPr="007B5BE6">
        <w:t xml:space="preserve">telephone and door-to-door scams, which older people living alone can be at risk of being drawn into; and </w:t>
      </w:r>
    </w:p>
    <w:p w14:paraId="2BDF9AE7" w14:textId="15C9D462" w:rsidR="00900CCE" w:rsidRPr="007B5BE6" w:rsidRDefault="00900CCE" w:rsidP="001A2685">
      <w:pPr>
        <w:pStyle w:val="DotPointTLRI"/>
        <w:spacing w:before="120" w:after="240"/>
      </w:pPr>
      <w:r w:rsidRPr="007B5BE6">
        <w:t>scams that particularly target older people</w:t>
      </w:r>
      <w:r w:rsidR="009F4A09" w:rsidRPr="007B5BE6">
        <w:t>,</w:t>
      </w:r>
      <w:r w:rsidRPr="007B5BE6">
        <w:t xml:space="preserve"> including ‘romance scams, business “opportunities” and opportunities to make extra money to supplement the pension’.</w:t>
      </w:r>
      <w:r w:rsidR="00850F53" w:rsidRPr="007B5BE6">
        <w:rPr>
          <w:rStyle w:val="FootnoteReference"/>
        </w:rPr>
        <w:footnoteReference w:id="54"/>
      </w:r>
    </w:p>
    <w:p w14:paraId="67E3CC49" w14:textId="657835D5" w:rsidR="005F5BEF" w:rsidRPr="007B5BE6" w:rsidRDefault="000D6B79" w:rsidP="001A2685">
      <w:pPr>
        <w:spacing w:before="120" w:after="240"/>
      </w:pPr>
      <w:r w:rsidRPr="007B5BE6">
        <w:t>Accordingly</w:t>
      </w:r>
      <w:r w:rsidR="00A74CE0" w:rsidRPr="007B5BE6">
        <w:t>, in th</w:t>
      </w:r>
      <w:r w:rsidR="00D15E7A" w:rsidRPr="007B5BE6">
        <w:t>is</w:t>
      </w:r>
      <w:r w:rsidR="00A74CE0" w:rsidRPr="007B5BE6">
        <w:t xml:space="preserve"> context</w:t>
      </w:r>
      <w:r w:rsidR="00D15E7A" w:rsidRPr="007B5BE6">
        <w:t xml:space="preserve">, </w:t>
      </w:r>
      <w:r w:rsidR="00A74CE0" w:rsidRPr="007B5BE6">
        <w:t xml:space="preserve">it has been recognised that </w:t>
      </w:r>
      <w:r w:rsidR="00D15E7A" w:rsidRPr="007B5BE6">
        <w:t xml:space="preserve">financial abuse </w:t>
      </w:r>
      <w:r w:rsidR="00A74CE0" w:rsidRPr="007B5BE6">
        <w:t>may also occur outside of family relationship or other relationships of trust</w:t>
      </w:r>
      <w:r w:rsidRPr="007B5BE6">
        <w:t>,</w:t>
      </w:r>
      <w:r w:rsidR="00A74CE0" w:rsidRPr="007B5BE6">
        <w:t xml:space="preserve"> given that ‘older people are often the targets of the fraudulent activity …</w:t>
      </w:r>
      <w:r w:rsidR="00A807B2" w:rsidRPr="007B5BE6">
        <w:t xml:space="preserve"> </w:t>
      </w:r>
      <w:r w:rsidR="00A74CE0" w:rsidRPr="007B5BE6">
        <w:t>through, for instance, consumer fraud, or via transactions involving other external organisations, such as a bank’</w:t>
      </w:r>
      <w:r w:rsidR="004345C3" w:rsidRPr="007B5BE6">
        <w:t>,</w:t>
      </w:r>
      <w:r w:rsidR="00850F53" w:rsidRPr="007B5BE6">
        <w:rPr>
          <w:rStyle w:val="FootnoteReference"/>
        </w:rPr>
        <w:footnoteReference w:id="55"/>
      </w:r>
      <w:r w:rsidR="00A74CE0" w:rsidRPr="007B5BE6">
        <w:t xml:space="preserve"> or other scamming behaviour to deceive people into giving money or </w:t>
      </w:r>
      <w:r w:rsidR="007748FE" w:rsidRPr="007B5BE6">
        <w:t xml:space="preserve">revealing </w:t>
      </w:r>
      <w:r w:rsidR="00A74CE0" w:rsidRPr="007B5BE6">
        <w:t>personal information.</w:t>
      </w:r>
      <w:r w:rsidR="00850F53" w:rsidRPr="007B5BE6">
        <w:rPr>
          <w:rStyle w:val="FootnoteReference"/>
        </w:rPr>
        <w:footnoteReference w:id="56"/>
      </w:r>
    </w:p>
    <w:p w14:paraId="4FB6234A" w14:textId="77777777" w:rsidR="005F5BEF" w:rsidRPr="007B5BE6" w:rsidRDefault="005F5BEF">
      <w:pPr>
        <w:spacing w:after="200" w:line="276" w:lineRule="auto"/>
        <w:jc w:val="left"/>
      </w:pPr>
      <w:r w:rsidRPr="007B5BE6">
        <w:br w:type="page"/>
      </w:r>
    </w:p>
    <w:p w14:paraId="441B577B" w14:textId="6A9A6769" w:rsidR="00030CE7" w:rsidRPr="007B5BE6" w:rsidRDefault="00737670" w:rsidP="00744D17">
      <w:pPr>
        <w:pStyle w:val="NumberedHeadingTLRI"/>
      </w:pPr>
      <w:bookmarkStart w:id="24" w:name="_Toc212561719"/>
      <w:r w:rsidRPr="007B5BE6">
        <w:lastRenderedPageBreak/>
        <w:t>Prevalence</w:t>
      </w:r>
      <w:r w:rsidR="00EB3E2E" w:rsidRPr="007B5BE6">
        <w:t xml:space="preserve"> a</w:t>
      </w:r>
      <w:r w:rsidR="006E5788" w:rsidRPr="007B5BE6">
        <w:t>nd dynamics</w:t>
      </w:r>
      <w:r w:rsidRPr="007B5BE6">
        <w:t xml:space="preserve"> </w:t>
      </w:r>
      <w:r w:rsidR="00A84357" w:rsidRPr="007B5BE6">
        <w:t>of abuse</w:t>
      </w:r>
      <w:bookmarkEnd w:id="24"/>
    </w:p>
    <w:p w14:paraId="0DA1A06E" w14:textId="11B2D813" w:rsidR="00C90082" w:rsidRPr="007B5BE6" w:rsidRDefault="00030CE7" w:rsidP="00030CE7">
      <w:pPr>
        <w:pStyle w:val="NormalNumberedTextTLRI"/>
      </w:pPr>
      <w:r w:rsidRPr="007B5BE6">
        <w:t xml:space="preserve">Estimating the true prevalence of abuse </w:t>
      </w:r>
      <w:r w:rsidR="00FF0AB4" w:rsidRPr="007B5BE6">
        <w:t xml:space="preserve">of older people </w:t>
      </w:r>
      <w:r w:rsidRPr="007B5BE6">
        <w:t>is very difficult</w:t>
      </w:r>
      <w:r w:rsidR="00FF0AB4" w:rsidRPr="007B5BE6">
        <w:t xml:space="preserve">. It </w:t>
      </w:r>
      <w:r w:rsidRPr="007B5BE6">
        <w:t xml:space="preserve">is commonly hidden and covert, </w:t>
      </w:r>
      <w:r w:rsidR="00FF0AB4" w:rsidRPr="007B5BE6">
        <w:t xml:space="preserve">and </w:t>
      </w:r>
      <w:r w:rsidR="00EE09DD" w:rsidRPr="007B5BE6">
        <w:t>there are many reasons why</w:t>
      </w:r>
      <w:r w:rsidRPr="007B5BE6">
        <w:t xml:space="preserve"> victim</w:t>
      </w:r>
      <w:r w:rsidR="00FF0AB4" w:rsidRPr="007B5BE6">
        <w:t>-survivors</w:t>
      </w:r>
      <w:r w:rsidRPr="007B5BE6">
        <w:t xml:space="preserve"> </w:t>
      </w:r>
      <w:r w:rsidR="00EE09DD" w:rsidRPr="007B5BE6">
        <w:t>may not report</w:t>
      </w:r>
      <w:r w:rsidRPr="007B5BE6">
        <w:t xml:space="preserve"> their experiences</w:t>
      </w:r>
      <w:r w:rsidR="003773B6" w:rsidRPr="007B5BE6">
        <w:t>.</w:t>
      </w:r>
      <w:r w:rsidR="00850F53" w:rsidRPr="007B5BE6">
        <w:rPr>
          <w:rStyle w:val="FootnoteReference"/>
        </w:rPr>
        <w:footnoteReference w:id="57"/>
      </w:r>
      <w:r w:rsidRPr="007B5BE6">
        <w:t xml:space="preserve"> </w:t>
      </w:r>
      <w:r w:rsidR="003773B6" w:rsidRPr="007B5BE6">
        <w:t>O</w:t>
      </w:r>
      <w:r w:rsidR="00BE6E7D" w:rsidRPr="007B5BE6">
        <w:t>fficial</w:t>
      </w:r>
      <w:r w:rsidR="001E24CF" w:rsidRPr="007B5BE6">
        <w:t xml:space="preserve"> data </w:t>
      </w:r>
      <w:r w:rsidR="00893424" w:rsidRPr="007B5BE6">
        <w:t>will not provide a true representation of the extent of abuse experienced</w:t>
      </w:r>
      <w:r w:rsidR="00090140" w:rsidRPr="007B5BE6">
        <w:t xml:space="preserve"> by all older people</w:t>
      </w:r>
      <w:r w:rsidR="00893424" w:rsidRPr="007B5BE6">
        <w:t>.</w:t>
      </w:r>
      <w:r w:rsidR="00850F53" w:rsidRPr="007B5BE6">
        <w:rPr>
          <w:rStyle w:val="FootnoteReference"/>
        </w:rPr>
        <w:footnoteReference w:id="58"/>
      </w:r>
      <w:r w:rsidR="00893424" w:rsidRPr="007B5BE6">
        <w:t xml:space="preserve"> </w:t>
      </w:r>
    </w:p>
    <w:p w14:paraId="369D0ADC" w14:textId="60E3F5DF" w:rsidR="00867CA9" w:rsidRPr="007B5BE6" w:rsidRDefault="00C52DAB" w:rsidP="000D3BFE">
      <w:pPr>
        <w:pStyle w:val="Headingunnumbered"/>
        <w:spacing w:before="360"/>
      </w:pPr>
      <w:bookmarkStart w:id="25" w:name="_Toc212561720"/>
      <w:r w:rsidRPr="007B5BE6">
        <w:t>N</w:t>
      </w:r>
      <w:r w:rsidR="00867CA9" w:rsidRPr="007B5BE6">
        <w:t xml:space="preserve">ational </w:t>
      </w:r>
      <w:r w:rsidR="001E24CF" w:rsidRPr="007B5BE6">
        <w:t>context</w:t>
      </w:r>
      <w:bookmarkEnd w:id="25"/>
    </w:p>
    <w:p w14:paraId="41D5CC1D" w14:textId="46E56405" w:rsidR="00876ADC" w:rsidRDefault="00E37A2E" w:rsidP="00E37E26">
      <w:pPr>
        <w:pStyle w:val="NormalNumberedTextTLRI"/>
      </w:pPr>
      <w:r w:rsidRPr="007B5BE6">
        <w:t xml:space="preserve">In the Australian context, </w:t>
      </w:r>
      <w:r w:rsidR="008D3B1F" w:rsidRPr="007B5BE6">
        <w:t xml:space="preserve">the </w:t>
      </w:r>
      <w:r w:rsidR="00030CE7" w:rsidRPr="007B5BE6">
        <w:rPr>
          <w:i/>
          <w:iCs/>
        </w:rPr>
        <w:t>National Elder Abuse Prevalence Study</w:t>
      </w:r>
      <w:r w:rsidR="00943165" w:rsidRPr="007B5BE6">
        <w:t xml:space="preserve">, </w:t>
      </w:r>
      <w:r w:rsidR="00030CE7" w:rsidRPr="007B5BE6">
        <w:t>conducted by the Australian Institute of Family Studies (</w:t>
      </w:r>
      <w:r w:rsidR="003773B6" w:rsidRPr="007B5BE6">
        <w:t>‘</w:t>
      </w:r>
      <w:r w:rsidR="00030CE7" w:rsidRPr="007B5BE6">
        <w:t>AIFS</w:t>
      </w:r>
      <w:r w:rsidR="003773B6" w:rsidRPr="007B5BE6">
        <w:t>’</w:t>
      </w:r>
      <w:r w:rsidR="00030CE7" w:rsidRPr="007B5BE6">
        <w:t>) in 2021, surveyed 7000 community dwelling Australians aged 65 years and over.</w:t>
      </w:r>
      <w:r w:rsidR="002E0389" w:rsidRPr="007B5BE6">
        <w:rPr>
          <w:rStyle w:val="FootnoteReference"/>
        </w:rPr>
        <w:footnoteReference w:id="59"/>
      </w:r>
      <w:r w:rsidR="00030CE7" w:rsidRPr="007B5BE6">
        <w:t xml:space="preserve"> Almost 15% of the participants in this study </w:t>
      </w:r>
      <w:r w:rsidR="004F6B2D" w:rsidRPr="007B5BE6">
        <w:t>(</w:t>
      </w:r>
      <w:r w:rsidR="00030CE7" w:rsidRPr="007B5BE6">
        <w:t>who live</w:t>
      </w:r>
      <w:r w:rsidR="004F6B2D" w:rsidRPr="007B5BE6">
        <w:t>d</w:t>
      </w:r>
      <w:r w:rsidR="00030CE7" w:rsidRPr="007B5BE6">
        <w:t xml:space="preserve"> in the community</w:t>
      </w:r>
      <w:r w:rsidR="004F6B2D" w:rsidRPr="007B5BE6">
        <w:t xml:space="preserve">, </w:t>
      </w:r>
      <w:r w:rsidR="00030CE7" w:rsidRPr="007B5BE6">
        <w:t>rather than residential care settings) reported experiencing abuse in the previous 12 months (14.8%).</w:t>
      </w:r>
      <w:r w:rsidR="00320FFC" w:rsidRPr="007B5BE6">
        <w:rPr>
          <w:rStyle w:val="FootnoteReference"/>
        </w:rPr>
        <w:footnoteReference w:id="60"/>
      </w:r>
      <w:r w:rsidR="00030CE7" w:rsidRPr="007B5BE6">
        <w:t xml:space="preserve"> Psychological abuse was the most common form of abuse reported (11.7%), followed by neglect (2.9%), financial abuse (2.1%), physical abuse (1.8%) and sexual abuse (1.0%).</w:t>
      </w:r>
      <w:r w:rsidR="00320FFC" w:rsidRPr="007B5BE6">
        <w:rPr>
          <w:rStyle w:val="FootnoteReference"/>
        </w:rPr>
        <w:footnoteReference w:id="61"/>
      </w:r>
      <w:r w:rsidR="000C3904" w:rsidRPr="007B5BE6">
        <w:t xml:space="preserve"> </w:t>
      </w:r>
      <w:r w:rsidR="00030CE7" w:rsidRPr="007B5BE6">
        <w:t xml:space="preserve">Previous Australian research has suggested that financial abuse is more common than </w:t>
      </w:r>
      <w:r w:rsidR="00EE1B5D" w:rsidRPr="007B5BE6">
        <w:t xml:space="preserve">what </w:t>
      </w:r>
      <w:r w:rsidR="00030CE7" w:rsidRPr="007B5BE6">
        <w:t>was reported in the AIFS study. For example, a 2018 Queensland study reported financial abuse to comprise 42% of elder abuse cases, followed by psychological abuse (35%), neglect (10%), physical abuse (8%), social abuse (5%) and sexual abuse (0.1%).</w:t>
      </w:r>
      <w:r w:rsidR="009014F8" w:rsidRPr="007B5BE6">
        <w:rPr>
          <w:rStyle w:val="FootnoteReference"/>
        </w:rPr>
        <w:footnoteReference w:id="62"/>
      </w:r>
    </w:p>
    <w:p w14:paraId="5D21CBE9" w14:textId="2CD01A59" w:rsidR="00F709FD" w:rsidRPr="007B5BE6" w:rsidRDefault="006F0E48" w:rsidP="005F7BEF">
      <w:pPr>
        <w:pStyle w:val="NormalNumberedTextTLRI"/>
      </w:pPr>
      <w:r w:rsidRPr="007B5BE6">
        <w:t>While t</w:t>
      </w:r>
      <w:r w:rsidR="00296970" w:rsidRPr="007B5BE6">
        <w:t>he</w:t>
      </w:r>
      <w:r w:rsidR="00C95FA5" w:rsidRPr="007B5BE6">
        <w:t xml:space="preserve"> </w:t>
      </w:r>
      <w:r w:rsidR="00C95FA5" w:rsidRPr="007B5BE6">
        <w:rPr>
          <w:i/>
          <w:iCs/>
        </w:rPr>
        <w:t>National Elder Abuse Prevalence Study</w:t>
      </w:r>
      <w:r w:rsidR="00C95FA5" w:rsidRPr="007B5BE6">
        <w:t xml:space="preserve"> </w:t>
      </w:r>
      <w:r w:rsidR="00791BCC" w:rsidRPr="007B5BE6">
        <w:t xml:space="preserve">showed </w:t>
      </w:r>
      <w:r w:rsidR="00C95FA5" w:rsidRPr="007B5BE6">
        <w:t>that</w:t>
      </w:r>
      <w:r w:rsidR="00E1590B" w:rsidRPr="007B5BE6">
        <w:t xml:space="preserve"> most people who reported experiences of abuse reported only one type</w:t>
      </w:r>
      <w:r w:rsidR="00747631" w:rsidRPr="007B5BE6">
        <w:t>,</w:t>
      </w:r>
      <w:r w:rsidR="00320FFC" w:rsidRPr="007B5BE6">
        <w:rPr>
          <w:rStyle w:val="FootnoteReference"/>
        </w:rPr>
        <w:footnoteReference w:id="63"/>
      </w:r>
      <w:r w:rsidR="00F46DE8" w:rsidRPr="007B5BE6">
        <w:t xml:space="preserve"> other research suggest</w:t>
      </w:r>
      <w:r w:rsidR="00791BCC" w:rsidRPr="007B5BE6">
        <w:t>s</w:t>
      </w:r>
      <w:r w:rsidR="00F46DE8" w:rsidRPr="007B5BE6">
        <w:t xml:space="preserve"> that older people </w:t>
      </w:r>
      <w:r w:rsidR="009F52B6" w:rsidRPr="007B5BE6">
        <w:t xml:space="preserve">often </w:t>
      </w:r>
      <w:r w:rsidR="00F46DE8" w:rsidRPr="007B5BE6">
        <w:t>experience more than one form of abuse</w:t>
      </w:r>
      <w:r w:rsidR="00552B6E" w:rsidRPr="007B5BE6">
        <w:t xml:space="preserve">, and that abuse is commonly experienced as a sequence of behaviours </w:t>
      </w:r>
      <w:r w:rsidR="00552B6E" w:rsidRPr="007B5BE6">
        <w:lastRenderedPageBreak/>
        <w:t>rather than a one-off incident.</w:t>
      </w:r>
      <w:r w:rsidR="00320FFC" w:rsidRPr="007B5BE6">
        <w:rPr>
          <w:rStyle w:val="FootnoteReference"/>
        </w:rPr>
        <w:footnoteReference w:id="64"/>
      </w:r>
      <w:r w:rsidR="00F46DE8" w:rsidRPr="007B5BE6">
        <w:t xml:space="preserve"> </w:t>
      </w:r>
      <w:r w:rsidR="00E51BA7" w:rsidRPr="007B5BE6">
        <w:t>For example,</w:t>
      </w:r>
      <w:r w:rsidR="001223D0" w:rsidRPr="007B5BE6">
        <w:t xml:space="preserve"> </w:t>
      </w:r>
      <w:r w:rsidR="00A74CE0" w:rsidRPr="007B5BE6">
        <w:t xml:space="preserve">other </w:t>
      </w:r>
      <w:r w:rsidR="00686C15" w:rsidRPr="007B5BE6">
        <w:t xml:space="preserve">Australian </w:t>
      </w:r>
      <w:r w:rsidR="001B30B6" w:rsidRPr="007B5BE6">
        <w:t>research</w:t>
      </w:r>
      <w:r w:rsidR="00686C15" w:rsidRPr="007B5BE6">
        <w:t xml:space="preserve"> has identified </w:t>
      </w:r>
      <w:r w:rsidR="00002565" w:rsidRPr="007B5BE6">
        <w:t>close intersections</w:t>
      </w:r>
      <w:r w:rsidR="0074021F" w:rsidRPr="007B5BE6">
        <w:t xml:space="preserve"> between</w:t>
      </w:r>
      <w:r w:rsidR="00686C15" w:rsidRPr="007B5BE6">
        <w:t xml:space="preserve"> </w:t>
      </w:r>
      <w:r w:rsidR="0074021F" w:rsidRPr="007B5BE6">
        <w:t xml:space="preserve">financial </w:t>
      </w:r>
      <w:r w:rsidR="001C0EE1" w:rsidRPr="007B5BE6">
        <w:t xml:space="preserve">abuse </w:t>
      </w:r>
      <w:r w:rsidR="0074021F" w:rsidRPr="007B5BE6">
        <w:t xml:space="preserve">and </w:t>
      </w:r>
      <w:r w:rsidR="001C0EE1" w:rsidRPr="007B5BE6">
        <w:t>psychological</w:t>
      </w:r>
      <w:r w:rsidR="0074021F" w:rsidRPr="007B5BE6">
        <w:t xml:space="preserve"> </w:t>
      </w:r>
      <w:r w:rsidR="007C74F8" w:rsidRPr="007B5BE6">
        <w:t xml:space="preserve">or emotional </w:t>
      </w:r>
      <w:r w:rsidR="0074021F" w:rsidRPr="007B5BE6">
        <w:t>abuse</w:t>
      </w:r>
      <w:r w:rsidR="000121B7" w:rsidRPr="007B5BE6">
        <w:t xml:space="preserve">, including </w:t>
      </w:r>
      <w:r w:rsidR="001C0EE1" w:rsidRPr="007B5BE6">
        <w:t>coercive control</w:t>
      </w:r>
      <w:r w:rsidR="000121B7" w:rsidRPr="007B5BE6">
        <w:t>,</w:t>
      </w:r>
      <w:r w:rsidR="00D76EB7" w:rsidRPr="007B5BE6">
        <w:t xml:space="preserve"> </w:t>
      </w:r>
      <w:r w:rsidR="00AF1252" w:rsidRPr="007B5BE6">
        <w:t>as</w:t>
      </w:r>
      <w:r w:rsidR="00D76EB7" w:rsidRPr="007B5BE6">
        <w:t xml:space="preserve"> patterns of </w:t>
      </w:r>
      <w:r w:rsidR="00C52DE0" w:rsidRPr="007B5BE6">
        <w:t xml:space="preserve">abusive </w:t>
      </w:r>
      <w:r w:rsidR="00D76EB7" w:rsidRPr="007B5BE6">
        <w:t xml:space="preserve">behaviour </w:t>
      </w:r>
      <w:r w:rsidR="00C52DE0" w:rsidRPr="007B5BE6">
        <w:t>experienced by</w:t>
      </w:r>
      <w:r w:rsidR="00D76EB7" w:rsidRPr="007B5BE6">
        <w:t xml:space="preserve"> older people</w:t>
      </w:r>
      <w:r w:rsidR="00A43B20" w:rsidRPr="007B5BE6">
        <w:t xml:space="preserve">. In this context, </w:t>
      </w:r>
      <w:r w:rsidR="00CC14B5" w:rsidRPr="007B5BE6">
        <w:t xml:space="preserve">these studies have raised </w:t>
      </w:r>
      <w:r w:rsidR="00A43B20" w:rsidRPr="007B5BE6">
        <w:t>concerns a</w:t>
      </w:r>
      <w:r w:rsidR="00606D20" w:rsidRPr="007B5BE6">
        <w:t xml:space="preserve">round </w:t>
      </w:r>
      <w:r w:rsidR="00F52453" w:rsidRPr="007B5BE6">
        <w:t>such</w:t>
      </w:r>
      <w:r w:rsidR="00AD52EA" w:rsidRPr="007B5BE6">
        <w:t xml:space="preserve"> intersecting</w:t>
      </w:r>
      <w:r w:rsidR="00F52453" w:rsidRPr="007B5BE6">
        <w:t xml:space="preserve"> dynamics </w:t>
      </w:r>
      <w:r w:rsidR="00AD52EA" w:rsidRPr="007B5BE6">
        <w:t xml:space="preserve">of abuse </w:t>
      </w:r>
      <w:r w:rsidR="00F52453" w:rsidRPr="007B5BE6">
        <w:t>(</w:t>
      </w:r>
      <w:r w:rsidR="00CB3894" w:rsidRPr="007B5BE6">
        <w:t xml:space="preserve">that is, </w:t>
      </w:r>
      <w:r w:rsidR="00F52453" w:rsidRPr="007B5BE6">
        <w:t>the</w:t>
      </w:r>
      <w:r w:rsidR="00606D20" w:rsidRPr="007B5BE6">
        <w:t xml:space="preserve"> relationship between </w:t>
      </w:r>
      <w:r w:rsidR="00F52453" w:rsidRPr="007B5BE6">
        <w:t xml:space="preserve">the </w:t>
      </w:r>
      <w:r w:rsidR="000121B7" w:rsidRPr="007B5BE6">
        <w:t>different forms of psychological or emotional abuse, including coercive control</w:t>
      </w:r>
      <w:r w:rsidR="00CB3894" w:rsidRPr="007B5BE6">
        <w:t>,</w:t>
      </w:r>
      <w:r w:rsidR="00F52453" w:rsidRPr="007B5BE6">
        <w:t xml:space="preserve"> and other abuse subtypes) and the central concepts of capacity and consent.</w:t>
      </w:r>
      <w:r w:rsidR="00320FFC" w:rsidRPr="007B5BE6">
        <w:rPr>
          <w:rStyle w:val="FootnoteReference"/>
        </w:rPr>
        <w:footnoteReference w:id="65"/>
      </w:r>
      <w:r w:rsidR="00BB365A" w:rsidRPr="007B5BE6">
        <w:t xml:space="preserve"> </w:t>
      </w:r>
    </w:p>
    <w:p w14:paraId="5584A91E" w14:textId="330EA67B" w:rsidR="006E5788" w:rsidRPr="007B5BE6" w:rsidRDefault="00153295" w:rsidP="000D6B79">
      <w:pPr>
        <w:pStyle w:val="NormalNumberedTextTLRI"/>
      </w:pPr>
      <w:r w:rsidRPr="007B5BE6">
        <w:t>For older people living in the community, i</w:t>
      </w:r>
      <w:r w:rsidR="006E5788" w:rsidRPr="007B5BE6">
        <w:t xml:space="preserve">t has been recognised that abuse </w:t>
      </w:r>
      <w:r w:rsidR="00A74CE0" w:rsidRPr="007B5BE6">
        <w:t>i</w:t>
      </w:r>
      <w:r w:rsidR="006E5788" w:rsidRPr="007B5BE6">
        <w:t>s often committed by a family member</w:t>
      </w:r>
      <w:r w:rsidRPr="007B5BE6">
        <w:t>.</w:t>
      </w:r>
      <w:r w:rsidR="00320FFC" w:rsidRPr="007B5BE6">
        <w:rPr>
          <w:rStyle w:val="FootnoteReference"/>
        </w:rPr>
        <w:footnoteReference w:id="66"/>
      </w:r>
      <w:r w:rsidR="006E5788" w:rsidRPr="007B5BE6">
        <w:t xml:space="preserve"> </w:t>
      </w:r>
      <w:r w:rsidR="00D53DF8" w:rsidRPr="007B5BE6">
        <w:t xml:space="preserve">The </w:t>
      </w:r>
      <w:r w:rsidR="00D53DF8" w:rsidRPr="007B5BE6">
        <w:rPr>
          <w:i/>
          <w:iCs/>
        </w:rPr>
        <w:t>National Elder Abuse Prevalence Study</w:t>
      </w:r>
      <w:r w:rsidR="00D53DF8" w:rsidRPr="007B5BE6">
        <w:t xml:space="preserve"> found that most of the abuse reported by older people was intra-familial and intergenerational</w:t>
      </w:r>
      <w:r w:rsidR="00A74CE0" w:rsidRPr="007B5BE6">
        <w:t xml:space="preserve">. </w:t>
      </w:r>
      <w:r w:rsidR="00D53DF8" w:rsidRPr="007B5BE6">
        <w:t xml:space="preserve">The largest perpetrator group were family members, with 18% of perpetrators being a child of the older person and a further 7% </w:t>
      </w:r>
      <w:r w:rsidR="00CB3126" w:rsidRPr="007B5BE6">
        <w:t xml:space="preserve">being </w:t>
      </w:r>
      <w:r w:rsidR="00D53DF8" w:rsidRPr="007B5BE6">
        <w:t xml:space="preserve">partners of the older person’s child. Other family members included grandchildren (4%), siblings (3%) and </w:t>
      </w:r>
      <w:r w:rsidR="00CB3126" w:rsidRPr="007B5BE6">
        <w:t>‘</w:t>
      </w:r>
      <w:r w:rsidR="00D53DF8" w:rsidRPr="007B5BE6">
        <w:t>other</w:t>
      </w:r>
      <w:r w:rsidR="00CB3126" w:rsidRPr="007B5BE6">
        <w:t>’</w:t>
      </w:r>
      <w:r w:rsidR="00D53DF8" w:rsidRPr="007B5BE6">
        <w:t xml:space="preserve"> family members (5%). One in </w:t>
      </w:r>
      <w:r w:rsidR="004A139B" w:rsidRPr="007B5BE6">
        <w:t xml:space="preserve">10 </w:t>
      </w:r>
      <w:r w:rsidR="00D53DF8" w:rsidRPr="007B5BE6">
        <w:t xml:space="preserve">perpetrators were intimate partners (10%). Another common perpetrator group was </w:t>
      </w:r>
      <w:r w:rsidR="00532CFA" w:rsidRPr="007B5BE6">
        <w:t>people</w:t>
      </w:r>
      <w:r w:rsidR="00D53DF8" w:rsidRPr="007B5BE6">
        <w:t xml:space="preserve"> with close personal non-family relationships with the older person, including friends (12%), neighbours (7%) and acquaintances (9%). Other abuse was perpetrated by professionals, including service providers (6%) and professional carers (3%).</w:t>
      </w:r>
      <w:r w:rsidR="00320FFC" w:rsidRPr="007B5BE6">
        <w:rPr>
          <w:rStyle w:val="FootnoteReference"/>
        </w:rPr>
        <w:footnoteReference w:id="67"/>
      </w:r>
    </w:p>
    <w:p w14:paraId="19BBBA29" w14:textId="130EA94B" w:rsidR="006E5788" w:rsidRPr="007B5BE6" w:rsidRDefault="000D6B79" w:rsidP="00E37E26">
      <w:pPr>
        <w:pStyle w:val="NormalNumberedTextTLRI"/>
      </w:pPr>
      <w:r w:rsidRPr="007B5BE6">
        <w:t>D</w:t>
      </w:r>
      <w:r w:rsidR="006E5788" w:rsidRPr="007B5BE6">
        <w:t>ata published by the Australian Bureau of Statistics (</w:t>
      </w:r>
      <w:r w:rsidR="00DA7413" w:rsidRPr="007B5BE6">
        <w:t>‘</w:t>
      </w:r>
      <w:r w:rsidR="006E5788" w:rsidRPr="007B5BE6">
        <w:t>ABS</w:t>
      </w:r>
      <w:r w:rsidR="00DA7413" w:rsidRPr="007B5BE6">
        <w:t>’</w:t>
      </w:r>
      <w:r w:rsidR="006E5788" w:rsidRPr="007B5BE6">
        <w:t>) also provides an insight into the prevalence of</w:t>
      </w:r>
      <w:r w:rsidR="000B4F9F" w:rsidRPr="007B5BE6">
        <w:t xml:space="preserve"> some forms of </w:t>
      </w:r>
      <w:r w:rsidR="006E5788" w:rsidRPr="007B5BE6">
        <w:t>abuse</w:t>
      </w:r>
      <w:r w:rsidR="00C34A54" w:rsidRPr="007B5BE6">
        <w:t xml:space="preserve"> experienced by older people</w:t>
      </w:r>
      <w:r w:rsidR="006E5788" w:rsidRPr="007B5BE6">
        <w:t xml:space="preserve"> in family and domestic relationships. </w:t>
      </w:r>
      <w:r w:rsidR="00A54E2D" w:rsidRPr="007B5BE6">
        <w:t>A 2019 analysis of ABS datasets</w:t>
      </w:r>
      <w:r w:rsidR="00747C82" w:rsidRPr="007B5BE6">
        <w:t>,</w:t>
      </w:r>
      <w:r w:rsidR="00A54E2D" w:rsidRPr="007B5BE6">
        <w:rPr>
          <w:rStyle w:val="FootnoteReference"/>
        </w:rPr>
        <w:footnoteReference w:id="68"/>
      </w:r>
      <w:r w:rsidR="00A54E2D" w:rsidRPr="007B5BE6">
        <w:t xml:space="preserve"> published by </w:t>
      </w:r>
      <w:r w:rsidR="00340A2A" w:rsidRPr="007B5BE6">
        <w:t xml:space="preserve">the </w:t>
      </w:r>
      <w:r w:rsidR="00A54E2D" w:rsidRPr="007B5BE6">
        <w:t>U</w:t>
      </w:r>
      <w:r w:rsidR="00340A2A" w:rsidRPr="007B5BE6">
        <w:t>niversity of New South Wales (‘UNSW’</w:t>
      </w:r>
      <w:r w:rsidR="00EA179A" w:rsidRPr="007B5BE6">
        <w:t>)</w:t>
      </w:r>
      <w:r w:rsidR="00747C82" w:rsidRPr="007B5BE6">
        <w:t>,</w:t>
      </w:r>
      <w:r w:rsidR="00A54E2D" w:rsidRPr="007B5BE6">
        <w:t xml:space="preserve"> suggested that the rates of physical, sexual</w:t>
      </w:r>
      <w:r w:rsidR="00747C82" w:rsidRPr="007B5BE6">
        <w:t>,</w:t>
      </w:r>
      <w:r w:rsidR="00A54E2D" w:rsidRPr="007B5BE6">
        <w:t xml:space="preserve"> emotional and financial abuse of older people (including Aboriginal and Torres Strait Islander and non-Indigenous</w:t>
      </w:r>
      <w:r w:rsidR="00747C82" w:rsidRPr="007B5BE6">
        <w:t xml:space="preserve"> older people</w:t>
      </w:r>
      <w:r w:rsidR="00A54E2D" w:rsidRPr="007B5BE6">
        <w:t xml:space="preserve">) between 2005 and 2016 had not </w:t>
      </w:r>
      <w:r w:rsidR="007B63AB" w:rsidRPr="007B5BE6">
        <w:t>decreased and</w:t>
      </w:r>
      <w:r w:rsidR="00A54E2D" w:rsidRPr="007B5BE6">
        <w:t xml:space="preserve"> </w:t>
      </w:r>
      <w:r w:rsidR="00E523FD" w:rsidRPr="007B5BE6">
        <w:t>were</w:t>
      </w:r>
      <w:r w:rsidRPr="007B5BE6">
        <w:t xml:space="preserve"> </w:t>
      </w:r>
      <w:r w:rsidR="00D0677C" w:rsidRPr="007B5BE6">
        <w:t>possibly increasing over time</w:t>
      </w:r>
      <w:r w:rsidR="00A07F64" w:rsidRPr="007B5BE6">
        <w:t>.</w:t>
      </w:r>
      <w:r w:rsidR="005D4644" w:rsidRPr="007B5BE6">
        <w:rPr>
          <w:rStyle w:val="FootnoteReference"/>
        </w:rPr>
        <w:footnoteReference w:id="69"/>
      </w:r>
      <w:r w:rsidR="003661F7" w:rsidRPr="007B5BE6">
        <w:t xml:space="preserve"> </w:t>
      </w:r>
      <w:r w:rsidR="00A07F64" w:rsidRPr="007B5BE6">
        <w:t xml:space="preserve">Further, </w:t>
      </w:r>
      <w:r w:rsidR="003968A0" w:rsidRPr="007B5BE6">
        <w:t>older women who report physical abuse are more likely than older men to experience physical violence by someone that they know.</w:t>
      </w:r>
      <w:r w:rsidR="005D4644" w:rsidRPr="007B5BE6">
        <w:rPr>
          <w:rStyle w:val="FootnoteReference"/>
        </w:rPr>
        <w:footnoteReference w:id="70"/>
      </w:r>
      <w:r w:rsidR="003968A0" w:rsidRPr="007B5BE6">
        <w:t xml:space="preserve"> More recent</w:t>
      </w:r>
      <w:r w:rsidR="007059E0" w:rsidRPr="007B5BE6">
        <w:t>ly</w:t>
      </w:r>
      <w:r w:rsidR="00B12042" w:rsidRPr="007B5BE6">
        <w:t>,</w:t>
      </w:r>
      <w:r w:rsidR="003968A0" w:rsidRPr="007B5BE6">
        <w:t xml:space="preserve"> </w:t>
      </w:r>
      <w:r w:rsidR="00DE401C" w:rsidRPr="007B5BE6">
        <w:t xml:space="preserve">ABS </w:t>
      </w:r>
      <w:r w:rsidR="003968A0" w:rsidRPr="007B5BE6">
        <w:t xml:space="preserve">data </w:t>
      </w:r>
      <w:r w:rsidR="00DE401C" w:rsidRPr="007B5BE6">
        <w:t>(</w:t>
      </w:r>
      <w:r w:rsidR="003968A0" w:rsidRPr="007B5BE6">
        <w:t xml:space="preserve">published in </w:t>
      </w:r>
      <w:r w:rsidR="006E5788" w:rsidRPr="007B5BE6">
        <w:t>2023</w:t>
      </w:r>
      <w:r w:rsidR="00DE401C" w:rsidRPr="007B5BE6">
        <w:t>)</w:t>
      </w:r>
      <w:r w:rsidR="003C3004" w:rsidRPr="007B5BE6">
        <w:t xml:space="preserve"> </w:t>
      </w:r>
      <w:r w:rsidR="001B3806" w:rsidRPr="007B5BE6">
        <w:t>indicates</w:t>
      </w:r>
      <w:r w:rsidR="003C3004" w:rsidRPr="007B5BE6">
        <w:t xml:space="preserve"> that </w:t>
      </w:r>
      <w:r w:rsidR="00B92EAF" w:rsidRPr="007B5BE6">
        <w:t>although family and domestic offending involving physical and sexual abuse may be more prevalent against victim</w:t>
      </w:r>
      <w:r w:rsidR="00620164" w:rsidRPr="007B5BE6">
        <w:t>-survivors</w:t>
      </w:r>
      <w:r w:rsidR="00B92EAF" w:rsidRPr="007B5BE6">
        <w:t xml:space="preserve"> of other ages, such abuse </w:t>
      </w:r>
      <w:r w:rsidR="001B3806" w:rsidRPr="007B5BE6">
        <w:t>continues to be</w:t>
      </w:r>
      <w:r w:rsidR="00B92EAF" w:rsidRPr="007B5BE6">
        <w:t xml:space="preserve"> committed against older people by family members.</w:t>
      </w:r>
      <w:r w:rsidR="005D4644" w:rsidRPr="007B5BE6">
        <w:rPr>
          <w:rStyle w:val="FootnoteReference"/>
        </w:rPr>
        <w:footnoteReference w:id="71"/>
      </w:r>
      <w:r w:rsidR="00B92EAF" w:rsidRPr="007B5BE6">
        <w:t xml:space="preserve"> </w:t>
      </w:r>
      <w:r w:rsidR="007B456C" w:rsidRPr="007B5BE6">
        <w:t>Further,</w:t>
      </w:r>
      <w:r w:rsidR="001B3806" w:rsidRPr="007B5BE6">
        <w:t xml:space="preserve"> it suggests that</w:t>
      </w:r>
      <w:r w:rsidR="00B4641F" w:rsidRPr="007B5BE6">
        <w:t>,</w:t>
      </w:r>
      <w:r w:rsidR="001B3806" w:rsidRPr="007B5BE6">
        <w:t xml:space="preserve"> </w:t>
      </w:r>
      <w:r w:rsidR="003E7544" w:rsidRPr="007B5BE6">
        <w:t xml:space="preserve">for </w:t>
      </w:r>
      <w:r w:rsidR="00DF6B31" w:rsidRPr="007B5BE6">
        <w:t>homicides and sexual assaults</w:t>
      </w:r>
      <w:r w:rsidR="00B4641F" w:rsidRPr="007B5BE6">
        <w:t>,</w:t>
      </w:r>
      <w:r w:rsidR="00DF6B31" w:rsidRPr="007B5BE6">
        <w:t xml:space="preserve"> </w:t>
      </w:r>
      <w:r w:rsidR="003E7544" w:rsidRPr="007B5BE6">
        <w:t xml:space="preserve">more of the older people who </w:t>
      </w:r>
      <w:r w:rsidR="00AD00BB" w:rsidRPr="007B5BE6">
        <w:t xml:space="preserve">experience </w:t>
      </w:r>
      <w:r w:rsidR="003C3004" w:rsidRPr="007B5BE6">
        <w:t xml:space="preserve">physical and sexual abuse in </w:t>
      </w:r>
      <w:r w:rsidR="003C3004" w:rsidRPr="007B5BE6">
        <w:lastRenderedPageBreak/>
        <w:t xml:space="preserve">the </w:t>
      </w:r>
      <w:r w:rsidR="00585B2B" w:rsidRPr="007B5BE6">
        <w:t xml:space="preserve">family and </w:t>
      </w:r>
      <w:r w:rsidR="003C3004" w:rsidRPr="007B5BE6">
        <w:t>domestic violence context</w:t>
      </w:r>
      <w:r w:rsidR="003E7544" w:rsidRPr="007B5BE6">
        <w:t xml:space="preserve"> are women.</w:t>
      </w:r>
      <w:r w:rsidR="00E30878" w:rsidRPr="007B5BE6">
        <w:rPr>
          <w:rStyle w:val="FootnoteReference"/>
        </w:rPr>
        <w:footnoteReference w:id="72"/>
      </w:r>
      <w:r w:rsidR="004671D5" w:rsidRPr="007B5BE6">
        <w:t xml:space="preserve"> </w:t>
      </w:r>
      <w:r w:rsidR="006E3136" w:rsidRPr="007B5BE6">
        <w:t>It has been</w:t>
      </w:r>
      <w:r w:rsidR="006E5788" w:rsidRPr="007B5BE6">
        <w:t xml:space="preserve"> suggested that older women could be at</w:t>
      </w:r>
      <w:r w:rsidR="00753A9D" w:rsidRPr="007B5BE6">
        <w:t xml:space="preserve"> further</w:t>
      </w:r>
      <w:r w:rsidR="006E5788" w:rsidRPr="007B5BE6">
        <w:t xml:space="preserve"> elevated risks of </w:t>
      </w:r>
      <w:r w:rsidR="00585B2B" w:rsidRPr="007B5BE6">
        <w:t xml:space="preserve">family and </w:t>
      </w:r>
      <w:r w:rsidR="006E5788" w:rsidRPr="007B5BE6">
        <w:t>domestic homicide</w:t>
      </w:r>
      <w:r w:rsidR="00753A9D" w:rsidRPr="007B5BE6">
        <w:t xml:space="preserve"> due to </w:t>
      </w:r>
      <w:r w:rsidR="00B4641F" w:rsidRPr="007B5BE6">
        <w:t xml:space="preserve">there being </w:t>
      </w:r>
      <w:r w:rsidR="006E5788" w:rsidRPr="007B5BE6">
        <w:t xml:space="preserve">a dual risk from partners and children. </w:t>
      </w:r>
      <w:r w:rsidR="00DB32F6" w:rsidRPr="007B5BE6">
        <w:t>For example, a w</w:t>
      </w:r>
      <w:r w:rsidR="006E5788" w:rsidRPr="007B5BE6">
        <w:t>om</w:t>
      </w:r>
      <w:r w:rsidR="00DB32F6" w:rsidRPr="007B5BE6">
        <w:t>a</w:t>
      </w:r>
      <w:r w:rsidR="006E5788" w:rsidRPr="007B5BE6">
        <w:t xml:space="preserve">n may experience violence from an intimate partner as a younger woman, </w:t>
      </w:r>
      <w:proofErr w:type="gramStart"/>
      <w:r w:rsidR="004F5404" w:rsidRPr="007B5BE6">
        <w:t>and</w:t>
      </w:r>
      <w:r w:rsidR="00072160" w:rsidRPr="007B5BE6">
        <w:t xml:space="preserve"> </w:t>
      </w:r>
      <w:r w:rsidR="00B4641F" w:rsidRPr="007B5BE6">
        <w:t>also</w:t>
      </w:r>
      <w:proofErr w:type="gramEnd"/>
      <w:r w:rsidR="00B4641F" w:rsidRPr="007B5BE6">
        <w:t xml:space="preserve"> </w:t>
      </w:r>
      <w:r w:rsidR="00072160" w:rsidRPr="007B5BE6">
        <w:t>experience violence in older</w:t>
      </w:r>
      <w:r w:rsidR="006E5788" w:rsidRPr="007B5BE6">
        <w:t xml:space="preserve"> age, particular</w:t>
      </w:r>
      <w:r w:rsidR="00072160" w:rsidRPr="007B5BE6">
        <w:t>ly</w:t>
      </w:r>
      <w:r w:rsidR="006E5788" w:rsidRPr="007B5BE6">
        <w:t xml:space="preserve"> where there </w:t>
      </w:r>
      <w:proofErr w:type="gramStart"/>
      <w:r w:rsidR="006E5788" w:rsidRPr="007B5BE6">
        <w:t>is</w:t>
      </w:r>
      <w:proofErr w:type="gramEnd"/>
      <w:r w:rsidR="006E5788" w:rsidRPr="007B5BE6">
        <w:t xml:space="preserve"> other family breakdown and adult children or grandchild</w:t>
      </w:r>
      <w:r w:rsidR="0045419D" w:rsidRPr="007B5BE6">
        <w:t>ren</w:t>
      </w:r>
      <w:r w:rsidR="006E5788" w:rsidRPr="007B5BE6">
        <w:t xml:space="preserve"> move back into the parental home.</w:t>
      </w:r>
      <w:r w:rsidR="00E30878" w:rsidRPr="007B5BE6">
        <w:rPr>
          <w:rStyle w:val="FootnoteReference"/>
        </w:rPr>
        <w:footnoteReference w:id="73"/>
      </w:r>
      <w:r w:rsidR="006E5788" w:rsidRPr="007B5BE6">
        <w:t xml:space="preserve"> </w:t>
      </w:r>
    </w:p>
    <w:p w14:paraId="3E5CC1AF" w14:textId="15181BC2" w:rsidR="006F31DA" w:rsidRPr="007B5BE6" w:rsidRDefault="007144F9" w:rsidP="00E37E26">
      <w:pPr>
        <w:pStyle w:val="NormalNumberedTextTLRI"/>
      </w:pPr>
      <w:r w:rsidRPr="007B5BE6">
        <w:t xml:space="preserve">While the </w:t>
      </w:r>
      <w:r w:rsidRPr="007B5BE6">
        <w:rPr>
          <w:i/>
          <w:iCs/>
        </w:rPr>
        <w:t>National Elder Abuse Prevalence Study</w:t>
      </w:r>
      <w:r w:rsidRPr="007B5BE6">
        <w:t xml:space="preserve"> provided insights into the nature and prevalence of abuse that may be experienced by older Australians living in the community, different patterns emerge from available data on abuse that may be experienced by older Australians living in care settings. Data from the Serious Incident Response Scheme (</w:t>
      </w:r>
      <w:r w:rsidR="001509BB" w:rsidRPr="007B5BE6">
        <w:t>‘</w:t>
      </w:r>
      <w:r w:rsidRPr="007B5BE6">
        <w:t>SIRS</w:t>
      </w:r>
      <w:r w:rsidR="001509BB" w:rsidRPr="007B5BE6">
        <w:t>’</w:t>
      </w:r>
      <w:r w:rsidRPr="007B5BE6">
        <w:t>) provide some insight into the nature of abuse, neglect and mistreatment of older people in residential aged care across Australia. SIRS is a mechanism for reporting incidents to the Aged Care Quality and Safety Commission</w:t>
      </w:r>
      <w:r w:rsidRPr="007B5BE6">
        <w:rPr>
          <w:rStyle w:val="FootnoteReference"/>
        </w:rPr>
        <w:footnoteReference w:id="74"/>
      </w:r>
      <w:r w:rsidRPr="007B5BE6">
        <w:t xml:space="preserve"> with requirements that all Commonwealth</w:t>
      </w:r>
      <w:r w:rsidR="00447CC9" w:rsidRPr="007B5BE6">
        <w:t>-</w:t>
      </w:r>
      <w:r w:rsidRPr="007B5BE6">
        <w:t>funded aged care providers report incidents</w:t>
      </w:r>
      <w:r w:rsidR="0026213A" w:rsidRPr="007B5BE6">
        <w:t xml:space="preserve"> with two levels of priority for reporting requirements</w:t>
      </w:r>
      <w:r w:rsidRPr="007B5BE6">
        <w:t>.</w:t>
      </w:r>
      <w:r w:rsidR="00277ED2" w:rsidRPr="007B5BE6">
        <w:t xml:space="preserve"> From 1 April </w:t>
      </w:r>
      <w:r w:rsidR="00DC2CFD" w:rsidRPr="007B5BE6">
        <w:t xml:space="preserve">2021 </w:t>
      </w:r>
      <w:r w:rsidR="00277ED2" w:rsidRPr="007B5BE6">
        <w:t xml:space="preserve">to </w:t>
      </w:r>
      <w:r w:rsidR="00DC2CFD" w:rsidRPr="007B5BE6">
        <w:t xml:space="preserve">12 </w:t>
      </w:r>
      <w:r w:rsidR="00277ED2" w:rsidRPr="007B5BE6">
        <w:t>May 2021</w:t>
      </w:r>
      <w:r w:rsidR="00DC2CFD" w:rsidRPr="007B5BE6">
        <w:t xml:space="preserve"> (6 weeks)</w:t>
      </w:r>
      <w:r w:rsidR="00277ED2" w:rsidRPr="007B5BE6">
        <w:t xml:space="preserve">, there were 1,876 </w:t>
      </w:r>
      <w:r w:rsidR="0026213A" w:rsidRPr="007B5BE6">
        <w:t>‘Priority 1’</w:t>
      </w:r>
      <w:r w:rsidR="0026213A" w:rsidRPr="007B5BE6">
        <w:rPr>
          <w:rStyle w:val="FootnoteReference"/>
        </w:rPr>
        <w:footnoteReference w:id="75"/>
      </w:r>
      <w:r w:rsidR="0026213A" w:rsidRPr="007B5BE6">
        <w:t xml:space="preserve"> </w:t>
      </w:r>
      <w:r w:rsidR="00277ED2" w:rsidRPr="007B5BE6">
        <w:t>incidents</w:t>
      </w:r>
      <w:r w:rsidR="00074429" w:rsidRPr="007B5BE6">
        <w:t>.</w:t>
      </w:r>
      <w:r w:rsidR="00CD08FD" w:rsidRPr="007B5BE6">
        <w:rPr>
          <w:rStyle w:val="FootnoteReference"/>
        </w:rPr>
        <w:footnoteReference w:id="76"/>
      </w:r>
      <w:r w:rsidR="00277ED2" w:rsidRPr="007B5BE6">
        <w:t xml:space="preserve"> </w:t>
      </w:r>
      <w:r w:rsidR="00074429" w:rsidRPr="007B5BE6">
        <w:t xml:space="preserve">In contrast to </w:t>
      </w:r>
      <w:r w:rsidR="004D59D6" w:rsidRPr="007B5BE6">
        <w:t xml:space="preserve">the most common </w:t>
      </w:r>
      <w:r w:rsidR="00074429" w:rsidRPr="007B5BE6">
        <w:t>abuse types reported by older people in the community, psychological or emotional abuse was less common</w:t>
      </w:r>
      <w:r w:rsidR="006C2914" w:rsidRPr="007B5BE6">
        <w:t xml:space="preserve"> (5% of incidents), </w:t>
      </w:r>
      <w:r w:rsidR="004D59D6" w:rsidRPr="007B5BE6">
        <w:t xml:space="preserve">as was stealing or </w:t>
      </w:r>
      <w:r w:rsidR="004D59D6" w:rsidRPr="007B5BE6">
        <w:lastRenderedPageBreak/>
        <w:t>financial coercion (1.6%). P</w:t>
      </w:r>
      <w:r w:rsidR="006C2914" w:rsidRPr="007B5BE6">
        <w:t>hysical</w:t>
      </w:r>
      <w:r w:rsidR="00B21DEA" w:rsidRPr="007B5BE6">
        <w:t xml:space="preserve"> </w:t>
      </w:r>
      <w:r w:rsidR="006C2914" w:rsidRPr="007B5BE6">
        <w:t>and neglect</w:t>
      </w:r>
      <w:r w:rsidR="00B21DEA" w:rsidRPr="007B5BE6">
        <w:t xml:space="preserve">-based incidents </w:t>
      </w:r>
      <w:r w:rsidR="004D59D6" w:rsidRPr="007B5BE6">
        <w:t>were most</w:t>
      </w:r>
      <w:r w:rsidR="00B21DEA" w:rsidRPr="007B5BE6">
        <w:t xml:space="preserve"> common, including unreasonable use of force (41.5%), neglect </w:t>
      </w:r>
      <w:r w:rsidR="00000C68" w:rsidRPr="007B5BE6">
        <w:t xml:space="preserve">23.9%), unexplained death (10.2%) and unexplained absence (8.6%). </w:t>
      </w:r>
      <w:r w:rsidR="004D59D6" w:rsidRPr="007B5BE6">
        <w:t xml:space="preserve">Unlawful </w:t>
      </w:r>
      <w:r w:rsidR="00DC4C33" w:rsidRPr="007B5BE6">
        <w:t xml:space="preserve">or inappropriate </w:t>
      </w:r>
      <w:r w:rsidR="004D59D6" w:rsidRPr="007B5BE6">
        <w:t xml:space="preserve">sexual contact </w:t>
      </w:r>
      <w:r w:rsidR="00DC4C33" w:rsidRPr="007B5BE6">
        <w:t>was reported in 7.9% of incidents.</w:t>
      </w:r>
      <w:r w:rsidR="00CD08FD" w:rsidRPr="007B5BE6">
        <w:rPr>
          <w:rStyle w:val="FootnoteReference"/>
        </w:rPr>
        <w:footnoteReference w:id="77"/>
      </w:r>
    </w:p>
    <w:p w14:paraId="7675F0D0" w14:textId="2E50B6AC" w:rsidR="007059E0" w:rsidRPr="007B5BE6" w:rsidRDefault="007059E0" w:rsidP="000D3BFE">
      <w:pPr>
        <w:pStyle w:val="Headingunnumbered"/>
        <w:spacing w:before="360"/>
      </w:pPr>
      <w:bookmarkStart w:id="26" w:name="_Toc212561721"/>
      <w:r w:rsidRPr="007B5BE6">
        <w:t xml:space="preserve">International </w:t>
      </w:r>
      <w:r w:rsidR="00AD4995" w:rsidRPr="007B5BE6">
        <w:t>context</w:t>
      </w:r>
      <w:bookmarkEnd w:id="26"/>
    </w:p>
    <w:p w14:paraId="1ECE13CC" w14:textId="5B974D33" w:rsidR="00026AE5" w:rsidRPr="007B5BE6" w:rsidRDefault="00026AE5" w:rsidP="00026AE5">
      <w:pPr>
        <w:pStyle w:val="NormalNumberedTextTLRI"/>
      </w:pPr>
      <w:r w:rsidRPr="007B5BE6">
        <w:t>International research has estimated that the prevalence of elder abuse in high- or middle-income countries ranged between 2% and 14%.</w:t>
      </w:r>
      <w:r w:rsidR="00875E00">
        <w:rPr>
          <w:rStyle w:val="FootnoteReference"/>
        </w:rPr>
        <w:footnoteReference w:id="78"/>
      </w:r>
      <w:r w:rsidRPr="007B5BE6">
        <w:t xml:space="preserve"> A 2017 meta-analysis estimated that 15.7% of older</w:t>
      </w:r>
      <w:r w:rsidR="001A7E19" w:rsidRPr="007B5BE6">
        <w:t xml:space="preserve"> </w:t>
      </w:r>
      <w:r w:rsidRPr="007B5BE6">
        <w:t>people experienced some form of abuse on at least one occasion.</w:t>
      </w:r>
      <w:r w:rsidR="001E789E" w:rsidRPr="007B5BE6">
        <w:rPr>
          <w:rStyle w:val="FootnoteReference"/>
        </w:rPr>
        <w:footnoteReference w:id="79"/>
      </w:r>
      <w:r w:rsidRPr="007B5BE6">
        <w:t xml:space="preserve"> Prevalence estimates were highest for psychological abuse, followed by financial abuse, neglect, physical abuse and sexual abuse.</w:t>
      </w:r>
      <w:r w:rsidR="00C66B1E" w:rsidRPr="007B5BE6">
        <w:rPr>
          <w:rStyle w:val="FootnoteReference"/>
        </w:rPr>
        <w:footnoteReference w:id="80"/>
      </w:r>
    </w:p>
    <w:p w14:paraId="4B8E5F03" w14:textId="62E89BA5" w:rsidR="007059E0" w:rsidRPr="007B5BE6" w:rsidRDefault="00026AE5" w:rsidP="00DA7F49">
      <w:pPr>
        <w:pStyle w:val="NormalNumberedTextTLRI"/>
      </w:pPr>
      <w:r w:rsidRPr="007B5BE6">
        <w:t xml:space="preserve">Consistent with Australian research, systematic reviews and meta-analyses of international research of abuse of older people </w:t>
      </w:r>
      <w:r w:rsidR="00C961BA" w:rsidRPr="007B5BE6">
        <w:t xml:space="preserve">have </w:t>
      </w:r>
      <w:r w:rsidR="00D85F27" w:rsidRPr="007B5BE6">
        <w:t xml:space="preserve">consistently </w:t>
      </w:r>
      <w:r w:rsidR="0037512D" w:rsidRPr="007B5BE6">
        <w:t xml:space="preserve">reported </w:t>
      </w:r>
      <w:r w:rsidRPr="007B5BE6">
        <w:t xml:space="preserve">that psychological or emotional abuse </w:t>
      </w:r>
      <w:r w:rsidR="0037512D" w:rsidRPr="007B5BE6">
        <w:t xml:space="preserve">is </w:t>
      </w:r>
      <w:r w:rsidRPr="007B5BE6">
        <w:t>the most common type of abuse reported in community settings</w:t>
      </w:r>
      <w:r w:rsidR="00901D43" w:rsidRPr="007B5BE6">
        <w:rPr>
          <w:rStyle w:val="FootnoteReference"/>
          <w:vertAlign w:val="baseline"/>
        </w:rPr>
        <w:t>.</w:t>
      </w:r>
      <w:r w:rsidR="005B799C" w:rsidRPr="007B5BE6">
        <w:rPr>
          <w:rStyle w:val="FootnoteReference"/>
        </w:rPr>
        <w:footnoteReference w:id="81"/>
      </w:r>
      <w:r w:rsidRPr="007B5BE6">
        <w:t xml:space="preserve"> </w:t>
      </w:r>
    </w:p>
    <w:p w14:paraId="4E821F18" w14:textId="15613DA7" w:rsidR="003D3FFC" w:rsidRPr="007B5BE6" w:rsidRDefault="003D3FFC" w:rsidP="000D3BFE">
      <w:pPr>
        <w:pStyle w:val="Headingunnumbered"/>
        <w:spacing w:before="360"/>
      </w:pPr>
      <w:bookmarkStart w:id="27" w:name="_Toc212561722"/>
      <w:r w:rsidRPr="007B5BE6">
        <w:t>Tasmanian context</w:t>
      </w:r>
      <w:bookmarkEnd w:id="27"/>
      <w:r w:rsidRPr="007B5BE6">
        <w:t xml:space="preserve"> </w:t>
      </w:r>
    </w:p>
    <w:p w14:paraId="2D9F926C" w14:textId="57394689" w:rsidR="003313D8" w:rsidRPr="007B5BE6" w:rsidRDefault="00760C05" w:rsidP="00D06247">
      <w:pPr>
        <w:pStyle w:val="NormalNumberedTextTLRI"/>
      </w:pPr>
      <w:r w:rsidRPr="007B5BE6">
        <w:t>In the</w:t>
      </w:r>
      <w:r w:rsidR="0046119A" w:rsidRPr="007B5BE6">
        <w:t xml:space="preserve"> Tasmanian </w:t>
      </w:r>
      <w:r w:rsidRPr="007B5BE6">
        <w:t xml:space="preserve">context, there is limited </w:t>
      </w:r>
      <w:r w:rsidR="0046119A" w:rsidRPr="007B5BE6">
        <w:t xml:space="preserve">research that </w:t>
      </w:r>
      <w:r w:rsidR="00211517" w:rsidRPr="007B5BE6">
        <w:t>has</w:t>
      </w:r>
      <w:r w:rsidR="0046119A" w:rsidRPr="007B5BE6">
        <w:t xml:space="preserve"> considered the extent or nature of the abuse of older Tasmanian</w:t>
      </w:r>
      <w:r w:rsidR="00DD2720" w:rsidRPr="007B5BE6">
        <w:t>s</w:t>
      </w:r>
      <w:r w:rsidR="0046119A" w:rsidRPr="007B5BE6">
        <w:t xml:space="preserve">. As part of this </w:t>
      </w:r>
      <w:r w:rsidR="00DD2720" w:rsidRPr="007B5BE6">
        <w:t xml:space="preserve">study </w:t>
      </w:r>
      <w:r w:rsidR="00714CEC" w:rsidRPr="007B5BE6">
        <w:t xml:space="preserve">and for the purposes of this </w:t>
      </w:r>
      <w:r w:rsidR="0046119A" w:rsidRPr="007B5BE6">
        <w:t>Research Pa</w:t>
      </w:r>
      <w:r w:rsidRPr="007B5BE6">
        <w:t>p</w:t>
      </w:r>
      <w:r w:rsidR="0046119A" w:rsidRPr="007B5BE6">
        <w:t>er,</w:t>
      </w:r>
      <w:r w:rsidR="00714CEC" w:rsidRPr="007B5BE6">
        <w:t xml:space="preserve"> </w:t>
      </w:r>
      <w:r w:rsidR="0046119A" w:rsidRPr="007B5BE6">
        <w:t xml:space="preserve">the TLRI has been provided with access to information from two </w:t>
      </w:r>
      <w:r w:rsidR="0058710C" w:rsidRPr="007B5BE6">
        <w:t>data sources</w:t>
      </w:r>
      <w:r w:rsidRPr="007B5BE6">
        <w:t>:</w:t>
      </w:r>
    </w:p>
    <w:p w14:paraId="7F54B234" w14:textId="7D8235CD" w:rsidR="003313D8" w:rsidRPr="007B5BE6" w:rsidRDefault="003313D8" w:rsidP="003313D8">
      <w:pPr>
        <w:pStyle w:val="DotPointTLRI"/>
      </w:pPr>
      <w:r w:rsidRPr="007B5BE6">
        <w:t>the Tasmanian Elder Abuse Helpline (‘the Helpline’)</w:t>
      </w:r>
      <w:r w:rsidR="008245B9" w:rsidRPr="007B5BE6">
        <w:rPr>
          <w:rStyle w:val="FootnoteReference"/>
        </w:rPr>
        <w:footnoteReference w:id="82"/>
      </w:r>
      <w:r w:rsidRPr="007B5BE6">
        <w:t xml:space="preserve"> from 1 July 2022</w:t>
      </w:r>
      <w:r w:rsidR="00575F25" w:rsidRPr="007B5BE6">
        <w:t xml:space="preserve"> to </w:t>
      </w:r>
      <w:r w:rsidRPr="007B5BE6">
        <w:t>30 June 2023</w:t>
      </w:r>
      <w:r w:rsidR="000E4A40" w:rsidRPr="007B5BE6">
        <w:t>;</w:t>
      </w:r>
      <w:r w:rsidR="00906281" w:rsidRPr="007B5BE6">
        <w:rPr>
          <w:rStyle w:val="FootnoteReference"/>
        </w:rPr>
        <w:footnoteReference w:id="83"/>
      </w:r>
      <w:r w:rsidR="00714CEC" w:rsidRPr="007B5BE6">
        <w:t xml:space="preserve"> and</w:t>
      </w:r>
    </w:p>
    <w:p w14:paraId="19EEF67C" w14:textId="23346F17" w:rsidR="00DA7F49" w:rsidRPr="007B5BE6" w:rsidRDefault="003313D8" w:rsidP="005F7BEF">
      <w:pPr>
        <w:pStyle w:val="DotPointTLRI"/>
      </w:pPr>
      <w:r w:rsidRPr="007B5BE6">
        <w:lastRenderedPageBreak/>
        <w:t>the Tasmania Legal Aid</w:t>
      </w:r>
      <w:r w:rsidR="00FF4A9E" w:rsidRPr="007B5BE6">
        <w:t>’s</w:t>
      </w:r>
      <w:r w:rsidRPr="007B5BE6">
        <w:t xml:space="preserve"> Senior Assist </w:t>
      </w:r>
      <w:r w:rsidR="00077676" w:rsidRPr="007B5BE6">
        <w:t>P</w:t>
      </w:r>
      <w:r w:rsidRPr="007B5BE6">
        <w:t>rogram (‘Senior Assist’)</w:t>
      </w:r>
      <w:r w:rsidR="000A2695" w:rsidRPr="007B5BE6">
        <w:rPr>
          <w:rStyle w:val="FootnoteReference"/>
        </w:rPr>
        <w:footnoteReference w:id="84"/>
      </w:r>
      <w:r w:rsidRPr="007B5BE6">
        <w:t xml:space="preserve"> from 1 July </w:t>
      </w:r>
      <w:r w:rsidR="00CB7527" w:rsidRPr="007B5BE6">
        <w:t xml:space="preserve">2023 </w:t>
      </w:r>
      <w:r w:rsidRPr="007B5BE6">
        <w:t>to 31 December 2023.</w:t>
      </w:r>
      <w:r w:rsidR="00EF30CF" w:rsidRPr="007B5BE6">
        <w:rPr>
          <w:rStyle w:val="FootnoteReference"/>
        </w:rPr>
        <w:footnoteReference w:id="85"/>
      </w:r>
    </w:p>
    <w:p w14:paraId="596A872B" w14:textId="79950688" w:rsidR="00D06247" w:rsidRPr="007B5BE6" w:rsidRDefault="00211517" w:rsidP="00DA7F49">
      <w:pPr>
        <w:pStyle w:val="NormalNumberedTextTLRI"/>
      </w:pPr>
      <w:r w:rsidRPr="007B5BE6">
        <w:t>These</w:t>
      </w:r>
      <w:r w:rsidR="00CB75C4" w:rsidRPr="007B5BE6">
        <w:t xml:space="preserve"> </w:t>
      </w:r>
      <w:r w:rsidR="00106117" w:rsidRPr="007B5BE6">
        <w:t>data</w:t>
      </w:r>
      <w:r w:rsidR="00D06247" w:rsidRPr="007B5BE6">
        <w:t xml:space="preserve"> provide some insight into the nature of abuse of older Tasmanians</w:t>
      </w:r>
      <w:r w:rsidR="00FA0C1A" w:rsidRPr="007B5BE6">
        <w:t xml:space="preserve">; </w:t>
      </w:r>
      <w:r w:rsidR="00417BBF" w:rsidRPr="007B5BE6">
        <w:t>however,</w:t>
      </w:r>
      <w:r w:rsidR="00D06247" w:rsidRPr="007B5BE6">
        <w:t xml:space="preserve"> </w:t>
      </w:r>
      <w:r w:rsidR="008C1618" w:rsidRPr="007B5BE6">
        <w:t>there are limits on the conclusions that can be drawn from the</w:t>
      </w:r>
      <w:r w:rsidR="009A2101" w:rsidRPr="007B5BE6">
        <w:t>m</w:t>
      </w:r>
      <w:r w:rsidR="008C1618" w:rsidRPr="007B5BE6">
        <w:t xml:space="preserve">. </w:t>
      </w:r>
      <w:r w:rsidR="001B56D0" w:rsidRPr="007B5BE6">
        <w:t xml:space="preserve">These data </w:t>
      </w:r>
      <w:r w:rsidR="00CD7688" w:rsidRPr="007B5BE6">
        <w:t xml:space="preserve">have been used to </w:t>
      </w:r>
      <w:r w:rsidR="00A70E31" w:rsidRPr="007B5BE6">
        <w:t xml:space="preserve">generate descriptive statistics to illustrate some key features of cases in which help has been sought regarding the abuse of older Tasmanians through the Helpline and Senior Assist. </w:t>
      </w:r>
      <w:r w:rsidR="0040701D" w:rsidRPr="007B5BE6">
        <w:t xml:space="preserve">These data are limited to information regarding access by people in Tasmania to such services (during the relevant time periods), including who accesses such services and limited information about the nature of these service interactions. </w:t>
      </w:r>
      <w:r w:rsidR="008C1618" w:rsidRPr="007B5BE6">
        <w:t>I</w:t>
      </w:r>
      <w:r w:rsidR="007D14CC" w:rsidRPr="007B5BE6">
        <w:t xml:space="preserve">t is not possible to make representations about the </w:t>
      </w:r>
      <w:r w:rsidR="004A73FB" w:rsidRPr="007B5BE6">
        <w:t xml:space="preserve">prevalence </w:t>
      </w:r>
      <w:r w:rsidR="00D378C4" w:rsidRPr="007B5BE6">
        <w:t xml:space="preserve">of abuse of older Tasmanians </w:t>
      </w:r>
      <w:r w:rsidR="004A73FB" w:rsidRPr="007B5BE6">
        <w:t xml:space="preserve">or </w:t>
      </w:r>
      <w:r w:rsidR="00786568" w:rsidRPr="007B5BE6">
        <w:t xml:space="preserve">all </w:t>
      </w:r>
      <w:r w:rsidR="004A73FB" w:rsidRPr="007B5BE6">
        <w:t xml:space="preserve">the ways in which </w:t>
      </w:r>
      <w:r w:rsidR="004A04D8" w:rsidRPr="007B5BE6">
        <w:t>people may seek help</w:t>
      </w:r>
      <w:r w:rsidR="00786568" w:rsidRPr="007B5BE6">
        <w:t xml:space="preserve"> under the responses currently available.</w:t>
      </w:r>
      <w:r w:rsidR="004A04D8" w:rsidRPr="007B5BE6">
        <w:t xml:space="preserve"> </w:t>
      </w:r>
      <w:r w:rsidR="0095573B">
        <w:t>Thus</w:t>
      </w:r>
      <w:r w:rsidR="00385ECB">
        <w:t>,</w:t>
      </w:r>
      <w:r w:rsidR="0095573B">
        <w:t xml:space="preserve"> the</w:t>
      </w:r>
      <w:r w:rsidR="00544D4B">
        <w:t xml:space="preserve"> information is no</w:t>
      </w:r>
      <w:r w:rsidR="0095573B">
        <w:t>t used to suggest an overall prevalence of the abuse of older Tasmanians</w:t>
      </w:r>
      <w:r w:rsidR="00385ECB">
        <w:t xml:space="preserve">. </w:t>
      </w:r>
      <w:r w:rsidR="004A04D8" w:rsidRPr="007B5BE6">
        <w:t>Importantly</w:t>
      </w:r>
      <w:r w:rsidR="00CB75C4" w:rsidRPr="007B5BE6">
        <w:t xml:space="preserve">, </w:t>
      </w:r>
      <w:r w:rsidR="004A04D8" w:rsidRPr="007B5BE6">
        <w:t>t</w:t>
      </w:r>
      <w:r w:rsidR="00106117" w:rsidRPr="007B5BE6">
        <w:t>hese</w:t>
      </w:r>
      <w:r w:rsidR="00D06247" w:rsidRPr="007B5BE6">
        <w:t xml:space="preserve"> data are limited to information regarding access by people in Tasmania to </w:t>
      </w:r>
      <w:r w:rsidR="004A04D8" w:rsidRPr="007B5BE6">
        <w:t>the</w:t>
      </w:r>
      <w:r w:rsidR="00106117" w:rsidRPr="007B5BE6">
        <w:t xml:space="preserve"> Helpline and Senior Assist</w:t>
      </w:r>
      <w:r w:rsidR="00A950FE" w:rsidRPr="007B5BE6">
        <w:rPr>
          <w:rStyle w:val="FootnoteReference"/>
        </w:rPr>
        <w:footnoteReference w:id="86"/>
      </w:r>
      <w:r w:rsidR="00D06247" w:rsidRPr="007B5BE6">
        <w:t xml:space="preserve"> (during the relevant time periods). The Helpline is just one source of support and assistance through advice, information and/or referral for someone who may be experiencing abuse or someone who is concerned about abuse. There may be other avenues that people use, in personal and professional capacities, to seek advice or information</w:t>
      </w:r>
      <w:r w:rsidR="00FA5F10" w:rsidRPr="007B5BE6">
        <w:t>,</w:t>
      </w:r>
      <w:r w:rsidR="00D06247" w:rsidRPr="007B5BE6">
        <w:t xml:space="preserve"> or raise concerns about abuse of an older person. Senior Assist is a free service where people can receive legal assistance when they have experienced abuse or when they want to put legal arrangements in place to protect themselves against abuse. Not all older people who may be in these circumstances will </w:t>
      </w:r>
      <w:r w:rsidR="009D3D0B" w:rsidRPr="007B5BE6">
        <w:t>contact</w:t>
      </w:r>
      <w:r w:rsidR="00D06247" w:rsidRPr="007B5BE6">
        <w:t xml:space="preserve"> Senior Assist</w:t>
      </w:r>
      <w:r w:rsidR="000B3691" w:rsidRPr="007B5BE6">
        <w:t>.</w:t>
      </w:r>
      <w:r w:rsidR="00D06247" w:rsidRPr="007B5BE6">
        <w:t xml:space="preserve"> Further, not all older people who have experienced abuse will want to pursue the legal avenues that may be available to them under the current legal framework. </w:t>
      </w:r>
    </w:p>
    <w:p w14:paraId="38688449" w14:textId="49D1A67D" w:rsidR="004C7FF1" w:rsidRPr="007B5BE6" w:rsidRDefault="00CB75C4" w:rsidP="00E37E26">
      <w:pPr>
        <w:pStyle w:val="NormalNumberedTextTLRI"/>
      </w:pPr>
      <w:r w:rsidRPr="007B5BE6">
        <w:t>Nevertheless</w:t>
      </w:r>
      <w:r w:rsidR="00D06247" w:rsidRPr="007B5BE6">
        <w:t xml:space="preserve">, </w:t>
      </w:r>
      <w:r w:rsidR="000E7CFE" w:rsidRPr="007B5BE6">
        <w:t>s</w:t>
      </w:r>
      <w:r w:rsidR="00D06247" w:rsidRPr="007B5BE6">
        <w:t xml:space="preserve">upplemented by </w:t>
      </w:r>
      <w:r w:rsidR="00F66668" w:rsidRPr="007B5BE6">
        <w:t>information</w:t>
      </w:r>
      <w:r w:rsidR="00D06247" w:rsidRPr="007B5BE6">
        <w:t xml:space="preserve"> from stakeholder interviews</w:t>
      </w:r>
      <w:r w:rsidR="00846E21" w:rsidRPr="007B5BE6">
        <w:t xml:space="preserve">, </w:t>
      </w:r>
      <w:r w:rsidR="00EA42C9" w:rsidRPr="007B5BE6">
        <w:t>these data suggest</w:t>
      </w:r>
      <w:r w:rsidR="00812D93" w:rsidRPr="007B5BE6">
        <w:t xml:space="preserve"> a similar picture</w:t>
      </w:r>
      <w:r w:rsidR="00986245" w:rsidRPr="007B5BE6">
        <w:t xml:space="preserve"> </w:t>
      </w:r>
      <w:r w:rsidR="006E692E" w:rsidRPr="007B5BE6">
        <w:t>around the</w:t>
      </w:r>
      <w:r w:rsidR="006F0B92" w:rsidRPr="007B5BE6">
        <w:t xml:space="preserve"> </w:t>
      </w:r>
      <w:r w:rsidR="009E5397" w:rsidRPr="007B5BE6">
        <w:t xml:space="preserve">types and dynamics of abuse of older people in </w:t>
      </w:r>
      <w:r w:rsidR="00986245" w:rsidRPr="007B5BE6">
        <w:t>the Tasmanian context</w:t>
      </w:r>
      <w:r w:rsidR="00812D93" w:rsidRPr="007B5BE6">
        <w:t xml:space="preserve"> </w:t>
      </w:r>
      <w:r w:rsidR="00986245" w:rsidRPr="007B5BE6">
        <w:t>to that suggested by international and national research</w:t>
      </w:r>
      <w:r w:rsidR="00F02D67" w:rsidRPr="007B5BE6">
        <w:t>.</w:t>
      </w:r>
      <w:r w:rsidR="00E26B96" w:rsidRPr="007B5BE6">
        <w:rPr>
          <w:rStyle w:val="FootnoteReference"/>
        </w:rPr>
        <w:footnoteReference w:id="87"/>
      </w:r>
      <w:r w:rsidR="00E26B96" w:rsidRPr="007B5BE6">
        <w:t xml:space="preserve"> </w:t>
      </w:r>
      <w:r w:rsidR="00715BA2" w:rsidRPr="007B5BE6">
        <w:t xml:space="preserve">Notable consistencies </w:t>
      </w:r>
      <w:r w:rsidR="00E26B96" w:rsidRPr="007B5BE6">
        <w:t>include</w:t>
      </w:r>
      <w:r w:rsidR="004C7FF1" w:rsidRPr="007B5BE6">
        <w:t>:</w:t>
      </w:r>
    </w:p>
    <w:p w14:paraId="5DD1E90E" w14:textId="0115FD45" w:rsidR="004C7FF1" w:rsidRPr="007B5BE6" w:rsidRDefault="00FF0F16" w:rsidP="004C7FF1">
      <w:pPr>
        <w:pStyle w:val="DotPointTLRI"/>
      </w:pPr>
      <w:r w:rsidRPr="007B5BE6">
        <w:t xml:space="preserve">the prevalence of </w:t>
      </w:r>
      <w:r w:rsidR="00A033F0" w:rsidRPr="007B5BE6">
        <w:t>emotional</w:t>
      </w:r>
      <w:r w:rsidR="00856770" w:rsidRPr="007B5BE6">
        <w:t xml:space="preserve"> and </w:t>
      </w:r>
      <w:r w:rsidR="00A033F0" w:rsidRPr="007B5BE6">
        <w:t>psychological abuse</w:t>
      </w:r>
      <w:r w:rsidR="00856770" w:rsidRPr="007B5BE6">
        <w:t>,</w:t>
      </w:r>
      <w:r w:rsidR="00A033F0" w:rsidRPr="007B5BE6">
        <w:t xml:space="preserve"> and financial abuse</w:t>
      </w:r>
      <w:r w:rsidR="0014468A" w:rsidRPr="007B5BE6">
        <w:t>,</w:t>
      </w:r>
      <w:r w:rsidR="00A033F0" w:rsidRPr="007B5BE6">
        <w:t xml:space="preserve"> and intersections between </w:t>
      </w:r>
      <w:r w:rsidR="004C7FF1" w:rsidRPr="007B5BE6">
        <w:t>them</w:t>
      </w:r>
      <w:r w:rsidR="00A033F0" w:rsidRPr="007B5BE6">
        <w:t xml:space="preserve"> as co-occurring </w:t>
      </w:r>
      <w:r w:rsidR="007B39BC" w:rsidRPr="007B5BE6">
        <w:t>forms of abuse</w:t>
      </w:r>
      <w:r w:rsidR="004C7FF1" w:rsidRPr="007B5BE6">
        <w:t>;</w:t>
      </w:r>
      <w:r w:rsidR="007B39BC" w:rsidRPr="007B5BE6">
        <w:t xml:space="preserve"> </w:t>
      </w:r>
      <w:r w:rsidRPr="007B5BE6">
        <w:t xml:space="preserve">and </w:t>
      </w:r>
    </w:p>
    <w:p w14:paraId="26339FBB" w14:textId="690565D2" w:rsidR="003D3FFC" w:rsidRPr="007B5BE6" w:rsidRDefault="00FF0F16" w:rsidP="004C7FF1">
      <w:pPr>
        <w:pStyle w:val="DotPointTLRI"/>
      </w:pPr>
      <w:r w:rsidRPr="007B5BE6">
        <w:t>the</w:t>
      </w:r>
      <w:r w:rsidR="00EA7DC6" w:rsidRPr="007B5BE6">
        <w:t xml:space="preserve"> prevalence of adult children as perpe</w:t>
      </w:r>
      <w:r w:rsidR="008A6759" w:rsidRPr="007B5BE6">
        <w:t>trators of abuse</w:t>
      </w:r>
      <w:r w:rsidR="006E1A78" w:rsidRPr="007B5BE6">
        <w:t xml:space="preserve">, </w:t>
      </w:r>
      <w:r w:rsidR="00BA4323" w:rsidRPr="007B5BE6">
        <w:t xml:space="preserve">involving both sons and daughters, but </w:t>
      </w:r>
      <w:r w:rsidR="006E1A78" w:rsidRPr="007B5BE6">
        <w:t>with slightly higher proportions of sons</w:t>
      </w:r>
      <w:r w:rsidR="00BA4323" w:rsidRPr="007B5BE6">
        <w:t>.</w:t>
      </w:r>
    </w:p>
    <w:p w14:paraId="3B62E1C4" w14:textId="77777777" w:rsidR="00202E8A" w:rsidRDefault="00202E8A">
      <w:pPr>
        <w:spacing w:after="200" w:line="276" w:lineRule="auto"/>
        <w:jc w:val="left"/>
        <w:rPr>
          <w:rFonts w:eastAsia="Times" w:cs="Times New Roman"/>
          <w:b/>
          <w:i/>
          <w:szCs w:val="20"/>
        </w:rPr>
      </w:pPr>
      <w:bookmarkStart w:id="28" w:name="_Toc212561723"/>
      <w:r>
        <w:br w:type="page"/>
      </w:r>
    </w:p>
    <w:p w14:paraId="2F713AEE" w14:textId="22F2102A" w:rsidR="0004717D" w:rsidRPr="007B5BE6" w:rsidRDefault="00FA150C" w:rsidP="007936FC">
      <w:pPr>
        <w:pStyle w:val="Sub-HeadingTLRI"/>
        <w:spacing w:before="360"/>
      </w:pPr>
      <w:r w:rsidRPr="007B5BE6">
        <w:lastRenderedPageBreak/>
        <w:t xml:space="preserve">Tasmanian </w:t>
      </w:r>
      <w:r w:rsidR="0004717D" w:rsidRPr="007B5BE6">
        <w:t xml:space="preserve">Elder Abuse Helpline </w:t>
      </w:r>
      <w:r w:rsidRPr="007B5BE6">
        <w:t xml:space="preserve">(‘the Helpline’) </w:t>
      </w:r>
      <w:r w:rsidR="0004717D" w:rsidRPr="007B5BE6">
        <w:t>data: 1 July 2022 to 30 June 2023</w:t>
      </w:r>
      <w:bookmarkEnd w:id="28"/>
      <w:r w:rsidR="0004717D" w:rsidRPr="007B5BE6">
        <w:t xml:space="preserve"> </w:t>
      </w:r>
    </w:p>
    <w:p w14:paraId="37930701" w14:textId="0DE48398" w:rsidR="00501D90" w:rsidRPr="007B5BE6" w:rsidRDefault="007569B4" w:rsidP="002E2F98">
      <w:pPr>
        <w:pStyle w:val="NormalNumberedTextTLRI"/>
      </w:pPr>
      <w:r w:rsidRPr="007B5BE6">
        <w:t>These data related to calls by 355 callers to th</w:t>
      </w:r>
      <w:r w:rsidR="00D53A85" w:rsidRPr="007B5BE6">
        <w:t>e Helpline.</w:t>
      </w:r>
      <w:r w:rsidR="00422132" w:rsidRPr="007B5BE6">
        <w:rPr>
          <w:rStyle w:val="FootnoteReference"/>
        </w:rPr>
        <w:footnoteReference w:id="88"/>
      </w:r>
      <w:r w:rsidR="00D53A85" w:rsidRPr="007B5BE6">
        <w:t xml:space="preserve"> </w:t>
      </w:r>
    </w:p>
    <w:p w14:paraId="3874329B" w14:textId="0FF2CAB1" w:rsidR="00E631A8" w:rsidRPr="007B5BE6" w:rsidRDefault="002E2F98" w:rsidP="002E2F98">
      <w:pPr>
        <w:pStyle w:val="NormalNumberedTextTLRI"/>
      </w:pPr>
      <w:r w:rsidRPr="007B5BE6">
        <w:t xml:space="preserve">The </w:t>
      </w:r>
      <w:r w:rsidRPr="007B5BE6">
        <w:rPr>
          <w:b/>
          <w:bCs/>
          <w:u w:val="single"/>
        </w:rPr>
        <w:t>type of abuse</w:t>
      </w:r>
      <w:r w:rsidRPr="007B5BE6">
        <w:t xml:space="preserve"> identified by </w:t>
      </w:r>
      <w:r w:rsidR="003058D8" w:rsidRPr="007B5BE6">
        <w:t xml:space="preserve">the </w:t>
      </w:r>
      <w:r w:rsidR="00D53A85" w:rsidRPr="007B5BE6">
        <w:t>callers</w:t>
      </w:r>
      <w:r w:rsidR="000E0C90" w:rsidRPr="007B5BE6">
        <w:t xml:space="preserve"> </w:t>
      </w:r>
      <w:r w:rsidRPr="007B5BE6">
        <w:t xml:space="preserve">is shown in Figure </w:t>
      </w:r>
      <w:r w:rsidR="00AC4220" w:rsidRPr="007B5BE6">
        <w:t>2.1</w:t>
      </w:r>
      <w:r w:rsidRPr="007B5BE6">
        <w:t>.</w:t>
      </w:r>
      <w:r w:rsidR="00E631A8" w:rsidRPr="007B5BE6">
        <w:t xml:space="preserve"> It is noted that some callers may have identified more than one type of abuse, so these categories are not mutually exclusive.</w:t>
      </w:r>
      <w:r w:rsidRPr="007B5BE6">
        <w:t xml:space="preserve"> </w:t>
      </w:r>
    </w:p>
    <w:p w14:paraId="0EF674F7" w14:textId="0B2251D4" w:rsidR="002E2F98" w:rsidRPr="007B5BE6" w:rsidRDefault="002E2F98" w:rsidP="002E2F98">
      <w:pPr>
        <w:pStyle w:val="NormalNumberedTextTLRI"/>
      </w:pPr>
      <w:r w:rsidRPr="007B5BE6">
        <w:t>Emotional abuse and financial abuse were by far the most common abuse types, with emotional abuse identified in 61.97% of calls and financial abuse in 53.</w:t>
      </w:r>
      <w:r w:rsidR="00CC49E4" w:rsidRPr="007B5BE6">
        <w:t>5</w:t>
      </w:r>
      <w:r w:rsidRPr="007B5BE6">
        <w:t>2%</w:t>
      </w:r>
      <w:r w:rsidR="009B333C" w:rsidRPr="007B5BE6">
        <w:t xml:space="preserve"> of calls</w:t>
      </w:r>
      <w:r w:rsidRPr="007B5BE6">
        <w:t>. Social abuse and neglect were identified in 15% of ca</w:t>
      </w:r>
      <w:r w:rsidR="00E54231" w:rsidRPr="007B5BE6">
        <w:t>lls</w:t>
      </w:r>
      <w:r w:rsidRPr="007B5BE6">
        <w:t xml:space="preserve"> </w:t>
      </w:r>
      <w:r w:rsidR="009F7580" w:rsidRPr="007B5BE6">
        <w:t>(</w:t>
      </w:r>
      <w:r w:rsidR="00024E5A" w:rsidRPr="007B5BE6">
        <w:t xml:space="preserve">15.77% and 15.49%, </w:t>
      </w:r>
      <w:r w:rsidRPr="007B5BE6">
        <w:t>respectively, and physical abuse in 13.23%</w:t>
      </w:r>
      <w:r w:rsidR="00E54231" w:rsidRPr="007B5BE6">
        <w:t xml:space="preserve"> of calls</w:t>
      </w:r>
      <w:r w:rsidR="00E35E04" w:rsidRPr="007B5BE6">
        <w:t>)</w:t>
      </w:r>
      <w:r w:rsidRPr="007B5BE6">
        <w:t xml:space="preserve">. One call identified sexual abuse. </w:t>
      </w:r>
    </w:p>
    <w:p w14:paraId="1FF1E76C" w14:textId="493EF64D" w:rsidR="002E2F98" w:rsidRPr="007B5BE6" w:rsidRDefault="002E2F98" w:rsidP="001902B2">
      <w:pPr>
        <w:spacing w:before="240" w:after="240" w:line="276" w:lineRule="auto"/>
        <w:jc w:val="left"/>
        <w:rPr>
          <w:b/>
          <w:bCs/>
        </w:rPr>
      </w:pPr>
      <w:r w:rsidRPr="007B5BE6">
        <w:rPr>
          <w:b/>
          <w:bCs/>
        </w:rPr>
        <w:t xml:space="preserve">Figure </w:t>
      </w:r>
      <w:r w:rsidR="00AC4220" w:rsidRPr="007B5BE6">
        <w:rPr>
          <w:b/>
          <w:bCs/>
        </w:rPr>
        <w:t>2.1:</w:t>
      </w:r>
      <w:r w:rsidRPr="007B5BE6">
        <w:rPr>
          <w:b/>
          <w:bCs/>
        </w:rPr>
        <w:t xml:space="preserve"> Helpline </w:t>
      </w:r>
      <w:r w:rsidR="00FA150C" w:rsidRPr="007B5BE6">
        <w:rPr>
          <w:b/>
          <w:bCs/>
        </w:rPr>
        <w:t>c</w:t>
      </w:r>
      <w:r w:rsidRPr="007B5BE6">
        <w:rPr>
          <w:b/>
          <w:bCs/>
        </w:rPr>
        <w:t>alls, 1 July 2022</w:t>
      </w:r>
      <w:r w:rsidR="00575F25" w:rsidRPr="007B5BE6">
        <w:rPr>
          <w:b/>
          <w:bCs/>
        </w:rPr>
        <w:t>–</w:t>
      </w:r>
      <w:r w:rsidRPr="007B5BE6">
        <w:rPr>
          <w:b/>
          <w:bCs/>
        </w:rPr>
        <w:t>30 June 2023 (abuse type</w:t>
      </w:r>
      <w:r w:rsidR="00575F25" w:rsidRPr="007B5BE6">
        <w:rPr>
          <w:b/>
          <w:bCs/>
        </w:rPr>
        <w:t>—</w:t>
      </w:r>
      <w:r w:rsidRPr="007B5BE6">
        <w:rPr>
          <w:b/>
          <w:bCs/>
        </w:rPr>
        <w:t>not mutually exclusive</w:t>
      </w:r>
      <w:r w:rsidR="00F16F67" w:rsidRPr="007B5BE6">
        <w:rPr>
          <w:b/>
          <w:bCs/>
        </w:rPr>
        <w:t>, %</w:t>
      </w:r>
      <w:r w:rsidRPr="007B5BE6">
        <w:rPr>
          <w:b/>
          <w:bCs/>
        </w:rPr>
        <w:t>)</w:t>
      </w:r>
    </w:p>
    <w:p w14:paraId="1E47DCD9" w14:textId="77777777" w:rsidR="002E2F98" w:rsidRPr="007B5BE6" w:rsidRDefault="002E2F98" w:rsidP="006A7666">
      <w:pPr>
        <w:jc w:val="center"/>
      </w:pPr>
      <w:r w:rsidRPr="007B5BE6">
        <w:rPr>
          <w:noProof/>
        </w:rPr>
        <w:drawing>
          <wp:inline distT="0" distB="0" distL="0" distR="0" wp14:anchorId="2B6DFCB0" wp14:editId="6A6404CF">
            <wp:extent cx="4895850" cy="2738438"/>
            <wp:effectExtent l="0" t="0" r="0" b="5080"/>
            <wp:docPr id="1758494474" name="Chart 1">
              <a:extLst xmlns:a="http://schemas.openxmlformats.org/drawingml/2006/main">
                <a:ext uri="{FF2B5EF4-FFF2-40B4-BE49-F238E27FC236}">
                  <a16:creationId xmlns:a16="http://schemas.microsoft.com/office/drawing/2014/main" id="{DFE98B51-8301-0183-CAEF-223D9CC473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7BD23F" w14:textId="77777777" w:rsidR="00BF4BBA" w:rsidRPr="007B5BE6" w:rsidRDefault="00BF4BBA" w:rsidP="00BF4BBA">
      <w:pPr>
        <w:pStyle w:val="NormalNumberedTextTLRI"/>
      </w:pPr>
      <w:r w:rsidRPr="007B5BE6">
        <w:t xml:space="preserve">Details of the </w:t>
      </w:r>
      <w:r w:rsidRPr="007B5BE6">
        <w:rPr>
          <w:b/>
          <w:bCs/>
          <w:u w:val="single"/>
        </w:rPr>
        <w:t>perpetrators</w:t>
      </w:r>
      <w:r w:rsidRPr="007B5BE6">
        <w:t xml:space="preserve"> of possible abuse relating to the gender, age and relationship to the older person was available, with the most prevalent in each area as follows:</w:t>
      </w:r>
    </w:p>
    <w:p w14:paraId="323D8152" w14:textId="0F7BB108" w:rsidR="00BF4BBA" w:rsidRPr="007B5BE6" w:rsidRDefault="00BF4BBA" w:rsidP="00BF4BBA">
      <w:pPr>
        <w:pStyle w:val="DotPointTLRI"/>
      </w:pPr>
      <w:r w:rsidRPr="007B5BE6">
        <w:t>Gender</w:t>
      </w:r>
      <w:r w:rsidR="00E54231" w:rsidRPr="007B5BE6">
        <w:t xml:space="preserve">: </w:t>
      </w:r>
      <w:r w:rsidRPr="007B5BE6">
        <w:t xml:space="preserve">over half of perpetrators of concern were male (53.27% male, 46.73% female). </w:t>
      </w:r>
    </w:p>
    <w:p w14:paraId="7C96F6BC" w14:textId="17433735" w:rsidR="00BF4BBA" w:rsidRPr="007B5BE6" w:rsidRDefault="00BF4BBA" w:rsidP="00BF4BBA">
      <w:pPr>
        <w:pStyle w:val="DotPointTLRI"/>
      </w:pPr>
      <w:r w:rsidRPr="007B5BE6">
        <w:t>Age range</w:t>
      </w:r>
      <w:r w:rsidR="00E54231" w:rsidRPr="007B5BE6">
        <w:t>:</w:t>
      </w:r>
      <w:r w:rsidRPr="007B5BE6">
        <w:t xml:space="preserve"> one quarter of perpetrators of concern </w:t>
      </w:r>
      <w:r w:rsidR="00DA436F" w:rsidRPr="007B5BE6">
        <w:t xml:space="preserve">were </w:t>
      </w:r>
      <w:r w:rsidRPr="007B5BE6">
        <w:t>aged 55–59 years (26.57%).</w:t>
      </w:r>
    </w:p>
    <w:p w14:paraId="4684833B" w14:textId="6EAC573E" w:rsidR="00BF4BBA" w:rsidRPr="007B5BE6" w:rsidRDefault="00BF4BBA" w:rsidP="00BF4BBA">
      <w:pPr>
        <w:pStyle w:val="DotPointTLRI"/>
      </w:pPr>
      <w:r w:rsidRPr="007B5BE6">
        <w:t>Relationship to older person</w:t>
      </w:r>
      <w:r w:rsidR="00E54231" w:rsidRPr="007B5BE6">
        <w:t xml:space="preserve">: </w:t>
      </w:r>
      <w:r w:rsidRPr="007B5BE6">
        <w:t xml:space="preserve">half of perpetrators of concern were the children </w:t>
      </w:r>
      <w:r w:rsidR="00DA436F" w:rsidRPr="007B5BE6">
        <w:t xml:space="preserve">of the older person </w:t>
      </w:r>
      <w:r w:rsidRPr="007B5BE6">
        <w:t xml:space="preserve">(28.41% were sons and 23.48% were daughters). </w:t>
      </w:r>
    </w:p>
    <w:p w14:paraId="64AB4EDD" w14:textId="48755E95" w:rsidR="00BF4BBA" w:rsidRPr="007B5BE6" w:rsidRDefault="00BF4BBA" w:rsidP="00BF4BBA">
      <w:pPr>
        <w:pStyle w:val="NormalNumberedTextTLRI"/>
      </w:pPr>
      <w:r w:rsidRPr="007B5BE6">
        <w:t xml:space="preserve">Figure </w:t>
      </w:r>
      <w:r w:rsidR="00AC4220" w:rsidRPr="007B5BE6">
        <w:t>2.2</w:t>
      </w:r>
      <w:r w:rsidRPr="007B5BE6">
        <w:t xml:space="preserve"> shows the </w:t>
      </w:r>
      <w:r w:rsidR="002F580A" w:rsidRPr="007B5BE6">
        <w:rPr>
          <w:b/>
          <w:bCs/>
          <w:u w:val="single"/>
        </w:rPr>
        <w:t xml:space="preserve">age ranges of </w:t>
      </w:r>
      <w:r w:rsidRPr="007B5BE6">
        <w:rPr>
          <w:b/>
          <w:bCs/>
          <w:u w:val="single"/>
        </w:rPr>
        <w:t>perpetrators of concern</w:t>
      </w:r>
      <w:r w:rsidR="002F580A" w:rsidRPr="007B5BE6">
        <w:t xml:space="preserve"> </w:t>
      </w:r>
      <w:r w:rsidRPr="007B5BE6">
        <w:t>by category in calls to the Helpline. After the most common category of 55–59 years</w:t>
      </w:r>
      <w:r w:rsidR="00D64DAC" w:rsidRPr="007B5BE6">
        <w:t xml:space="preserve"> (26.57%)</w:t>
      </w:r>
      <w:r w:rsidRPr="007B5BE6">
        <w:t xml:space="preserve">, perpetrators of concern were aged 40–44 years and 50–54 years in 18% of cases, respectively. Overall, six in </w:t>
      </w:r>
      <w:r w:rsidR="004A139B" w:rsidRPr="007B5BE6">
        <w:t xml:space="preserve">10 </w:t>
      </w:r>
      <w:r w:rsidRPr="007B5BE6">
        <w:t xml:space="preserve">perpetrators were aged 50 years or more (62.23%).   </w:t>
      </w:r>
    </w:p>
    <w:p w14:paraId="50C18B45" w14:textId="77777777" w:rsidR="001875AD" w:rsidRPr="007B5BE6" w:rsidRDefault="001875AD">
      <w:pPr>
        <w:spacing w:after="200" w:line="276" w:lineRule="auto"/>
        <w:jc w:val="left"/>
        <w:rPr>
          <w:b/>
          <w:bCs/>
        </w:rPr>
      </w:pPr>
      <w:r w:rsidRPr="007B5BE6">
        <w:rPr>
          <w:b/>
          <w:bCs/>
        </w:rPr>
        <w:br w:type="page"/>
      </w:r>
    </w:p>
    <w:p w14:paraId="1AFD6BB9" w14:textId="0061603B" w:rsidR="00BF4BBA" w:rsidRPr="007B5BE6" w:rsidRDefault="00BF4BBA" w:rsidP="001902B2">
      <w:pPr>
        <w:spacing w:before="240" w:after="240"/>
        <w:rPr>
          <w:b/>
          <w:bCs/>
        </w:rPr>
      </w:pPr>
      <w:r w:rsidRPr="007B5BE6">
        <w:rPr>
          <w:b/>
          <w:bCs/>
        </w:rPr>
        <w:lastRenderedPageBreak/>
        <w:t xml:space="preserve">Figure </w:t>
      </w:r>
      <w:r w:rsidR="00AC4220" w:rsidRPr="007B5BE6">
        <w:rPr>
          <w:b/>
          <w:bCs/>
        </w:rPr>
        <w:t>2.2:</w:t>
      </w:r>
      <w:r w:rsidRPr="007B5BE6">
        <w:rPr>
          <w:b/>
          <w:bCs/>
        </w:rPr>
        <w:t xml:space="preserve"> Helpline </w:t>
      </w:r>
      <w:r w:rsidR="00EB6A14" w:rsidRPr="007B5BE6">
        <w:rPr>
          <w:b/>
          <w:bCs/>
        </w:rPr>
        <w:t>c</w:t>
      </w:r>
      <w:r w:rsidRPr="007B5BE6">
        <w:rPr>
          <w:b/>
          <w:bCs/>
        </w:rPr>
        <w:t xml:space="preserve">alls, </w:t>
      </w:r>
      <w:r w:rsidR="00575F25" w:rsidRPr="007B5BE6">
        <w:rPr>
          <w:b/>
          <w:bCs/>
        </w:rPr>
        <w:t xml:space="preserve">1 July 2022–30 June 2023 </w:t>
      </w:r>
      <w:r w:rsidRPr="007B5BE6">
        <w:rPr>
          <w:b/>
          <w:bCs/>
        </w:rPr>
        <w:t>(</w:t>
      </w:r>
      <w:r w:rsidR="00A6755B" w:rsidRPr="007B5BE6">
        <w:rPr>
          <w:b/>
          <w:bCs/>
        </w:rPr>
        <w:t xml:space="preserve">categories of </w:t>
      </w:r>
      <w:r w:rsidRPr="007B5BE6">
        <w:rPr>
          <w:b/>
          <w:bCs/>
        </w:rPr>
        <w:t>age range</w:t>
      </w:r>
      <w:r w:rsidR="00575F25" w:rsidRPr="007B5BE6">
        <w:rPr>
          <w:b/>
          <w:bCs/>
        </w:rPr>
        <w:t>—</w:t>
      </w:r>
      <w:r w:rsidRPr="007B5BE6">
        <w:rPr>
          <w:b/>
          <w:bCs/>
        </w:rPr>
        <w:t>perpetrators of concern</w:t>
      </w:r>
      <w:r w:rsidR="0035440A" w:rsidRPr="007B5BE6">
        <w:rPr>
          <w:b/>
          <w:bCs/>
        </w:rPr>
        <w:t>, %</w:t>
      </w:r>
      <w:r w:rsidRPr="007B5BE6">
        <w:rPr>
          <w:b/>
          <w:bCs/>
        </w:rPr>
        <w:t>)</w:t>
      </w:r>
    </w:p>
    <w:p w14:paraId="071A6038" w14:textId="77777777" w:rsidR="00BF4BBA" w:rsidRPr="007B5BE6" w:rsidRDefault="00BF4BBA" w:rsidP="006A7666">
      <w:pPr>
        <w:jc w:val="center"/>
        <w:rPr>
          <w:b/>
          <w:bCs/>
        </w:rPr>
      </w:pPr>
      <w:r w:rsidRPr="007B5BE6">
        <w:rPr>
          <w:noProof/>
        </w:rPr>
        <w:drawing>
          <wp:inline distT="0" distB="0" distL="0" distR="0" wp14:anchorId="1DAE2662" wp14:editId="0D2B4BAA">
            <wp:extent cx="4572000" cy="2743200"/>
            <wp:effectExtent l="0" t="0" r="0" b="0"/>
            <wp:docPr id="761703673" name="Chart 1">
              <a:extLst xmlns:a="http://schemas.openxmlformats.org/drawingml/2006/main">
                <a:ext uri="{FF2B5EF4-FFF2-40B4-BE49-F238E27FC236}">
                  <a16:creationId xmlns:a16="http://schemas.microsoft.com/office/drawing/2014/main" id="{D973FDCC-D7A4-723C-A449-029347A62F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E9E6D0" w14:textId="32B55C73" w:rsidR="00BF4BBA" w:rsidRPr="007B5BE6" w:rsidRDefault="00BF4BBA" w:rsidP="00BF4BBA">
      <w:pPr>
        <w:pStyle w:val="NormalNumberedTextTLRI"/>
      </w:pPr>
      <w:r w:rsidRPr="007B5BE6">
        <w:t xml:space="preserve">Figure </w:t>
      </w:r>
      <w:r w:rsidR="00AC4220" w:rsidRPr="007B5BE6">
        <w:t>2.3</w:t>
      </w:r>
      <w:r w:rsidRPr="007B5BE6">
        <w:t xml:space="preserve"> shows the breakdown of calls according to the </w:t>
      </w:r>
      <w:r w:rsidRPr="007B5BE6">
        <w:rPr>
          <w:b/>
          <w:bCs/>
          <w:u w:val="single"/>
        </w:rPr>
        <w:t>relationship of the perpetrator of concern to the older person</w:t>
      </w:r>
      <w:r w:rsidRPr="007B5BE6">
        <w:t>. As noted above, most commonly (</w:t>
      </w:r>
      <w:r w:rsidR="004727DE" w:rsidRPr="007B5BE6">
        <w:t xml:space="preserve">in </w:t>
      </w:r>
      <w:r w:rsidRPr="007B5BE6">
        <w:t xml:space="preserve">over half of calls), the perpetrator of concern was the older person’s child, with sons more commonly identified in 28.41% of calls and daughters in 23.48% of calls. Other relationships featuring in around 6% to almost 8% of cases were friend, neighbour or acquaintance, male partner or female partner. There was only a slightly higher percentage of male partners (7.58%) identified than female partners (6.44%). </w:t>
      </w:r>
    </w:p>
    <w:p w14:paraId="3D488252" w14:textId="6B717209" w:rsidR="00BF4BBA" w:rsidRPr="007B5BE6" w:rsidRDefault="00BF4BBA" w:rsidP="001902B2">
      <w:pPr>
        <w:spacing w:before="240" w:after="240"/>
        <w:rPr>
          <w:b/>
          <w:bCs/>
        </w:rPr>
      </w:pPr>
      <w:r w:rsidRPr="007B5BE6">
        <w:rPr>
          <w:b/>
          <w:bCs/>
        </w:rPr>
        <w:t xml:space="preserve">Figure </w:t>
      </w:r>
      <w:r w:rsidR="00AC4220" w:rsidRPr="007B5BE6">
        <w:rPr>
          <w:b/>
          <w:bCs/>
        </w:rPr>
        <w:t>2.3:</w:t>
      </w:r>
      <w:r w:rsidRPr="007B5BE6">
        <w:rPr>
          <w:b/>
          <w:bCs/>
        </w:rPr>
        <w:t xml:space="preserve"> Helpline </w:t>
      </w:r>
      <w:r w:rsidR="00FA150C" w:rsidRPr="007B5BE6">
        <w:rPr>
          <w:b/>
          <w:bCs/>
        </w:rPr>
        <w:t>c</w:t>
      </w:r>
      <w:r w:rsidRPr="007B5BE6">
        <w:rPr>
          <w:b/>
          <w:bCs/>
        </w:rPr>
        <w:t xml:space="preserve">alls, </w:t>
      </w:r>
      <w:r w:rsidR="00575F25" w:rsidRPr="007B5BE6">
        <w:rPr>
          <w:b/>
          <w:bCs/>
        </w:rPr>
        <w:t xml:space="preserve">1 July 2022–30 June 2023 </w:t>
      </w:r>
      <w:r w:rsidRPr="007B5BE6">
        <w:rPr>
          <w:b/>
          <w:bCs/>
        </w:rPr>
        <w:t>(relationship to older person</w:t>
      </w:r>
      <w:r w:rsidR="00575F25" w:rsidRPr="007B5BE6">
        <w:rPr>
          <w:b/>
          <w:bCs/>
        </w:rPr>
        <w:t>—</w:t>
      </w:r>
      <w:r w:rsidRPr="007B5BE6">
        <w:rPr>
          <w:b/>
          <w:bCs/>
        </w:rPr>
        <w:t>perpetrators of concern</w:t>
      </w:r>
      <w:r w:rsidR="006A7666" w:rsidRPr="007B5BE6">
        <w:rPr>
          <w:b/>
          <w:bCs/>
        </w:rPr>
        <w:t>, %</w:t>
      </w:r>
      <w:r w:rsidRPr="007B5BE6">
        <w:rPr>
          <w:b/>
          <w:bCs/>
        </w:rPr>
        <w:t>)</w:t>
      </w:r>
    </w:p>
    <w:p w14:paraId="21BC4594" w14:textId="77777777" w:rsidR="00BF4BBA" w:rsidRPr="007B5BE6" w:rsidRDefault="00BF4BBA" w:rsidP="006A7666">
      <w:pPr>
        <w:jc w:val="center"/>
        <w:rPr>
          <w:b/>
          <w:bCs/>
        </w:rPr>
      </w:pPr>
      <w:r w:rsidRPr="007B5BE6">
        <w:rPr>
          <w:noProof/>
        </w:rPr>
        <w:drawing>
          <wp:inline distT="0" distB="0" distL="0" distR="0" wp14:anchorId="41BA78B1" wp14:editId="6BA6BBCE">
            <wp:extent cx="5029200" cy="3005137"/>
            <wp:effectExtent l="0" t="0" r="0" b="5080"/>
            <wp:docPr id="1447798730" name="Chart 1">
              <a:extLst xmlns:a="http://schemas.openxmlformats.org/drawingml/2006/main">
                <a:ext uri="{FF2B5EF4-FFF2-40B4-BE49-F238E27FC236}">
                  <a16:creationId xmlns:a16="http://schemas.microsoft.com/office/drawing/2014/main" id="{A13F4748-2CD3-8F55-4C29-9F8B76624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C604AC" w14:textId="6CC17D60" w:rsidR="00BF4BBA" w:rsidRPr="007B5BE6" w:rsidRDefault="00BF4BBA" w:rsidP="00BF4BBA">
      <w:pPr>
        <w:pStyle w:val="NormalNumberedTextTLRI"/>
      </w:pPr>
      <w:r w:rsidRPr="007B5BE6">
        <w:t xml:space="preserve">Looking at the broader categories of relationship between perpetrators of concern and </w:t>
      </w:r>
      <w:r w:rsidR="00296596" w:rsidRPr="007B5BE6">
        <w:t>the</w:t>
      </w:r>
      <w:r w:rsidRPr="007B5BE6">
        <w:t xml:space="preserve"> older person</w:t>
      </w:r>
      <w:r w:rsidR="009B19ED" w:rsidRPr="007B5BE6">
        <w:t>,</w:t>
      </w:r>
      <w:r w:rsidRPr="007B5BE6">
        <w:t xml:space="preserve"> perpetrator</w:t>
      </w:r>
      <w:r w:rsidR="00966BF0" w:rsidRPr="007B5BE6">
        <w:t>s</w:t>
      </w:r>
      <w:r w:rsidRPr="007B5BE6">
        <w:t xml:space="preserve"> of concern were more commonly family members (either children or partners) (65.91%).</w:t>
      </w:r>
    </w:p>
    <w:p w14:paraId="5F1419EB" w14:textId="73B48A8B" w:rsidR="00F02D67" w:rsidRPr="007B5BE6" w:rsidRDefault="00EB6A14" w:rsidP="007936FC">
      <w:pPr>
        <w:pStyle w:val="Sub-HeadingTLRI"/>
        <w:spacing w:before="360"/>
      </w:pPr>
      <w:bookmarkStart w:id="29" w:name="_Toc212561724"/>
      <w:r w:rsidRPr="007B5BE6">
        <w:lastRenderedPageBreak/>
        <w:t xml:space="preserve">Tasmania Legal Aid’s </w:t>
      </w:r>
      <w:r w:rsidR="00F02D67" w:rsidRPr="007B5BE6">
        <w:t xml:space="preserve">Senior Assist </w:t>
      </w:r>
      <w:r w:rsidR="00F53837">
        <w:t>P</w:t>
      </w:r>
      <w:r w:rsidR="00F02D67" w:rsidRPr="007B5BE6">
        <w:t xml:space="preserve">rogram </w:t>
      </w:r>
      <w:r w:rsidRPr="007B5BE6">
        <w:t xml:space="preserve">(‘Senior Assist’) </w:t>
      </w:r>
      <w:r w:rsidR="00F02D67" w:rsidRPr="007B5BE6">
        <w:t xml:space="preserve">data: 1 July </w:t>
      </w:r>
      <w:r w:rsidR="00CB7527" w:rsidRPr="007B5BE6">
        <w:t xml:space="preserve">2023 </w:t>
      </w:r>
      <w:r w:rsidR="00F02D67" w:rsidRPr="007B5BE6">
        <w:t>to 31 December 2023</w:t>
      </w:r>
      <w:bookmarkEnd w:id="29"/>
      <w:r w:rsidR="00F02D67" w:rsidRPr="007B5BE6">
        <w:t xml:space="preserve"> </w:t>
      </w:r>
    </w:p>
    <w:p w14:paraId="054AA60A" w14:textId="77777777" w:rsidR="00501D90" w:rsidRPr="007B5BE6" w:rsidRDefault="00D53A85" w:rsidP="000F4602">
      <w:pPr>
        <w:pStyle w:val="NormalNumberedTextTLRI"/>
      </w:pPr>
      <w:r w:rsidRPr="007B5BE6">
        <w:t xml:space="preserve">These data </w:t>
      </w:r>
      <w:r w:rsidR="00691628" w:rsidRPr="007B5BE6">
        <w:t xml:space="preserve">related to a sample of 95 Senior Assist clients. </w:t>
      </w:r>
    </w:p>
    <w:p w14:paraId="5BB0F4CB" w14:textId="28D01532" w:rsidR="00296746" w:rsidRPr="007B5BE6" w:rsidRDefault="000F4602" w:rsidP="000F4602">
      <w:pPr>
        <w:pStyle w:val="NormalNumberedTextTLRI"/>
      </w:pPr>
      <w:r w:rsidRPr="007B5BE6">
        <w:t xml:space="preserve">The </w:t>
      </w:r>
      <w:r w:rsidRPr="007B5BE6">
        <w:rPr>
          <w:b/>
          <w:bCs/>
          <w:u w:val="single"/>
        </w:rPr>
        <w:t>type of abuse</w:t>
      </w:r>
      <w:r w:rsidRPr="007B5BE6">
        <w:t xml:space="preserve"> for Senior Assist clients is shown in Figure </w:t>
      </w:r>
      <w:r w:rsidR="00AC4220" w:rsidRPr="007B5BE6">
        <w:t>2.4</w:t>
      </w:r>
      <w:r w:rsidRPr="007B5BE6">
        <w:t xml:space="preserve">. It is noted that some clients may have identified more than one type of abuse, so these categories are not mutually exclusive. </w:t>
      </w:r>
      <w:proofErr w:type="gramStart"/>
      <w:r w:rsidRPr="007B5BE6">
        <w:t>Similar to</w:t>
      </w:r>
      <w:proofErr w:type="gramEnd"/>
      <w:r w:rsidRPr="007B5BE6">
        <w:t xml:space="preserve"> </w:t>
      </w:r>
      <w:r w:rsidR="00C87956" w:rsidRPr="007B5BE6">
        <w:t xml:space="preserve">the </w:t>
      </w:r>
      <w:r w:rsidRPr="007B5BE6">
        <w:t xml:space="preserve">abuse types in Helpline calls, psychological abuse and financial abuse were by far the most common abuse types, with emotional abuse identified </w:t>
      </w:r>
      <w:r w:rsidR="00161E48">
        <w:t>by 48 clients (</w:t>
      </w:r>
      <w:r w:rsidRPr="007B5BE6">
        <w:t>42.11%</w:t>
      </w:r>
      <w:r w:rsidR="00161E48">
        <w:t xml:space="preserve"> </w:t>
      </w:r>
      <w:r w:rsidR="004B3AAE">
        <w:t xml:space="preserve">of abuse </w:t>
      </w:r>
      <w:r w:rsidR="000259DB">
        <w:t>types identified)</w:t>
      </w:r>
      <w:r w:rsidRPr="007B5BE6">
        <w:t xml:space="preserve"> and financial abuse </w:t>
      </w:r>
      <w:r w:rsidR="000259DB">
        <w:t>identified by 46 clients (</w:t>
      </w:r>
      <w:r w:rsidRPr="007B5BE6">
        <w:t>40.35%</w:t>
      </w:r>
      <w:r w:rsidR="00C478C2" w:rsidRPr="007B5BE6">
        <w:t xml:space="preserve"> of</w:t>
      </w:r>
      <w:r w:rsidR="000259DB">
        <w:t xml:space="preserve"> abuse types identified)</w:t>
      </w:r>
      <w:r w:rsidR="00C478C2" w:rsidRPr="007B5BE6">
        <w:t>.</w:t>
      </w:r>
      <w:r w:rsidRPr="007B5BE6">
        <w:t xml:space="preserve"> Physical abuse was identified </w:t>
      </w:r>
      <w:r w:rsidR="000259DB">
        <w:t xml:space="preserve">by </w:t>
      </w:r>
      <w:r w:rsidR="00221361">
        <w:t>17</w:t>
      </w:r>
      <w:r w:rsidRPr="007B5BE6">
        <w:t xml:space="preserve"> clients. Neglect was far less common for Senior Assist clients than was identified in Helpline calls (1.75%, n=2) and one client identified sexual abuse. </w:t>
      </w:r>
    </w:p>
    <w:p w14:paraId="40F8E587" w14:textId="3FCC5793" w:rsidR="000F4602" w:rsidRPr="007B5BE6" w:rsidRDefault="000F4602" w:rsidP="000F4602">
      <w:pPr>
        <w:pStyle w:val="NormalNumberedTextTLRI"/>
      </w:pPr>
      <w:r w:rsidRPr="007B5BE6">
        <w:t xml:space="preserve">Data was also available </w:t>
      </w:r>
      <w:r w:rsidR="00BE6CD0" w:rsidRPr="007B5BE6">
        <w:t xml:space="preserve">(shown in Figure 2.4) </w:t>
      </w:r>
      <w:r w:rsidRPr="007B5BE6">
        <w:t>on experiences of combinations of abuse types</w:t>
      </w:r>
      <w:r w:rsidR="00296746" w:rsidRPr="007B5BE6">
        <w:t>,</w:t>
      </w:r>
      <w:r w:rsidRPr="007B5BE6">
        <w:t xml:space="preserve"> with Senior Assist clients mo</w:t>
      </w:r>
      <w:r w:rsidR="00296746" w:rsidRPr="007B5BE6">
        <w:t>st</w:t>
      </w:r>
      <w:r w:rsidRPr="007B5BE6">
        <w:t xml:space="preserve"> commonly experiencing psychological and financial abuse together</w:t>
      </w:r>
      <w:r w:rsidR="00296746" w:rsidRPr="007B5BE6">
        <w:t xml:space="preserve"> (</w:t>
      </w:r>
      <w:r w:rsidR="00221361">
        <w:t>n=</w:t>
      </w:r>
      <w:r w:rsidR="002E23B4">
        <w:t>28)</w:t>
      </w:r>
      <w:r w:rsidR="00296746" w:rsidRPr="007B5BE6">
        <w:t xml:space="preserve">, followed by psychological and physical </w:t>
      </w:r>
      <w:r w:rsidR="0008595B">
        <w:t xml:space="preserve">abuse </w:t>
      </w:r>
      <w:r w:rsidR="00296746" w:rsidRPr="007B5BE6">
        <w:t>(</w:t>
      </w:r>
      <w:r w:rsidR="002E23B4">
        <w:t>n=14</w:t>
      </w:r>
      <w:r w:rsidR="00296746" w:rsidRPr="007B5BE6">
        <w:t>)</w:t>
      </w:r>
      <w:r w:rsidRPr="007B5BE6">
        <w:t>.</w:t>
      </w:r>
    </w:p>
    <w:p w14:paraId="278A3DA4" w14:textId="2B43CCEC" w:rsidR="000F4602" w:rsidRPr="007B5BE6" w:rsidRDefault="000F4602" w:rsidP="001902B2">
      <w:pPr>
        <w:spacing w:before="240" w:after="240" w:line="276" w:lineRule="auto"/>
        <w:jc w:val="left"/>
        <w:rPr>
          <w:b/>
          <w:bCs/>
        </w:rPr>
      </w:pPr>
      <w:r w:rsidRPr="007B5BE6">
        <w:rPr>
          <w:b/>
          <w:bCs/>
        </w:rPr>
        <w:t xml:space="preserve">Figure </w:t>
      </w:r>
      <w:r w:rsidR="00AC4220" w:rsidRPr="007B5BE6">
        <w:rPr>
          <w:b/>
          <w:bCs/>
        </w:rPr>
        <w:t>2.4:</w:t>
      </w:r>
      <w:r w:rsidRPr="007B5BE6">
        <w:rPr>
          <w:b/>
          <w:bCs/>
        </w:rPr>
        <w:t xml:space="preserve"> Senior Assist client sample, 1 July</w:t>
      </w:r>
      <w:r w:rsidR="00575F25" w:rsidRPr="007B5BE6">
        <w:rPr>
          <w:b/>
          <w:bCs/>
        </w:rPr>
        <w:t>–</w:t>
      </w:r>
      <w:r w:rsidRPr="007B5BE6">
        <w:rPr>
          <w:b/>
          <w:bCs/>
        </w:rPr>
        <w:t>31 December 2023 (abuse type</w:t>
      </w:r>
      <w:r w:rsidR="00D43EA1" w:rsidRPr="007B5BE6">
        <w:rPr>
          <w:b/>
          <w:bCs/>
        </w:rPr>
        <w:t>—not mutually exclusive</w:t>
      </w:r>
      <w:r w:rsidR="006A7666" w:rsidRPr="007B5BE6">
        <w:rPr>
          <w:b/>
          <w:bCs/>
        </w:rPr>
        <w:t>, %</w:t>
      </w:r>
      <w:r w:rsidRPr="007B5BE6">
        <w:rPr>
          <w:b/>
          <w:bCs/>
        </w:rPr>
        <w:t>)</w:t>
      </w:r>
    </w:p>
    <w:p w14:paraId="7D6B8EFF" w14:textId="0E74CEF1" w:rsidR="000F4602" w:rsidRPr="007B5BE6" w:rsidRDefault="00C478C2" w:rsidP="00C478C2">
      <w:pPr>
        <w:jc w:val="center"/>
        <w:rPr>
          <w:b/>
          <w:bCs/>
        </w:rPr>
      </w:pPr>
      <w:r w:rsidRPr="007B5BE6">
        <w:rPr>
          <w:noProof/>
        </w:rPr>
        <w:drawing>
          <wp:inline distT="0" distB="0" distL="0" distR="0" wp14:anchorId="3233BC9B" wp14:editId="5F6BD84F">
            <wp:extent cx="4953000" cy="3467100"/>
            <wp:effectExtent l="0" t="0" r="0" b="0"/>
            <wp:docPr id="1290215782" name="Chart 1">
              <a:extLst xmlns:a="http://schemas.openxmlformats.org/drawingml/2006/main">
                <a:ext uri="{FF2B5EF4-FFF2-40B4-BE49-F238E27FC236}">
                  <a16:creationId xmlns:a16="http://schemas.microsoft.com/office/drawing/2014/main" id="{A0337F3C-CCC1-DA7F-8F78-9351181326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7C7DD8" w14:textId="0EF74B4A" w:rsidR="00BF4BBA" w:rsidRPr="007B5BE6" w:rsidRDefault="00BF4BBA" w:rsidP="00BF4BBA">
      <w:pPr>
        <w:pStyle w:val="NormalNumberedTextTLRI"/>
      </w:pPr>
      <w:r w:rsidRPr="007B5BE6">
        <w:t xml:space="preserve">Figure </w:t>
      </w:r>
      <w:r w:rsidR="00AC4220" w:rsidRPr="007B5BE6">
        <w:t>2.5</w:t>
      </w:r>
      <w:r w:rsidRPr="007B5BE6">
        <w:t xml:space="preserve"> shows the breakdown of Senior Assist clients in the sample according to the </w:t>
      </w:r>
      <w:r w:rsidRPr="007B5BE6">
        <w:rPr>
          <w:b/>
          <w:bCs/>
          <w:u w:val="single"/>
        </w:rPr>
        <w:t>relationship of the perpetrator of concern to the older person</w:t>
      </w:r>
      <w:r w:rsidRPr="007B5BE6">
        <w:t xml:space="preserve">. Gender and age of the perpetrator were not available. </w:t>
      </w:r>
      <w:r w:rsidR="006F70CA" w:rsidRPr="007B5BE6">
        <w:t>As was observed in Helpline calls, t</w:t>
      </w:r>
      <w:r w:rsidRPr="007B5BE6">
        <w:t>he prevalence of children as the perpetrators of concern in the Senior Assist client sample is eviden</w:t>
      </w:r>
      <w:r w:rsidR="00952E9B">
        <w:t xml:space="preserve">t—for 40 </w:t>
      </w:r>
      <w:r w:rsidR="00DC3CF7">
        <w:t xml:space="preserve">Senior Assist </w:t>
      </w:r>
      <w:r w:rsidR="007E5351">
        <w:t>client</w:t>
      </w:r>
      <w:r w:rsidR="00952E9B">
        <w:t>s</w:t>
      </w:r>
      <w:r w:rsidR="00DC3CF7">
        <w:t xml:space="preserve"> in the sample</w:t>
      </w:r>
      <w:r w:rsidR="00952E9B">
        <w:t>, it was their</w:t>
      </w:r>
      <w:r w:rsidR="007E5351">
        <w:t xml:space="preserve"> child </w:t>
      </w:r>
      <w:r w:rsidR="00952E9B">
        <w:t xml:space="preserve">who was the </w:t>
      </w:r>
      <w:r w:rsidR="008808C2">
        <w:t xml:space="preserve">perpetrator of concern </w:t>
      </w:r>
      <w:r w:rsidR="005E475A">
        <w:t>(</w:t>
      </w:r>
      <w:r w:rsidRPr="007B5BE6">
        <w:t>42.11%</w:t>
      </w:r>
      <w:r w:rsidR="008A218C">
        <w:t xml:space="preserve"> of the total sample</w:t>
      </w:r>
      <w:r w:rsidR="005E475A">
        <w:t>)</w:t>
      </w:r>
      <w:r w:rsidR="005E16E9" w:rsidRPr="007B5BE6">
        <w:t xml:space="preserve">. For the 36 clients where </w:t>
      </w:r>
      <w:r w:rsidR="00805659">
        <w:t>additional</w:t>
      </w:r>
      <w:r w:rsidR="005E16E9" w:rsidRPr="007B5BE6">
        <w:t xml:space="preserve"> data was recorded, </w:t>
      </w:r>
      <w:r w:rsidR="00A73D51" w:rsidRPr="007B5BE6">
        <w:t>41.67</w:t>
      </w:r>
      <w:r w:rsidR="00F052C3" w:rsidRPr="007B5BE6">
        <w:t>%</w:t>
      </w:r>
      <w:r w:rsidR="00A73D51" w:rsidRPr="007B5BE6">
        <w:t xml:space="preserve"> were sons (n=15) and </w:t>
      </w:r>
      <w:r w:rsidR="00F052C3" w:rsidRPr="007B5BE6">
        <w:t>58.33% were daughters (n=21)</w:t>
      </w:r>
      <w:r w:rsidRPr="007B5BE6">
        <w:t>. Spouse (partner) was identified in 15.79% (a similar proportion to the Helpline)</w:t>
      </w:r>
      <w:r w:rsidR="00F83E4D" w:rsidRPr="007B5BE6">
        <w:t xml:space="preserve">. Other </w:t>
      </w:r>
      <w:r w:rsidR="009430E1" w:rsidRPr="007B5BE6">
        <w:t xml:space="preserve">less common </w:t>
      </w:r>
      <w:r w:rsidR="00F83E4D" w:rsidRPr="007B5BE6">
        <w:t xml:space="preserve">relationship </w:t>
      </w:r>
      <w:r w:rsidRPr="007B5BE6">
        <w:t>categories</w:t>
      </w:r>
      <w:r w:rsidR="00F83E4D" w:rsidRPr="007B5BE6">
        <w:t xml:space="preserve">, </w:t>
      </w:r>
      <w:r w:rsidRPr="007B5BE6">
        <w:t xml:space="preserve">as shown in Figure </w:t>
      </w:r>
      <w:r w:rsidR="00A13491" w:rsidRPr="007B5BE6">
        <w:t>2.5</w:t>
      </w:r>
      <w:r w:rsidR="00F83E4D" w:rsidRPr="007B5BE6">
        <w:t>, were</w:t>
      </w:r>
      <w:r w:rsidRPr="007B5BE6">
        <w:t xml:space="preserve"> not captured in the Helpline data.</w:t>
      </w:r>
    </w:p>
    <w:p w14:paraId="7615EC7A" w14:textId="77777777" w:rsidR="006C46F1" w:rsidRPr="007B5BE6" w:rsidRDefault="006C46F1">
      <w:pPr>
        <w:spacing w:after="200" w:line="276" w:lineRule="auto"/>
        <w:jc w:val="left"/>
        <w:rPr>
          <w:b/>
          <w:bCs/>
        </w:rPr>
      </w:pPr>
      <w:r w:rsidRPr="007B5BE6">
        <w:rPr>
          <w:b/>
          <w:bCs/>
        </w:rPr>
        <w:br w:type="page"/>
      </w:r>
    </w:p>
    <w:p w14:paraId="41F47F71" w14:textId="53476C63" w:rsidR="00BF4BBA" w:rsidRPr="007B5BE6" w:rsidRDefault="00BF4BBA" w:rsidP="001902B2">
      <w:pPr>
        <w:spacing w:before="240" w:after="240"/>
        <w:rPr>
          <w:b/>
          <w:bCs/>
        </w:rPr>
      </w:pPr>
      <w:r w:rsidRPr="007B5BE6">
        <w:rPr>
          <w:b/>
          <w:bCs/>
        </w:rPr>
        <w:lastRenderedPageBreak/>
        <w:t xml:space="preserve">Figure </w:t>
      </w:r>
      <w:r w:rsidR="00AC4220" w:rsidRPr="007B5BE6">
        <w:rPr>
          <w:b/>
          <w:bCs/>
        </w:rPr>
        <w:t>2.5:</w:t>
      </w:r>
      <w:r w:rsidRPr="007B5BE6">
        <w:rPr>
          <w:b/>
          <w:bCs/>
        </w:rPr>
        <w:t xml:space="preserve"> Senior Assist client sample, </w:t>
      </w:r>
      <w:r w:rsidR="00575F25" w:rsidRPr="007B5BE6">
        <w:rPr>
          <w:b/>
          <w:bCs/>
        </w:rPr>
        <w:t xml:space="preserve">1 July–31 December 2023 </w:t>
      </w:r>
      <w:r w:rsidRPr="007B5BE6">
        <w:rPr>
          <w:b/>
          <w:bCs/>
        </w:rPr>
        <w:t>(relationship to older person</w:t>
      </w:r>
      <w:r w:rsidR="00AC4220" w:rsidRPr="007B5BE6">
        <w:rPr>
          <w:b/>
          <w:bCs/>
        </w:rPr>
        <w:t>—</w:t>
      </w:r>
      <w:r w:rsidRPr="007B5BE6">
        <w:rPr>
          <w:b/>
          <w:bCs/>
        </w:rPr>
        <w:t>perpetrators of concern</w:t>
      </w:r>
      <w:r w:rsidR="00BE6CD0" w:rsidRPr="007B5BE6">
        <w:rPr>
          <w:b/>
          <w:bCs/>
        </w:rPr>
        <w:t>, %</w:t>
      </w:r>
      <w:r w:rsidRPr="007B5BE6">
        <w:rPr>
          <w:b/>
          <w:bCs/>
        </w:rPr>
        <w:t>)</w:t>
      </w:r>
    </w:p>
    <w:p w14:paraId="6A9C9052" w14:textId="6DAC075A" w:rsidR="00BF4BBA" w:rsidRPr="007B5BE6" w:rsidRDefault="00242CA1" w:rsidP="00682699">
      <w:pPr>
        <w:jc w:val="center"/>
      </w:pPr>
      <w:r w:rsidRPr="007B5BE6">
        <w:rPr>
          <w:noProof/>
        </w:rPr>
        <w:drawing>
          <wp:inline distT="0" distB="0" distL="0" distR="0" wp14:anchorId="7BA30BA4" wp14:editId="1403C66B">
            <wp:extent cx="5219701" cy="2957513"/>
            <wp:effectExtent l="0" t="0" r="0" b="0"/>
            <wp:docPr id="1305278530" name="Chart 1">
              <a:extLst xmlns:a="http://schemas.openxmlformats.org/drawingml/2006/main">
                <a:ext uri="{FF2B5EF4-FFF2-40B4-BE49-F238E27FC236}">
                  <a16:creationId xmlns:a16="http://schemas.microsoft.com/office/drawing/2014/main" id="{7B4D459C-FD0F-2CD1-B643-7F6C75205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597E7F" w14:textId="276889EF" w:rsidR="00BF4BBA" w:rsidRPr="007B5BE6" w:rsidRDefault="00BF4BBA" w:rsidP="00BF4BBA">
      <w:pPr>
        <w:pStyle w:val="NormalNumberedTextTLRI"/>
      </w:pPr>
      <w:r w:rsidRPr="007B5BE6">
        <w:t xml:space="preserve">Patterns observed in the broader categories of relationship between perpetrators of concern and an older person in the Helpline data were </w:t>
      </w:r>
      <w:r w:rsidR="009430E1" w:rsidRPr="007B5BE6">
        <w:t xml:space="preserve">also </w:t>
      </w:r>
      <w:r w:rsidRPr="007B5BE6">
        <w:t>evident in the Senior Assist data. Perpetrators of concern were more commonly family members (either children or partners)</w:t>
      </w:r>
      <w:r w:rsidR="009430E1" w:rsidRPr="007B5BE6">
        <w:t xml:space="preserve">, comprising </w:t>
      </w:r>
      <w:r w:rsidRPr="007B5BE6">
        <w:t>65.27%</w:t>
      </w:r>
      <w:r w:rsidR="009430E1" w:rsidRPr="007B5BE6">
        <w:t xml:space="preserve"> of the 95 clients in the sample</w:t>
      </w:r>
      <w:r w:rsidRPr="007B5BE6">
        <w:t>.</w:t>
      </w:r>
    </w:p>
    <w:p w14:paraId="6EC8EC8E" w14:textId="002FB9A8" w:rsidR="0004717D" w:rsidRPr="007B5BE6" w:rsidRDefault="007A782E" w:rsidP="007936FC">
      <w:pPr>
        <w:pStyle w:val="Sub-HeadingTLRI"/>
        <w:spacing w:before="360"/>
      </w:pPr>
      <w:bookmarkStart w:id="30" w:name="_Toc212561725"/>
      <w:r w:rsidRPr="007B5BE6">
        <w:t>I</w:t>
      </w:r>
      <w:r w:rsidR="00EB7489" w:rsidRPr="007B5BE6">
        <w:t>nterviews with stakeholders</w:t>
      </w:r>
      <w:bookmarkEnd w:id="30"/>
    </w:p>
    <w:p w14:paraId="19E3B27A" w14:textId="77777777" w:rsidR="00E07FFE" w:rsidRPr="007B5BE6" w:rsidRDefault="00E07FFE" w:rsidP="00E07FFE">
      <w:pPr>
        <w:pStyle w:val="NormalNumberedTextTLRI"/>
      </w:pPr>
      <w:r w:rsidRPr="007B5BE6">
        <w:t xml:space="preserve">In identifying and discussing the gaps in responses to the abuse of older Tasmanians, stakeholders’ perspectives also provided insights into the nature of such abuse and the wide-ranging and complex circumstances in which it occurs. </w:t>
      </w:r>
    </w:p>
    <w:p w14:paraId="7CAC467C" w14:textId="7105F234" w:rsidR="001A6B8F" w:rsidRPr="007B5BE6" w:rsidRDefault="001A6B8F" w:rsidP="001A6B8F">
      <w:pPr>
        <w:pStyle w:val="NormalNumberedTextTLRI"/>
      </w:pPr>
      <w:r w:rsidRPr="007B5BE6">
        <w:t xml:space="preserve">A common theme in some stakeholders’ comments was a perception that </w:t>
      </w:r>
      <w:r w:rsidR="00301148" w:rsidRPr="007B5BE6">
        <w:t>current knowledge</w:t>
      </w:r>
      <w:r w:rsidRPr="007B5BE6">
        <w:t xml:space="preserve"> in Tasmania about the nature of abuse of older people, its prevalence and who is accessing the current responses </w:t>
      </w:r>
      <w:r w:rsidR="000A7945" w:rsidRPr="007B5BE6">
        <w:t>does not represent the</w:t>
      </w:r>
      <w:r w:rsidR="00A644B8" w:rsidRPr="007B5BE6">
        <w:t xml:space="preserve"> </w:t>
      </w:r>
      <w:r w:rsidR="00C7652A" w:rsidRPr="007B5BE6">
        <w:t>potential reality</w:t>
      </w:r>
      <w:r w:rsidR="00301148" w:rsidRPr="007B5BE6">
        <w:t xml:space="preserve">. This notion was reflected in comments </w:t>
      </w:r>
      <w:r w:rsidR="00C7652A" w:rsidRPr="007B5BE6">
        <w:t>suggested that</w:t>
      </w:r>
      <w:r w:rsidR="00301148" w:rsidRPr="007B5BE6">
        <w:t xml:space="preserve"> what we know </w:t>
      </w:r>
      <w:r w:rsidRPr="007B5BE6">
        <w:t xml:space="preserve">is just the ‘tip of the </w:t>
      </w:r>
      <w:proofErr w:type="gramStart"/>
      <w:r w:rsidRPr="007B5BE6">
        <w:t>ice-berg</w:t>
      </w:r>
      <w:proofErr w:type="gramEnd"/>
      <w:r w:rsidRPr="007B5BE6">
        <w:t>’</w:t>
      </w:r>
      <w:r w:rsidR="000B57D7" w:rsidRPr="007B5BE6">
        <w:rPr>
          <w:rStyle w:val="FootnoteReference"/>
        </w:rPr>
        <w:footnoteReference w:id="89"/>
      </w:r>
      <w:r w:rsidRPr="007B5BE6">
        <w:t xml:space="preserve"> and that we ‘haven’t scratched the surface yet’.</w:t>
      </w:r>
      <w:r w:rsidR="000B57D7" w:rsidRPr="007B5BE6">
        <w:rPr>
          <w:rStyle w:val="FootnoteReference"/>
        </w:rPr>
        <w:footnoteReference w:id="90"/>
      </w:r>
      <w:r w:rsidRPr="007B5BE6">
        <w:t xml:space="preserve"> One stakeholder noted that for abuse of older people experiencing dementia, what we hear about is </w:t>
      </w:r>
      <w:proofErr w:type="gramStart"/>
      <w:r w:rsidRPr="007B5BE6">
        <w:t>really only</w:t>
      </w:r>
      <w:proofErr w:type="gramEnd"/>
      <w:r w:rsidRPr="007B5BE6">
        <w:t xml:space="preserve"> the ‘crisis point’.</w:t>
      </w:r>
      <w:r w:rsidR="000B57D7" w:rsidRPr="007B5BE6">
        <w:rPr>
          <w:rStyle w:val="FootnoteReference"/>
        </w:rPr>
        <w:footnoteReference w:id="91"/>
      </w:r>
    </w:p>
    <w:p w14:paraId="7818F54F" w14:textId="570969DF" w:rsidR="001A6B8F" w:rsidRPr="007B5BE6" w:rsidRDefault="001A6B8F" w:rsidP="001A6B8F">
      <w:pPr>
        <w:pStyle w:val="NormalNumberedTextTLRI"/>
      </w:pPr>
      <w:r w:rsidRPr="007B5BE6">
        <w:t>Stakeholders noted that the circumstances in which abuse can occur are wide-ranging and complex.</w:t>
      </w:r>
      <w:r w:rsidR="000B57D7" w:rsidRPr="007B5BE6">
        <w:rPr>
          <w:rStyle w:val="FootnoteReference"/>
        </w:rPr>
        <w:footnoteReference w:id="92"/>
      </w:r>
      <w:r w:rsidRPr="007B5BE6">
        <w:t xml:space="preserve"> The following features were highlighted in discussions:</w:t>
      </w:r>
    </w:p>
    <w:p w14:paraId="7087D80C" w14:textId="69D87F53" w:rsidR="001A6B8F" w:rsidRPr="007B5BE6" w:rsidRDefault="001A6B8F" w:rsidP="001A6B8F">
      <w:pPr>
        <w:pStyle w:val="DotPointTLRI"/>
      </w:pPr>
      <w:r w:rsidRPr="007B5BE6">
        <w:t>Financial abuse is common and very varied in the way that it can be perpetrated by people both known to</w:t>
      </w:r>
      <w:r w:rsidR="002B374C" w:rsidRPr="007B5BE6">
        <w:t>,</w:t>
      </w:r>
      <w:r w:rsidRPr="007B5BE6">
        <w:t xml:space="preserve"> and trusted by</w:t>
      </w:r>
      <w:r w:rsidR="002B374C" w:rsidRPr="007B5BE6">
        <w:t>,</w:t>
      </w:r>
      <w:r w:rsidRPr="007B5BE6">
        <w:t xml:space="preserve"> </w:t>
      </w:r>
      <w:r w:rsidR="002B374C" w:rsidRPr="007B5BE6">
        <w:t xml:space="preserve">an older </w:t>
      </w:r>
      <w:r w:rsidRPr="007B5BE6">
        <w:t xml:space="preserve">person. Examples </w:t>
      </w:r>
      <w:r w:rsidR="00BE1A2D" w:rsidRPr="007B5BE6">
        <w:t xml:space="preserve">given </w:t>
      </w:r>
      <w:r w:rsidRPr="007B5BE6">
        <w:t>include</w:t>
      </w:r>
      <w:r w:rsidR="00BE1A2D" w:rsidRPr="007B5BE6">
        <w:t>d</w:t>
      </w:r>
      <w:r w:rsidRPr="007B5BE6">
        <w:t xml:space="preserve"> </w:t>
      </w:r>
      <w:r w:rsidR="00A12ABD" w:rsidRPr="007B5BE6">
        <w:t xml:space="preserve">theft or misappropriation of </w:t>
      </w:r>
      <w:r w:rsidR="00BE1A2D" w:rsidRPr="007B5BE6">
        <w:t xml:space="preserve">funds or property </w:t>
      </w:r>
      <w:r w:rsidRPr="007B5BE6">
        <w:t xml:space="preserve">by family or friends </w:t>
      </w:r>
      <w:r w:rsidR="00D40649" w:rsidRPr="007B5BE6">
        <w:t>(</w:t>
      </w:r>
      <w:r w:rsidRPr="007B5BE6">
        <w:t>through</w:t>
      </w:r>
      <w:r w:rsidR="00D31978" w:rsidRPr="007B5BE6">
        <w:t xml:space="preserve"> misusing powers of attorney or administration </w:t>
      </w:r>
      <w:proofErr w:type="gramStart"/>
      <w:r w:rsidR="00D31978" w:rsidRPr="007B5BE6">
        <w:t>orders</w:t>
      </w:r>
      <w:r w:rsidR="00BE1A2D" w:rsidRPr="007B5BE6">
        <w:t xml:space="preserve">, </w:t>
      </w:r>
      <w:r w:rsidRPr="007B5BE6">
        <w:t>or</w:t>
      </w:r>
      <w:proofErr w:type="gramEnd"/>
      <w:r w:rsidRPr="007B5BE6">
        <w:t xml:space="preserve"> making financial decisions in the absence of any legal powers to do so</w:t>
      </w:r>
      <w:r w:rsidR="00DC3D11" w:rsidRPr="007B5BE6">
        <w:t>)</w:t>
      </w:r>
      <w:r w:rsidRPr="007B5BE6">
        <w:t xml:space="preserve">, or by strangers </w:t>
      </w:r>
      <w:r w:rsidR="00DC3D11" w:rsidRPr="007B5BE6">
        <w:t>(</w:t>
      </w:r>
      <w:r w:rsidRPr="007B5BE6">
        <w:t>through scams</w:t>
      </w:r>
      <w:r w:rsidR="00DC3D11" w:rsidRPr="007B5BE6">
        <w:t>)</w:t>
      </w:r>
      <w:r w:rsidRPr="007B5BE6">
        <w:t>.</w:t>
      </w:r>
      <w:r w:rsidR="000B57D7" w:rsidRPr="007B5BE6">
        <w:rPr>
          <w:rStyle w:val="FootnoteReference"/>
        </w:rPr>
        <w:footnoteReference w:id="93"/>
      </w:r>
    </w:p>
    <w:p w14:paraId="26784A68" w14:textId="1046CBCB" w:rsidR="001A6B8F" w:rsidRPr="007B5BE6" w:rsidRDefault="001A6B8F" w:rsidP="001A6B8F">
      <w:pPr>
        <w:pStyle w:val="DotPointTLRI"/>
      </w:pPr>
      <w:r w:rsidRPr="007B5BE6">
        <w:lastRenderedPageBreak/>
        <w:t>Dementia stages or declining cognitive capacity are common features in cases where a family member, often an adult child or a partner, is seeking to ‘take over’ decision making for an older person to steal or misappropriate funds or property for their own benefit.</w:t>
      </w:r>
      <w:r w:rsidR="000B57D7" w:rsidRPr="007B5BE6">
        <w:rPr>
          <w:rStyle w:val="FootnoteReference"/>
        </w:rPr>
        <w:footnoteReference w:id="94"/>
      </w:r>
      <w:r w:rsidRPr="007B5BE6">
        <w:t xml:space="preserve"> These features </w:t>
      </w:r>
      <w:r w:rsidR="00296752" w:rsidRPr="007B5BE6">
        <w:t xml:space="preserve">were described as </w:t>
      </w:r>
      <w:r w:rsidRPr="007B5BE6">
        <w:t>‘fertile ground for abuse’</w:t>
      </w:r>
      <w:r w:rsidR="001D243A" w:rsidRPr="007B5BE6">
        <w:t>, and</w:t>
      </w:r>
      <w:r w:rsidR="00E772DF" w:rsidRPr="007B5BE6">
        <w:t xml:space="preserve"> as also</w:t>
      </w:r>
      <w:r w:rsidR="000D0C3A" w:rsidRPr="007B5BE6">
        <w:t xml:space="preserve"> </w:t>
      </w:r>
      <w:r w:rsidRPr="007B5BE6">
        <w:t>affect</w:t>
      </w:r>
      <w:r w:rsidR="00E772DF" w:rsidRPr="007B5BE6">
        <w:t>ing</w:t>
      </w:r>
      <w:r w:rsidRPr="007B5BE6">
        <w:t xml:space="preserve"> </w:t>
      </w:r>
      <w:r w:rsidR="00FE4F63" w:rsidRPr="007B5BE6">
        <w:t xml:space="preserve">the </w:t>
      </w:r>
      <w:r w:rsidRPr="007B5BE6">
        <w:t xml:space="preserve">capacity of older people to seek help, especially if a person’s </w:t>
      </w:r>
      <w:r w:rsidR="005F51D1" w:rsidRPr="007B5BE6">
        <w:t>‘</w:t>
      </w:r>
      <w:r w:rsidRPr="007B5BE6">
        <w:t>proximal</w:t>
      </w:r>
      <w:r w:rsidR="005F51D1" w:rsidRPr="007B5BE6">
        <w:t>’</w:t>
      </w:r>
      <w:r w:rsidR="003A40DF" w:rsidRPr="007B5BE6">
        <w:t xml:space="preserve"> (primary)</w:t>
      </w:r>
      <w:r w:rsidRPr="007B5BE6">
        <w:t xml:space="preserve"> carer is the person perpetuating abuse.</w:t>
      </w:r>
      <w:r w:rsidR="000B57D7" w:rsidRPr="007B5BE6">
        <w:rPr>
          <w:rStyle w:val="FootnoteReference"/>
        </w:rPr>
        <w:footnoteReference w:id="95"/>
      </w:r>
    </w:p>
    <w:p w14:paraId="6FCB4FF8" w14:textId="259EFD28" w:rsidR="001A6B8F" w:rsidRPr="007B5BE6" w:rsidRDefault="001A6B8F" w:rsidP="001A6B8F">
      <w:pPr>
        <w:pStyle w:val="DotPointTLRI"/>
      </w:pPr>
      <w:r w:rsidRPr="007B5BE6">
        <w:t xml:space="preserve">Family dynamics are a common feature of circumstances in which an older person experiences abuse, including breakdown of relationships between adult children and parents, or between siblings. These dynamics can be made more complex </w:t>
      </w:r>
      <w:r w:rsidR="001D5A4B" w:rsidRPr="007B5BE6">
        <w:t>by the presence of</w:t>
      </w:r>
      <w:r w:rsidRPr="007B5BE6">
        <w:t xml:space="preserve"> other factors, such </w:t>
      </w:r>
      <w:r w:rsidR="007D25C3" w:rsidRPr="007B5BE6">
        <w:t xml:space="preserve">as </w:t>
      </w:r>
      <w:r w:rsidRPr="007B5BE6">
        <w:t>declines in the older person’s cognitive capacity or mental health (and associated effects such as memory loss or paranoia)</w:t>
      </w:r>
      <w:r w:rsidR="00C60BED" w:rsidRPr="007B5BE6">
        <w:t>,</w:t>
      </w:r>
      <w:r w:rsidRPr="007B5BE6">
        <w:t xml:space="preserve"> or </w:t>
      </w:r>
      <w:r w:rsidR="00357D72" w:rsidRPr="007B5BE6">
        <w:t xml:space="preserve">where </w:t>
      </w:r>
      <w:r w:rsidR="001D6AD6" w:rsidRPr="007B5BE6">
        <w:t>family members hav</w:t>
      </w:r>
      <w:r w:rsidR="00E217A0" w:rsidRPr="007B5BE6">
        <w:t xml:space="preserve">e </w:t>
      </w:r>
      <w:r w:rsidRPr="007B5BE6">
        <w:t xml:space="preserve">mental </w:t>
      </w:r>
      <w:r w:rsidR="00E217A0" w:rsidRPr="007B5BE6">
        <w:t>illness</w:t>
      </w:r>
      <w:r w:rsidRPr="007B5BE6">
        <w:t>, substance use or financial pressures. There can be a gender split in roles in terms of who takes on caring responsibilities in families, with women more likely to do so.</w:t>
      </w:r>
      <w:r w:rsidR="000B57D7" w:rsidRPr="007B5BE6">
        <w:rPr>
          <w:rStyle w:val="FootnoteReference"/>
        </w:rPr>
        <w:footnoteReference w:id="96"/>
      </w:r>
      <w:r w:rsidRPr="007B5BE6">
        <w:t xml:space="preserve"> </w:t>
      </w:r>
    </w:p>
    <w:p w14:paraId="65C7D547" w14:textId="3BC47C32" w:rsidR="001A6B8F" w:rsidRPr="007B5BE6" w:rsidRDefault="001A6B8F" w:rsidP="001A6B8F">
      <w:pPr>
        <w:pStyle w:val="DotPointTLRI"/>
      </w:pPr>
      <w:r w:rsidRPr="007B5BE6">
        <w:t>Workplace culture and under</w:t>
      </w:r>
      <w:r w:rsidR="00940984" w:rsidRPr="007B5BE6">
        <w:t>-</w:t>
      </w:r>
      <w:r w:rsidRPr="007B5BE6">
        <w:t xml:space="preserve">resourced workforces, </w:t>
      </w:r>
      <w:r w:rsidR="008269D9" w:rsidRPr="007B5BE6">
        <w:t>for example</w:t>
      </w:r>
      <w:r w:rsidRPr="007B5BE6">
        <w:t xml:space="preserve"> in aged care</w:t>
      </w:r>
      <w:r w:rsidR="008269D9" w:rsidRPr="007B5BE6">
        <w:t xml:space="preserve"> </w:t>
      </w:r>
      <w:r w:rsidR="00364BAC" w:rsidRPr="007B5BE6">
        <w:t xml:space="preserve">institutions and </w:t>
      </w:r>
      <w:r w:rsidR="008269D9" w:rsidRPr="007B5BE6">
        <w:t>services</w:t>
      </w:r>
      <w:r w:rsidRPr="007B5BE6">
        <w:t>, can lead to</w:t>
      </w:r>
      <w:r w:rsidR="00364BAC" w:rsidRPr="007B5BE6">
        <w:t xml:space="preserve"> an</w:t>
      </w:r>
      <w:r w:rsidRPr="007B5BE6">
        <w:t xml:space="preserve"> increased risk of </w:t>
      </w:r>
      <w:r w:rsidR="00CA3F22" w:rsidRPr="007B5BE6">
        <w:t>older people in care</w:t>
      </w:r>
      <w:r w:rsidR="00550535" w:rsidRPr="007B5BE6">
        <w:t xml:space="preserve"> being </w:t>
      </w:r>
      <w:r w:rsidR="00353FED" w:rsidRPr="007B5BE6">
        <w:t xml:space="preserve">abused, neglected or mistreated </w:t>
      </w:r>
      <w:r w:rsidR="00550535" w:rsidRPr="007B5BE6">
        <w:t xml:space="preserve">by </w:t>
      </w:r>
      <w:r w:rsidR="00A072A3" w:rsidRPr="007B5BE6">
        <w:t>e</w:t>
      </w:r>
      <w:r w:rsidR="00EB57A0" w:rsidRPr="007B5BE6">
        <w:t>mployees</w:t>
      </w:r>
      <w:r w:rsidR="00550535" w:rsidRPr="007B5BE6">
        <w:t>. Further, under-resourcing</w:t>
      </w:r>
      <w:r w:rsidR="00CA3F22" w:rsidRPr="007B5BE6">
        <w:t xml:space="preserve"> in this sector</w:t>
      </w:r>
      <w:r w:rsidR="00550535" w:rsidRPr="007B5BE6">
        <w:t xml:space="preserve"> can mean that employees </w:t>
      </w:r>
      <w:r w:rsidR="002942A0" w:rsidRPr="007B5BE6">
        <w:t xml:space="preserve">lack the training </w:t>
      </w:r>
      <w:r w:rsidR="00D45DE3" w:rsidRPr="007B5BE6">
        <w:t>needed to</w:t>
      </w:r>
      <w:r w:rsidR="002942A0" w:rsidRPr="007B5BE6">
        <w:t xml:space="preserve"> </w:t>
      </w:r>
      <w:r w:rsidR="00550535" w:rsidRPr="007B5BE6">
        <w:t>develop</w:t>
      </w:r>
      <w:r w:rsidR="00C42829" w:rsidRPr="007B5BE6">
        <w:t xml:space="preserve"> </w:t>
      </w:r>
      <w:r w:rsidR="00311C2D" w:rsidRPr="007B5BE6">
        <w:t>sufficient</w:t>
      </w:r>
      <w:r w:rsidRPr="007B5BE6">
        <w:t xml:space="preserve"> </w:t>
      </w:r>
      <w:r w:rsidR="00C40113" w:rsidRPr="007B5BE6">
        <w:t>knowledge</w:t>
      </w:r>
      <w:r w:rsidRPr="007B5BE6">
        <w:t xml:space="preserve"> </w:t>
      </w:r>
      <w:r w:rsidR="00EE3DE9" w:rsidRPr="007B5BE6">
        <w:t>of abuse in this context</w:t>
      </w:r>
      <w:r w:rsidR="00D45DE3" w:rsidRPr="007B5BE6">
        <w:t xml:space="preserve"> and t</w:t>
      </w:r>
      <w:r w:rsidR="006D4486" w:rsidRPr="007B5BE6">
        <w:t xml:space="preserve">he </w:t>
      </w:r>
      <w:r w:rsidRPr="007B5BE6">
        <w:t xml:space="preserve">skills </w:t>
      </w:r>
      <w:r w:rsidR="00AF6443" w:rsidRPr="007B5BE6">
        <w:t xml:space="preserve">to </w:t>
      </w:r>
      <w:r w:rsidRPr="007B5BE6">
        <w:t>identify</w:t>
      </w:r>
      <w:r w:rsidR="00F753B5" w:rsidRPr="007B5BE6">
        <w:t xml:space="preserve"> behaviour of others as abusive</w:t>
      </w:r>
      <w:r w:rsidR="007C2C57" w:rsidRPr="007B5BE6">
        <w:t xml:space="preserve"> </w:t>
      </w:r>
      <w:r w:rsidR="00C42829" w:rsidRPr="007B5BE6">
        <w:t>and raise concerns</w:t>
      </w:r>
      <w:r w:rsidR="00A27770" w:rsidRPr="007B5BE6">
        <w:t>,</w:t>
      </w:r>
      <w:r w:rsidR="00C42829" w:rsidRPr="007B5BE6">
        <w:t xml:space="preserve"> </w:t>
      </w:r>
      <w:r w:rsidR="00D65E53" w:rsidRPr="007B5BE6">
        <w:t xml:space="preserve">for example </w:t>
      </w:r>
      <w:r w:rsidRPr="007B5BE6">
        <w:t>when</w:t>
      </w:r>
      <w:r w:rsidR="00A27770" w:rsidRPr="007B5BE6">
        <w:t xml:space="preserve"> there may be a possibility that</w:t>
      </w:r>
      <w:r w:rsidRPr="007B5BE6">
        <w:t xml:space="preserve"> an older person </w:t>
      </w:r>
      <w:r w:rsidR="00A27770" w:rsidRPr="007B5BE6">
        <w:t>in their care</w:t>
      </w:r>
      <w:r w:rsidR="007211EE" w:rsidRPr="007B5BE6">
        <w:t xml:space="preserve"> is being abused by </w:t>
      </w:r>
      <w:r w:rsidRPr="007B5BE6">
        <w:t>a family member.</w:t>
      </w:r>
      <w:r w:rsidR="000B57D7" w:rsidRPr="007B5BE6">
        <w:rPr>
          <w:rStyle w:val="FootnoteReference"/>
        </w:rPr>
        <w:footnoteReference w:id="97"/>
      </w:r>
    </w:p>
    <w:p w14:paraId="3E4DEC1F" w14:textId="421D2ACE" w:rsidR="001A6B8F" w:rsidRPr="007B5BE6" w:rsidRDefault="001A6B8F" w:rsidP="001A6B8F">
      <w:pPr>
        <w:pStyle w:val="DotPointTLRI"/>
        <w:rPr>
          <w:sz w:val="20"/>
          <w:szCs w:val="20"/>
        </w:rPr>
      </w:pPr>
      <w:r w:rsidRPr="007B5BE6">
        <w:t>Abuse can often be experienced by an older person over a lifetime.</w:t>
      </w:r>
      <w:r w:rsidR="000B57D7" w:rsidRPr="007B5BE6">
        <w:rPr>
          <w:rStyle w:val="FootnoteReference"/>
        </w:rPr>
        <w:footnoteReference w:id="98"/>
      </w:r>
      <w:r w:rsidRPr="007B5BE6">
        <w:t xml:space="preserve"> The most common example given was </w:t>
      </w:r>
      <w:r w:rsidR="00F158BB" w:rsidRPr="007B5BE6">
        <w:t xml:space="preserve">that </w:t>
      </w:r>
      <w:r w:rsidR="007D7662" w:rsidRPr="007B5BE6">
        <w:t>people</w:t>
      </w:r>
      <w:r w:rsidR="00F158BB" w:rsidRPr="007B5BE6">
        <w:t xml:space="preserve"> can </w:t>
      </w:r>
      <w:r w:rsidR="005F65AD" w:rsidRPr="007B5BE6">
        <w:t>experienc</w:t>
      </w:r>
      <w:r w:rsidR="00F158BB" w:rsidRPr="007B5BE6">
        <w:t>e</w:t>
      </w:r>
      <w:r w:rsidR="005F65AD" w:rsidRPr="007B5BE6">
        <w:t xml:space="preserve"> </w:t>
      </w:r>
      <w:r w:rsidRPr="007B5BE6">
        <w:t>family violence from an intimate partner</w:t>
      </w:r>
      <w:r w:rsidR="00576A47" w:rsidRPr="007B5BE6">
        <w:t xml:space="preserve">, and </w:t>
      </w:r>
      <w:r w:rsidRPr="007B5BE6">
        <w:t>then</w:t>
      </w:r>
      <w:r w:rsidR="0007025D" w:rsidRPr="007B5BE6">
        <w:t>,</w:t>
      </w:r>
      <w:r w:rsidRPr="007B5BE6">
        <w:t xml:space="preserve"> as an older person</w:t>
      </w:r>
      <w:r w:rsidR="0007025D" w:rsidRPr="007B5BE6">
        <w:t>,</w:t>
      </w:r>
      <w:r w:rsidR="005F65AD" w:rsidRPr="007B5BE6">
        <w:t xml:space="preserve"> experienc</w:t>
      </w:r>
      <w:r w:rsidR="00576A47" w:rsidRPr="007B5BE6">
        <w:t xml:space="preserve">e </w:t>
      </w:r>
      <w:r w:rsidRPr="007B5BE6">
        <w:t xml:space="preserve">abuse or mistreatment by an adult child or </w:t>
      </w:r>
      <w:r w:rsidR="00576A47" w:rsidRPr="007B5BE6">
        <w:t>an</w:t>
      </w:r>
      <w:r w:rsidRPr="007B5BE6">
        <w:t xml:space="preserve">other family member. Other examples given were people who </w:t>
      </w:r>
      <w:r w:rsidR="00831A16" w:rsidRPr="007B5BE6">
        <w:t xml:space="preserve">first </w:t>
      </w:r>
      <w:r w:rsidRPr="007B5BE6">
        <w:t>experience abuse as a child, for example familial sexual abuse or witnessing</w:t>
      </w:r>
      <w:r w:rsidR="0007025D" w:rsidRPr="007B5BE6">
        <w:t>,</w:t>
      </w:r>
      <w:r w:rsidRPr="007B5BE6">
        <w:t xml:space="preserve"> as a child</w:t>
      </w:r>
      <w:r w:rsidR="0007025D" w:rsidRPr="007B5BE6">
        <w:t>,</w:t>
      </w:r>
      <w:r w:rsidRPr="007B5BE6">
        <w:t xml:space="preserve"> family violence against a parent</w:t>
      </w:r>
      <w:r w:rsidR="00831A16" w:rsidRPr="007B5BE6">
        <w:t>, and then also experience abuse or mistreatment</w:t>
      </w:r>
      <w:r w:rsidR="000723B6" w:rsidRPr="007B5BE6">
        <w:t xml:space="preserve"> as an older person</w:t>
      </w:r>
      <w:r w:rsidRPr="007B5BE6">
        <w:t>.</w:t>
      </w:r>
      <w:r w:rsidR="000B57D7" w:rsidRPr="007B5BE6">
        <w:rPr>
          <w:rStyle w:val="FootnoteReference"/>
        </w:rPr>
        <w:footnoteReference w:id="99"/>
      </w:r>
      <w:r w:rsidRPr="007B5BE6">
        <w:t xml:space="preserve"> </w:t>
      </w:r>
      <w:r w:rsidR="00143EC9">
        <w:t>S</w:t>
      </w:r>
      <w:r w:rsidRPr="007B5BE6">
        <w:t xml:space="preserve">takeholder </w:t>
      </w:r>
      <w:r w:rsidR="00143EC9">
        <w:t xml:space="preserve">made </w:t>
      </w:r>
      <w:r w:rsidRPr="007B5BE6">
        <w:t>comment</w:t>
      </w:r>
      <w:r w:rsidR="00143EC9">
        <w:t>s to the effect</w:t>
      </w:r>
      <w:r w:rsidRPr="007B5BE6">
        <w:t xml:space="preserve"> that </w:t>
      </w:r>
      <w:r w:rsidR="0007025D" w:rsidRPr="007B5BE6">
        <w:t xml:space="preserve">it </w:t>
      </w:r>
      <w:r w:rsidRPr="007B5BE6">
        <w:t>can almost be as if one controller is replaced by another,</w:t>
      </w:r>
      <w:r w:rsidR="000B57D7" w:rsidRPr="007B5BE6">
        <w:rPr>
          <w:rStyle w:val="FootnoteReference"/>
        </w:rPr>
        <w:footnoteReference w:id="100"/>
      </w:r>
      <w:r w:rsidRPr="007B5BE6">
        <w:t xml:space="preserve"> although </w:t>
      </w:r>
      <w:r w:rsidR="00B90B63" w:rsidRPr="007B5BE6">
        <w:t xml:space="preserve">it was recognised that </w:t>
      </w:r>
      <w:r w:rsidRPr="007B5BE6">
        <w:t>the dynamics of violence and power imbalances in relationships across a lifespan can be different.</w:t>
      </w:r>
      <w:r w:rsidR="00100C5B" w:rsidRPr="007B5BE6">
        <w:rPr>
          <w:rStyle w:val="FootnoteReference"/>
        </w:rPr>
        <w:footnoteReference w:id="101"/>
      </w:r>
      <w:r w:rsidRPr="007B5BE6">
        <w:t xml:space="preserve"> </w:t>
      </w:r>
      <w:r w:rsidR="00B90B63" w:rsidRPr="007B5BE6">
        <w:t xml:space="preserve">Such </w:t>
      </w:r>
      <w:r w:rsidR="005248B8" w:rsidRPr="007B5BE6">
        <w:t xml:space="preserve">earlier </w:t>
      </w:r>
      <w:r w:rsidR="00B90B63" w:rsidRPr="007B5BE6">
        <w:t xml:space="preserve">experiences of abuse </w:t>
      </w:r>
      <w:r w:rsidRPr="007B5BE6">
        <w:t>can have long-term effects on the person</w:t>
      </w:r>
      <w:r w:rsidR="005248B8" w:rsidRPr="007B5BE6">
        <w:t>,</w:t>
      </w:r>
      <w:r w:rsidRPr="007B5BE6">
        <w:t xml:space="preserve"> in terms of them feeling </w:t>
      </w:r>
      <w:r w:rsidR="00D90E1E" w:rsidRPr="007B5BE6">
        <w:t>a sense of diminished</w:t>
      </w:r>
      <w:r w:rsidRPr="007B5BE6">
        <w:t xml:space="preserve"> ‘credibility’ </w:t>
      </w:r>
      <w:r w:rsidR="005248B8" w:rsidRPr="007B5BE6">
        <w:t>when</w:t>
      </w:r>
      <w:r w:rsidRPr="007B5BE6">
        <w:t xml:space="preserve"> seeking help </w:t>
      </w:r>
      <w:r w:rsidR="005248B8" w:rsidRPr="007B5BE6">
        <w:t xml:space="preserve">for </w:t>
      </w:r>
      <w:r w:rsidRPr="007B5BE6">
        <w:t>experienc</w:t>
      </w:r>
      <w:r w:rsidR="005248B8" w:rsidRPr="007B5BE6">
        <w:t>es of</w:t>
      </w:r>
      <w:r w:rsidRPr="007B5BE6">
        <w:t xml:space="preserve"> abuse as an older person.</w:t>
      </w:r>
      <w:r w:rsidR="00100C5B" w:rsidRPr="007B5BE6">
        <w:rPr>
          <w:rStyle w:val="FootnoteReference"/>
        </w:rPr>
        <w:footnoteReference w:id="102"/>
      </w:r>
      <w:r w:rsidRPr="007B5BE6">
        <w:t xml:space="preserve"> </w:t>
      </w:r>
    </w:p>
    <w:p w14:paraId="4E68273F" w14:textId="3C269C09" w:rsidR="001A6B8F" w:rsidRPr="007B5BE6" w:rsidRDefault="001A6B8F" w:rsidP="001A6B8F">
      <w:pPr>
        <w:pStyle w:val="DotPointTLRI"/>
      </w:pPr>
      <w:r w:rsidRPr="007B5BE6">
        <w:t>Older people often experience intersecting forms of abuse</w:t>
      </w:r>
      <w:r w:rsidR="002466B0" w:rsidRPr="007B5BE6">
        <w:t xml:space="preserve">. </w:t>
      </w:r>
      <w:proofErr w:type="gramStart"/>
      <w:r w:rsidR="002466B0" w:rsidRPr="007B5BE6">
        <w:t>I</w:t>
      </w:r>
      <w:r w:rsidRPr="007B5BE6">
        <w:t>n particular</w:t>
      </w:r>
      <w:r w:rsidR="002466B0" w:rsidRPr="007B5BE6">
        <w:t>,</w:t>
      </w:r>
      <w:r w:rsidRPr="007B5BE6">
        <w:t xml:space="preserve"> psychological</w:t>
      </w:r>
      <w:proofErr w:type="gramEnd"/>
      <w:r w:rsidRPr="007B5BE6">
        <w:t xml:space="preserve"> abuse </w:t>
      </w:r>
      <w:r w:rsidR="003E7DB8" w:rsidRPr="007B5BE6">
        <w:t xml:space="preserve">commonly </w:t>
      </w:r>
      <w:r w:rsidR="00D62F24" w:rsidRPr="007B5BE6">
        <w:t>accompanies</w:t>
      </w:r>
      <w:r w:rsidRPr="007B5BE6">
        <w:t xml:space="preserve"> other</w:t>
      </w:r>
      <w:r w:rsidR="009E5005" w:rsidRPr="007B5BE6">
        <w:t xml:space="preserve"> abuse types</w:t>
      </w:r>
      <w:r w:rsidRPr="007B5BE6">
        <w:t xml:space="preserve">. </w:t>
      </w:r>
      <w:r w:rsidR="008044A0" w:rsidRPr="007B5BE6">
        <w:t>Further, c</w:t>
      </w:r>
      <w:r w:rsidRPr="007B5BE6">
        <w:t>oercive control is almost always a feature of abuse of an older person</w:t>
      </w:r>
      <w:r w:rsidR="00322334" w:rsidRPr="007B5BE6">
        <w:t>; h</w:t>
      </w:r>
      <w:r w:rsidR="00F06904" w:rsidRPr="007B5BE6">
        <w:t xml:space="preserve">owever, coercive control </w:t>
      </w:r>
      <w:r w:rsidRPr="007B5BE6">
        <w:t xml:space="preserve">is not as </w:t>
      </w:r>
      <w:r w:rsidR="00C1319A" w:rsidRPr="007B5BE6">
        <w:t>visible,</w:t>
      </w:r>
      <w:r w:rsidRPr="007B5BE6">
        <w:t xml:space="preserve"> and people do not tend to understand it or raise it directly as a form of abuse.</w:t>
      </w:r>
      <w:r w:rsidR="00322334" w:rsidRPr="007B5BE6">
        <w:t xml:space="preserve"> This reflects similar dynamics around coercive control identified in other forms of family violence.</w:t>
      </w:r>
      <w:r w:rsidR="00100C5B" w:rsidRPr="007B5BE6">
        <w:rPr>
          <w:rStyle w:val="FootnoteReference"/>
        </w:rPr>
        <w:footnoteReference w:id="103"/>
      </w:r>
    </w:p>
    <w:p w14:paraId="0CB66864" w14:textId="05EA3EF7" w:rsidR="001A6B8F" w:rsidRPr="007B5BE6" w:rsidRDefault="001A6B8F" w:rsidP="001A6B8F">
      <w:pPr>
        <w:pStyle w:val="DotPointTLRI"/>
      </w:pPr>
      <w:r w:rsidRPr="007B5BE6">
        <w:t xml:space="preserve">Two </w:t>
      </w:r>
      <w:r w:rsidR="005E2502" w:rsidRPr="007B5BE6">
        <w:t xml:space="preserve">of </w:t>
      </w:r>
      <w:r w:rsidR="00DE70BE" w:rsidRPr="007B5BE6">
        <w:t xml:space="preserve">the </w:t>
      </w:r>
      <w:r w:rsidRPr="007B5BE6">
        <w:t>features</w:t>
      </w:r>
      <w:r w:rsidR="004A7C58" w:rsidRPr="007B5BE6">
        <w:t xml:space="preserve"> </w:t>
      </w:r>
      <w:r w:rsidR="00DE70BE" w:rsidRPr="007B5BE6">
        <w:t>raised by stakeholders</w:t>
      </w:r>
      <w:r w:rsidR="00BD5A88" w:rsidRPr="007B5BE6">
        <w:t xml:space="preserve"> in interviews</w:t>
      </w:r>
      <w:r w:rsidR="0077402E" w:rsidRPr="007B5BE6">
        <w:t>—‘a</w:t>
      </w:r>
      <w:r w:rsidRPr="007B5BE6">
        <w:t>buse over a lifetime</w:t>
      </w:r>
      <w:r w:rsidR="004A7C58" w:rsidRPr="007B5BE6">
        <w:t>’</w:t>
      </w:r>
      <w:r w:rsidRPr="007B5BE6">
        <w:t xml:space="preserve"> and </w:t>
      </w:r>
      <w:r w:rsidR="004A7C58" w:rsidRPr="007B5BE6">
        <w:t>‘</w:t>
      </w:r>
      <w:r w:rsidRPr="007B5BE6">
        <w:t>coercive control</w:t>
      </w:r>
      <w:r w:rsidR="004A7C58" w:rsidRPr="007B5BE6">
        <w:t>’</w:t>
      </w:r>
      <w:r w:rsidR="0077402E" w:rsidRPr="007B5BE6">
        <w:t>—w</w:t>
      </w:r>
      <w:r w:rsidRPr="007B5BE6">
        <w:t xml:space="preserve">ere highlighted in a case example provided by a stakeholder </w:t>
      </w:r>
      <w:r w:rsidR="00BD5A88" w:rsidRPr="007B5BE6">
        <w:t xml:space="preserve">when discussing the circumstances </w:t>
      </w:r>
      <w:r w:rsidR="004006D9" w:rsidRPr="007B5BE6">
        <w:t>in which older people can experience</w:t>
      </w:r>
      <w:r w:rsidR="00BD5A88" w:rsidRPr="007B5BE6">
        <w:t xml:space="preserve"> abuse. </w:t>
      </w:r>
      <w:r w:rsidR="007137D3" w:rsidRPr="007B5BE6">
        <w:t xml:space="preserve">In this example, </w:t>
      </w:r>
      <w:r w:rsidRPr="007B5BE6">
        <w:t xml:space="preserve">an older person’s partner had been admitted to aged care for respite and there was a history of coercive control perpetrated by him against her. </w:t>
      </w:r>
      <w:r w:rsidR="009262C3" w:rsidRPr="007B5BE6">
        <w:t xml:space="preserve">Both of her </w:t>
      </w:r>
      <w:r w:rsidRPr="007B5BE6">
        <w:t xml:space="preserve">children were </w:t>
      </w:r>
      <w:r w:rsidR="007C60CD" w:rsidRPr="007B5BE6">
        <w:t>appointed</w:t>
      </w:r>
      <w:r w:rsidR="00210EE3" w:rsidRPr="007B5BE6">
        <w:t xml:space="preserve"> </w:t>
      </w:r>
      <w:r w:rsidRPr="007B5BE6">
        <w:t>guardians and there was an enduring power of attorney in place, and they were financially controlling her</w:t>
      </w:r>
      <w:r w:rsidR="00465487" w:rsidRPr="007B5BE6">
        <w:t xml:space="preserve">. Her children </w:t>
      </w:r>
      <w:r w:rsidRPr="007B5BE6">
        <w:lastRenderedPageBreak/>
        <w:t>were also telling her (incorrectly) that she could not attend the aged care facility to visit her partner.</w:t>
      </w:r>
      <w:r w:rsidR="00100C5B" w:rsidRPr="007B5BE6">
        <w:rPr>
          <w:rStyle w:val="FootnoteReference"/>
        </w:rPr>
        <w:footnoteReference w:id="104"/>
      </w:r>
    </w:p>
    <w:p w14:paraId="4CCF8943" w14:textId="77AEF963" w:rsidR="001A6B8F" w:rsidRPr="007B5BE6" w:rsidRDefault="001A6B8F" w:rsidP="001A6B8F">
      <w:pPr>
        <w:pStyle w:val="DotPointTLRI"/>
      </w:pPr>
      <w:r w:rsidRPr="007B5BE6">
        <w:t xml:space="preserve">There is significant variation in perpetrator behaviour and intentions. This can </w:t>
      </w:r>
      <w:r w:rsidR="00E1550D" w:rsidRPr="007B5BE6">
        <w:t xml:space="preserve">cover spectrums </w:t>
      </w:r>
      <w:r w:rsidR="00284313" w:rsidRPr="007B5BE6">
        <w:t>of</w:t>
      </w:r>
      <w:r w:rsidR="00105323" w:rsidRPr="007B5BE6">
        <w:t xml:space="preserve"> </w:t>
      </w:r>
      <w:r w:rsidR="00284313" w:rsidRPr="007B5BE6">
        <w:t>behaviour</w:t>
      </w:r>
      <w:r w:rsidR="00892959" w:rsidRPr="007B5BE6">
        <w:t>, ranging from:</w:t>
      </w:r>
      <w:r w:rsidR="00284313" w:rsidRPr="007B5BE6">
        <w:t xml:space="preserve"> </w:t>
      </w:r>
      <w:r w:rsidRPr="007B5BE6">
        <w:t>planned and deliberate acts of theft or misappropriation of assets</w:t>
      </w:r>
      <w:r w:rsidR="00892959" w:rsidRPr="007B5BE6">
        <w:t>;</w:t>
      </w:r>
      <w:r w:rsidRPr="007B5BE6">
        <w:t xml:space="preserve"> neglect</w:t>
      </w:r>
      <w:r w:rsidR="00892959" w:rsidRPr="007B5BE6">
        <w:t>;</w:t>
      </w:r>
      <w:r w:rsidR="00105323" w:rsidRPr="007B5BE6">
        <w:t xml:space="preserve"> and </w:t>
      </w:r>
      <w:r w:rsidRPr="007B5BE6">
        <w:t>help that is well-intentioned</w:t>
      </w:r>
      <w:r w:rsidR="00321592" w:rsidRPr="007B5BE6">
        <w:t>,</w:t>
      </w:r>
      <w:r w:rsidRPr="007B5BE6">
        <w:t xml:space="preserve"> but overrides a person’s right to make their own decisions</w:t>
      </w:r>
      <w:r w:rsidR="00321592" w:rsidRPr="007B5BE6">
        <w:t xml:space="preserve"> </w:t>
      </w:r>
      <w:r w:rsidRPr="007B5BE6">
        <w:t xml:space="preserve">or becomes </w:t>
      </w:r>
      <w:proofErr w:type="gramStart"/>
      <w:r w:rsidRPr="007B5BE6">
        <w:t>more and more</w:t>
      </w:r>
      <w:proofErr w:type="gramEnd"/>
      <w:r w:rsidRPr="007B5BE6">
        <w:t xml:space="preserve"> controlling</w:t>
      </w:r>
      <w:r w:rsidR="00D86141" w:rsidRPr="007B5BE6">
        <w:t xml:space="preserve"> because</w:t>
      </w:r>
      <w:r w:rsidRPr="007B5BE6">
        <w:t xml:space="preserve"> that is ‘easier than supporting a person to make their own decisions</w:t>
      </w:r>
      <w:r w:rsidR="004524FB" w:rsidRPr="007B5BE6">
        <w:t>’</w:t>
      </w:r>
      <w:r w:rsidRPr="007B5BE6">
        <w:t xml:space="preserve">. </w:t>
      </w:r>
      <w:r w:rsidR="00F5088C" w:rsidRPr="007B5BE6">
        <w:t>Such b</w:t>
      </w:r>
      <w:r w:rsidRPr="007B5BE6">
        <w:t xml:space="preserve">ehaviour </w:t>
      </w:r>
      <w:r w:rsidR="00FF6627" w:rsidRPr="007B5BE6">
        <w:t xml:space="preserve">(albeit </w:t>
      </w:r>
      <w:r w:rsidRPr="007B5BE6">
        <w:t>well</w:t>
      </w:r>
      <w:r w:rsidR="000869F1" w:rsidRPr="007B5BE6">
        <w:t>-</w:t>
      </w:r>
      <w:r w:rsidRPr="007B5BE6">
        <w:t>intentioned or focused on risk or safety</w:t>
      </w:r>
      <w:r w:rsidR="00FF6627" w:rsidRPr="007B5BE6">
        <w:t>)</w:t>
      </w:r>
      <w:r w:rsidRPr="007B5BE6">
        <w:t>, particularly in institutions, may not have the older person’s rights at the forefront. Regarding this, there can be a lack of knowledge in the community as to what behaviour is abusive and what it means for an older person to exercise rights to free choice and self-determination.</w:t>
      </w:r>
      <w:r w:rsidR="00100C5B" w:rsidRPr="007B5BE6">
        <w:rPr>
          <w:rStyle w:val="FootnoteReference"/>
        </w:rPr>
        <w:footnoteReference w:id="105"/>
      </w:r>
      <w:r w:rsidRPr="007B5BE6">
        <w:t xml:space="preserve"> </w:t>
      </w:r>
    </w:p>
    <w:p w14:paraId="50D1AD60" w14:textId="7F6B4CD1" w:rsidR="001A6B8F" w:rsidRPr="007B5BE6" w:rsidRDefault="001A6B8F" w:rsidP="001A6B8F">
      <w:pPr>
        <w:pStyle w:val="DotPointTLRI"/>
      </w:pPr>
      <w:r w:rsidRPr="007B5BE6">
        <w:t xml:space="preserve">Perpetration can occur on a continuum and in some circumstances, it can be a ‘slippery slope’ where ‘help’ graduates to ‘aggressive help’ </w:t>
      </w:r>
      <w:r w:rsidR="00FF6627" w:rsidRPr="007B5BE6">
        <w:t xml:space="preserve">such that </w:t>
      </w:r>
      <w:r w:rsidRPr="007B5BE6">
        <w:t xml:space="preserve">a person’s </w:t>
      </w:r>
      <w:proofErr w:type="gramStart"/>
      <w:r w:rsidRPr="007B5BE6">
        <w:t>decision</w:t>
      </w:r>
      <w:r w:rsidR="00877588" w:rsidRPr="007B5BE6">
        <w:t xml:space="preserve"> </w:t>
      </w:r>
      <w:r w:rsidRPr="007B5BE6">
        <w:t>making</w:t>
      </w:r>
      <w:proofErr w:type="gramEnd"/>
      <w:r w:rsidRPr="007B5BE6">
        <w:t xml:space="preserve"> is being overridden by good intentions, which then escalates to abuse. The slide down this slope can be exacerbated by other circumstances in particular contexts, for example an increase in support needs for the older person</w:t>
      </w:r>
      <w:r w:rsidR="00FF6627" w:rsidRPr="007B5BE6">
        <w:t>,</w:t>
      </w:r>
      <w:r w:rsidRPr="007B5BE6">
        <w:t xml:space="preserve"> or </w:t>
      </w:r>
      <w:r w:rsidR="0083244F" w:rsidRPr="007B5BE6">
        <w:t xml:space="preserve">a </w:t>
      </w:r>
      <w:r w:rsidRPr="007B5BE6">
        <w:t xml:space="preserve">decrease in resources or capacity by carers. </w:t>
      </w:r>
      <w:r w:rsidR="008D5E11" w:rsidRPr="007B5BE6">
        <w:t xml:space="preserve">Stakeholders highlighted the </w:t>
      </w:r>
      <w:r w:rsidRPr="007B5BE6">
        <w:t>responsibilities and challenges of being a carer and</w:t>
      </w:r>
      <w:r w:rsidR="008D5E11" w:rsidRPr="007B5BE6">
        <w:t xml:space="preserve"> that </w:t>
      </w:r>
      <w:r w:rsidRPr="007B5BE6">
        <w:t xml:space="preserve">a lack of support can lead to carer burn out. </w:t>
      </w:r>
      <w:r w:rsidR="003328F0" w:rsidRPr="007B5BE6">
        <w:t>Further, stakeholders suggested i</w:t>
      </w:r>
      <w:r w:rsidRPr="007B5BE6">
        <w:t xml:space="preserve">t can be overwhelming </w:t>
      </w:r>
      <w:r w:rsidR="003328F0" w:rsidRPr="007B5BE6">
        <w:t>for</w:t>
      </w:r>
      <w:r w:rsidR="00590E7E" w:rsidRPr="007B5BE6">
        <w:t xml:space="preserve"> those who are caring for an older person</w:t>
      </w:r>
      <w:r w:rsidR="003328F0" w:rsidRPr="007B5BE6">
        <w:t xml:space="preserve"> </w:t>
      </w:r>
      <w:r w:rsidRPr="007B5BE6">
        <w:t>to know where to seek help or find support</w:t>
      </w:r>
      <w:r w:rsidR="001F2445" w:rsidRPr="007B5BE6">
        <w:t xml:space="preserve">. </w:t>
      </w:r>
      <w:r w:rsidR="00ED5718" w:rsidRPr="007B5BE6">
        <w:t>It</w:t>
      </w:r>
      <w:r w:rsidR="00396902" w:rsidRPr="007B5BE6">
        <w:t xml:space="preserve"> was </w:t>
      </w:r>
      <w:r w:rsidR="00ED5718" w:rsidRPr="007B5BE6">
        <w:t xml:space="preserve">also </w:t>
      </w:r>
      <w:r w:rsidR="00396902" w:rsidRPr="007B5BE6">
        <w:t xml:space="preserve">noted that carers can </w:t>
      </w:r>
      <w:r w:rsidR="00D17687" w:rsidRPr="007B5BE6">
        <w:t xml:space="preserve">sometimes </w:t>
      </w:r>
      <w:r w:rsidR="00303997" w:rsidRPr="007B5BE6">
        <w:t>have</w:t>
      </w:r>
      <w:r w:rsidR="00D17687" w:rsidRPr="007B5BE6">
        <w:t xml:space="preserve"> </w:t>
      </w:r>
      <w:r w:rsidRPr="007B5BE6">
        <w:t xml:space="preserve">concerns </w:t>
      </w:r>
      <w:r w:rsidR="00D17687" w:rsidRPr="007B5BE6">
        <w:t>that they</w:t>
      </w:r>
      <w:r w:rsidR="00303997" w:rsidRPr="007B5BE6">
        <w:t xml:space="preserve"> could</w:t>
      </w:r>
      <w:r w:rsidR="00D17687" w:rsidRPr="007B5BE6">
        <w:t xml:space="preserve"> be </w:t>
      </w:r>
      <w:r w:rsidRPr="007B5BE6">
        <w:t>accused of abusive behaviour</w:t>
      </w:r>
      <w:r w:rsidR="00590E7E" w:rsidRPr="007B5BE6">
        <w:t>,</w:t>
      </w:r>
      <w:r w:rsidRPr="007B5BE6">
        <w:t xml:space="preserve"> if </w:t>
      </w:r>
      <w:r w:rsidR="00D17687" w:rsidRPr="007B5BE6">
        <w:t xml:space="preserve">they seek </w:t>
      </w:r>
      <w:r w:rsidRPr="007B5BE6">
        <w:t>help</w:t>
      </w:r>
      <w:r w:rsidR="00410617" w:rsidRPr="007B5BE6">
        <w:t xml:space="preserve">, particularly if they are </w:t>
      </w:r>
      <w:r w:rsidRPr="007B5BE6">
        <w:t xml:space="preserve">finding it difficult to meet </w:t>
      </w:r>
      <w:r w:rsidR="00A96152" w:rsidRPr="007B5BE6">
        <w:t xml:space="preserve">their </w:t>
      </w:r>
      <w:r w:rsidRPr="007B5BE6">
        <w:t xml:space="preserve">caring responsibilities before behaviour </w:t>
      </w:r>
      <w:r w:rsidR="00396902" w:rsidRPr="007B5BE6">
        <w:t>‘</w:t>
      </w:r>
      <w:r w:rsidRPr="007B5BE6">
        <w:t xml:space="preserve">slides </w:t>
      </w:r>
      <w:r w:rsidR="003328F0" w:rsidRPr="007B5BE6">
        <w:t>down the slope</w:t>
      </w:r>
      <w:r w:rsidR="00396902" w:rsidRPr="007B5BE6">
        <w:t>’</w:t>
      </w:r>
      <w:r w:rsidR="003328F0" w:rsidRPr="007B5BE6">
        <w:t xml:space="preserve"> </w:t>
      </w:r>
      <w:r w:rsidRPr="007B5BE6">
        <w:t>into abuse or neglect. Circumstances such as poverty, mental illness and substance abuse can be associated with perpetration of abuse, which is important to understand from a preventative perspective.</w:t>
      </w:r>
      <w:r w:rsidR="00100C5B" w:rsidRPr="007B5BE6">
        <w:rPr>
          <w:rStyle w:val="FootnoteReference"/>
        </w:rPr>
        <w:footnoteReference w:id="106"/>
      </w:r>
      <w:r w:rsidRPr="007B5BE6">
        <w:t xml:space="preserve"> </w:t>
      </w:r>
    </w:p>
    <w:p w14:paraId="16F51425" w14:textId="4F67A85C" w:rsidR="001A6B8F" w:rsidRPr="007B5BE6" w:rsidRDefault="007918B2" w:rsidP="001A6B8F">
      <w:pPr>
        <w:pStyle w:val="NormalNumberedTextTLRI"/>
      </w:pPr>
      <w:r w:rsidRPr="007B5BE6">
        <w:t xml:space="preserve">Further, </w:t>
      </w:r>
      <w:r w:rsidR="002C498A" w:rsidRPr="007B5BE6">
        <w:t xml:space="preserve">almost all </w:t>
      </w:r>
      <w:r w:rsidR="001A6B8F" w:rsidRPr="007B5BE6">
        <w:t>stakeholders suggested from their experiences working in the area that</w:t>
      </w:r>
      <w:r w:rsidR="00DA5721" w:rsidRPr="007B5BE6">
        <w:t>,</w:t>
      </w:r>
      <w:r w:rsidR="001A6B8F" w:rsidRPr="007B5BE6">
        <w:t xml:space="preserve"> in family contexts, older people </w:t>
      </w:r>
      <w:proofErr w:type="gramStart"/>
      <w:r w:rsidR="001A6B8F" w:rsidRPr="007B5BE6">
        <w:t>most commonly experienced</w:t>
      </w:r>
      <w:proofErr w:type="gramEnd"/>
      <w:r w:rsidR="001A6B8F" w:rsidRPr="007B5BE6">
        <w:t xml:space="preserve"> perpetration of abuse from adult children</w:t>
      </w:r>
      <w:r w:rsidR="00D4349B" w:rsidRPr="007B5BE6">
        <w:t>. A</w:t>
      </w:r>
      <w:r w:rsidR="00134C3B" w:rsidRPr="007B5BE6">
        <w:t>dult grandchildren were also mentioned by some stakeholders</w:t>
      </w:r>
      <w:r w:rsidR="001A6B8F" w:rsidRPr="007B5BE6">
        <w:t>.</w:t>
      </w:r>
      <w:r w:rsidR="00100C5B" w:rsidRPr="007B5BE6">
        <w:rPr>
          <w:rStyle w:val="FootnoteReference"/>
        </w:rPr>
        <w:footnoteReference w:id="107"/>
      </w:r>
      <w:r w:rsidR="001A6B8F" w:rsidRPr="007B5BE6">
        <w:t xml:space="preserve"> </w:t>
      </w:r>
      <w:r w:rsidR="00584257" w:rsidRPr="007B5BE6">
        <w:t>It was emphasised by a stakeholder in these discussions that understanding the ‘cultural’ contexts in which abuse occurs is key to responding to it, including in family, carer and institutional contexts.</w:t>
      </w:r>
      <w:r w:rsidR="00100C5B" w:rsidRPr="007B5BE6">
        <w:rPr>
          <w:rStyle w:val="FootnoteReference"/>
        </w:rPr>
        <w:footnoteReference w:id="108"/>
      </w:r>
      <w:r w:rsidR="00584257" w:rsidRPr="007B5BE6">
        <w:t xml:space="preserve"> </w:t>
      </w:r>
      <w:r w:rsidR="001A6B8F" w:rsidRPr="007B5BE6">
        <w:t xml:space="preserve">One stakeholder noted that AIFS’ national prevalence </w:t>
      </w:r>
      <w:r w:rsidR="00D4349B" w:rsidRPr="007B5BE6">
        <w:t xml:space="preserve">study </w:t>
      </w:r>
      <w:r w:rsidR="001A6B8F" w:rsidRPr="007B5BE6">
        <w:t xml:space="preserve">was focused only </w:t>
      </w:r>
      <w:r w:rsidR="005E1615" w:rsidRPr="007B5BE6">
        <w:t xml:space="preserve">on </w:t>
      </w:r>
      <w:r w:rsidR="001A6B8F" w:rsidRPr="007B5BE6">
        <w:t>experiences of abuse of older people in the community. Therefore, there was a need for more research to understand the prevalence of systems</w:t>
      </w:r>
      <w:r w:rsidR="00465E9C" w:rsidRPr="007B5BE6">
        <w:t xml:space="preserve"> abuse</w:t>
      </w:r>
      <w:r w:rsidR="001A6B8F" w:rsidRPr="007B5BE6">
        <w:t xml:space="preserve"> and institutional abuse</w:t>
      </w:r>
      <w:r w:rsidR="00D4349B" w:rsidRPr="007B5BE6">
        <w:t xml:space="preserve"> of older people in Tasmania</w:t>
      </w:r>
      <w:r w:rsidR="001A6B8F" w:rsidRPr="007B5BE6">
        <w:t xml:space="preserve">. Examples </w:t>
      </w:r>
      <w:r w:rsidR="0076357D" w:rsidRPr="007B5BE6">
        <w:t xml:space="preserve">of such abuse, </w:t>
      </w:r>
      <w:r w:rsidR="001A6B8F" w:rsidRPr="007B5BE6">
        <w:t>discussed by other</w:t>
      </w:r>
      <w:r w:rsidR="00D4349B" w:rsidRPr="007B5BE6">
        <w:t xml:space="preserve"> stakeholders</w:t>
      </w:r>
      <w:r w:rsidR="0076357D" w:rsidRPr="007B5BE6">
        <w:t xml:space="preserve">, </w:t>
      </w:r>
      <w:r w:rsidR="001A6B8F" w:rsidRPr="007B5BE6">
        <w:t xml:space="preserve">included </w:t>
      </w:r>
      <w:r w:rsidR="0076357D" w:rsidRPr="007B5BE6">
        <w:t xml:space="preserve">abuse that </w:t>
      </w:r>
      <w:r w:rsidR="00CB0063" w:rsidRPr="007B5BE6">
        <w:t xml:space="preserve">occurs in </w:t>
      </w:r>
      <w:r w:rsidR="001A6B8F" w:rsidRPr="007B5BE6">
        <w:t>hospitals and health systems, aged care, kinship care in child protection systems (which can place a burden on older people), and guardianship systems.</w:t>
      </w:r>
      <w:r w:rsidR="00100C5B" w:rsidRPr="007B5BE6">
        <w:rPr>
          <w:rStyle w:val="FootnoteReference"/>
        </w:rPr>
        <w:footnoteReference w:id="109"/>
      </w:r>
      <w:r w:rsidR="001A6B8F" w:rsidRPr="007B5BE6">
        <w:t xml:space="preserve"> </w:t>
      </w:r>
    </w:p>
    <w:p w14:paraId="531281DE" w14:textId="45C84BC6" w:rsidR="001A6B8F" w:rsidRPr="007B5BE6" w:rsidRDefault="001A6B8F" w:rsidP="001A6B8F">
      <w:pPr>
        <w:pStyle w:val="NormalNumberedTextTLRI"/>
      </w:pPr>
      <w:r w:rsidRPr="007B5BE6">
        <w:t xml:space="preserve">Ageism and attitudes to ageing </w:t>
      </w:r>
      <w:r w:rsidR="009279CA" w:rsidRPr="007B5BE6">
        <w:t>were issues raised</w:t>
      </w:r>
      <w:r w:rsidRPr="007B5BE6">
        <w:t xml:space="preserve"> by numerous stakeholders </w:t>
      </w:r>
      <w:r w:rsidR="009279CA" w:rsidRPr="007B5BE6">
        <w:t>when discussing</w:t>
      </w:r>
      <w:r w:rsidRPr="007B5BE6">
        <w:t xml:space="preserve"> their perceptions of the nature of abuse</w:t>
      </w:r>
      <w:r w:rsidR="00834CD8" w:rsidRPr="007B5BE6">
        <w:t xml:space="preserve"> of older people</w:t>
      </w:r>
      <w:r w:rsidRPr="007B5BE6">
        <w:t xml:space="preserve">. </w:t>
      </w:r>
    </w:p>
    <w:p w14:paraId="080D04DB" w14:textId="4B6777F0" w:rsidR="001A6B8F" w:rsidRPr="007B5BE6" w:rsidRDefault="001A6B8F" w:rsidP="001A6B8F">
      <w:pPr>
        <w:pStyle w:val="DotPointTLRI"/>
      </w:pPr>
      <w:r w:rsidRPr="007B5BE6">
        <w:t>Stakeholders noted that ageing can be experienced very positively by some people in the community</w:t>
      </w:r>
      <w:r w:rsidR="00CA5D96" w:rsidRPr="007B5BE6">
        <w:t xml:space="preserve">, while </w:t>
      </w:r>
      <w:r w:rsidRPr="007B5BE6">
        <w:t xml:space="preserve">others can experience isolation, poverty and mental health </w:t>
      </w:r>
      <w:r w:rsidR="00834CD8" w:rsidRPr="007B5BE6">
        <w:t>challenges</w:t>
      </w:r>
      <w:r w:rsidRPr="007B5BE6">
        <w:t>, which can operate to increase the risk of abuse and affect help-seeking.</w:t>
      </w:r>
      <w:r w:rsidR="00100C5B" w:rsidRPr="007B5BE6">
        <w:rPr>
          <w:rStyle w:val="FootnoteReference"/>
        </w:rPr>
        <w:footnoteReference w:id="110"/>
      </w:r>
      <w:r w:rsidRPr="007B5BE6">
        <w:t xml:space="preserve"> Another stakeholder noted that there is a lack of recognition of </w:t>
      </w:r>
      <w:r w:rsidR="00DD35A9" w:rsidRPr="007B5BE6">
        <w:t xml:space="preserve">older people’s </w:t>
      </w:r>
      <w:r w:rsidRPr="007B5BE6">
        <w:t xml:space="preserve">experiences </w:t>
      </w:r>
      <w:r w:rsidR="000F2907" w:rsidRPr="007B5BE6">
        <w:t>regarding</w:t>
      </w:r>
      <w:r w:rsidRPr="007B5BE6">
        <w:t xml:space="preserve"> mental health</w:t>
      </w:r>
      <w:r w:rsidR="006F3999" w:rsidRPr="007B5BE6">
        <w:t>,</w:t>
      </w:r>
      <w:r w:rsidRPr="007B5BE6">
        <w:t xml:space="preserve"> and </w:t>
      </w:r>
      <w:r w:rsidR="00146F0F" w:rsidRPr="007B5BE6">
        <w:t xml:space="preserve">mental health </w:t>
      </w:r>
      <w:r w:rsidR="006F3999" w:rsidRPr="007B5BE6">
        <w:t xml:space="preserve">support </w:t>
      </w:r>
      <w:r w:rsidRPr="007B5BE6">
        <w:t xml:space="preserve">needs of </w:t>
      </w:r>
      <w:r w:rsidR="00DD35A9" w:rsidRPr="007B5BE6">
        <w:t xml:space="preserve">older </w:t>
      </w:r>
      <w:r w:rsidRPr="007B5BE6">
        <w:t xml:space="preserve">people as they age, </w:t>
      </w:r>
      <w:r w:rsidR="006F3999" w:rsidRPr="007B5BE6">
        <w:t xml:space="preserve">which </w:t>
      </w:r>
      <w:r w:rsidR="00FB79D6" w:rsidRPr="007B5BE6">
        <w:t xml:space="preserve">is </w:t>
      </w:r>
      <w:r w:rsidRPr="007B5BE6">
        <w:t>separate to</w:t>
      </w:r>
      <w:r w:rsidR="00FB79D6" w:rsidRPr="007B5BE6">
        <w:t>,</w:t>
      </w:r>
      <w:r w:rsidRPr="007B5BE6">
        <w:t xml:space="preserve"> but also interact</w:t>
      </w:r>
      <w:r w:rsidR="00FB79D6" w:rsidRPr="007B5BE6">
        <w:t>s</w:t>
      </w:r>
      <w:r w:rsidRPr="007B5BE6">
        <w:t xml:space="preserve"> with</w:t>
      </w:r>
      <w:r w:rsidR="00FB79D6" w:rsidRPr="007B5BE6">
        <w:t>,</w:t>
      </w:r>
      <w:r w:rsidRPr="007B5BE6">
        <w:t xml:space="preserve"> </w:t>
      </w:r>
      <w:r w:rsidR="00D71A11" w:rsidRPr="007B5BE6">
        <w:t xml:space="preserve">the </w:t>
      </w:r>
      <w:r w:rsidRPr="007B5BE6">
        <w:t xml:space="preserve">impacts </w:t>
      </w:r>
      <w:r w:rsidR="00983780" w:rsidRPr="007B5BE6">
        <w:t xml:space="preserve">of </w:t>
      </w:r>
      <w:r w:rsidR="000F2907" w:rsidRPr="007B5BE6">
        <w:t xml:space="preserve">age-related </w:t>
      </w:r>
      <w:r w:rsidR="00983780" w:rsidRPr="007B5BE6">
        <w:t xml:space="preserve">cognitive decline </w:t>
      </w:r>
      <w:r w:rsidRPr="007B5BE6">
        <w:t>on mental health.</w:t>
      </w:r>
      <w:r w:rsidR="00100C5B" w:rsidRPr="007B5BE6">
        <w:rPr>
          <w:rStyle w:val="FootnoteReference"/>
        </w:rPr>
        <w:footnoteReference w:id="111"/>
      </w:r>
      <w:r w:rsidRPr="007B5BE6">
        <w:t xml:space="preserve"> </w:t>
      </w:r>
    </w:p>
    <w:p w14:paraId="76800BEA" w14:textId="4534DA4B" w:rsidR="001A6B8F" w:rsidRPr="007B5BE6" w:rsidRDefault="001A6B8F" w:rsidP="001A6B8F">
      <w:pPr>
        <w:pStyle w:val="DotPointTLRI"/>
      </w:pPr>
      <w:r w:rsidRPr="007B5BE6">
        <w:lastRenderedPageBreak/>
        <w:t xml:space="preserve">One stakeholder expressed the view that older people are devalued as they age </w:t>
      </w:r>
      <w:r w:rsidR="00EB2530" w:rsidRPr="007B5BE6">
        <w:t>because</w:t>
      </w:r>
      <w:r w:rsidRPr="007B5BE6">
        <w:t xml:space="preserve"> our society is geared towards economic production. Some stakeholders challenged the idea of categorising older people within a certain age range </w:t>
      </w:r>
      <w:r w:rsidR="00837D22" w:rsidRPr="007B5BE6">
        <w:t>for the purposes of</w:t>
      </w:r>
      <w:r w:rsidRPr="007B5BE6">
        <w:t xml:space="preserve"> determining capacity or </w:t>
      </w:r>
      <w:r w:rsidR="00CD3C9F" w:rsidRPr="007B5BE6">
        <w:t>assessing</w:t>
      </w:r>
      <w:r w:rsidRPr="007B5BE6">
        <w:t xml:space="preserve"> </w:t>
      </w:r>
      <w:r w:rsidR="00675064" w:rsidRPr="007B5BE6">
        <w:t>protection n</w:t>
      </w:r>
      <w:r w:rsidR="00CD3C9F" w:rsidRPr="007B5BE6">
        <w:t>eeds</w:t>
      </w:r>
      <w:r w:rsidRPr="007B5BE6">
        <w:t>. It was suggested that instead, the ‘lifelong’ approach to understanding experiences of abuse</w:t>
      </w:r>
      <w:r w:rsidR="004F12C5" w:rsidRPr="007B5BE6">
        <w:rPr>
          <w:rStyle w:val="FootnoteReference"/>
        </w:rPr>
        <w:footnoteReference w:id="112"/>
      </w:r>
      <w:r w:rsidRPr="007B5BE6">
        <w:t xml:space="preserve"> should relate to how we view ageing, ensuring respect for all</w:t>
      </w:r>
      <w:r w:rsidR="009E6CBC" w:rsidRPr="007B5BE6">
        <w:t>—</w:t>
      </w:r>
      <w:r w:rsidRPr="007B5BE6">
        <w:t>irrespective of ag</w:t>
      </w:r>
      <w:r w:rsidR="009E6CBC" w:rsidRPr="007B5BE6">
        <w:t>e—a</w:t>
      </w:r>
      <w:r w:rsidRPr="007B5BE6">
        <w:t>nd informing approaches to responding to abuse.</w:t>
      </w:r>
      <w:r w:rsidR="004D0924" w:rsidRPr="007B5BE6">
        <w:rPr>
          <w:rStyle w:val="FootnoteReference"/>
        </w:rPr>
        <w:footnoteReference w:id="113"/>
      </w:r>
      <w:r w:rsidRPr="007B5BE6">
        <w:t xml:space="preserve"> </w:t>
      </w:r>
    </w:p>
    <w:p w14:paraId="2955FF5A" w14:textId="41826F0A" w:rsidR="001A6B8F" w:rsidRPr="007B5BE6" w:rsidRDefault="00B2387A" w:rsidP="001A6B8F">
      <w:pPr>
        <w:pStyle w:val="DotPointTLRI"/>
      </w:pPr>
      <w:r w:rsidRPr="007B5BE6">
        <w:t>M</w:t>
      </w:r>
      <w:r w:rsidR="001A6B8F" w:rsidRPr="007B5BE6">
        <w:t xml:space="preserve">any stakeholders emphasised the importance of hearing the voices of </w:t>
      </w:r>
      <w:r w:rsidR="00827FAF" w:rsidRPr="007B5BE6">
        <w:t xml:space="preserve">older </w:t>
      </w:r>
      <w:r w:rsidR="001A6B8F" w:rsidRPr="007B5BE6">
        <w:t>people with lived experience of abuse</w:t>
      </w:r>
      <w:r w:rsidR="0016586A" w:rsidRPr="007B5BE6">
        <w:t xml:space="preserve">. This </w:t>
      </w:r>
      <w:r w:rsidR="00572ECD" w:rsidRPr="007B5BE6">
        <w:t xml:space="preserve">would </w:t>
      </w:r>
      <w:r w:rsidR="001A6B8F" w:rsidRPr="007B5BE6">
        <w:t xml:space="preserve">build capacity of older </w:t>
      </w:r>
      <w:r w:rsidR="00773070" w:rsidRPr="007B5BE6">
        <w:t>Tasmanians</w:t>
      </w:r>
      <w:r w:rsidR="001A6B8F" w:rsidRPr="007B5BE6">
        <w:t xml:space="preserve"> and </w:t>
      </w:r>
      <w:r w:rsidR="00174380" w:rsidRPr="007B5BE6">
        <w:t xml:space="preserve">enhance </w:t>
      </w:r>
      <w:r w:rsidR="001A6B8F" w:rsidRPr="007B5BE6">
        <w:t xml:space="preserve">community perceptions of their value and contribution, as well as ensuring </w:t>
      </w:r>
      <w:r w:rsidR="00D50C91" w:rsidRPr="007B5BE6">
        <w:t xml:space="preserve">an opportunity for </w:t>
      </w:r>
      <w:r w:rsidR="00BE31FA" w:rsidRPr="007B5BE6">
        <w:t xml:space="preserve">them to share, and provide </w:t>
      </w:r>
      <w:r w:rsidR="001A6B8F" w:rsidRPr="007B5BE6">
        <w:t>input</w:t>
      </w:r>
      <w:r w:rsidR="00BE31FA" w:rsidRPr="007B5BE6">
        <w:t>,</w:t>
      </w:r>
      <w:r w:rsidR="001A6B8F" w:rsidRPr="007B5BE6">
        <w:t xml:space="preserve"> about their experiences of accessing legal and service responses to inform gaps and possible reform options.</w:t>
      </w:r>
      <w:r w:rsidR="00905CF4" w:rsidRPr="007B5BE6">
        <w:rPr>
          <w:rStyle w:val="FootnoteReference"/>
        </w:rPr>
        <w:footnoteReference w:id="114"/>
      </w:r>
      <w:r w:rsidR="001A6B8F" w:rsidRPr="007B5BE6">
        <w:t xml:space="preserve"> </w:t>
      </w:r>
    </w:p>
    <w:p w14:paraId="71978BCF" w14:textId="5B4B8421" w:rsidR="00030CE7" w:rsidRPr="007B5BE6" w:rsidRDefault="00030CE7" w:rsidP="00744D17">
      <w:pPr>
        <w:pStyle w:val="NumberedHeadingTLRI"/>
      </w:pPr>
      <w:bookmarkStart w:id="31" w:name="_Toc212561726"/>
      <w:r w:rsidRPr="007B5BE6">
        <w:t>Risk factors and help-seeking for abuse</w:t>
      </w:r>
      <w:bookmarkEnd w:id="31"/>
    </w:p>
    <w:p w14:paraId="145B2B0B" w14:textId="0C0A41F2" w:rsidR="003D1690" w:rsidRPr="007B5BE6" w:rsidRDefault="003D1690" w:rsidP="003D1690">
      <w:pPr>
        <w:pStyle w:val="NormalNumberedTextTLRI"/>
      </w:pPr>
      <w:r w:rsidRPr="007B5BE6">
        <w:t xml:space="preserve">To understand the nature of abuse of older people and </w:t>
      </w:r>
      <w:r w:rsidR="006F5578" w:rsidRPr="007B5BE6">
        <w:t>potential</w:t>
      </w:r>
      <w:r w:rsidRPr="007B5BE6">
        <w:t xml:space="preserve"> safeguard </w:t>
      </w:r>
      <w:r w:rsidR="006F5578" w:rsidRPr="007B5BE6">
        <w:t>measures</w:t>
      </w:r>
      <w:r w:rsidRPr="007B5BE6">
        <w:t xml:space="preserve">, </w:t>
      </w:r>
      <w:r w:rsidR="006F5578" w:rsidRPr="007B5BE6">
        <w:t xml:space="preserve">it is also important to consider the </w:t>
      </w:r>
      <w:r w:rsidR="00AE451B" w:rsidRPr="007B5BE6">
        <w:t>factors that increase the risk of an older person experiencing abuse</w:t>
      </w:r>
      <w:r w:rsidR="00BE31FA" w:rsidRPr="007B5BE6">
        <w:t>,</w:t>
      </w:r>
      <w:r w:rsidR="00AE451B" w:rsidRPr="007B5BE6">
        <w:t xml:space="preserve"> </w:t>
      </w:r>
      <w:r w:rsidR="00A86A35" w:rsidRPr="007B5BE6">
        <w:t>as well as the</w:t>
      </w:r>
      <w:r w:rsidR="00AE451B" w:rsidRPr="007B5BE6">
        <w:t xml:space="preserve"> factors that influence </w:t>
      </w:r>
      <w:r w:rsidR="00935556" w:rsidRPr="007B5BE6">
        <w:t xml:space="preserve">or </w:t>
      </w:r>
      <w:r w:rsidR="006F5578" w:rsidRPr="007B5BE6">
        <w:t xml:space="preserve">operate as barriers to </w:t>
      </w:r>
      <w:r w:rsidR="00AE451B" w:rsidRPr="007B5BE6">
        <w:t>help-seeking</w:t>
      </w:r>
      <w:r w:rsidR="006F5578" w:rsidRPr="007B5BE6">
        <w:t>.</w:t>
      </w:r>
    </w:p>
    <w:p w14:paraId="1085E71E" w14:textId="224A78F9" w:rsidR="00C14F2E" w:rsidRPr="007B5BE6" w:rsidRDefault="0062018A" w:rsidP="007936FC">
      <w:pPr>
        <w:pStyle w:val="Headingunnumbered"/>
        <w:spacing w:before="360"/>
      </w:pPr>
      <w:bookmarkStart w:id="32" w:name="_Toc212561727"/>
      <w:r w:rsidRPr="007B5BE6">
        <w:t>N</w:t>
      </w:r>
      <w:r w:rsidR="00C14F2E" w:rsidRPr="007B5BE6">
        <w:t>ational context</w:t>
      </w:r>
      <w:bookmarkEnd w:id="32"/>
      <w:r w:rsidR="00C14F2E" w:rsidRPr="007B5BE6">
        <w:t xml:space="preserve"> </w:t>
      </w:r>
    </w:p>
    <w:p w14:paraId="400C300E" w14:textId="18559C73" w:rsidR="00B9067F" w:rsidRPr="007B5BE6" w:rsidRDefault="00B34985" w:rsidP="005A5D82">
      <w:pPr>
        <w:pStyle w:val="NormalNumberedTextTLRI"/>
      </w:pPr>
      <w:r w:rsidRPr="007B5BE6">
        <w:t xml:space="preserve">Research has examined risk factors for </w:t>
      </w:r>
      <w:r w:rsidR="00620164" w:rsidRPr="007B5BE6">
        <w:t>experiencing</w:t>
      </w:r>
      <w:r w:rsidRPr="007B5BE6">
        <w:t xml:space="preserve"> abuse </w:t>
      </w:r>
      <w:r w:rsidR="00620164" w:rsidRPr="007B5BE6">
        <w:t xml:space="preserve">as an older person </w:t>
      </w:r>
      <w:r w:rsidRPr="007B5BE6">
        <w:t xml:space="preserve">and </w:t>
      </w:r>
      <w:r w:rsidR="002F670A" w:rsidRPr="007B5BE6">
        <w:t xml:space="preserve">risk factors </w:t>
      </w:r>
      <w:r w:rsidRPr="007B5BE6">
        <w:t xml:space="preserve">for being the perpetrator of abuse. </w:t>
      </w:r>
      <w:r w:rsidR="00554D55" w:rsidRPr="007B5BE6">
        <w:t xml:space="preserve">An ageing population </w:t>
      </w:r>
      <w:r w:rsidR="00225431" w:rsidRPr="007B5BE6">
        <w:t>i</w:t>
      </w:r>
      <w:r w:rsidR="00554D55" w:rsidRPr="007B5BE6">
        <w:t>s a key risk factor for the occurrence of abuse of older people.</w:t>
      </w:r>
      <w:r w:rsidR="0097097A" w:rsidRPr="007B5BE6">
        <w:rPr>
          <w:rStyle w:val="FootnoteReference"/>
        </w:rPr>
        <w:footnoteReference w:id="115"/>
      </w:r>
      <w:r w:rsidR="00554D55" w:rsidRPr="007B5BE6">
        <w:t xml:space="preserve"> Australia, along with many other countries, has an increasingly older age profile</w:t>
      </w:r>
      <w:r w:rsidR="00D113CA" w:rsidRPr="007B5BE6">
        <w:t>,</w:t>
      </w:r>
      <w:r w:rsidR="00554D55" w:rsidRPr="007B5BE6">
        <w:t xml:space="preserve"> due to increasing life expectancy and decreasing fertility rates</w:t>
      </w:r>
      <w:r w:rsidR="002F670A" w:rsidRPr="007B5BE6">
        <w:t>. This</w:t>
      </w:r>
      <w:r w:rsidR="00554D55" w:rsidRPr="007B5BE6">
        <w:t xml:space="preserve"> mean</w:t>
      </w:r>
      <w:r w:rsidR="002F670A" w:rsidRPr="007B5BE6">
        <w:t>s</w:t>
      </w:r>
      <w:r w:rsidR="00554D55" w:rsidRPr="007B5BE6">
        <w:t xml:space="preserve"> that there are more people </w:t>
      </w:r>
      <w:r w:rsidR="00B01FB5" w:rsidRPr="007B5BE6">
        <w:t xml:space="preserve">living to </w:t>
      </w:r>
      <w:r w:rsidR="00554D55" w:rsidRPr="007B5BE6">
        <w:t>older ages and older people represent a higher percentage of the total population.</w:t>
      </w:r>
      <w:r w:rsidR="0097097A" w:rsidRPr="007B5BE6">
        <w:rPr>
          <w:rStyle w:val="FootnoteReference"/>
        </w:rPr>
        <w:footnoteReference w:id="116"/>
      </w:r>
      <w:r w:rsidR="00554D55" w:rsidRPr="007B5BE6">
        <w:t xml:space="preserve"> </w:t>
      </w:r>
      <w:r w:rsidR="00570CAC" w:rsidRPr="007B5BE6">
        <w:t xml:space="preserve">Although ageing in and of itself does not increase </w:t>
      </w:r>
      <w:r w:rsidR="00C4188B" w:rsidRPr="007B5BE6">
        <w:t xml:space="preserve">the </w:t>
      </w:r>
      <w:r w:rsidR="00570CAC" w:rsidRPr="007B5BE6">
        <w:t xml:space="preserve">susceptibility of older people to abuse, </w:t>
      </w:r>
      <w:r w:rsidR="00230C7F" w:rsidRPr="007B5BE6">
        <w:t xml:space="preserve">there are </w:t>
      </w:r>
      <w:r w:rsidR="00570CAC" w:rsidRPr="007B5BE6">
        <w:t xml:space="preserve">some </w:t>
      </w:r>
      <w:r w:rsidR="00230C7F" w:rsidRPr="007B5BE6">
        <w:t xml:space="preserve">risk </w:t>
      </w:r>
      <w:r w:rsidR="00570CAC" w:rsidRPr="007B5BE6">
        <w:t xml:space="preserve">factors commonly associated with age </w:t>
      </w:r>
      <w:r w:rsidR="00230C7F" w:rsidRPr="007B5BE6">
        <w:t xml:space="preserve">that are </w:t>
      </w:r>
      <w:r w:rsidR="00570CAC" w:rsidRPr="007B5BE6">
        <w:t xml:space="preserve">important to note. This is because </w:t>
      </w:r>
      <w:r w:rsidR="00650C92" w:rsidRPr="007B5BE6">
        <w:t xml:space="preserve">certain </w:t>
      </w:r>
      <w:r w:rsidR="00570CAC" w:rsidRPr="007B5BE6">
        <w:t>ag</w:t>
      </w:r>
      <w:r w:rsidR="007D383A" w:rsidRPr="007B5BE6">
        <w:t>e</w:t>
      </w:r>
      <w:r w:rsidR="00570CAC" w:rsidRPr="007B5BE6">
        <w:t xml:space="preserve">ing factors </w:t>
      </w:r>
      <w:r w:rsidR="00230C7F" w:rsidRPr="007B5BE6">
        <w:t xml:space="preserve">can </w:t>
      </w:r>
      <w:r w:rsidR="00570CAC" w:rsidRPr="007B5BE6">
        <w:t>bring</w:t>
      </w:r>
      <w:r w:rsidR="00230C7F" w:rsidRPr="007B5BE6">
        <w:t xml:space="preserve"> older people i</w:t>
      </w:r>
      <w:r w:rsidR="00570CAC" w:rsidRPr="007B5BE6">
        <w:t xml:space="preserve">nto settings or relationships where their legal rights and interests can be particularly affected, as </w:t>
      </w:r>
      <w:r w:rsidR="00FA10AD" w:rsidRPr="007B5BE6">
        <w:t xml:space="preserve">has been </w:t>
      </w:r>
      <w:r w:rsidR="00570CAC" w:rsidRPr="007B5BE6">
        <w:t>identified in international and national research. For example, a physical or cognitive disability may increase the need for older people to rely on others for care, or a cognitive disability may increase the need for legal instruments to be put in place</w:t>
      </w:r>
      <w:r w:rsidR="00FA09F6" w:rsidRPr="007B5BE6">
        <w:t>,</w:t>
      </w:r>
      <w:r w:rsidR="00570CAC" w:rsidRPr="007B5BE6">
        <w:t xml:space="preserve"> </w:t>
      </w:r>
      <w:r w:rsidR="00FA09F6" w:rsidRPr="007B5BE6">
        <w:t>which can then p</w:t>
      </w:r>
      <w:r w:rsidR="00570CAC" w:rsidRPr="007B5BE6">
        <w:t>ossibl</w:t>
      </w:r>
      <w:r w:rsidR="00FA09F6" w:rsidRPr="007B5BE6">
        <w:t>y be</w:t>
      </w:r>
      <w:r w:rsidR="00570CAC" w:rsidRPr="007B5BE6">
        <w:t xml:space="preserve"> abused</w:t>
      </w:r>
      <w:r w:rsidR="00FA09F6" w:rsidRPr="007B5BE6">
        <w:t xml:space="preserve"> </w:t>
      </w:r>
      <w:r w:rsidR="00570CAC" w:rsidRPr="007B5BE6">
        <w:t>if capacity to make some financial, administrative or health decisions is affected.</w:t>
      </w:r>
      <w:r w:rsidR="00FB6E22" w:rsidRPr="007B5BE6">
        <w:t xml:space="preserve"> </w:t>
      </w:r>
    </w:p>
    <w:p w14:paraId="5A4FDC22" w14:textId="5BF12FCD" w:rsidR="00570CAC" w:rsidRPr="007B5BE6" w:rsidRDefault="00FB6E22" w:rsidP="005A5D82">
      <w:pPr>
        <w:pStyle w:val="NormalNumberedTextTLRI"/>
      </w:pPr>
      <w:r w:rsidRPr="007B5BE6">
        <w:t>Disability and cognitive impairment are more common among older people and are associated with an increased likelihood of being susceptible to abuse. Older people with disability or long-term medical conditions are twice as likely to report experiencing any form of abuse (20.6% compared with 9.85</w:t>
      </w:r>
      <w:r w:rsidR="000A2A88" w:rsidRPr="007B5BE6">
        <w:t>%</w:t>
      </w:r>
      <w:r w:rsidRPr="007B5BE6">
        <w:t>).</w:t>
      </w:r>
      <w:r w:rsidRPr="007B5BE6">
        <w:rPr>
          <w:rStyle w:val="FootnoteReference"/>
        </w:rPr>
        <w:footnoteReference w:id="117"/>
      </w:r>
      <w:r w:rsidR="00B9067F" w:rsidRPr="007B5BE6">
        <w:t xml:space="preserve"> As well as the number of older people increasing in Australia, so too has the prevalence of disability</w:t>
      </w:r>
      <w:r w:rsidR="00B9067F" w:rsidRPr="007B5BE6">
        <w:rPr>
          <w:rStyle w:val="FootnoteReference"/>
        </w:rPr>
        <w:footnoteReference w:id="118"/>
      </w:r>
      <w:r w:rsidR="00B9067F" w:rsidRPr="007B5BE6">
        <w:t xml:space="preserve"> in the population of older people. In 2022, </w:t>
      </w:r>
      <w:r w:rsidR="001F5770" w:rsidRPr="007B5BE6">
        <w:t xml:space="preserve">there were </w:t>
      </w:r>
      <w:r w:rsidR="00B9067F" w:rsidRPr="007B5BE6">
        <w:t xml:space="preserve">2.3 million older Australians </w:t>
      </w:r>
      <w:r w:rsidR="001F5770" w:rsidRPr="007B5BE6">
        <w:t xml:space="preserve">with </w:t>
      </w:r>
      <w:r w:rsidR="00B9067F" w:rsidRPr="007B5BE6">
        <w:lastRenderedPageBreak/>
        <w:t>disability. This represents 52.3% of all older Australians (an increase from 49.6% in 2018)</w:t>
      </w:r>
      <w:r w:rsidR="00133EE7" w:rsidRPr="007B5BE6">
        <w:t>,</w:t>
      </w:r>
      <w:r w:rsidR="00B9067F" w:rsidRPr="007B5BE6">
        <w:t xml:space="preserve"> and 41.7% of all people with disability (a decrease from 44.5% in 2018).</w:t>
      </w:r>
      <w:r w:rsidR="00B9067F" w:rsidRPr="007B5BE6">
        <w:rPr>
          <w:rStyle w:val="FootnoteReference"/>
        </w:rPr>
        <w:footnoteReference w:id="119"/>
      </w:r>
    </w:p>
    <w:p w14:paraId="2D527A4D" w14:textId="7345DB5B" w:rsidR="00E015A1" w:rsidRPr="007B5BE6" w:rsidRDefault="0024153F" w:rsidP="00490920">
      <w:pPr>
        <w:pStyle w:val="NormalNumberedTextTLRI"/>
      </w:pPr>
      <w:r w:rsidRPr="007B5BE6">
        <w:t xml:space="preserve">Ageism is </w:t>
      </w:r>
      <w:r w:rsidR="00570CAC" w:rsidRPr="007B5BE6">
        <w:t xml:space="preserve">also </w:t>
      </w:r>
      <w:r w:rsidRPr="007B5BE6">
        <w:t xml:space="preserve">important </w:t>
      </w:r>
      <w:r w:rsidR="002D6905" w:rsidRPr="007B5BE6">
        <w:t>to</w:t>
      </w:r>
      <w:r w:rsidRPr="007B5BE6">
        <w:t xml:space="preserve"> conside</w:t>
      </w:r>
      <w:r w:rsidR="002D6905" w:rsidRPr="007B5BE6">
        <w:t>r when assessing</w:t>
      </w:r>
      <w:r w:rsidRPr="007B5BE6">
        <w:t xml:space="preserve"> risk </w:t>
      </w:r>
      <w:r w:rsidR="0060598A" w:rsidRPr="007B5BE6">
        <w:t xml:space="preserve">factors </w:t>
      </w:r>
      <w:r w:rsidRPr="007B5BE6">
        <w:t>for abuse and help-seeking</w:t>
      </w:r>
      <w:r w:rsidR="0060598A" w:rsidRPr="007B5BE6">
        <w:t xml:space="preserve"> by older people</w:t>
      </w:r>
      <w:r w:rsidRPr="007B5BE6">
        <w:t xml:space="preserve">. </w:t>
      </w:r>
      <w:r w:rsidR="008500ED" w:rsidRPr="007B5BE6">
        <w:t>A</w:t>
      </w:r>
      <w:r w:rsidR="00133EE7" w:rsidRPr="007B5BE6">
        <w:t>geism</w:t>
      </w:r>
      <w:r w:rsidRPr="007B5BE6">
        <w:t xml:space="preserve"> has also been linked with the perpetration or justification of abuse</w:t>
      </w:r>
      <w:r w:rsidR="00022907" w:rsidRPr="007B5BE6">
        <w:t xml:space="preserve">. Ageism </w:t>
      </w:r>
      <w:r w:rsidRPr="007B5BE6">
        <w:t xml:space="preserve">can render people who experience abuse ‘invisible’ by creating a barrier </w:t>
      </w:r>
      <w:r w:rsidR="002A7883" w:rsidRPr="007B5BE6">
        <w:t xml:space="preserve">to </w:t>
      </w:r>
      <w:r w:rsidRPr="007B5BE6">
        <w:t xml:space="preserve">seek help, </w:t>
      </w:r>
      <w:r w:rsidR="002A7883" w:rsidRPr="007B5BE6">
        <w:t>in turn</w:t>
      </w:r>
      <w:r w:rsidRPr="007B5BE6">
        <w:t xml:space="preserve"> reducing the likelihood that individuals and systems will respond to the abuse of older people.</w:t>
      </w:r>
      <w:r w:rsidRPr="007B5BE6">
        <w:rPr>
          <w:rStyle w:val="FootnoteReference"/>
        </w:rPr>
        <w:footnoteReference w:id="120"/>
      </w:r>
      <w:r w:rsidR="0081478A" w:rsidRPr="007B5BE6">
        <w:t xml:space="preserve"> </w:t>
      </w:r>
      <w:r w:rsidR="008500ED" w:rsidRPr="007B5BE6">
        <w:t>A</w:t>
      </w:r>
      <w:r w:rsidR="002A7883" w:rsidRPr="007B5BE6">
        <w:t xml:space="preserve">s well as </w:t>
      </w:r>
      <w:r w:rsidR="00490920" w:rsidRPr="007B5BE6">
        <w:t>contribut</w:t>
      </w:r>
      <w:r w:rsidR="008500ED" w:rsidRPr="007B5BE6">
        <w:t>ing</w:t>
      </w:r>
      <w:r w:rsidR="00490920" w:rsidRPr="007B5BE6">
        <w:t xml:space="preserve"> to the perpetration of </w:t>
      </w:r>
      <w:r w:rsidR="00D33BD7" w:rsidRPr="007B5BE6">
        <w:t>abuse of older people</w:t>
      </w:r>
      <w:r w:rsidR="008500ED" w:rsidRPr="007B5BE6">
        <w:t xml:space="preserve">, ageism can directly cause psychological </w:t>
      </w:r>
      <w:proofErr w:type="gramStart"/>
      <w:r w:rsidR="008500ED" w:rsidRPr="007B5BE6">
        <w:t>harm in itself</w:t>
      </w:r>
      <w:proofErr w:type="gramEnd"/>
      <w:r w:rsidR="008500ED" w:rsidRPr="007B5BE6">
        <w:t xml:space="preserve">. </w:t>
      </w:r>
      <w:r w:rsidR="00490920" w:rsidRPr="007B5BE6">
        <w:rPr>
          <w:rStyle w:val="FootnoteReference"/>
        </w:rPr>
        <w:footnoteReference w:id="121"/>
      </w:r>
      <w:r w:rsidR="00490920" w:rsidRPr="007B5BE6">
        <w:t xml:space="preserve"> </w:t>
      </w:r>
      <w:r w:rsidR="00D33BD7" w:rsidRPr="007B5BE6">
        <w:t>Further,</w:t>
      </w:r>
      <w:r w:rsidR="00490920" w:rsidRPr="007B5BE6">
        <w:t xml:space="preserve"> the consequences of ageing and negative views towards older people</w:t>
      </w:r>
      <w:r w:rsidR="00960345" w:rsidRPr="007B5BE6">
        <w:t xml:space="preserve">, due to ageism, </w:t>
      </w:r>
      <w:r w:rsidR="00490920" w:rsidRPr="007B5BE6">
        <w:t>also can be impacted by other factors</w:t>
      </w:r>
      <w:r w:rsidR="008F7E12" w:rsidRPr="007B5BE6">
        <w:t xml:space="preserve">, </w:t>
      </w:r>
      <w:r w:rsidR="00490920" w:rsidRPr="007B5BE6">
        <w:t>includ</w:t>
      </w:r>
      <w:r w:rsidR="008F7E12" w:rsidRPr="007B5BE6">
        <w:t>ing</w:t>
      </w:r>
      <w:r w:rsidR="00490920" w:rsidRPr="007B5BE6">
        <w:t xml:space="preserve"> being Aboriginal and Torres Strait Islander, ethnic background, cultural and linguistic diversity, geographical location and modes of residence, poverty, gender</w:t>
      </w:r>
      <w:r w:rsidR="00091104" w:rsidRPr="007B5BE6">
        <w:t>,</w:t>
      </w:r>
      <w:r w:rsidR="00490920" w:rsidRPr="007B5BE6">
        <w:t xml:space="preserve"> and sexual diversity.</w:t>
      </w:r>
      <w:r w:rsidR="00490920" w:rsidRPr="007B5BE6">
        <w:rPr>
          <w:rStyle w:val="FootnoteReference"/>
        </w:rPr>
        <w:footnoteReference w:id="122"/>
      </w:r>
      <w:r w:rsidR="00490920" w:rsidRPr="007B5BE6">
        <w:t xml:space="preserve"> </w:t>
      </w:r>
      <w:r w:rsidR="005D52D1" w:rsidRPr="007B5BE6">
        <w:t>Additionally</w:t>
      </w:r>
      <w:r w:rsidR="00490920" w:rsidRPr="007B5BE6">
        <w:t xml:space="preserve">, some of these factors have been associated with </w:t>
      </w:r>
      <w:r w:rsidR="00091104" w:rsidRPr="007B5BE6">
        <w:t xml:space="preserve">a </w:t>
      </w:r>
      <w:r w:rsidR="00490920" w:rsidRPr="007B5BE6">
        <w:t>higher prevalence of reported abuse of older people, including older women and older people living in outer regional, rural and remote areas.</w:t>
      </w:r>
      <w:r w:rsidR="00490920" w:rsidRPr="007B5BE6">
        <w:rPr>
          <w:rStyle w:val="FootnoteReference"/>
        </w:rPr>
        <w:footnoteReference w:id="123"/>
      </w:r>
      <w:r w:rsidR="00490920" w:rsidRPr="007B5BE6">
        <w:t xml:space="preserve"> It is also recognised that the ‘experience of abuse and mistreatment among First Nations people can be different, and experienced at different rates, to that of the broader community.’</w:t>
      </w:r>
      <w:r w:rsidR="00490920" w:rsidRPr="007B5BE6">
        <w:rPr>
          <w:rStyle w:val="FootnoteReference"/>
        </w:rPr>
        <w:footnoteReference w:id="124"/>
      </w:r>
      <w:r w:rsidR="00490920" w:rsidRPr="007B5BE6">
        <w:t xml:space="preserve"> </w:t>
      </w:r>
    </w:p>
    <w:p w14:paraId="5681437D" w14:textId="2F32A023" w:rsidR="00086B51" w:rsidRPr="007B5BE6" w:rsidRDefault="00FA19B4" w:rsidP="00E37E26">
      <w:pPr>
        <w:pStyle w:val="NormalNumberedTextTLRI"/>
      </w:pPr>
      <w:r w:rsidRPr="007B5BE6">
        <w:t>T</w:t>
      </w:r>
      <w:r w:rsidR="0038690A" w:rsidRPr="007B5BE6">
        <w:t xml:space="preserve">he </w:t>
      </w:r>
      <w:r w:rsidR="00030CE7" w:rsidRPr="007B5BE6">
        <w:rPr>
          <w:i/>
          <w:iCs/>
        </w:rPr>
        <w:t xml:space="preserve">National Elder Abuse Prevalence Study </w:t>
      </w:r>
      <w:r w:rsidR="00F62E7C" w:rsidRPr="007B5BE6">
        <w:t>suggest</w:t>
      </w:r>
      <w:r w:rsidR="0016496B" w:rsidRPr="007B5BE6">
        <w:t>ed</w:t>
      </w:r>
      <w:r w:rsidR="00F62E7C" w:rsidRPr="007B5BE6">
        <w:t xml:space="preserve"> </w:t>
      </w:r>
      <w:r w:rsidR="005D52D1" w:rsidRPr="007B5BE6">
        <w:t>that</w:t>
      </w:r>
      <w:r w:rsidR="00F62E7C" w:rsidRPr="007B5BE6">
        <w:t xml:space="preserve"> consistent with the complex dynamics and patterns of abuse experienced by older people, </w:t>
      </w:r>
      <w:r w:rsidR="00030CE7" w:rsidRPr="007B5BE6">
        <w:t xml:space="preserve">patterns relating to </w:t>
      </w:r>
      <w:r w:rsidR="00F62E7C" w:rsidRPr="007B5BE6">
        <w:t xml:space="preserve">the </w:t>
      </w:r>
      <w:r w:rsidR="00030CE7" w:rsidRPr="007B5BE6">
        <w:t xml:space="preserve">susceptibility </w:t>
      </w:r>
      <w:r w:rsidR="00A506E7" w:rsidRPr="007B5BE6">
        <w:t xml:space="preserve">of older people </w:t>
      </w:r>
      <w:r w:rsidR="00030CE7" w:rsidRPr="007B5BE6">
        <w:t>and help-seeking behaviours</w:t>
      </w:r>
      <w:r w:rsidR="00AD1985" w:rsidRPr="007B5BE6">
        <w:t xml:space="preserve"> vary across d</w:t>
      </w:r>
      <w:r w:rsidR="00030CE7" w:rsidRPr="007B5BE6">
        <w:t xml:space="preserve">ifferent types of abuse. </w:t>
      </w:r>
      <w:r w:rsidR="00AD1985" w:rsidRPr="007B5BE6">
        <w:t>The study</w:t>
      </w:r>
      <w:r w:rsidR="007672FF" w:rsidRPr="007B5BE6">
        <w:t xml:space="preserve"> </w:t>
      </w:r>
      <w:r w:rsidR="002154DD" w:rsidRPr="007B5BE6">
        <w:t>identified the</w:t>
      </w:r>
      <w:r w:rsidR="007672FF" w:rsidRPr="007B5BE6">
        <w:t xml:space="preserve"> most important </w:t>
      </w:r>
      <w:r w:rsidR="002138CF" w:rsidRPr="007B5BE6">
        <w:t>socio-demographic characteristics linked with abuse of older people</w:t>
      </w:r>
      <w:r w:rsidR="00211A56" w:rsidRPr="007B5BE6">
        <w:t xml:space="preserve"> as set out in Table </w:t>
      </w:r>
      <w:r w:rsidR="00A13491" w:rsidRPr="007B5BE6">
        <w:t>2.2</w:t>
      </w:r>
      <w:r w:rsidR="0041557F" w:rsidRPr="007B5BE6">
        <w:t>.</w:t>
      </w:r>
      <w:r w:rsidR="00D77EA6" w:rsidRPr="007B5BE6">
        <w:rPr>
          <w:rStyle w:val="FootnoteReference"/>
        </w:rPr>
        <w:footnoteReference w:id="125"/>
      </w:r>
    </w:p>
    <w:p w14:paraId="16768DC3" w14:textId="1DCCA723" w:rsidR="0041557F" w:rsidRPr="007B5BE6" w:rsidRDefault="0041557F" w:rsidP="00BB7987">
      <w:pPr>
        <w:spacing w:before="240" w:after="240"/>
        <w:rPr>
          <w:b/>
          <w:bCs/>
        </w:rPr>
      </w:pPr>
      <w:r w:rsidRPr="007B5BE6">
        <w:rPr>
          <w:b/>
          <w:bCs/>
        </w:rPr>
        <w:lastRenderedPageBreak/>
        <w:t xml:space="preserve">Table </w:t>
      </w:r>
      <w:r w:rsidR="00A13491" w:rsidRPr="007B5BE6">
        <w:rPr>
          <w:b/>
          <w:bCs/>
        </w:rPr>
        <w:t>2.2:</w:t>
      </w:r>
      <w:r w:rsidRPr="007B5BE6">
        <w:rPr>
          <w:b/>
          <w:bCs/>
        </w:rPr>
        <w:t xml:space="preserve"> Socio-demographic factors associated with likelihood of abuse types: </w:t>
      </w:r>
      <w:r w:rsidRPr="007B5BE6">
        <w:rPr>
          <w:b/>
          <w:bCs/>
          <w:i/>
          <w:iCs/>
        </w:rPr>
        <w:t>National Elder Abuse Prevalence Study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014D8C" w:rsidRPr="007B5BE6" w14:paraId="6046FEAF" w14:textId="77777777" w:rsidTr="00B7536C">
        <w:trPr>
          <w:tblHeader/>
        </w:trPr>
        <w:tc>
          <w:tcPr>
            <w:tcW w:w="4508" w:type="dxa"/>
            <w:tcBorders>
              <w:top w:val="single" w:sz="8" w:space="0" w:color="auto"/>
              <w:bottom w:val="single" w:sz="8" w:space="0" w:color="auto"/>
            </w:tcBorders>
            <w:shd w:val="clear" w:color="auto" w:fill="FFFFFF" w:themeFill="background1"/>
          </w:tcPr>
          <w:p w14:paraId="5A07640C" w14:textId="2F17D85F" w:rsidR="00014D8C" w:rsidRPr="007B5BE6" w:rsidRDefault="005539E6" w:rsidP="00211A56">
            <w:pPr>
              <w:rPr>
                <w:b/>
                <w:bCs/>
                <w:sz w:val="20"/>
                <w:szCs w:val="20"/>
              </w:rPr>
            </w:pPr>
            <w:r w:rsidRPr="007B5BE6">
              <w:rPr>
                <w:b/>
                <w:bCs/>
                <w:sz w:val="20"/>
                <w:szCs w:val="20"/>
              </w:rPr>
              <w:t>Socio-demographic f</w:t>
            </w:r>
            <w:r w:rsidR="00014D8C" w:rsidRPr="007B5BE6">
              <w:rPr>
                <w:b/>
                <w:bCs/>
                <w:sz w:val="20"/>
                <w:szCs w:val="20"/>
              </w:rPr>
              <w:t>actor</w:t>
            </w:r>
          </w:p>
        </w:tc>
        <w:tc>
          <w:tcPr>
            <w:tcW w:w="4508" w:type="dxa"/>
            <w:tcBorders>
              <w:top w:val="single" w:sz="8" w:space="0" w:color="auto"/>
              <w:bottom w:val="single" w:sz="8" w:space="0" w:color="auto"/>
            </w:tcBorders>
            <w:shd w:val="clear" w:color="auto" w:fill="FFFFFF" w:themeFill="background1"/>
          </w:tcPr>
          <w:p w14:paraId="68961240" w14:textId="4436ADDA" w:rsidR="00014D8C" w:rsidRPr="007B5BE6" w:rsidRDefault="00014D8C" w:rsidP="00211A56">
            <w:pPr>
              <w:rPr>
                <w:b/>
                <w:bCs/>
                <w:sz w:val="20"/>
                <w:szCs w:val="20"/>
              </w:rPr>
            </w:pPr>
            <w:r w:rsidRPr="007B5BE6">
              <w:rPr>
                <w:b/>
                <w:bCs/>
                <w:sz w:val="20"/>
                <w:szCs w:val="20"/>
              </w:rPr>
              <w:t>Association with abuse</w:t>
            </w:r>
          </w:p>
        </w:tc>
      </w:tr>
      <w:tr w:rsidR="00014D8C" w:rsidRPr="007B5BE6" w14:paraId="51FE24C8" w14:textId="77777777" w:rsidTr="00B7536C">
        <w:tc>
          <w:tcPr>
            <w:tcW w:w="4508" w:type="dxa"/>
            <w:tcBorders>
              <w:top w:val="single" w:sz="8" w:space="0" w:color="auto"/>
            </w:tcBorders>
          </w:tcPr>
          <w:p w14:paraId="1EA56CD2" w14:textId="7FD076BB" w:rsidR="00014D8C" w:rsidRPr="007B5BE6" w:rsidRDefault="00014D8C" w:rsidP="00B32A77">
            <w:pPr>
              <w:jc w:val="left"/>
              <w:rPr>
                <w:sz w:val="20"/>
                <w:szCs w:val="20"/>
              </w:rPr>
            </w:pPr>
            <w:r w:rsidRPr="007B5BE6">
              <w:rPr>
                <w:sz w:val="20"/>
                <w:szCs w:val="20"/>
              </w:rPr>
              <w:t xml:space="preserve">Women </w:t>
            </w:r>
          </w:p>
        </w:tc>
        <w:tc>
          <w:tcPr>
            <w:tcW w:w="4508" w:type="dxa"/>
            <w:tcBorders>
              <w:top w:val="single" w:sz="8" w:space="0" w:color="auto"/>
            </w:tcBorders>
          </w:tcPr>
          <w:p w14:paraId="4B4C87AF" w14:textId="370E89FA" w:rsidR="00014D8C" w:rsidRPr="007B5BE6" w:rsidRDefault="00014D8C" w:rsidP="00B32A77">
            <w:pPr>
              <w:jc w:val="left"/>
              <w:rPr>
                <w:sz w:val="20"/>
                <w:szCs w:val="20"/>
              </w:rPr>
            </w:pPr>
            <w:r w:rsidRPr="007B5BE6">
              <w:rPr>
                <w:sz w:val="20"/>
                <w:szCs w:val="20"/>
              </w:rPr>
              <w:t>Higher likelihood</w:t>
            </w:r>
            <w:r w:rsidR="008B5331" w:rsidRPr="007B5BE6">
              <w:rPr>
                <w:sz w:val="20"/>
                <w:szCs w:val="20"/>
              </w:rPr>
              <w:t xml:space="preserve">: </w:t>
            </w:r>
            <w:r w:rsidRPr="007B5BE6">
              <w:rPr>
                <w:sz w:val="20"/>
                <w:szCs w:val="20"/>
              </w:rPr>
              <w:t>any form of abuse, and subtypes of sexual abuse, psychological abuse and neglect</w:t>
            </w:r>
          </w:p>
        </w:tc>
      </w:tr>
      <w:tr w:rsidR="00A25D51" w:rsidRPr="007B5BE6" w14:paraId="258D70F9" w14:textId="77777777" w:rsidTr="00B32A77">
        <w:tc>
          <w:tcPr>
            <w:tcW w:w="4508" w:type="dxa"/>
          </w:tcPr>
          <w:p w14:paraId="2DEDC7BD" w14:textId="22E3C435" w:rsidR="00A25D51" w:rsidRPr="007B5BE6" w:rsidRDefault="00A25D51" w:rsidP="00B32A77">
            <w:pPr>
              <w:jc w:val="left"/>
              <w:rPr>
                <w:sz w:val="20"/>
                <w:szCs w:val="20"/>
              </w:rPr>
            </w:pPr>
            <w:r w:rsidRPr="007B5BE6">
              <w:rPr>
                <w:sz w:val="20"/>
                <w:szCs w:val="20"/>
              </w:rPr>
              <w:t>Age</w:t>
            </w:r>
          </w:p>
        </w:tc>
        <w:tc>
          <w:tcPr>
            <w:tcW w:w="4508" w:type="dxa"/>
          </w:tcPr>
          <w:p w14:paraId="16145855" w14:textId="16EAEC10" w:rsidR="00A25D51" w:rsidRPr="007B5BE6" w:rsidRDefault="00A25D51" w:rsidP="00B32A77">
            <w:pPr>
              <w:jc w:val="left"/>
              <w:rPr>
                <w:sz w:val="20"/>
                <w:szCs w:val="20"/>
              </w:rPr>
            </w:pPr>
            <w:r w:rsidRPr="007B5BE6">
              <w:rPr>
                <w:sz w:val="20"/>
                <w:szCs w:val="20"/>
              </w:rPr>
              <w:t>Lower likelihood: any form of abuse, and subtypes of physical, sexual and psychological abuse</w:t>
            </w:r>
          </w:p>
        </w:tc>
      </w:tr>
      <w:tr w:rsidR="00014D8C" w:rsidRPr="007B5BE6" w14:paraId="199B44E9" w14:textId="77777777" w:rsidTr="00B32A77">
        <w:tc>
          <w:tcPr>
            <w:tcW w:w="4508" w:type="dxa"/>
          </w:tcPr>
          <w:p w14:paraId="1DD5EF30" w14:textId="104322E1" w:rsidR="00014D8C" w:rsidRPr="007B5BE6" w:rsidRDefault="008B5331" w:rsidP="00B32A77">
            <w:pPr>
              <w:jc w:val="left"/>
              <w:rPr>
                <w:sz w:val="20"/>
                <w:szCs w:val="20"/>
              </w:rPr>
            </w:pPr>
            <w:r w:rsidRPr="007B5BE6">
              <w:rPr>
                <w:sz w:val="20"/>
                <w:szCs w:val="20"/>
              </w:rPr>
              <w:t>Being divorced, widowed or never married</w:t>
            </w:r>
          </w:p>
        </w:tc>
        <w:tc>
          <w:tcPr>
            <w:tcW w:w="4508" w:type="dxa"/>
          </w:tcPr>
          <w:p w14:paraId="3345D8CF" w14:textId="329135BC" w:rsidR="00014D8C" w:rsidRPr="007B5BE6" w:rsidRDefault="008B5331" w:rsidP="00B32A77">
            <w:pPr>
              <w:jc w:val="left"/>
              <w:rPr>
                <w:sz w:val="20"/>
                <w:szCs w:val="20"/>
              </w:rPr>
            </w:pPr>
            <w:r w:rsidRPr="007B5BE6">
              <w:rPr>
                <w:sz w:val="20"/>
                <w:szCs w:val="20"/>
              </w:rPr>
              <w:t>Higher likelihood</w:t>
            </w:r>
            <w:r w:rsidR="00A57C34" w:rsidRPr="007B5BE6">
              <w:rPr>
                <w:sz w:val="20"/>
                <w:szCs w:val="20"/>
              </w:rPr>
              <w:t xml:space="preserve">: </w:t>
            </w:r>
            <w:r w:rsidRPr="007B5BE6">
              <w:rPr>
                <w:sz w:val="20"/>
                <w:szCs w:val="20"/>
              </w:rPr>
              <w:t>any form of abuse and all subtypes</w:t>
            </w:r>
          </w:p>
        </w:tc>
      </w:tr>
      <w:tr w:rsidR="00014D8C" w:rsidRPr="007B5BE6" w14:paraId="494FEDCD" w14:textId="77777777" w:rsidTr="00B32A77">
        <w:tc>
          <w:tcPr>
            <w:tcW w:w="4508" w:type="dxa"/>
          </w:tcPr>
          <w:p w14:paraId="74AF4B99" w14:textId="18AF665C" w:rsidR="00014D8C" w:rsidRPr="007B5BE6" w:rsidRDefault="00A25D51" w:rsidP="00B32A77">
            <w:pPr>
              <w:jc w:val="left"/>
              <w:rPr>
                <w:sz w:val="20"/>
                <w:szCs w:val="20"/>
              </w:rPr>
            </w:pPr>
            <w:r w:rsidRPr="007B5BE6">
              <w:rPr>
                <w:sz w:val="20"/>
                <w:szCs w:val="20"/>
              </w:rPr>
              <w:t>Higher level of education</w:t>
            </w:r>
          </w:p>
        </w:tc>
        <w:tc>
          <w:tcPr>
            <w:tcW w:w="4508" w:type="dxa"/>
          </w:tcPr>
          <w:p w14:paraId="03F42C30" w14:textId="3FE6E0AE" w:rsidR="00014D8C" w:rsidRPr="007B5BE6" w:rsidRDefault="00A25D51" w:rsidP="00B32A77">
            <w:pPr>
              <w:jc w:val="left"/>
              <w:rPr>
                <w:sz w:val="20"/>
                <w:szCs w:val="20"/>
              </w:rPr>
            </w:pPr>
            <w:r w:rsidRPr="007B5BE6">
              <w:rPr>
                <w:sz w:val="20"/>
                <w:szCs w:val="20"/>
              </w:rPr>
              <w:t>Higher likelihood: subtypes of sexual abuse and psychological abuse (</w:t>
            </w:r>
            <w:r w:rsidR="00FC4FB8" w:rsidRPr="007B5BE6">
              <w:rPr>
                <w:sz w:val="20"/>
                <w:szCs w:val="20"/>
              </w:rPr>
              <w:t>correlating with other findings on attitudes</w:t>
            </w:r>
            <w:r w:rsidR="00A53663" w:rsidRPr="007B5BE6">
              <w:rPr>
                <w:sz w:val="20"/>
                <w:szCs w:val="20"/>
              </w:rPr>
              <w:t>,</w:t>
            </w:r>
            <w:r w:rsidR="00FC4FB8" w:rsidRPr="007B5BE6">
              <w:rPr>
                <w:sz w:val="20"/>
                <w:szCs w:val="20"/>
              </w:rPr>
              <w:t xml:space="preserve"> suggesting </w:t>
            </w:r>
            <w:r w:rsidR="00A53663" w:rsidRPr="007B5BE6">
              <w:rPr>
                <w:sz w:val="20"/>
                <w:szCs w:val="20"/>
              </w:rPr>
              <w:t xml:space="preserve">that </w:t>
            </w:r>
            <w:r w:rsidR="00FC4FB8" w:rsidRPr="007B5BE6">
              <w:rPr>
                <w:sz w:val="20"/>
                <w:szCs w:val="20"/>
              </w:rPr>
              <w:t xml:space="preserve">people with higher education levels </w:t>
            </w:r>
            <w:r w:rsidR="00904F9F" w:rsidRPr="007B5BE6">
              <w:rPr>
                <w:sz w:val="20"/>
                <w:szCs w:val="20"/>
              </w:rPr>
              <w:t>tend to identify behaviours relating to these two subtypes)</w:t>
            </w:r>
            <w:r w:rsidRPr="007B5BE6">
              <w:rPr>
                <w:sz w:val="20"/>
                <w:szCs w:val="20"/>
              </w:rPr>
              <w:t xml:space="preserve"> </w:t>
            </w:r>
          </w:p>
        </w:tc>
      </w:tr>
      <w:tr w:rsidR="00A57C34" w:rsidRPr="007B5BE6" w14:paraId="51E91959" w14:textId="77777777" w:rsidTr="00B32A77">
        <w:tc>
          <w:tcPr>
            <w:tcW w:w="4508" w:type="dxa"/>
          </w:tcPr>
          <w:p w14:paraId="1762AA84" w14:textId="03B5DF4B" w:rsidR="00A57C34" w:rsidRPr="007B5BE6" w:rsidRDefault="00A57C34" w:rsidP="00B32A77">
            <w:pPr>
              <w:jc w:val="left"/>
              <w:rPr>
                <w:sz w:val="20"/>
                <w:szCs w:val="20"/>
              </w:rPr>
            </w:pPr>
            <w:r w:rsidRPr="007B5BE6">
              <w:rPr>
                <w:sz w:val="20"/>
                <w:szCs w:val="20"/>
              </w:rPr>
              <w:t xml:space="preserve">Having a </w:t>
            </w:r>
            <w:proofErr w:type="gramStart"/>
            <w:r w:rsidRPr="007B5BE6">
              <w:rPr>
                <w:sz w:val="20"/>
                <w:szCs w:val="20"/>
              </w:rPr>
              <w:t>step-child</w:t>
            </w:r>
            <w:proofErr w:type="gramEnd"/>
          </w:p>
        </w:tc>
        <w:tc>
          <w:tcPr>
            <w:tcW w:w="4508" w:type="dxa"/>
          </w:tcPr>
          <w:p w14:paraId="3F343BDB" w14:textId="65F950F1" w:rsidR="00A57C34" w:rsidRPr="007B5BE6" w:rsidRDefault="00A57C34" w:rsidP="00B32A77">
            <w:pPr>
              <w:jc w:val="left"/>
              <w:rPr>
                <w:sz w:val="20"/>
                <w:szCs w:val="20"/>
              </w:rPr>
            </w:pPr>
            <w:r w:rsidRPr="007B5BE6">
              <w:rPr>
                <w:sz w:val="20"/>
                <w:szCs w:val="20"/>
              </w:rPr>
              <w:t xml:space="preserve">Higher likelihood: any form of abuse, and subtypes of </w:t>
            </w:r>
            <w:r w:rsidR="000A7273" w:rsidRPr="007B5BE6">
              <w:rPr>
                <w:sz w:val="20"/>
                <w:szCs w:val="20"/>
              </w:rPr>
              <w:t xml:space="preserve">physical abuse and </w:t>
            </w:r>
            <w:r w:rsidRPr="007B5BE6">
              <w:rPr>
                <w:sz w:val="20"/>
                <w:szCs w:val="20"/>
              </w:rPr>
              <w:t>psychological abuse</w:t>
            </w:r>
          </w:p>
        </w:tc>
      </w:tr>
      <w:tr w:rsidR="000A7273" w:rsidRPr="007B5BE6" w14:paraId="4624C4B0" w14:textId="77777777" w:rsidTr="00B32A77">
        <w:tc>
          <w:tcPr>
            <w:tcW w:w="4508" w:type="dxa"/>
          </w:tcPr>
          <w:p w14:paraId="2F2839FE" w14:textId="623B3A15" w:rsidR="000A7273" w:rsidRPr="007B5BE6" w:rsidRDefault="00E50EA5" w:rsidP="00B32A77">
            <w:pPr>
              <w:jc w:val="left"/>
              <w:rPr>
                <w:sz w:val="20"/>
                <w:szCs w:val="20"/>
              </w:rPr>
            </w:pPr>
            <w:r w:rsidRPr="007B5BE6">
              <w:rPr>
                <w:sz w:val="20"/>
                <w:szCs w:val="20"/>
              </w:rPr>
              <w:t>Low s</w:t>
            </w:r>
            <w:r w:rsidR="000A7273" w:rsidRPr="007B5BE6">
              <w:rPr>
                <w:sz w:val="20"/>
                <w:szCs w:val="20"/>
              </w:rPr>
              <w:t>ocio-economic status</w:t>
            </w:r>
          </w:p>
        </w:tc>
        <w:tc>
          <w:tcPr>
            <w:tcW w:w="4508" w:type="dxa"/>
          </w:tcPr>
          <w:p w14:paraId="35457EF8" w14:textId="64F72E0A" w:rsidR="005F6DBF" w:rsidRPr="007B5BE6" w:rsidRDefault="00904F9F" w:rsidP="00B32A77">
            <w:pPr>
              <w:jc w:val="left"/>
              <w:rPr>
                <w:sz w:val="20"/>
                <w:szCs w:val="20"/>
              </w:rPr>
            </w:pPr>
            <w:r w:rsidRPr="007B5BE6">
              <w:rPr>
                <w:sz w:val="20"/>
                <w:szCs w:val="20"/>
              </w:rPr>
              <w:t>Higher likelihood: any form of abuse and subtypes</w:t>
            </w:r>
            <w:r w:rsidR="005F6DBF" w:rsidRPr="007B5BE6">
              <w:rPr>
                <w:sz w:val="20"/>
                <w:szCs w:val="20"/>
              </w:rPr>
              <w:t xml:space="preserve"> of financial abuse, sexual abuse and psychological abuse </w:t>
            </w:r>
          </w:p>
        </w:tc>
      </w:tr>
      <w:tr w:rsidR="00014D8C" w:rsidRPr="007B5BE6" w14:paraId="3C97530C" w14:textId="77777777" w:rsidTr="00B32A77">
        <w:tc>
          <w:tcPr>
            <w:tcW w:w="4508" w:type="dxa"/>
          </w:tcPr>
          <w:p w14:paraId="1A62AC70" w14:textId="3C012494" w:rsidR="00014D8C" w:rsidRPr="007B5BE6" w:rsidRDefault="005F6DBF" w:rsidP="00B32A77">
            <w:pPr>
              <w:jc w:val="left"/>
              <w:rPr>
                <w:sz w:val="20"/>
                <w:szCs w:val="20"/>
              </w:rPr>
            </w:pPr>
            <w:r w:rsidRPr="007B5BE6">
              <w:rPr>
                <w:sz w:val="20"/>
                <w:szCs w:val="20"/>
              </w:rPr>
              <w:t xml:space="preserve">Owning a </w:t>
            </w:r>
            <w:r w:rsidR="00BD762D" w:rsidRPr="007B5BE6">
              <w:rPr>
                <w:sz w:val="20"/>
                <w:szCs w:val="20"/>
              </w:rPr>
              <w:t xml:space="preserve">home with debt </w:t>
            </w:r>
            <w:r w:rsidR="0020602E" w:rsidRPr="007B5BE6">
              <w:rPr>
                <w:sz w:val="20"/>
                <w:szCs w:val="20"/>
              </w:rPr>
              <w:t>or</w:t>
            </w:r>
            <w:r w:rsidR="00BD762D" w:rsidRPr="007B5BE6">
              <w:rPr>
                <w:sz w:val="20"/>
                <w:szCs w:val="20"/>
              </w:rPr>
              <w:t xml:space="preserve"> renting accommodation</w:t>
            </w:r>
          </w:p>
        </w:tc>
        <w:tc>
          <w:tcPr>
            <w:tcW w:w="4508" w:type="dxa"/>
          </w:tcPr>
          <w:p w14:paraId="567E0BCB" w14:textId="01C1E653" w:rsidR="00014D8C" w:rsidRPr="007B5BE6" w:rsidRDefault="00BD762D" w:rsidP="00B32A77">
            <w:pPr>
              <w:jc w:val="left"/>
              <w:rPr>
                <w:sz w:val="20"/>
                <w:szCs w:val="20"/>
              </w:rPr>
            </w:pPr>
            <w:r w:rsidRPr="007B5BE6">
              <w:rPr>
                <w:sz w:val="20"/>
                <w:szCs w:val="20"/>
              </w:rPr>
              <w:t xml:space="preserve">Higher likelihood: any form of abuse and subtypes of financial abuse, psychological abuse and neglect  </w:t>
            </w:r>
          </w:p>
        </w:tc>
      </w:tr>
    </w:tbl>
    <w:p w14:paraId="67A90717" w14:textId="128F5FCB" w:rsidR="00030CE7" w:rsidRPr="007B5BE6" w:rsidRDefault="004424F8" w:rsidP="00030CE7">
      <w:pPr>
        <w:pStyle w:val="NormalNumberedTextTLRI"/>
      </w:pPr>
      <w:r w:rsidRPr="007B5BE6">
        <w:t xml:space="preserve">The </w:t>
      </w:r>
      <w:r w:rsidR="008C1D30" w:rsidRPr="007B5BE6">
        <w:rPr>
          <w:i/>
          <w:iCs/>
        </w:rPr>
        <w:t>National Elder Abuse Prevalence Study</w:t>
      </w:r>
      <w:r w:rsidR="008C1D30" w:rsidRPr="007B5BE6">
        <w:t xml:space="preserve"> </w:t>
      </w:r>
      <w:r w:rsidRPr="007B5BE6">
        <w:t xml:space="preserve">found that </w:t>
      </w:r>
      <w:proofErr w:type="gramStart"/>
      <w:r w:rsidR="00CC4C3C" w:rsidRPr="007B5BE6">
        <w:t>the majority of</w:t>
      </w:r>
      <w:proofErr w:type="gramEnd"/>
      <w:r w:rsidR="00CC4C3C" w:rsidRPr="007B5BE6">
        <w:t xml:space="preserve"> </w:t>
      </w:r>
      <w:r w:rsidR="00F53346" w:rsidRPr="007B5BE6">
        <w:t xml:space="preserve">older Australians who </w:t>
      </w:r>
      <w:r w:rsidR="00030CE7" w:rsidRPr="007B5BE6">
        <w:t>reported experiencing abuse</w:t>
      </w:r>
      <w:r w:rsidR="00F53346" w:rsidRPr="007B5BE6">
        <w:t xml:space="preserve"> in community settings</w:t>
      </w:r>
      <w:r w:rsidR="00030CE7" w:rsidRPr="007B5BE6">
        <w:t xml:space="preserve"> d</w:t>
      </w:r>
      <w:r w:rsidR="00F53346" w:rsidRPr="007B5BE6">
        <w:t>id</w:t>
      </w:r>
      <w:r w:rsidR="00030CE7" w:rsidRPr="007B5BE6">
        <w:t xml:space="preserve"> not seek help or </w:t>
      </w:r>
      <w:r w:rsidR="00AD537A" w:rsidRPr="007B5BE6">
        <w:t>advice but</w:t>
      </w:r>
      <w:r w:rsidR="00030CE7" w:rsidRPr="007B5BE6">
        <w:t xml:space="preserve"> tried to manage it themselves. Only one third of the 14.8% of surveyed Australians who reported experiencing abuse in the last 12 months had sought help about it. Legal responses were not a common source of support in help</w:t>
      </w:r>
      <w:r w:rsidR="00FF136C" w:rsidRPr="007B5BE6">
        <w:t>-</w:t>
      </w:r>
      <w:r w:rsidR="00030CE7" w:rsidRPr="007B5BE6">
        <w:t>seeking, with help and assistance more commonly sought from family and friends, or health professionals.</w:t>
      </w:r>
      <w:r w:rsidR="00B125E4" w:rsidRPr="007B5BE6">
        <w:rPr>
          <w:rStyle w:val="FootnoteReference"/>
        </w:rPr>
        <w:footnoteReference w:id="126"/>
      </w:r>
      <w:r w:rsidR="00ED4107" w:rsidRPr="007B5BE6">
        <w:t xml:space="preserve"> </w:t>
      </w:r>
      <w:r w:rsidR="008A57A5" w:rsidRPr="007B5BE6">
        <w:t>Commonly identified b</w:t>
      </w:r>
      <w:r w:rsidR="00AD537A" w:rsidRPr="007B5BE6">
        <w:t>arriers to help</w:t>
      </w:r>
      <w:r w:rsidR="00FF136C" w:rsidRPr="007B5BE6">
        <w:t>-</w:t>
      </w:r>
      <w:r w:rsidR="00AD537A" w:rsidRPr="007B5BE6">
        <w:t>seeking included s</w:t>
      </w:r>
      <w:r w:rsidR="00945107" w:rsidRPr="007B5BE6">
        <w:t xml:space="preserve">hame, embarrassment and </w:t>
      </w:r>
      <w:r w:rsidR="0015063B" w:rsidRPr="007B5BE6">
        <w:t xml:space="preserve">fear of consequences </w:t>
      </w:r>
      <w:r w:rsidR="00BF77FA" w:rsidRPr="007B5BE6">
        <w:t>f</w:t>
      </w:r>
      <w:r w:rsidR="00C57592" w:rsidRPr="007B5BE6">
        <w:t>rom</w:t>
      </w:r>
      <w:r w:rsidR="00BF77FA" w:rsidRPr="007B5BE6">
        <w:t xml:space="preserve"> th</w:t>
      </w:r>
      <w:r w:rsidR="00C57592" w:rsidRPr="007B5BE6">
        <w:t>e people</w:t>
      </w:r>
      <w:r w:rsidR="00BF77FA" w:rsidRPr="007B5BE6">
        <w:t xml:space="preserve"> perpetrating </w:t>
      </w:r>
      <w:r w:rsidR="00720FCC" w:rsidRPr="007B5BE6">
        <w:t xml:space="preserve">the </w:t>
      </w:r>
      <w:r w:rsidR="00BF77FA" w:rsidRPr="007B5BE6">
        <w:t>abuse</w:t>
      </w:r>
      <w:r w:rsidR="008A57A5" w:rsidRPr="007B5BE6">
        <w:t xml:space="preserve">, who were </w:t>
      </w:r>
      <w:r w:rsidR="00BF77FA" w:rsidRPr="007B5BE6">
        <w:t>often family members of the older person.</w:t>
      </w:r>
      <w:r w:rsidR="00B125E4" w:rsidRPr="007B5BE6">
        <w:rPr>
          <w:rStyle w:val="FootnoteReference"/>
        </w:rPr>
        <w:footnoteReference w:id="127"/>
      </w:r>
      <w:r w:rsidR="00BF77FA" w:rsidRPr="007B5BE6">
        <w:t xml:space="preserve"> </w:t>
      </w:r>
    </w:p>
    <w:p w14:paraId="5DF616A5" w14:textId="274B235C" w:rsidR="0062018A" w:rsidRPr="007B5BE6" w:rsidRDefault="006B76E8" w:rsidP="007936FC">
      <w:pPr>
        <w:pStyle w:val="Headingunnumbered"/>
        <w:spacing w:before="360"/>
      </w:pPr>
      <w:bookmarkStart w:id="33" w:name="_Toc212561728"/>
      <w:r w:rsidRPr="007B5BE6">
        <w:t>International</w:t>
      </w:r>
      <w:r w:rsidR="0062018A" w:rsidRPr="007B5BE6">
        <w:t xml:space="preserve"> context</w:t>
      </w:r>
      <w:bookmarkEnd w:id="33"/>
    </w:p>
    <w:p w14:paraId="1EC5202B" w14:textId="146393A0" w:rsidR="0062018A" w:rsidRPr="007B5BE6" w:rsidRDefault="0062018A" w:rsidP="0062018A">
      <w:pPr>
        <w:pStyle w:val="NormalNumberedTextTLRI"/>
      </w:pPr>
      <w:r w:rsidRPr="007B5BE6">
        <w:t>A synthesis of the developing body of international research on risk factors for the abuse of older people undertaken in 2020 highlighted eight factors associated with greater susceptibility to experiencing elder abuse.</w:t>
      </w:r>
      <w:r w:rsidR="0042532C" w:rsidRPr="007B5BE6">
        <w:rPr>
          <w:rStyle w:val="FootnoteReference"/>
        </w:rPr>
        <w:footnoteReference w:id="128"/>
      </w:r>
      <w:r w:rsidRPr="007B5BE6">
        <w:t xml:space="preserve"> These were:</w:t>
      </w:r>
    </w:p>
    <w:p w14:paraId="0B6FD0F0" w14:textId="6CC08249" w:rsidR="0062018A" w:rsidRPr="007B5BE6" w:rsidRDefault="0062018A" w:rsidP="0062018A">
      <w:pPr>
        <w:pStyle w:val="DotPointTLRI"/>
      </w:pPr>
      <w:r w:rsidRPr="007B5BE6">
        <w:t xml:space="preserve">physical health </w:t>
      </w:r>
      <w:r w:rsidR="009341E5" w:rsidRPr="007B5BE6">
        <w:t>challenges</w:t>
      </w:r>
      <w:r w:rsidRPr="007B5BE6">
        <w:t>, which can increase risk</w:t>
      </w:r>
      <w:r w:rsidR="00720FCC" w:rsidRPr="007B5BE6">
        <w:t xml:space="preserve">, </w:t>
      </w:r>
      <w:r w:rsidRPr="007B5BE6">
        <w:t>as well as severity</w:t>
      </w:r>
      <w:r w:rsidR="00720FCC" w:rsidRPr="007B5BE6">
        <w:t>,</w:t>
      </w:r>
      <w:r w:rsidRPr="007B5BE6">
        <w:t xml:space="preserve"> of experiences of abuse;</w:t>
      </w:r>
    </w:p>
    <w:p w14:paraId="5BAF4D52" w14:textId="30532A80" w:rsidR="0062018A" w:rsidRPr="007B5BE6" w:rsidRDefault="0062018A" w:rsidP="0062018A">
      <w:pPr>
        <w:pStyle w:val="DotPointTLRI"/>
      </w:pPr>
      <w:r w:rsidRPr="007B5BE6">
        <w:t xml:space="preserve">mental health </w:t>
      </w:r>
      <w:r w:rsidR="009341E5" w:rsidRPr="007B5BE6">
        <w:t>challenges</w:t>
      </w:r>
      <w:r w:rsidRPr="007B5BE6">
        <w:t>, particularly depression and cognitive decline, which can increase risk</w:t>
      </w:r>
      <w:r w:rsidR="00796985" w:rsidRPr="007B5BE6">
        <w:t>,</w:t>
      </w:r>
      <w:r w:rsidRPr="007B5BE6">
        <w:t xml:space="preserve"> as well as severity</w:t>
      </w:r>
      <w:r w:rsidR="00796985" w:rsidRPr="007B5BE6">
        <w:t>,</w:t>
      </w:r>
      <w:r w:rsidRPr="007B5BE6">
        <w:t xml:space="preserve"> of experiences of abuse;</w:t>
      </w:r>
    </w:p>
    <w:p w14:paraId="6F361D3A" w14:textId="77777777" w:rsidR="0062018A" w:rsidRPr="007B5BE6" w:rsidRDefault="0062018A" w:rsidP="0062018A">
      <w:pPr>
        <w:pStyle w:val="DotPointTLRI"/>
      </w:pPr>
      <w:r w:rsidRPr="007B5BE6">
        <w:lastRenderedPageBreak/>
        <w:t>misuse of substances, including alcohol;</w:t>
      </w:r>
    </w:p>
    <w:p w14:paraId="0A0C1D21" w14:textId="77777777" w:rsidR="0062018A" w:rsidRPr="007B5BE6" w:rsidRDefault="0062018A" w:rsidP="0062018A">
      <w:pPr>
        <w:pStyle w:val="DotPointTLRI"/>
      </w:pPr>
      <w:r w:rsidRPr="007B5BE6">
        <w:t>dependence (although not a predominant cause);</w:t>
      </w:r>
    </w:p>
    <w:p w14:paraId="0DC63390" w14:textId="6980D968" w:rsidR="0062018A" w:rsidRPr="007B5BE6" w:rsidRDefault="0062018A" w:rsidP="0062018A">
      <w:pPr>
        <w:pStyle w:val="DotPointTLRI"/>
      </w:pPr>
      <w:r w:rsidRPr="007B5BE6">
        <w:t>problems with stress and coping, which can be pre-cursors to</w:t>
      </w:r>
      <w:r w:rsidR="00FF0035" w:rsidRPr="007B5BE6">
        <w:t>,</w:t>
      </w:r>
      <w:r w:rsidRPr="007B5BE6">
        <w:t xml:space="preserve"> and consequences of</w:t>
      </w:r>
      <w:r w:rsidR="00FF0035" w:rsidRPr="007B5BE6">
        <w:t>,</w:t>
      </w:r>
      <w:r w:rsidRPr="007B5BE6">
        <w:t xml:space="preserve"> abuse and can also inhibit help-seeking;</w:t>
      </w:r>
    </w:p>
    <w:p w14:paraId="07B4D41D" w14:textId="77777777" w:rsidR="0062018A" w:rsidRPr="007B5BE6" w:rsidRDefault="0062018A" w:rsidP="0062018A">
      <w:pPr>
        <w:pStyle w:val="DotPointTLRI"/>
      </w:pPr>
      <w:r w:rsidRPr="007B5BE6">
        <w:t>attitudes, such as self-blame, excusing the perpetrator’s behaviour, protecting perpetrators, self-depreciation, stoicism and apathy;</w:t>
      </w:r>
    </w:p>
    <w:p w14:paraId="3F3A03DF" w14:textId="7B47333F" w:rsidR="0062018A" w:rsidRPr="007B5BE6" w:rsidRDefault="0062018A" w:rsidP="0062018A">
      <w:pPr>
        <w:pStyle w:val="DotPointTLRI"/>
      </w:pPr>
      <w:r w:rsidRPr="007B5BE6">
        <w:t>previous experiences of abuse, including abuse in childhood</w:t>
      </w:r>
      <w:r w:rsidR="003960B5" w:rsidRPr="007B5BE6">
        <w:t>,</w:t>
      </w:r>
      <w:r w:rsidRPr="007B5BE6">
        <w:t xml:space="preserve"> and neglect and intimate partner violence as an adult; and </w:t>
      </w:r>
    </w:p>
    <w:p w14:paraId="2FB369B7" w14:textId="7813A85D" w:rsidR="0062018A" w:rsidRPr="007B5BE6" w:rsidRDefault="0062018A" w:rsidP="0062018A">
      <w:pPr>
        <w:pStyle w:val="DotPointTLRI"/>
      </w:pPr>
      <w:r w:rsidRPr="007B5BE6">
        <w:t>relationship problems, including with adult children, conflict with family and friends and social isolation.</w:t>
      </w:r>
      <w:r w:rsidR="00C84E05" w:rsidRPr="007B5BE6">
        <w:rPr>
          <w:rStyle w:val="FootnoteReference"/>
        </w:rPr>
        <w:footnoteReference w:id="129"/>
      </w:r>
    </w:p>
    <w:p w14:paraId="17D9290A" w14:textId="44BF88D9" w:rsidR="0062018A" w:rsidRPr="007B5BE6" w:rsidRDefault="007F7E1D" w:rsidP="005F7BEF">
      <w:pPr>
        <w:pStyle w:val="NormalNumberedTextTLRI"/>
      </w:pPr>
      <w:r w:rsidRPr="007B5BE6">
        <w:t xml:space="preserve">The 2020 synthesis </w:t>
      </w:r>
      <w:r w:rsidR="00CC4C3C" w:rsidRPr="007B5BE6">
        <w:t>also</w:t>
      </w:r>
      <w:r w:rsidR="002C6DB7" w:rsidRPr="007B5BE6">
        <w:t xml:space="preserve"> </w:t>
      </w:r>
      <w:r w:rsidRPr="007B5BE6">
        <w:t>identified eight factors related to its perpetration.</w:t>
      </w:r>
      <w:r w:rsidR="00C84E05" w:rsidRPr="007B5BE6">
        <w:rPr>
          <w:rStyle w:val="FootnoteReference"/>
        </w:rPr>
        <w:footnoteReference w:id="130"/>
      </w:r>
      <w:r w:rsidR="00CC4C3C" w:rsidRPr="007B5BE6">
        <w:t xml:space="preserve"> As with Australian research,</w:t>
      </w:r>
      <w:r w:rsidR="0016496B" w:rsidRPr="007B5BE6">
        <w:t xml:space="preserve"> </w:t>
      </w:r>
      <w:r w:rsidR="00CC4C3C" w:rsidRPr="007B5BE6">
        <w:t>i</w:t>
      </w:r>
      <w:r w:rsidR="0016496B" w:rsidRPr="007B5BE6">
        <w:t>nternational research suggests that the rates of help</w:t>
      </w:r>
      <w:r w:rsidR="00FF136C" w:rsidRPr="007B5BE6">
        <w:t>-</w:t>
      </w:r>
      <w:r w:rsidR="0016496B" w:rsidRPr="007B5BE6">
        <w:t>seeking by older people who experience abuse are low, with personal and systemic barriers to help</w:t>
      </w:r>
      <w:r w:rsidR="00FF136C" w:rsidRPr="007B5BE6">
        <w:t>-</w:t>
      </w:r>
      <w:r w:rsidR="0016496B" w:rsidRPr="007B5BE6">
        <w:t>seeking identified. This is consistent with low rates of help</w:t>
      </w:r>
      <w:r w:rsidR="00FF136C" w:rsidRPr="007B5BE6">
        <w:t>-</w:t>
      </w:r>
      <w:r w:rsidR="0016496B" w:rsidRPr="007B5BE6">
        <w:t xml:space="preserve">seeking behaviour observed in other settings, such as </w:t>
      </w:r>
      <w:r w:rsidR="00710AF9" w:rsidRPr="007B5BE6">
        <w:t xml:space="preserve">other forms of </w:t>
      </w:r>
      <w:r w:rsidR="0016496B" w:rsidRPr="007B5BE6">
        <w:t xml:space="preserve">family </w:t>
      </w:r>
      <w:r w:rsidR="00710AF9" w:rsidRPr="007B5BE6">
        <w:t xml:space="preserve">and domestic </w:t>
      </w:r>
      <w:r w:rsidR="0016496B" w:rsidRPr="007B5BE6">
        <w:t>violence and general legal problems.</w:t>
      </w:r>
      <w:r w:rsidR="00C84E05" w:rsidRPr="007B5BE6">
        <w:rPr>
          <w:rStyle w:val="FootnoteReference"/>
        </w:rPr>
        <w:footnoteReference w:id="131"/>
      </w:r>
      <w:r w:rsidR="0016496B" w:rsidRPr="007B5BE6">
        <w:t xml:space="preserve"> Under-reporting and under-recognition have both been highlighted in the research around low rates of help</w:t>
      </w:r>
      <w:r w:rsidR="005341D2" w:rsidRPr="007B5BE6">
        <w:t>-</w:t>
      </w:r>
      <w:r w:rsidR="0016496B" w:rsidRPr="007B5BE6">
        <w:t xml:space="preserve">seeking for </w:t>
      </w:r>
      <w:r w:rsidR="00047FE6" w:rsidRPr="007B5BE6">
        <w:t xml:space="preserve">the </w:t>
      </w:r>
      <w:r w:rsidR="0016496B" w:rsidRPr="007B5BE6">
        <w:t xml:space="preserve">abuse of older people. For older people experiencing abuse there can be a reluctance to acknowledge or disclose abuse, due to beliefs about it being a private matter, </w:t>
      </w:r>
      <w:r w:rsidR="00047FE6" w:rsidRPr="007B5BE6">
        <w:t xml:space="preserve">feeling a sense of </w:t>
      </w:r>
      <w:r w:rsidR="0016496B" w:rsidRPr="007B5BE6">
        <w:t xml:space="preserve">responsibility for the perpetrator (especially if </w:t>
      </w:r>
      <w:r w:rsidR="00047FE6" w:rsidRPr="007B5BE6">
        <w:t xml:space="preserve">the perpetrator is the older person’s </w:t>
      </w:r>
      <w:r w:rsidR="0016496B" w:rsidRPr="007B5BE6">
        <w:t>own child), fear of consequences for themselves or the perpetrator, feelings of shame or embarrassment, or language or communication barriers.</w:t>
      </w:r>
      <w:r w:rsidR="00C84E05" w:rsidRPr="007B5BE6">
        <w:rPr>
          <w:rStyle w:val="FootnoteReference"/>
        </w:rPr>
        <w:footnoteReference w:id="132"/>
      </w:r>
      <w:r w:rsidR="0016496B" w:rsidRPr="007B5BE6">
        <w:t xml:space="preserve"> Older people</w:t>
      </w:r>
      <w:r w:rsidR="0063082A" w:rsidRPr="007B5BE6">
        <w:t>,</w:t>
      </w:r>
      <w:r w:rsidR="0016496B" w:rsidRPr="007B5BE6">
        <w:t xml:space="preserve"> and people who provide care to </w:t>
      </w:r>
      <w:r w:rsidR="0063082A" w:rsidRPr="007B5BE6">
        <w:t>older people,</w:t>
      </w:r>
      <w:r w:rsidR="0016496B" w:rsidRPr="007B5BE6">
        <w:t xml:space="preserve"> may fail to recognise or understand the wide range of relevant behaviours as abuse, and personal or professional carers may not know when to intervene if there are behaviours of concern.</w:t>
      </w:r>
      <w:r w:rsidR="00DD097E" w:rsidRPr="007B5BE6">
        <w:rPr>
          <w:rStyle w:val="FootnoteReference"/>
        </w:rPr>
        <w:footnoteReference w:id="133"/>
      </w:r>
    </w:p>
    <w:p w14:paraId="1A1A6AA2" w14:textId="77777777" w:rsidR="007936FC" w:rsidRPr="007B5BE6" w:rsidRDefault="007936FC">
      <w:pPr>
        <w:spacing w:after="200" w:line="276" w:lineRule="auto"/>
        <w:jc w:val="left"/>
        <w:rPr>
          <w:b/>
          <w:bCs/>
          <w:sz w:val="32"/>
          <w:szCs w:val="36"/>
        </w:rPr>
      </w:pPr>
      <w:bookmarkStart w:id="34" w:name="_Toc212561729"/>
      <w:r w:rsidRPr="007B5BE6">
        <w:br w:type="page"/>
      </w:r>
    </w:p>
    <w:p w14:paraId="4EFB702E" w14:textId="2BF96813" w:rsidR="001723E7" w:rsidRPr="007B5BE6" w:rsidRDefault="000C219B" w:rsidP="007936FC">
      <w:pPr>
        <w:pStyle w:val="Headingunnumbered"/>
        <w:spacing w:before="360"/>
      </w:pPr>
      <w:r w:rsidRPr="007B5BE6">
        <w:lastRenderedPageBreak/>
        <w:t>Tasmanian context</w:t>
      </w:r>
      <w:bookmarkEnd w:id="34"/>
    </w:p>
    <w:p w14:paraId="6107D571" w14:textId="52FB5E5B" w:rsidR="00546F1D" w:rsidRPr="007B5BE6" w:rsidRDefault="00737BA6" w:rsidP="000E7EAB">
      <w:pPr>
        <w:pStyle w:val="NormalNumberedTextTLRI"/>
      </w:pPr>
      <w:r w:rsidRPr="007B5BE6">
        <w:t>D</w:t>
      </w:r>
      <w:r w:rsidR="006F02D7" w:rsidRPr="007B5BE6">
        <w:t xml:space="preserve">ata </w:t>
      </w:r>
      <w:r w:rsidR="0050633F" w:rsidRPr="007B5BE6">
        <w:t xml:space="preserve">provided to the TLRI </w:t>
      </w:r>
      <w:r w:rsidRPr="007B5BE6">
        <w:t>on</w:t>
      </w:r>
      <w:r w:rsidR="00C50F58" w:rsidRPr="007B5BE6">
        <w:t xml:space="preserve"> the</w:t>
      </w:r>
      <w:r w:rsidRPr="007B5BE6">
        <w:t xml:space="preserve"> </w:t>
      </w:r>
      <w:r w:rsidR="009A4A26" w:rsidRPr="007B5BE6">
        <w:t>Helpline</w:t>
      </w:r>
      <w:r w:rsidR="00DD097E" w:rsidRPr="007B5BE6">
        <w:rPr>
          <w:rStyle w:val="FootnoteReference"/>
        </w:rPr>
        <w:footnoteReference w:id="134"/>
      </w:r>
      <w:r w:rsidR="00694617" w:rsidRPr="007B5BE6">
        <w:t xml:space="preserve"> </w:t>
      </w:r>
      <w:r w:rsidR="006F02D7" w:rsidRPr="007B5BE6">
        <w:t>and</w:t>
      </w:r>
      <w:r w:rsidR="009A4A26" w:rsidRPr="007B5BE6">
        <w:t xml:space="preserve"> on Senior Assist</w:t>
      </w:r>
      <w:r w:rsidR="00DD097E" w:rsidRPr="007B5BE6">
        <w:rPr>
          <w:rStyle w:val="FootnoteReference"/>
        </w:rPr>
        <w:footnoteReference w:id="135"/>
      </w:r>
      <w:r w:rsidR="009A4A26" w:rsidRPr="007B5BE6">
        <w:t xml:space="preserve"> </w:t>
      </w:r>
      <w:r w:rsidR="006F02D7" w:rsidRPr="007B5BE6">
        <w:t>allow for some insights into risk factors and help</w:t>
      </w:r>
      <w:r w:rsidR="00D76813" w:rsidRPr="007B5BE6">
        <w:t>-</w:t>
      </w:r>
      <w:r w:rsidR="006F02D7" w:rsidRPr="007B5BE6">
        <w:t>seeking</w:t>
      </w:r>
      <w:r w:rsidR="00911D9B" w:rsidRPr="007B5BE6">
        <w:t xml:space="preserve"> </w:t>
      </w:r>
      <w:r w:rsidR="00C15BE3" w:rsidRPr="007B5BE6">
        <w:t>for abuse of</w:t>
      </w:r>
      <w:r w:rsidR="00911D9B" w:rsidRPr="007B5BE6">
        <w:t xml:space="preserve"> older Tasmanian</w:t>
      </w:r>
      <w:r w:rsidR="00C15BE3" w:rsidRPr="007B5BE6">
        <w:t>s</w:t>
      </w:r>
      <w:r w:rsidR="0050633F" w:rsidRPr="007B5BE6">
        <w:t xml:space="preserve">. </w:t>
      </w:r>
      <w:r w:rsidRPr="007B5BE6">
        <w:t xml:space="preserve">These </w:t>
      </w:r>
      <w:r w:rsidR="00F65F3A" w:rsidRPr="007B5BE6">
        <w:t xml:space="preserve">comprise </w:t>
      </w:r>
      <w:r w:rsidRPr="007B5BE6">
        <w:t xml:space="preserve">de-identified data on 355 callers to the Helpline from </w:t>
      </w:r>
      <w:r w:rsidR="00CD233C" w:rsidRPr="007B5BE6">
        <w:t>1 July 2022</w:t>
      </w:r>
      <w:r w:rsidR="00AF10F0" w:rsidRPr="007B5BE6">
        <w:t xml:space="preserve"> to </w:t>
      </w:r>
      <w:r w:rsidR="00CD233C" w:rsidRPr="007B5BE6">
        <w:t>30 June 2023 and de-identified data</w:t>
      </w:r>
      <w:r w:rsidR="00AB5CFD" w:rsidRPr="007B5BE6">
        <w:t xml:space="preserve"> on a sample of 95 Senior Assist clients at Tasmania Legal Aid (TLA) who were surveyed in a period from 1 July 2023 to 31 December 2023.</w:t>
      </w:r>
      <w:r w:rsidR="00AB5CFD" w:rsidRPr="007B5BE6">
        <w:rPr>
          <w:rStyle w:val="FootnoteReference"/>
        </w:rPr>
        <w:footnoteReference w:id="136"/>
      </w:r>
      <w:r w:rsidR="00AB5CFD" w:rsidRPr="007B5BE6">
        <w:t xml:space="preserve"> </w:t>
      </w:r>
      <w:r w:rsidR="0050633F" w:rsidRPr="007B5BE6">
        <w:t>However, as</w:t>
      </w:r>
      <w:r w:rsidR="006F02D7" w:rsidRPr="007B5BE6">
        <w:t xml:space="preserve"> noted at </w:t>
      </w:r>
      <w:r w:rsidR="002E3CC4" w:rsidRPr="007B5BE6">
        <w:t>[2.3</w:t>
      </w:r>
      <w:r w:rsidR="001D7D20" w:rsidRPr="007B5BE6">
        <w:t>.</w:t>
      </w:r>
      <w:r w:rsidR="002E3CC4" w:rsidRPr="007B5BE6">
        <w:t>10]</w:t>
      </w:r>
      <w:r w:rsidR="006F02D7" w:rsidRPr="007B5BE6">
        <w:t>, there are</w:t>
      </w:r>
      <w:r w:rsidR="00431DD0" w:rsidRPr="007B5BE6">
        <w:t xml:space="preserve"> limitations </w:t>
      </w:r>
      <w:r w:rsidR="006F02D7" w:rsidRPr="007B5BE6">
        <w:t xml:space="preserve">that </w:t>
      </w:r>
      <w:r w:rsidR="00431DD0" w:rsidRPr="007B5BE6">
        <w:t xml:space="preserve">apply </w:t>
      </w:r>
      <w:r w:rsidR="00B21D14" w:rsidRPr="007B5BE6">
        <w:t>to these</w:t>
      </w:r>
      <w:r w:rsidR="00E75875" w:rsidRPr="007B5BE6">
        <w:t xml:space="preserve"> data</w:t>
      </w:r>
      <w:r w:rsidR="00C13C9A" w:rsidRPr="007B5BE6">
        <w:t xml:space="preserve"> and their interpretation</w:t>
      </w:r>
      <w:r w:rsidR="00E75875" w:rsidRPr="007B5BE6">
        <w:t>.</w:t>
      </w:r>
      <w:r w:rsidR="00431DD0" w:rsidRPr="007B5BE6">
        <w:t xml:space="preserve"> </w:t>
      </w:r>
      <w:r w:rsidR="000E7EAB" w:rsidRPr="007B5BE6">
        <w:t>Recognising these limitations</w:t>
      </w:r>
      <w:r w:rsidR="00517A7E" w:rsidRPr="007B5BE6">
        <w:t xml:space="preserve">, </w:t>
      </w:r>
      <w:r w:rsidR="009A5076" w:rsidRPr="007B5BE6">
        <w:t xml:space="preserve">insights </w:t>
      </w:r>
      <w:r w:rsidR="00517A7E" w:rsidRPr="007B5BE6">
        <w:t xml:space="preserve">from the Helpline and Senior Assist data </w:t>
      </w:r>
      <w:r w:rsidR="00E235B2" w:rsidRPr="007B5BE6">
        <w:t xml:space="preserve">show some </w:t>
      </w:r>
      <w:r w:rsidR="00517A7E" w:rsidRPr="007B5BE6">
        <w:t>align</w:t>
      </w:r>
      <w:r w:rsidR="00E235B2" w:rsidRPr="007B5BE6">
        <w:t>ment</w:t>
      </w:r>
      <w:r w:rsidR="00517A7E" w:rsidRPr="007B5BE6">
        <w:t xml:space="preserve"> with</w:t>
      </w:r>
      <w:r w:rsidR="005A5D82" w:rsidRPr="007B5BE6">
        <w:t xml:space="preserve"> </w:t>
      </w:r>
      <w:r w:rsidR="00A1158D" w:rsidRPr="007B5BE6">
        <w:t>international and national research</w:t>
      </w:r>
      <w:r w:rsidR="00B37DF1" w:rsidRPr="007B5BE6">
        <w:rPr>
          <w:rStyle w:val="FootnoteReference"/>
        </w:rPr>
        <w:footnoteReference w:id="137"/>
      </w:r>
      <w:r w:rsidR="00A1158D" w:rsidRPr="007B5BE6">
        <w:t xml:space="preserve"> </w:t>
      </w:r>
      <w:r w:rsidR="00E63C96" w:rsidRPr="007B5BE6">
        <w:t>around</w:t>
      </w:r>
      <w:r w:rsidR="00695B5F" w:rsidRPr="007B5BE6">
        <w:t xml:space="preserve"> </w:t>
      </w:r>
      <w:r w:rsidR="00DB0FD1" w:rsidRPr="007B5BE6">
        <w:t xml:space="preserve">factors relevant to </w:t>
      </w:r>
      <w:r w:rsidR="00AE61B4" w:rsidRPr="007B5BE6">
        <w:t xml:space="preserve">the </w:t>
      </w:r>
      <w:r w:rsidR="00DB0FD1" w:rsidRPr="007B5BE6">
        <w:t>risk of experiencing abuse and help</w:t>
      </w:r>
      <w:r w:rsidR="00D76813" w:rsidRPr="007B5BE6">
        <w:t>-</w:t>
      </w:r>
      <w:r w:rsidR="00DB0FD1" w:rsidRPr="007B5BE6">
        <w:t xml:space="preserve">seeking </w:t>
      </w:r>
      <w:r w:rsidR="00E63C96" w:rsidRPr="007B5BE6">
        <w:t>in the Tasmanian context</w:t>
      </w:r>
      <w:r w:rsidR="000E7EAB" w:rsidRPr="007B5BE6">
        <w:t xml:space="preserve">. </w:t>
      </w:r>
      <w:r w:rsidR="00996C97" w:rsidRPr="007B5BE6">
        <w:t xml:space="preserve">This is supplemented by some observations </w:t>
      </w:r>
      <w:r w:rsidR="002B17F7" w:rsidRPr="007B5BE6">
        <w:t xml:space="preserve">that can be drawn </w:t>
      </w:r>
      <w:r w:rsidR="0008615D" w:rsidRPr="007B5BE6">
        <w:t xml:space="preserve">from </w:t>
      </w:r>
      <w:r w:rsidR="00321071" w:rsidRPr="007B5BE6">
        <w:t xml:space="preserve">data on Tasmanian’s population and other socio-demographic factors. </w:t>
      </w:r>
      <w:r w:rsidR="000E7EAB" w:rsidRPr="007B5BE6">
        <w:t xml:space="preserve">These </w:t>
      </w:r>
      <w:r w:rsidR="00517A7E" w:rsidRPr="007B5BE6">
        <w:t>includ</w:t>
      </w:r>
      <w:r w:rsidR="000E7EAB" w:rsidRPr="007B5BE6">
        <w:t>e</w:t>
      </w:r>
      <w:r w:rsidR="00546F1D" w:rsidRPr="007B5BE6">
        <w:t xml:space="preserve">: </w:t>
      </w:r>
    </w:p>
    <w:p w14:paraId="04943A01" w14:textId="6C8F8AD8" w:rsidR="00546F1D" w:rsidRPr="007B5BE6" w:rsidRDefault="00546F1D" w:rsidP="00546F1D">
      <w:pPr>
        <w:pStyle w:val="DotPointTLRI"/>
      </w:pPr>
      <w:r w:rsidRPr="007B5BE6">
        <w:t>the gendered nature of abuse of older people</w:t>
      </w:r>
      <w:r w:rsidR="00E3524B" w:rsidRPr="007B5BE6">
        <w:t xml:space="preserve">, with </w:t>
      </w:r>
      <w:r w:rsidRPr="007B5BE6">
        <w:t>older women more likely to experience abuse;</w:t>
      </w:r>
    </w:p>
    <w:p w14:paraId="4581E5B2" w14:textId="77777777" w:rsidR="00546F1D" w:rsidRPr="007B5BE6" w:rsidRDefault="00546F1D" w:rsidP="00546F1D">
      <w:pPr>
        <w:pStyle w:val="DotPointTLRI"/>
      </w:pPr>
      <w:r w:rsidRPr="007B5BE6">
        <w:t xml:space="preserve">the prevalence of disability in experiences of abuse; and </w:t>
      </w:r>
    </w:p>
    <w:p w14:paraId="2355B362" w14:textId="6D8808E5" w:rsidR="00546F1D" w:rsidRPr="007B5BE6" w:rsidRDefault="00D13D5A" w:rsidP="00546F1D">
      <w:pPr>
        <w:pStyle w:val="DotPointTLRI"/>
      </w:pPr>
      <w:r w:rsidRPr="007B5BE6">
        <w:t xml:space="preserve">the prevalence of </w:t>
      </w:r>
      <w:r w:rsidR="00546F1D" w:rsidRPr="007B5BE6">
        <w:t>issues such as family conflict, financial stress and isolation as risk factors for abuse.</w:t>
      </w:r>
    </w:p>
    <w:p w14:paraId="124503D3" w14:textId="52F003B6" w:rsidR="000C219B" w:rsidRPr="007B5BE6" w:rsidRDefault="00B37DF1" w:rsidP="005F7BEF">
      <w:r w:rsidRPr="007B5BE6">
        <w:t xml:space="preserve">Of </w:t>
      </w:r>
      <w:r w:rsidR="00517A7E" w:rsidRPr="007B5BE6">
        <w:t>note</w:t>
      </w:r>
      <w:r w:rsidRPr="007B5BE6">
        <w:t xml:space="preserve"> in the Tasmanian context </w:t>
      </w:r>
      <w:r w:rsidR="00F65F3A" w:rsidRPr="007B5BE6">
        <w:t xml:space="preserve">are </w:t>
      </w:r>
      <w:r w:rsidRPr="007B5BE6">
        <w:t>t</w:t>
      </w:r>
      <w:r w:rsidR="00546F1D" w:rsidRPr="007B5BE6">
        <w:t xml:space="preserve">he geographical location and living arrangements of </w:t>
      </w:r>
      <w:r w:rsidR="00DB0FD1" w:rsidRPr="007B5BE6">
        <w:t xml:space="preserve">older </w:t>
      </w:r>
      <w:r w:rsidR="00546F1D" w:rsidRPr="007B5BE6">
        <w:t>Tasmanians</w:t>
      </w:r>
      <w:r w:rsidR="00D13D5A" w:rsidRPr="007B5BE6">
        <w:t xml:space="preserve">, which were </w:t>
      </w:r>
      <w:r w:rsidR="00F65F3A" w:rsidRPr="007B5BE6">
        <w:t xml:space="preserve">raised by stakeholders as </w:t>
      </w:r>
      <w:r w:rsidR="00140F19" w:rsidRPr="007B5BE6">
        <w:t xml:space="preserve">key factors relevant to </w:t>
      </w:r>
      <w:r w:rsidR="009648A3" w:rsidRPr="007B5BE6">
        <w:t xml:space="preserve">older Tasmanians’ </w:t>
      </w:r>
      <w:r w:rsidR="00546F1D" w:rsidRPr="007B5BE6">
        <w:t>experiences of abuse</w:t>
      </w:r>
      <w:r w:rsidR="009648A3" w:rsidRPr="007B5BE6">
        <w:t>, as well as</w:t>
      </w:r>
      <w:r w:rsidR="00546F1D" w:rsidRPr="007B5BE6">
        <w:t xml:space="preserve"> help</w:t>
      </w:r>
      <w:r w:rsidR="00F65F3A" w:rsidRPr="007B5BE6">
        <w:t>-</w:t>
      </w:r>
      <w:r w:rsidR="00546F1D" w:rsidRPr="007B5BE6">
        <w:t>seeking behaviour. A wide range of factors can impact help</w:t>
      </w:r>
      <w:r w:rsidR="00D3777E" w:rsidRPr="007B5BE6">
        <w:t>-</w:t>
      </w:r>
      <w:r w:rsidR="00546F1D" w:rsidRPr="007B5BE6">
        <w:t xml:space="preserve">seeking where there are concerns about </w:t>
      </w:r>
      <w:r w:rsidR="009648A3" w:rsidRPr="007B5BE6">
        <w:t xml:space="preserve">the </w:t>
      </w:r>
      <w:r w:rsidR="00546F1D" w:rsidRPr="007B5BE6">
        <w:t xml:space="preserve">abuse of older Tasmanians, with </w:t>
      </w:r>
      <w:r w:rsidR="004E2AAF" w:rsidRPr="007B5BE6">
        <w:t>an</w:t>
      </w:r>
      <w:r w:rsidR="00936F15" w:rsidRPr="007B5BE6">
        <w:t xml:space="preserve"> </w:t>
      </w:r>
      <w:r w:rsidR="00546F1D" w:rsidRPr="007B5BE6">
        <w:t xml:space="preserve">older </w:t>
      </w:r>
      <w:r w:rsidR="004E2AAF" w:rsidRPr="007B5BE6">
        <w:t xml:space="preserve">Tasmanian </w:t>
      </w:r>
      <w:r w:rsidR="00546F1D" w:rsidRPr="007B5BE6">
        <w:t xml:space="preserve">themselves </w:t>
      </w:r>
      <w:r w:rsidR="003D79D0" w:rsidRPr="007B5BE6">
        <w:t>not always the person who accesses the</w:t>
      </w:r>
      <w:r w:rsidR="00546F1D" w:rsidRPr="007B5BE6">
        <w:t xml:space="preserve"> services </w:t>
      </w:r>
      <w:r w:rsidR="00D3777E" w:rsidRPr="007B5BE6">
        <w:t>available for</w:t>
      </w:r>
      <w:r w:rsidR="00546F1D" w:rsidRPr="007B5BE6">
        <w:t xml:space="preserve"> help </w:t>
      </w:r>
      <w:r w:rsidR="009648A3" w:rsidRPr="007B5BE6">
        <w:t>when there are concerns about</w:t>
      </w:r>
      <w:r w:rsidR="00546F1D" w:rsidRPr="007B5BE6">
        <w:t xml:space="preserve"> abuse. </w:t>
      </w:r>
      <w:r w:rsidR="00AE507A" w:rsidRPr="007B5BE6">
        <w:t xml:space="preserve">This is </w:t>
      </w:r>
      <w:r w:rsidR="00E258B2" w:rsidRPr="007B5BE6">
        <w:t>highlighted</w:t>
      </w:r>
      <w:r w:rsidR="00AE507A" w:rsidRPr="007B5BE6">
        <w:t xml:space="preserve"> in the analysis </w:t>
      </w:r>
      <w:r w:rsidR="00E258B2" w:rsidRPr="007B5BE6">
        <w:t xml:space="preserve">of </w:t>
      </w:r>
      <w:r w:rsidR="00AE507A" w:rsidRPr="007B5BE6">
        <w:t xml:space="preserve">the </w:t>
      </w:r>
      <w:r w:rsidR="00E258B2" w:rsidRPr="007B5BE6">
        <w:t>Helpline and Senior Assist data</w:t>
      </w:r>
      <w:r w:rsidR="004E2AAF" w:rsidRPr="007B5BE6">
        <w:t>,</w:t>
      </w:r>
      <w:r w:rsidR="00E258B2" w:rsidRPr="007B5BE6">
        <w:t xml:space="preserve"> as </w:t>
      </w:r>
      <w:r w:rsidR="009648A3" w:rsidRPr="007B5BE6">
        <w:t xml:space="preserve">well as </w:t>
      </w:r>
      <w:r w:rsidR="00E258B2" w:rsidRPr="007B5BE6">
        <w:t xml:space="preserve">in the </w:t>
      </w:r>
      <w:r w:rsidR="009648A3" w:rsidRPr="007B5BE6">
        <w:t xml:space="preserve">TLRI’s </w:t>
      </w:r>
      <w:r w:rsidR="00E258B2" w:rsidRPr="007B5BE6">
        <w:t xml:space="preserve">interviews </w:t>
      </w:r>
      <w:r w:rsidR="009648A3" w:rsidRPr="007B5BE6">
        <w:t>with stakeholders</w:t>
      </w:r>
      <w:r w:rsidR="00936E5C" w:rsidRPr="007B5BE6">
        <w:t>.</w:t>
      </w:r>
    </w:p>
    <w:p w14:paraId="01DDBB3F" w14:textId="233326F4" w:rsidR="00180205" w:rsidRPr="007B5BE6" w:rsidRDefault="001F7CF9" w:rsidP="007936FC">
      <w:pPr>
        <w:pStyle w:val="Sub-HeadingTLRI"/>
        <w:spacing w:before="360"/>
      </w:pPr>
      <w:bookmarkStart w:id="35" w:name="_Toc212561730"/>
      <w:r w:rsidRPr="007B5BE6">
        <w:t>Tasmania’s population and other socio-demographic factors</w:t>
      </w:r>
      <w:bookmarkEnd w:id="35"/>
    </w:p>
    <w:p w14:paraId="4E0EDC06" w14:textId="0143902E" w:rsidR="00B853EE" w:rsidRPr="007B5BE6" w:rsidRDefault="00564F27">
      <w:pPr>
        <w:pStyle w:val="NormalNumberedTextTLRI"/>
      </w:pPr>
      <w:r w:rsidRPr="007B5BE6">
        <w:t>The risk presented by an ag</w:t>
      </w:r>
      <w:r w:rsidR="00D63AD4" w:rsidRPr="007B5BE6">
        <w:t>e</w:t>
      </w:r>
      <w:r w:rsidRPr="007B5BE6">
        <w:t>ing population is a particular issue in Tasmania</w:t>
      </w:r>
      <w:r w:rsidR="001E7865" w:rsidRPr="007B5BE6">
        <w:t xml:space="preserve">. As well as having the highest per capita </w:t>
      </w:r>
      <w:r w:rsidR="00F528A3" w:rsidRPr="007B5BE6">
        <w:t>ageing population in Australia, i</w:t>
      </w:r>
      <w:r w:rsidR="00B853EE" w:rsidRPr="007B5BE6">
        <w:t>n both 2019 and 2022, Tasmania had the highest median age rate and the fastest ageing population structure Australia-wide, with a trend of increased numbers of older people in all Tasmanian regions over the last 10 years expected to continue.</w:t>
      </w:r>
      <w:r w:rsidR="00B853EE" w:rsidRPr="007B5BE6">
        <w:rPr>
          <w:rStyle w:val="FootnoteReference"/>
        </w:rPr>
        <w:footnoteReference w:id="138"/>
      </w:r>
      <w:r w:rsidR="00B853EE" w:rsidRPr="007B5BE6">
        <w:t xml:space="preserve"> In 2024</w:t>
      </w:r>
      <w:r w:rsidR="00153FE2" w:rsidRPr="007B5BE6">
        <w:t xml:space="preserve">, </w:t>
      </w:r>
      <w:r w:rsidR="00AA5ADA" w:rsidRPr="007B5BE6">
        <w:t xml:space="preserve">people </w:t>
      </w:r>
      <w:r w:rsidR="00B853EE" w:rsidRPr="007B5BE6">
        <w:t>aged more than 50 years</w:t>
      </w:r>
      <w:r w:rsidR="00414329" w:rsidRPr="007B5BE6">
        <w:t xml:space="preserve"> made up 41.0% of the 571,051 </w:t>
      </w:r>
      <w:r w:rsidR="00AA5ADA" w:rsidRPr="007B5BE6">
        <w:t>Tasmanians in that year (</w:t>
      </w:r>
      <w:r w:rsidR="0044582A" w:rsidRPr="007B5BE6">
        <w:t xml:space="preserve">in </w:t>
      </w:r>
      <w:r w:rsidR="00B853EE" w:rsidRPr="007B5BE6">
        <w:t>contrast</w:t>
      </w:r>
      <w:r w:rsidR="007D46D9" w:rsidRPr="007B5BE6">
        <w:t xml:space="preserve"> with</w:t>
      </w:r>
      <w:r w:rsidR="00B853EE" w:rsidRPr="007B5BE6">
        <w:t xml:space="preserve"> 34.8% of 26,014,399 Australians</w:t>
      </w:r>
      <w:r w:rsidR="00AA5ADA" w:rsidRPr="007B5BE6">
        <w:t>)</w:t>
      </w:r>
      <w:r w:rsidR="0044582A" w:rsidRPr="007B5BE6">
        <w:t xml:space="preserve">. </w:t>
      </w:r>
      <w:r w:rsidR="00AE0894" w:rsidRPr="007B5BE6">
        <w:t xml:space="preserve">In the same year, </w:t>
      </w:r>
      <w:r w:rsidR="00B853EE" w:rsidRPr="007B5BE6">
        <w:t xml:space="preserve">21.4% </w:t>
      </w:r>
      <w:r w:rsidR="00AE0894" w:rsidRPr="007B5BE6">
        <w:t xml:space="preserve">of these 571,051 </w:t>
      </w:r>
      <w:r w:rsidR="00B853EE" w:rsidRPr="007B5BE6">
        <w:t xml:space="preserve">Tasmanians </w:t>
      </w:r>
      <w:r w:rsidR="00AE0894" w:rsidRPr="007B5BE6">
        <w:t xml:space="preserve">were </w:t>
      </w:r>
      <w:r w:rsidR="00B853EE" w:rsidRPr="007B5BE6">
        <w:t>aged more than 65 years</w:t>
      </w:r>
      <w:r w:rsidR="007D46D9" w:rsidRPr="007B5BE6">
        <w:t xml:space="preserve"> (</w:t>
      </w:r>
      <w:r w:rsidR="0014651D" w:rsidRPr="007B5BE6">
        <w:t xml:space="preserve">in </w:t>
      </w:r>
      <w:r w:rsidR="00B853EE" w:rsidRPr="007B5BE6">
        <w:t>contrast</w:t>
      </w:r>
      <w:r w:rsidR="007D46D9" w:rsidRPr="007B5BE6">
        <w:t xml:space="preserve"> </w:t>
      </w:r>
      <w:r w:rsidR="00B853EE" w:rsidRPr="007B5BE6">
        <w:t xml:space="preserve">with 17.1% 26,014,399 </w:t>
      </w:r>
      <w:r w:rsidR="00416D23" w:rsidRPr="007B5BE6">
        <w:t xml:space="preserve">of </w:t>
      </w:r>
      <w:r w:rsidR="00B853EE" w:rsidRPr="007B5BE6">
        <w:t>Australians</w:t>
      </w:r>
      <w:r w:rsidR="0014651D" w:rsidRPr="007B5BE6">
        <w:t>)</w:t>
      </w:r>
      <w:r w:rsidR="00B853EE" w:rsidRPr="007B5BE6">
        <w:t>.</w:t>
      </w:r>
      <w:r w:rsidR="00B853EE" w:rsidRPr="007B5BE6">
        <w:rPr>
          <w:rStyle w:val="FootnoteReference"/>
        </w:rPr>
        <w:footnoteReference w:id="139"/>
      </w:r>
      <w:r w:rsidR="00B853EE" w:rsidRPr="007B5BE6">
        <w:t xml:space="preserve">   </w:t>
      </w:r>
    </w:p>
    <w:p w14:paraId="11CF010C" w14:textId="77777777" w:rsidR="00A425E5" w:rsidRPr="007B5BE6" w:rsidRDefault="00A425E5" w:rsidP="00A425E5">
      <w:pPr>
        <w:pStyle w:val="NormalNumberedTextTLRI"/>
      </w:pPr>
      <w:r w:rsidRPr="007B5BE6">
        <w:lastRenderedPageBreak/>
        <w:t>Disability is also an important factor to note in the Tasmanian context. Tasmania has the highest prevalence of disability compared with other Australian states and territories, with one quarter of Tasmanians (26.8%) with reported disability in 2018.</w:t>
      </w:r>
      <w:r w:rsidRPr="007B5BE6">
        <w:rPr>
          <w:rStyle w:val="FootnoteReference"/>
        </w:rPr>
        <w:footnoteReference w:id="140"/>
      </w:r>
      <w:r w:rsidRPr="007B5BE6">
        <w:t xml:space="preserve"> </w:t>
      </w:r>
    </w:p>
    <w:p w14:paraId="34F0F0BE" w14:textId="5365B9FC" w:rsidR="00191C6B" w:rsidRPr="007B5BE6" w:rsidRDefault="00246070">
      <w:pPr>
        <w:pStyle w:val="NormalNumberedTextTLRI"/>
      </w:pPr>
      <w:r w:rsidRPr="007B5BE6">
        <w:t>O</w:t>
      </w:r>
      <w:r w:rsidR="008F7E12" w:rsidRPr="007B5BE6">
        <w:t>ther socio-demographic and population f</w:t>
      </w:r>
      <w:r w:rsidR="00D422F6" w:rsidRPr="007B5BE6">
        <w:t>actors</w:t>
      </w:r>
      <w:r w:rsidR="00D60636" w:rsidRPr="007B5BE6">
        <w:t xml:space="preserve"> </w:t>
      </w:r>
      <w:r w:rsidR="00B35D08" w:rsidRPr="007B5BE6">
        <w:t>impact</w:t>
      </w:r>
      <w:r w:rsidR="00AA1F36" w:rsidRPr="007B5BE6">
        <w:t xml:space="preserve"> on help</w:t>
      </w:r>
      <w:r w:rsidR="003A5B00" w:rsidRPr="007B5BE6">
        <w:t>-</w:t>
      </w:r>
      <w:r w:rsidR="00AA1F36" w:rsidRPr="007B5BE6">
        <w:t xml:space="preserve">seeking and </w:t>
      </w:r>
      <w:r w:rsidR="0099326E" w:rsidRPr="007B5BE6">
        <w:t xml:space="preserve">can operate as </w:t>
      </w:r>
      <w:r w:rsidR="00B23180" w:rsidRPr="007B5BE6">
        <w:t xml:space="preserve">barriers for older people in disclosing or seeking assistance for experiences of abuse. </w:t>
      </w:r>
      <w:r w:rsidR="00D60636" w:rsidRPr="007B5BE6">
        <w:t xml:space="preserve">These factors, </w:t>
      </w:r>
      <w:r w:rsidR="003A5B00" w:rsidRPr="007B5BE6">
        <w:t xml:space="preserve">also </w:t>
      </w:r>
      <w:r w:rsidR="00D60636" w:rsidRPr="007B5BE6">
        <w:t>identified in the national context as important for understanding risk factors for the abuse of older people</w:t>
      </w:r>
      <w:r w:rsidR="003A5B00" w:rsidRPr="007B5BE6">
        <w:t>,</w:t>
      </w:r>
      <w:r w:rsidR="003A5B00" w:rsidRPr="007B5BE6" w:rsidDel="004656A8">
        <w:t xml:space="preserve"> </w:t>
      </w:r>
      <w:r w:rsidR="003A5B00" w:rsidRPr="007B5BE6">
        <w:t>i</w:t>
      </w:r>
      <w:r w:rsidR="00CF2121" w:rsidRPr="007B5BE6">
        <w:t>nclude being Aboriginal and Torres Strait Islander, ethnic background, cultural and linguistic diversity, geographical location and modes of residence, poverty, gender</w:t>
      </w:r>
      <w:r w:rsidR="00B95716" w:rsidRPr="007B5BE6">
        <w:t>,</w:t>
      </w:r>
      <w:r w:rsidR="00CF2121" w:rsidRPr="007B5BE6">
        <w:t xml:space="preserve"> and sexual diversity.</w:t>
      </w:r>
      <w:r w:rsidR="009E5E7A" w:rsidRPr="007B5BE6">
        <w:rPr>
          <w:rStyle w:val="FootnoteReference"/>
        </w:rPr>
        <w:footnoteReference w:id="141"/>
      </w:r>
      <w:r w:rsidR="005323E8" w:rsidRPr="007B5BE6">
        <w:t xml:space="preserve"> </w:t>
      </w:r>
      <w:r w:rsidR="004656A8" w:rsidRPr="007B5BE6">
        <w:t>These are also important to consider in the Tasmanian context.</w:t>
      </w:r>
      <w:r w:rsidR="004656A8" w:rsidRPr="007B5BE6">
        <w:rPr>
          <w:rStyle w:val="FootnoteReference"/>
        </w:rPr>
        <w:footnoteReference w:id="142"/>
      </w:r>
      <w:r w:rsidR="004656A8" w:rsidRPr="007B5BE6">
        <w:t xml:space="preserve"> </w:t>
      </w:r>
      <w:r w:rsidR="00191C6B" w:rsidRPr="007B5BE6">
        <w:t xml:space="preserve">Older Tasmanians </w:t>
      </w:r>
      <w:r w:rsidR="009E5E7A" w:rsidRPr="007B5BE6">
        <w:t xml:space="preserve">span a </w:t>
      </w:r>
      <w:r w:rsidR="00191C6B" w:rsidRPr="007B5BE6">
        <w:t>diverse</w:t>
      </w:r>
      <w:r w:rsidR="009E5E7A" w:rsidRPr="007B5BE6">
        <w:t xml:space="preserve"> population</w:t>
      </w:r>
      <w:r w:rsidR="00191C6B" w:rsidRPr="007B5BE6">
        <w:t xml:space="preserve"> and include people at ‘different stages of life with a wide range of backgrounds, experiences and lifestyles … [including playing] a key role in caring for others, often another older person, and volunteer</w:t>
      </w:r>
      <w:r w:rsidR="00E14CE9" w:rsidRPr="007B5BE6">
        <w:t>[ing]</w:t>
      </w:r>
      <w:r w:rsidR="00191C6B" w:rsidRPr="007B5BE6">
        <w:t xml:space="preserve"> in the community.’</w:t>
      </w:r>
      <w:r w:rsidR="00191C6B" w:rsidRPr="007B5BE6">
        <w:rPr>
          <w:rStyle w:val="FootnoteReference"/>
        </w:rPr>
        <w:footnoteReference w:id="143"/>
      </w:r>
      <w:r w:rsidR="00191C6B" w:rsidRPr="007B5BE6">
        <w:t xml:space="preserve"> </w:t>
      </w:r>
      <w:r w:rsidR="00742203" w:rsidRPr="007B5BE6">
        <w:t>Relevant to this, a</w:t>
      </w:r>
      <w:r w:rsidR="00191C6B" w:rsidRPr="007B5BE6">
        <w:t>cross the population of older Tasmanians</w:t>
      </w:r>
      <w:r w:rsidR="00742203" w:rsidRPr="007B5BE6">
        <w:t>:</w:t>
      </w:r>
    </w:p>
    <w:p w14:paraId="1A507348" w14:textId="33B297F6" w:rsidR="00191C6B" w:rsidRPr="007B5BE6" w:rsidRDefault="00191C6B" w:rsidP="00191C6B">
      <w:pPr>
        <w:pStyle w:val="DotPointTLRI"/>
      </w:pPr>
      <w:r w:rsidRPr="007B5BE6">
        <w:t>one in five of Tasmania’s Aboriginal population</w:t>
      </w:r>
      <w:r w:rsidRPr="007B5BE6">
        <w:rPr>
          <w:rStyle w:val="FootnoteReference"/>
        </w:rPr>
        <w:footnoteReference w:id="144"/>
      </w:r>
      <w:r w:rsidRPr="007B5BE6">
        <w:t xml:space="preserve"> are aged 50 years and over;</w:t>
      </w:r>
      <w:r w:rsidRPr="007B5BE6">
        <w:rPr>
          <w:rStyle w:val="FootnoteReference"/>
        </w:rPr>
        <w:footnoteReference w:id="145"/>
      </w:r>
    </w:p>
    <w:p w14:paraId="1B6344DC" w14:textId="657C8DA2" w:rsidR="00191C6B" w:rsidRPr="007B5BE6" w:rsidRDefault="00191C6B" w:rsidP="00191C6B">
      <w:pPr>
        <w:pStyle w:val="DotPointTLRI"/>
      </w:pPr>
      <w:r w:rsidRPr="007B5BE6">
        <w:t>one in five older Tasmanians were born overseas;</w:t>
      </w:r>
    </w:p>
    <w:p w14:paraId="4A556C23" w14:textId="245EE8CF" w:rsidR="00191C6B" w:rsidRPr="007B5BE6" w:rsidRDefault="007770A1" w:rsidP="00191C6B">
      <w:pPr>
        <w:pStyle w:val="DotPointTLRI"/>
      </w:pPr>
      <w:r w:rsidRPr="007B5BE6">
        <w:t xml:space="preserve">in Tasmania, </w:t>
      </w:r>
      <w:r w:rsidR="00191C6B" w:rsidRPr="007B5BE6">
        <w:t>there are more older women (62,756) than older men (56,593);</w:t>
      </w:r>
    </w:p>
    <w:p w14:paraId="4A2247BE" w14:textId="54583E28" w:rsidR="00191C6B" w:rsidRPr="007B5BE6" w:rsidRDefault="00191C6B" w:rsidP="00191C6B">
      <w:pPr>
        <w:pStyle w:val="DotPointTLRI"/>
      </w:pPr>
      <w:r w:rsidRPr="007B5BE6">
        <w:t xml:space="preserve">13% of older Tasmanians live alone; and </w:t>
      </w:r>
    </w:p>
    <w:p w14:paraId="20271360" w14:textId="58556244" w:rsidR="00191C6B" w:rsidRPr="007B5BE6" w:rsidRDefault="00191C6B" w:rsidP="00191C6B">
      <w:pPr>
        <w:pStyle w:val="DotPointTLRI"/>
      </w:pPr>
      <w:r w:rsidRPr="007B5BE6">
        <w:t xml:space="preserve">nearly a quarter of older Tasmanians live in regional Tasmania, and one in five live in greater Hobart. </w:t>
      </w:r>
    </w:p>
    <w:p w14:paraId="161F0B11" w14:textId="3FD63C43" w:rsidR="00191C6B" w:rsidRPr="007B5BE6" w:rsidRDefault="00EE1DB3" w:rsidP="00F675F4">
      <w:r w:rsidRPr="007B5BE6">
        <w:t>Tasmanian research has suggested that h</w:t>
      </w:r>
      <w:r w:rsidR="00191C6B" w:rsidRPr="007B5BE6">
        <w:t>elp</w:t>
      </w:r>
      <w:r w:rsidR="009E5E7A" w:rsidRPr="007B5BE6">
        <w:t>-</w:t>
      </w:r>
      <w:r w:rsidR="00191C6B" w:rsidRPr="007B5BE6">
        <w:t>seeking for experiences of abuse is likely to be even more difficult for some groups</w:t>
      </w:r>
      <w:r w:rsidR="00B81919" w:rsidRPr="007B5BE6">
        <w:t xml:space="preserve"> of older Tasmanians,</w:t>
      </w:r>
      <w:r w:rsidR="00191C6B" w:rsidRPr="007B5BE6">
        <w:t xml:space="preserve"> including </w:t>
      </w:r>
      <w:r w:rsidR="006D7CDC" w:rsidRPr="007B5BE6">
        <w:t xml:space="preserve">those who </w:t>
      </w:r>
      <w:r w:rsidR="00D63F38" w:rsidRPr="007B5BE6">
        <w:t xml:space="preserve">identify </w:t>
      </w:r>
      <w:r w:rsidR="00D63F38" w:rsidRPr="00BF3770">
        <w:rPr>
          <w:rStyle w:val="NormalNumberedTextTLRIChar"/>
        </w:rPr>
        <w:t xml:space="preserve">as </w:t>
      </w:r>
      <w:r w:rsidR="00E12C2F" w:rsidRPr="00E12C2F">
        <w:rPr>
          <w:rStyle w:val="NormalNumberedTextTLRIChar"/>
        </w:rPr>
        <w:t>LGBTIQA+</w:t>
      </w:r>
      <w:r w:rsidR="00E0691F">
        <w:rPr>
          <w:rStyle w:val="FootnoteReference"/>
          <w:rFonts w:eastAsia="Times" w:cs="Times New Roman"/>
          <w:szCs w:val="20"/>
        </w:rPr>
        <w:footnoteReference w:id="146"/>
      </w:r>
      <w:r w:rsidR="00126A11" w:rsidRPr="007B5BE6">
        <w:rPr>
          <w:sz w:val="20"/>
          <w:szCs w:val="20"/>
        </w:rPr>
        <w:t xml:space="preserve"> </w:t>
      </w:r>
      <w:r w:rsidR="00B81919" w:rsidRPr="007B5BE6">
        <w:t xml:space="preserve">who can </w:t>
      </w:r>
      <w:r w:rsidR="00864B50" w:rsidRPr="007B5BE6">
        <w:t xml:space="preserve">face </w:t>
      </w:r>
      <w:r w:rsidR="00B81919" w:rsidRPr="007B5BE6">
        <w:t>b</w:t>
      </w:r>
      <w:r w:rsidR="00191C6B" w:rsidRPr="007B5BE6">
        <w:t>arriers in disclosing or seeking help for abuse and discrimination</w:t>
      </w:r>
      <w:r w:rsidR="009F6FF1" w:rsidRPr="007B5BE6">
        <w:t>,</w:t>
      </w:r>
      <w:r w:rsidR="00191C6B" w:rsidRPr="007B5BE6">
        <w:t xml:space="preserve"> and</w:t>
      </w:r>
      <w:r w:rsidR="009F6FF1" w:rsidRPr="007B5BE6">
        <w:t xml:space="preserve"> for</w:t>
      </w:r>
      <w:r w:rsidR="00191C6B" w:rsidRPr="007B5BE6">
        <w:t xml:space="preserve"> abuse in aged care</w:t>
      </w:r>
      <w:r w:rsidR="00864B50" w:rsidRPr="007B5BE6">
        <w:t xml:space="preserve"> settings</w:t>
      </w:r>
      <w:r w:rsidR="00191C6B" w:rsidRPr="007B5BE6">
        <w:t>.</w:t>
      </w:r>
      <w:r w:rsidR="00191C6B" w:rsidRPr="007B5BE6">
        <w:rPr>
          <w:rStyle w:val="FootnoteReference"/>
        </w:rPr>
        <w:footnoteReference w:id="147"/>
      </w:r>
      <w:r w:rsidR="00191C6B" w:rsidRPr="007B5BE6">
        <w:t xml:space="preserve"> </w:t>
      </w:r>
    </w:p>
    <w:p w14:paraId="5B3DC8A6" w14:textId="231AE35D" w:rsidR="00A42BB0" w:rsidRPr="007B5BE6" w:rsidRDefault="00C50F58" w:rsidP="007936FC">
      <w:pPr>
        <w:pStyle w:val="Sub-HeadingTLRI"/>
        <w:spacing w:before="360"/>
      </w:pPr>
      <w:bookmarkStart w:id="36" w:name="_Toc212561731"/>
      <w:r w:rsidRPr="007B5BE6">
        <w:t xml:space="preserve">Tasmanian </w:t>
      </w:r>
      <w:r w:rsidR="00A42BB0" w:rsidRPr="007B5BE6">
        <w:t>Elder Abuse Helpline</w:t>
      </w:r>
      <w:r w:rsidRPr="007B5BE6">
        <w:t xml:space="preserve"> (‘the Helpline’)</w:t>
      </w:r>
      <w:r w:rsidR="00A42BB0" w:rsidRPr="007B5BE6">
        <w:t xml:space="preserve"> data: 1 July 2022 to 30 June 2023</w:t>
      </w:r>
      <w:bookmarkEnd w:id="36"/>
      <w:r w:rsidR="00A42BB0" w:rsidRPr="007B5BE6">
        <w:t xml:space="preserve"> </w:t>
      </w:r>
    </w:p>
    <w:p w14:paraId="5D3B1350" w14:textId="6FC9D8FE" w:rsidR="00247061" w:rsidRPr="007B5BE6" w:rsidRDefault="00247061" w:rsidP="00247061">
      <w:pPr>
        <w:pStyle w:val="NormalNumberedTextTLRI"/>
        <w:rPr>
          <w:b/>
          <w:bCs/>
          <w:u w:val="single"/>
        </w:rPr>
      </w:pPr>
      <w:r w:rsidRPr="007B5BE6">
        <w:rPr>
          <w:b/>
          <w:bCs/>
          <w:u w:val="single"/>
        </w:rPr>
        <w:t>Demographic details</w:t>
      </w:r>
      <w:r w:rsidRPr="007B5BE6">
        <w:t xml:space="preserve"> were provided on the gender and age of the older person </w:t>
      </w:r>
      <w:r w:rsidR="00864B50" w:rsidRPr="007B5BE6">
        <w:t xml:space="preserve">about whom </w:t>
      </w:r>
      <w:r w:rsidR="00E30463" w:rsidRPr="007B5BE6">
        <w:t xml:space="preserve">355 </w:t>
      </w:r>
      <w:r w:rsidRPr="007B5BE6">
        <w:t xml:space="preserve">callers </w:t>
      </w:r>
      <w:r w:rsidR="00E14CE9" w:rsidRPr="007B5BE6">
        <w:t xml:space="preserve">to the Helpline </w:t>
      </w:r>
      <w:r w:rsidRPr="007B5BE6">
        <w:t>raised concerns</w:t>
      </w:r>
      <w:r w:rsidR="002532EE" w:rsidRPr="007B5BE6">
        <w:t xml:space="preserve"> (from 1 July 2022 to 20 June 2023)</w:t>
      </w:r>
      <w:r w:rsidR="004147B2" w:rsidRPr="007B5BE6">
        <w:t xml:space="preserve">. Gender and age </w:t>
      </w:r>
      <w:r w:rsidR="003862F7" w:rsidRPr="007B5BE6">
        <w:t xml:space="preserve">are </w:t>
      </w:r>
      <w:r w:rsidR="003862F7" w:rsidRPr="007B5BE6">
        <w:lastRenderedPageBreak/>
        <w:t>relevant</w:t>
      </w:r>
      <w:r w:rsidR="001F048C" w:rsidRPr="007B5BE6">
        <w:t xml:space="preserve"> in the context </w:t>
      </w:r>
      <w:r w:rsidR="00692F18" w:rsidRPr="007B5BE6">
        <w:t xml:space="preserve">of previous research </w:t>
      </w:r>
      <w:r w:rsidR="00F716F0" w:rsidRPr="007B5BE6">
        <w:t xml:space="preserve">identifying </w:t>
      </w:r>
      <w:r w:rsidR="006520C2" w:rsidRPr="007B5BE6">
        <w:t xml:space="preserve">the factors that can </w:t>
      </w:r>
      <w:r w:rsidR="005F0087" w:rsidRPr="007B5BE6">
        <w:t xml:space="preserve">impact the </w:t>
      </w:r>
      <w:r w:rsidR="00E86D4F" w:rsidRPr="007B5BE6">
        <w:t xml:space="preserve">likelihood of </w:t>
      </w:r>
      <w:r w:rsidR="00D96F2F" w:rsidRPr="007B5BE6">
        <w:t xml:space="preserve">older Tasmanians </w:t>
      </w:r>
      <w:r w:rsidR="00E86D4F" w:rsidRPr="007B5BE6">
        <w:t>experiencing abuse</w:t>
      </w:r>
      <w:r w:rsidR="002855F7" w:rsidRPr="007B5BE6">
        <w:t>.</w:t>
      </w:r>
    </w:p>
    <w:p w14:paraId="3E60CED6" w14:textId="2D9668B5" w:rsidR="00247061" w:rsidRPr="007B5BE6" w:rsidRDefault="00247061" w:rsidP="006C2456">
      <w:pPr>
        <w:pStyle w:val="DotPointTLRI"/>
        <w:rPr>
          <w:b/>
          <w:bCs/>
          <w:u w:val="single"/>
        </w:rPr>
      </w:pPr>
      <w:r w:rsidRPr="007B5BE6">
        <w:t xml:space="preserve">More calls were made with concerns regarding possible abuse of older women. Over two-thirds of older people who were the focus of concern </w:t>
      </w:r>
      <w:r w:rsidR="00D72930" w:rsidRPr="007B5BE6">
        <w:t xml:space="preserve">from callers </w:t>
      </w:r>
      <w:r w:rsidRPr="007B5BE6">
        <w:t xml:space="preserve">were female (67.47%), with males representing just under one-third (32.35%). </w:t>
      </w:r>
    </w:p>
    <w:p w14:paraId="22EBC900" w14:textId="7E3BB8E6" w:rsidR="00247061" w:rsidRPr="007B5BE6" w:rsidRDefault="00247061" w:rsidP="004B5BBE">
      <w:pPr>
        <w:pStyle w:val="DotPointTLRI"/>
        <w:rPr>
          <w:b/>
          <w:bCs/>
          <w:u w:val="single"/>
        </w:rPr>
      </w:pPr>
      <w:r w:rsidRPr="007B5BE6">
        <w:t>Ages of older people who were the focus of concern</w:t>
      </w:r>
      <w:r w:rsidR="00D72930" w:rsidRPr="007B5BE6">
        <w:t xml:space="preserve"> from callers</w:t>
      </w:r>
      <w:r w:rsidRPr="007B5BE6">
        <w:t xml:space="preserve"> ranged from 65 years to 90 years or more. Figure </w:t>
      </w:r>
      <w:r w:rsidR="00A13491" w:rsidRPr="007B5BE6">
        <w:t>2.6</w:t>
      </w:r>
      <w:r w:rsidRPr="007B5BE6">
        <w:t xml:space="preserve"> shows the percentages of older people by categories of age range, showing that the most common age category was 70–74 years (24.48%), followed by 80–84 years (22.99%). </w:t>
      </w:r>
    </w:p>
    <w:p w14:paraId="4A8AD5FF" w14:textId="026C297D" w:rsidR="00247061" w:rsidRPr="007B5BE6" w:rsidRDefault="00247061" w:rsidP="001C1A28">
      <w:pPr>
        <w:spacing w:before="240" w:after="240"/>
        <w:rPr>
          <w:b/>
          <w:bCs/>
        </w:rPr>
      </w:pPr>
      <w:r w:rsidRPr="007B5BE6">
        <w:rPr>
          <w:b/>
          <w:bCs/>
        </w:rPr>
        <w:t xml:space="preserve">Figure </w:t>
      </w:r>
      <w:r w:rsidR="00A13491" w:rsidRPr="007B5BE6">
        <w:rPr>
          <w:b/>
          <w:bCs/>
        </w:rPr>
        <w:t>2.6:</w:t>
      </w:r>
      <w:r w:rsidRPr="007B5BE6">
        <w:rPr>
          <w:b/>
          <w:bCs/>
        </w:rPr>
        <w:t xml:space="preserve"> Helpline </w:t>
      </w:r>
      <w:r w:rsidR="00C50F58" w:rsidRPr="007B5BE6">
        <w:rPr>
          <w:b/>
          <w:bCs/>
        </w:rPr>
        <w:t>c</w:t>
      </w:r>
      <w:r w:rsidRPr="007B5BE6">
        <w:rPr>
          <w:b/>
          <w:bCs/>
        </w:rPr>
        <w:t>alls, 1 July 2022</w:t>
      </w:r>
      <w:r w:rsidR="00575F25" w:rsidRPr="007B5BE6">
        <w:rPr>
          <w:b/>
          <w:bCs/>
        </w:rPr>
        <w:t>–</w:t>
      </w:r>
      <w:r w:rsidRPr="007B5BE6">
        <w:rPr>
          <w:b/>
          <w:bCs/>
        </w:rPr>
        <w:t>30 June 2023 (categories of age range</w:t>
      </w:r>
      <w:r w:rsidR="00575F25" w:rsidRPr="007B5BE6">
        <w:rPr>
          <w:b/>
          <w:bCs/>
        </w:rPr>
        <w:t>—</w:t>
      </w:r>
      <w:r w:rsidRPr="007B5BE6">
        <w:rPr>
          <w:b/>
          <w:bCs/>
        </w:rPr>
        <w:t>older person</w:t>
      </w:r>
      <w:r w:rsidR="00BE6CD0" w:rsidRPr="007B5BE6">
        <w:rPr>
          <w:b/>
          <w:bCs/>
        </w:rPr>
        <w:t>, %</w:t>
      </w:r>
      <w:r w:rsidRPr="007B5BE6">
        <w:rPr>
          <w:b/>
          <w:bCs/>
        </w:rPr>
        <w:t>)</w:t>
      </w:r>
    </w:p>
    <w:p w14:paraId="4B407F0A" w14:textId="77777777" w:rsidR="00247061" w:rsidRPr="007B5BE6" w:rsidRDefault="00247061" w:rsidP="00BE6CD0">
      <w:pPr>
        <w:jc w:val="center"/>
      </w:pPr>
      <w:r w:rsidRPr="007B5BE6">
        <w:rPr>
          <w:noProof/>
        </w:rPr>
        <w:drawing>
          <wp:inline distT="0" distB="0" distL="0" distR="0" wp14:anchorId="030395E1" wp14:editId="1B5470B6">
            <wp:extent cx="4572000" cy="2743200"/>
            <wp:effectExtent l="0" t="0" r="0" b="0"/>
            <wp:docPr id="1500816552" name="Chart 1">
              <a:extLst xmlns:a="http://schemas.openxmlformats.org/drawingml/2006/main">
                <a:ext uri="{FF2B5EF4-FFF2-40B4-BE49-F238E27FC236}">
                  <a16:creationId xmlns:a16="http://schemas.microsoft.com/office/drawing/2014/main" id="{54BF3DF5-122D-0E11-47B3-BA7CE7A84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E30105D" w14:textId="5C181923" w:rsidR="006107EC" w:rsidRPr="007B5BE6" w:rsidRDefault="00FE73CF" w:rsidP="006107EC">
      <w:pPr>
        <w:pStyle w:val="NormalNumberedTextTLRI"/>
      </w:pPr>
      <w:r w:rsidRPr="007B5BE6">
        <w:t xml:space="preserve">Figure 2.7 shows the </w:t>
      </w:r>
      <w:r w:rsidR="006107EC" w:rsidRPr="007B5BE6">
        <w:rPr>
          <w:b/>
          <w:bCs/>
          <w:u w:val="single"/>
        </w:rPr>
        <w:t>risk factor</w:t>
      </w:r>
      <w:r w:rsidR="000E175B" w:rsidRPr="007B5BE6">
        <w:rPr>
          <w:b/>
          <w:bCs/>
          <w:u w:val="single"/>
        </w:rPr>
        <w:t>s</w:t>
      </w:r>
      <w:r w:rsidR="006107EC" w:rsidRPr="007B5BE6">
        <w:t xml:space="preserve"> </w:t>
      </w:r>
      <w:r w:rsidR="000E175B" w:rsidRPr="007B5BE6">
        <w:t xml:space="preserve">identified </w:t>
      </w:r>
      <w:r w:rsidR="005A0008" w:rsidRPr="007B5BE6">
        <w:t xml:space="preserve">by the 355 callers to the Helpline. </w:t>
      </w:r>
      <w:r w:rsidR="000E175B" w:rsidRPr="007B5BE6">
        <w:t xml:space="preserve">The most common factor </w:t>
      </w:r>
      <w:r w:rsidR="006107EC" w:rsidRPr="007B5BE6">
        <w:t xml:space="preserve">was ‘family conflict’, identified in almost three in </w:t>
      </w:r>
      <w:r w:rsidR="006C7B18" w:rsidRPr="007B5BE6">
        <w:t xml:space="preserve">10 </w:t>
      </w:r>
      <w:r w:rsidR="006107EC" w:rsidRPr="007B5BE6">
        <w:t>calls</w:t>
      </w:r>
      <w:r w:rsidR="00167EFC" w:rsidRPr="007B5BE6">
        <w:t xml:space="preserve"> (29.85%)</w:t>
      </w:r>
      <w:r w:rsidR="006107EC" w:rsidRPr="007B5BE6">
        <w:t xml:space="preserve">. </w:t>
      </w:r>
      <w:r w:rsidR="00D7529E" w:rsidRPr="007B5BE6">
        <w:t xml:space="preserve">The other </w:t>
      </w:r>
      <w:r w:rsidR="006107EC" w:rsidRPr="007B5BE6">
        <w:t xml:space="preserve">common factors were ‘financial stress’ (13.87%) and ‘isolation’ (13.98%). Other identified risk factors featured in less than 2% of cases. </w:t>
      </w:r>
    </w:p>
    <w:p w14:paraId="4D52DF13" w14:textId="77777777" w:rsidR="008D28CF" w:rsidRPr="007B5BE6" w:rsidRDefault="008D28CF">
      <w:pPr>
        <w:spacing w:after="200" w:line="276" w:lineRule="auto"/>
        <w:jc w:val="left"/>
        <w:rPr>
          <w:b/>
          <w:bCs/>
        </w:rPr>
      </w:pPr>
      <w:r w:rsidRPr="007B5BE6">
        <w:rPr>
          <w:b/>
          <w:bCs/>
        </w:rPr>
        <w:br w:type="page"/>
      </w:r>
    </w:p>
    <w:p w14:paraId="74F0A17D" w14:textId="02533632" w:rsidR="006107EC" w:rsidRPr="007B5BE6" w:rsidRDefault="006107EC" w:rsidP="00253B6D">
      <w:pPr>
        <w:spacing w:before="240" w:after="240"/>
        <w:rPr>
          <w:b/>
          <w:bCs/>
        </w:rPr>
      </w:pPr>
      <w:r w:rsidRPr="007B5BE6">
        <w:rPr>
          <w:b/>
          <w:bCs/>
        </w:rPr>
        <w:lastRenderedPageBreak/>
        <w:t xml:space="preserve">Figure </w:t>
      </w:r>
      <w:r w:rsidR="00A13491" w:rsidRPr="007B5BE6">
        <w:rPr>
          <w:b/>
          <w:bCs/>
        </w:rPr>
        <w:t>2.7:</w:t>
      </w:r>
      <w:r w:rsidRPr="007B5BE6">
        <w:rPr>
          <w:b/>
          <w:bCs/>
        </w:rPr>
        <w:t xml:space="preserve"> Helpline </w:t>
      </w:r>
      <w:r w:rsidR="00C50F58" w:rsidRPr="007B5BE6">
        <w:rPr>
          <w:b/>
          <w:bCs/>
        </w:rPr>
        <w:t>c</w:t>
      </w:r>
      <w:r w:rsidRPr="007B5BE6">
        <w:rPr>
          <w:b/>
          <w:bCs/>
        </w:rPr>
        <w:t xml:space="preserve">alls, </w:t>
      </w:r>
      <w:r w:rsidR="00B631FC" w:rsidRPr="007B5BE6">
        <w:rPr>
          <w:b/>
          <w:bCs/>
        </w:rPr>
        <w:t xml:space="preserve">1 July 2022–30 June 2023 </w:t>
      </w:r>
      <w:r w:rsidRPr="007B5BE6">
        <w:rPr>
          <w:b/>
          <w:bCs/>
        </w:rPr>
        <w:t>(risk factors</w:t>
      </w:r>
      <w:r w:rsidR="00BE6CD0" w:rsidRPr="007B5BE6">
        <w:rPr>
          <w:b/>
          <w:bCs/>
        </w:rPr>
        <w:t>—</w:t>
      </w:r>
      <w:r w:rsidRPr="007B5BE6">
        <w:rPr>
          <w:b/>
          <w:bCs/>
        </w:rPr>
        <w:t>not mutually exclusive</w:t>
      </w:r>
      <w:r w:rsidR="00BE6CD0" w:rsidRPr="007B5BE6">
        <w:rPr>
          <w:b/>
          <w:bCs/>
        </w:rPr>
        <w:t>, %</w:t>
      </w:r>
      <w:r w:rsidRPr="007B5BE6">
        <w:rPr>
          <w:b/>
          <w:bCs/>
        </w:rPr>
        <w:t>)</w:t>
      </w:r>
    </w:p>
    <w:p w14:paraId="4E703338" w14:textId="053E6A83" w:rsidR="006107EC" w:rsidRPr="007B5BE6" w:rsidRDefault="00AE1028" w:rsidP="00AE1028">
      <w:pPr>
        <w:jc w:val="center"/>
      </w:pPr>
      <w:r w:rsidRPr="007B5BE6">
        <w:rPr>
          <w:noProof/>
        </w:rPr>
        <w:drawing>
          <wp:inline distT="0" distB="0" distL="0" distR="0" wp14:anchorId="4688E8AC" wp14:editId="3E556CA5">
            <wp:extent cx="5731510" cy="3354705"/>
            <wp:effectExtent l="0" t="0" r="2540" b="0"/>
            <wp:docPr id="587342018" name="Chart 1">
              <a:extLst xmlns:a="http://schemas.openxmlformats.org/drawingml/2006/main">
                <a:ext uri="{FF2B5EF4-FFF2-40B4-BE49-F238E27FC236}">
                  <a16:creationId xmlns:a16="http://schemas.microsoft.com/office/drawing/2014/main" id="{29664C5A-4D9F-AEF3-73A9-D4F13CDA6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3618D7A" w14:textId="2FDA109C" w:rsidR="0039195D" w:rsidRPr="007B5BE6" w:rsidRDefault="00D96F2F" w:rsidP="00737386">
      <w:pPr>
        <w:pStyle w:val="NormalNumberedTextTLRI"/>
      </w:pPr>
      <w:r w:rsidRPr="007B5BE6">
        <w:t>Providing insights into who seeks help for concerns of abuse of an older Tasmanian,</w:t>
      </w:r>
      <w:r w:rsidR="00971D0A" w:rsidRPr="007B5BE6">
        <w:t xml:space="preserve"> </w:t>
      </w:r>
      <w:r w:rsidR="0039195D" w:rsidRPr="007B5BE6">
        <w:t xml:space="preserve">Figure </w:t>
      </w:r>
      <w:r w:rsidR="00A13491" w:rsidRPr="007B5BE6">
        <w:t>2.8</w:t>
      </w:r>
      <w:r w:rsidR="0039195D" w:rsidRPr="007B5BE6">
        <w:t xml:space="preserve"> shows the </w:t>
      </w:r>
      <w:r w:rsidR="0039195D" w:rsidRPr="007B5BE6">
        <w:rPr>
          <w:b/>
          <w:bCs/>
          <w:u w:val="single"/>
        </w:rPr>
        <w:t>callers to the Helpline</w:t>
      </w:r>
      <w:r w:rsidR="0039195D" w:rsidRPr="007B5BE6">
        <w:t xml:space="preserve"> for the</w:t>
      </w:r>
      <w:r w:rsidR="003835E4" w:rsidRPr="007B5BE6">
        <w:t xml:space="preserve"> </w:t>
      </w:r>
      <w:r w:rsidR="0039195D" w:rsidRPr="007B5BE6">
        <w:t>355 calls</w:t>
      </w:r>
      <w:r w:rsidR="003835E4" w:rsidRPr="007B5BE6">
        <w:t xml:space="preserve"> in the relevant period.</w:t>
      </w:r>
      <w:r w:rsidR="0039195D" w:rsidRPr="007B5BE6">
        <w:t xml:space="preserve"> The most common caller was a family member (40.71%), followed by the ‘alleged victim’ (the older person) (30.38%). Callers contacting the Helpline in a professional capacity made up 14.15% of callers, including service providers (10.32%) and medical professionals (3.83%). </w:t>
      </w:r>
    </w:p>
    <w:p w14:paraId="407D6127" w14:textId="3CF7B21E" w:rsidR="0039195D" w:rsidRPr="007B5BE6" w:rsidRDefault="0039195D" w:rsidP="00253B6D">
      <w:pPr>
        <w:spacing w:before="240" w:after="240"/>
        <w:rPr>
          <w:b/>
          <w:bCs/>
        </w:rPr>
      </w:pPr>
      <w:r w:rsidRPr="007B5BE6">
        <w:rPr>
          <w:b/>
          <w:bCs/>
        </w:rPr>
        <w:t xml:space="preserve">Figure </w:t>
      </w:r>
      <w:r w:rsidR="00A13491" w:rsidRPr="007B5BE6">
        <w:rPr>
          <w:b/>
          <w:bCs/>
        </w:rPr>
        <w:t>2.8:</w:t>
      </w:r>
      <w:r w:rsidRPr="007B5BE6">
        <w:rPr>
          <w:b/>
          <w:bCs/>
        </w:rPr>
        <w:t xml:space="preserve"> Helpline </w:t>
      </w:r>
      <w:r w:rsidR="00C50F58" w:rsidRPr="007B5BE6">
        <w:rPr>
          <w:b/>
          <w:bCs/>
        </w:rPr>
        <w:t>c</w:t>
      </w:r>
      <w:r w:rsidRPr="007B5BE6">
        <w:rPr>
          <w:b/>
          <w:bCs/>
        </w:rPr>
        <w:t xml:space="preserve">alls, </w:t>
      </w:r>
      <w:r w:rsidR="007A1487" w:rsidRPr="007B5BE6">
        <w:rPr>
          <w:b/>
          <w:bCs/>
        </w:rPr>
        <w:t xml:space="preserve">1 July 2022–30 June 2023 </w:t>
      </w:r>
      <w:r w:rsidRPr="007B5BE6">
        <w:rPr>
          <w:b/>
          <w:bCs/>
        </w:rPr>
        <w:t>(caller type</w:t>
      </w:r>
      <w:r w:rsidR="00BE6CD0" w:rsidRPr="007B5BE6">
        <w:rPr>
          <w:b/>
          <w:bCs/>
        </w:rPr>
        <w:t>, %</w:t>
      </w:r>
      <w:r w:rsidRPr="007B5BE6">
        <w:rPr>
          <w:b/>
          <w:bCs/>
        </w:rPr>
        <w:t>)</w:t>
      </w:r>
    </w:p>
    <w:p w14:paraId="2504FB39" w14:textId="77777777" w:rsidR="0039195D" w:rsidRPr="007B5BE6" w:rsidRDefault="0039195D" w:rsidP="002E175C">
      <w:r w:rsidRPr="007B5BE6">
        <w:rPr>
          <w:noProof/>
        </w:rPr>
        <w:drawing>
          <wp:inline distT="0" distB="0" distL="0" distR="0" wp14:anchorId="1E7C1BA0" wp14:editId="4055B35B">
            <wp:extent cx="5000625" cy="2895600"/>
            <wp:effectExtent l="0" t="0" r="0" b="0"/>
            <wp:docPr id="1233370430" name="Chart 1">
              <a:extLst xmlns:a="http://schemas.openxmlformats.org/drawingml/2006/main">
                <a:ext uri="{FF2B5EF4-FFF2-40B4-BE49-F238E27FC236}">
                  <a16:creationId xmlns:a16="http://schemas.microsoft.com/office/drawing/2014/main" id="{7F45E734-AF97-7045-EEDD-3A28CE2AD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4FE309" w14:textId="77777777" w:rsidR="008D28CF" w:rsidRPr="007B5BE6" w:rsidRDefault="008D28CF">
      <w:pPr>
        <w:spacing w:after="200" w:line="276" w:lineRule="auto"/>
        <w:jc w:val="left"/>
        <w:rPr>
          <w:rFonts w:eastAsia="Times" w:cs="Times New Roman"/>
          <w:szCs w:val="20"/>
        </w:rPr>
      </w:pPr>
      <w:r w:rsidRPr="007B5BE6">
        <w:br w:type="page"/>
      </w:r>
    </w:p>
    <w:p w14:paraId="4B267C51" w14:textId="160015C5" w:rsidR="0039195D" w:rsidRPr="007B5BE6" w:rsidRDefault="0039195D" w:rsidP="0039195D">
      <w:pPr>
        <w:pStyle w:val="NormalNumberedTextTLRI"/>
      </w:pPr>
      <w:r w:rsidRPr="007B5BE6">
        <w:lastRenderedPageBreak/>
        <w:t xml:space="preserve">The </w:t>
      </w:r>
      <w:r w:rsidRPr="007B5BE6">
        <w:rPr>
          <w:b/>
          <w:bCs/>
          <w:u w:val="single"/>
        </w:rPr>
        <w:t>regional breakdown</w:t>
      </w:r>
      <w:r w:rsidRPr="007B5BE6">
        <w:t xml:space="preserve"> of callers </w:t>
      </w:r>
      <w:r w:rsidR="003567CB" w:rsidRPr="007B5BE6">
        <w:t xml:space="preserve">(reflecting the </w:t>
      </w:r>
      <w:r w:rsidR="00077253" w:rsidRPr="007B5BE6">
        <w:t>general distribution</w:t>
      </w:r>
      <w:r w:rsidR="001735D0" w:rsidRPr="007B5BE6">
        <w:t xml:space="preserve"> of the Tasmanian population</w:t>
      </w:r>
      <w:r w:rsidR="00077253" w:rsidRPr="007B5BE6">
        <w:t>)</w:t>
      </w:r>
      <w:r w:rsidR="00077253" w:rsidRPr="007B5BE6">
        <w:rPr>
          <w:rStyle w:val="FootnoteReference"/>
        </w:rPr>
        <w:footnoteReference w:id="148"/>
      </w:r>
      <w:r w:rsidR="00077253" w:rsidRPr="007B5BE6">
        <w:t xml:space="preserve"> </w:t>
      </w:r>
      <w:r w:rsidRPr="007B5BE6">
        <w:t xml:space="preserve">showed that Hobart was the most common region for callers to the Helpline, with more than </w:t>
      </w:r>
      <w:r w:rsidR="001735D0" w:rsidRPr="007B5BE6">
        <w:t xml:space="preserve">four </w:t>
      </w:r>
      <w:r w:rsidRPr="007B5BE6">
        <w:t xml:space="preserve">out of </w:t>
      </w:r>
      <w:r w:rsidR="006C7B18" w:rsidRPr="007B5BE6">
        <w:t>10</w:t>
      </w:r>
      <w:r w:rsidRPr="007B5BE6">
        <w:t xml:space="preserve"> callers from that area (44.73%). Three out of </w:t>
      </w:r>
      <w:r w:rsidR="006C7B18" w:rsidRPr="007B5BE6">
        <w:t>10</w:t>
      </w:r>
      <w:r w:rsidRPr="007B5BE6">
        <w:t xml:space="preserve"> callers were from the Launceston and Northeast region (29.34%</w:t>
      </w:r>
      <w:proofErr w:type="gramStart"/>
      <w:r w:rsidRPr="007B5BE6">
        <w:t>)</w:t>
      </w:r>
      <w:proofErr w:type="gramEnd"/>
      <w:r w:rsidRPr="007B5BE6">
        <w:t xml:space="preserve"> and two out </w:t>
      </w:r>
      <w:r w:rsidR="009C5BE8" w:rsidRPr="007B5BE6">
        <w:t xml:space="preserve">of </w:t>
      </w:r>
      <w:r w:rsidR="004A139B" w:rsidRPr="007B5BE6">
        <w:t xml:space="preserve">10 </w:t>
      </w:r>
      <w:r w:rsidR="00EF7BC7" w:rsidRPr="007B5BE6">
        <w:t xml:space="preserve">callers were </w:t>
      </w:r>
      <w:r w:rsidRPr="007B5BE6">
        <w:t xml:space="preserve">from the West and Northwest (22.51%). Only 3.42% were from the Southeast region. </w:t>
      </w:r>
    </w:p>
    <w:p w14:paraId="1670E59B" w14:textId="31393A75" w:rsidR="00DB3C54" w:rsidRPr="007B5BE6" w:rsidRDefault="005D2D9C" w:rsidP="00DB3C54">
      <w:pPr>
        <w:pStyle w:val="NormalNumberedTextTLRI"/>
      </w:pPr>
      <w:r w:rsidRPr="007B5BE6">
        <w:t>Providing further insights into help</w:t>
      </w:r>
      <w:r w:rsidR="00D76813" w:rsidRPr="007B5BE6">
        <w:t>-</w:t>
      </w:r>
      <w:r w:rsidRPr="007B5BE6">
        <w:t xml:space="preserve">seeking regarding abuse of older Tasmanians, </w:t>
      </w:r>
      <w:r w:rsidR="00DB3C54" w:rsidRPr="007B5BE6">
        <w:t xml:space="preserve">Table </w:t>
      </w:r>
      <w:r w:rsidR="00A13491" w:rsidRPr="007B5BE6">
        <w:t>2.3</w:t>
      </w:r>
      <w:r w:rsidR="00DB3C54" w:rsidRPr="007B5BE6">
        <w:t xml:space="preserve"> shows key statistics on the Helpline</w:t>
      </w:r>
      <w:r w:rsidR="006F64AA" w:rsidRPr="007B5BE6">
        <w:t>,</w:t>
      </w:r>
      <w:r w:rsidR="00DB3C54" w:rsidRPr="007B5BE6">
        <w:t xml:space="preserve"> over </w:t>
      </w:r>
      <w:r w:rsidR="006F64AA" w:rsidRPr="007B5BE6">
        <w:t xml:space="preserve">a longer </w:t>
      </w:r>
      <w:r w:rsidR="000B6C7D" w:rsidRPr="007B5BE6">
        <w:t>(</w:t>
      </w:r>
      <w:r w:rsidR="00FF32F9" w:rsidRPr="007B5BE6">
        <w:t>four-year</w:t>
      </w:r>
      <w:r w:rsidR="000B6C7D" w:rsidRPr="007B5BE6">
        <w:t>)</w:t>
      </w:r>
      <w:r w:rsidR="00FF32F9" w:rsidRPr="007B5BE6">
        <w:t xml:space="preserve"> </w:t>
      </w:r>
      <w:r w:rsidR="00110B37" w:rsidRPr="007B5BE6">
        <w:t>period</w:t>
      </w:r>
      <w:r w:rsidR="006F64AA" w:rsidRPr="007B5BE6">
        <w:t xml:space="preserve">, that are </w:t>
      </w:r>
      <w:r w:rsidRPr="007B5BE6">
        <w:t xml:space="preserve">published in Advocacy Tasmania’s annual reports. </w:t>
      </w:r>
      <w:r w:rsidR="00DB3C54" w:rsidRPr="007B5BE6">
        <w:t xml:space="preserve">It shows </w:t>
      </w:r>
      <w:r w:rsidR="00625B3C" w:rsidRPr="007B5BE6">
        <w:t>fluctuations over time</w:t>
      </w:r>
      <w:r w:rsidR="00FC39E0" w:rsidRPr="007B5BE6">
        <w:t>,</w:t>
      </w:r>
      <w:r w:rsidR="00625B3C" w:rsidRPr="007B5BE6">
        <w:t xml:space="preserve"> </w:t>
      </w:r>
      <w:r w:rsidR="00FC39E0" w:rsidRPr="007B5BE6">
        <w:t>with over 600 cases</w:t>
      </w:r>
      <w:r w:rsidR="00FC39E0" w:rsidRPr="007B5BE6" w:rsidDel="00FC39E0">
        <w:t xml:space="preserve"> </w:t>
      </w:r>
      <w:r w:rsidR="003F6357" w:rsidRPr="007B5BE6">
        <w:t xml:space="preserve">in 2020–21. </w:t>
      </w:r>
      <w:r w:rsidR="004D26C4" w:rsidRPr="007B5BE6">
        <w:t>In</w:t>
      </w:r>
      <w:r w:rsidR="00DB3C54" w:rsidRPr="007B5BE6">
        <w:t xml:space="preserve"> the following year</w:t>
      </w:r>
      <w:r w:rsidR="00FC39E0" w:rsidRPr="007B5BE6">
        <w:t xml:space="preserve"> (</w:t>
      </w:r>
      <w:r w:rsidR="00C16201" w:rsidRPr="007B5BE6">
        <w:t>2021–22)</w:t>
      </w:r>
      <w:r w:rsidR="004D26C4" w:rsidRPr="007B5BE6">
        <w:t>,</w:t>
      </w:r>
      <w:r w:rsidR="00DB3C54" w:rsidRPr="007B5BE6">
        <w:t xml:space="preserve"> </w:t>
      </w:r>
      <w:r w:rsidRPr="007B5BE6">
        <w:t xml:space="preserve">this </w:t>
      </w:r>
      <w:r w:rsidR="00DB3C54" w:rsidRPr="007B5BE6">
        <w:t>decreased to 400</w:t>
      </w:r>
      <w:r w:rsidR="00616572" w:rsidRPr="007B5BE6">
        <w:t xml:space="preserve">, </w:t>
      </w:r>
      <w:r w:rsidR="00C16201" w:rsidRPr="007B5BE6">
        <w:t>followed by</w:t>
      </w:r>
      <w:r w:rsidR="00805E71" w:rsidRPr="007B5BE6">
        <w:t xml:space="preserve"> </w:t>
      </w:r>
      <w:r w:rsidR="009F0609" w:rsidRPr="007B5BE6">
        <w:t>355 ca</w:t>
      </w:r>
      <w:r w:rsidR="00805E71" w:rsidRPr="007B5BE6">
        <w:t>ses</w:t>
      </w:r>
      <w:r w:rsidR="00110B37" w:rsidRPr="007B5BE6">
        <w:t xml:space="preserve"> in 2022–23 </w:t>
      </w:r>
      <w:r w:rsidR="004D26C4" w:rsidRPr="007B5BE6">
        <w:t>(</w:t>
      </w:r>
      <w:r w:rsidR="003A3420" w:rsidRPr="007B5BE6">
        <w:t xml:space="preserve">the 355 calls </w:t>
      </w:r>
      <w:r w:rsidR="004D26C4" w:rsidRPr="007B5BE6">
        <w:t>reported on</w:t>
      </w:r>
      <w:r w:rsidR="006A7D27" w:rsidRPr="007B5BE6">
        <w:t xml:space="preserve"> </w:t>
      </w:r>
      <w:r w:rsidR="003A3420" w:rsidRPr="007B5BE6">
        <w:t>above</w:t>
      </w:r>
      <w:r w:rsidR="004D26C4" w:rsidRPr="007B5BE6">
        <w:t>)</w:t>
      </w:r>
      <w:r w:rsidR="00C16201" w:rsidRPr="007B5BE6">
        <w:t>,</w:t>
      </w:r>
      <w:r w:rsidR="004D26C4" w:rsidRPr="007B5BE6">
        <w:t xml:space="preserve"> </w:t>
      </w:r>
      <w:r w:rsidR="009F0609" w:rsidRPr="007B5BE6">
        <w:t xml:space="preserve">and 492 </w:t>
      </w:r>
      <w:r w:rsidR="003A3420" w:rsidRPr="007B5BE6">
        <w:t xml:space="preserve">cases </w:t>
      </w:r>
      <w:r w:rsidR="009F0609" w:rsidRPr="007B5BE6">
        <w:t>in 2023–24</w:t>
      </w:r>
      <w:r w:rsidR="00DB3C54" w:rsidRPr="007B5BE6">
        <w:t>.</w:t>
      </w:r>
      <w:r w:rsidR="00616572" w:rsidRPr="007B5BE6">
        <w:t xml:space="preserve"> </w:t>
      </w:r>
      <w:r w:rsidR="00F61BF3" w:rsidRPr="007B5BE6">
        <w:t xml:space="preserve">The </w:t>
      </w:r>
      <w:r w:rsidR="003423FB" w:rsidRPr="007B5BE6">
        <w:t>level of service</w:t>
      </w:r>
      <w:r w:rsidR="005E6C89" w:rsidRPr="007B5BE6">
        <w:t xml:space="preserve"> </w:t>
      </w:r>
      <w:r w:rsidR="003423FB" w:rsidRPr="007B5BE6">
        <w:t xml:space="preserve">provided by </w:t>
      </w:r>
      <w:r w:rsidR="00616572" w:rsidRPr="007B5BE6">
        <w:t xml:space="preserve">Advocacy Tasmania for </w:t>
      </w:r>
      <w:r w:rsidR="007F3925" w:rsidRPr="007B5BE6">
        <w:t>‘</w:t>
      </w:r>
      <w:r w:rsidR="00616572" w:rsidRPr="007B5BE6">
        <w:t>Elder Abuse Helpline and Advocacy</w:t>
      </w:r>
      <w:r w:rsidR="007F3925" w:rsidRPr="007B5BE6">
        <w:t>’</w:t>
      </w:r>
      <w:r w:rsidR="00616572" w:rsidRPr="007B5BE6">
        <w:t xml:space="preserve"> </w:t>
      </w:r>
      <w:r w:rsidR="00F61BF3" w:rsidRPr="007B5BE6">
        <w:t>in 2023–24 (n</w:t>
      </w:r>
      <w:r w:rsidR="00653102" w:rsidRPr="007B5BE6">
        <w:t xml:space="preserve">=492) </w:t>
      </w:r>
      <w:r w:rsidR="000F64EF" w:rsidRPr="007B5BE6">
        <w:t xml:space="preserve">was </w:t>
      </w:r>
      <w:proofErr w:type="gramStart"/>
      <w:r w:rsidR="000F64EF" w:rsidRPr="007B5BE6">
        <w:t xml:space="preserve">similar </w:t>
      </w:r>
      <w:r w:rsidR="00616572" w:rsidRPr="007B5BE6">
        <w:t>to</w:t>
      </w:r>
      <w:proofErr w:type="gramEnd"/>
      <w:r w:rsidR="00616572" w:rsidRPr="007B5BE6">
        <w:t xml:space="preserve"> </w:t>
      </w:r>
      <w:r w:rsidR="001D2C0A" w:rsidRPr="007B5BE6">
        <w:t xml:space="preserve">that </w:t>
      </w:r>
      <w:r w:rsidR="00D45B79" w:rsidRPr="007B5BE6">
        <w:t xml:space="preserve">reported </w:t>
      </w:r>
      <w:r w:rsidR="001D2C0A" w:rsidRPr="007B5BE6">
        <w:t xml:space="preserve">for </w:t>
      </w:r>
      <w:r w:rsidR="00616572" w:rsidRPr="007B5BE6">
        <w:t xml:space="preserve">its other services, including </w:t>
      </w:r>
      <w:r w:rsidR="00E845F5" w:rsidRPr="007B5BE6">
        <w:t>‘Di</w:t>
      </w:r>
      <w:r w:rsidR="00616572" w:rsidRPr="007B5BE6">
        <w:t xml:space="preserve">sability </w:t>
      </w:r>
      <w:r w:rsidR="00E845F5" w:rsidRPr="007B5BE6">
        <w:t>A</w:t>
      </w:r>
      <w:r w:rsidR="00616572" w:rsidRPr="007B5BE6">
        <w:t>dvocacy</w:t>
      </w:r>
      <w:r w:rsidR="00E845F5" w:rsidRPr="007B5BE6">
        <w:t>’</w:t>
      </w:r>
      <w:r w:rsidR="00616572" w:rsidRPr="007B5BE6">
        <w:t xml:space="preserve"> and </w:t>
      </w:r>
      <w:r w:rsidR="00E845F5" w:rsidRPr="007B5BE6">
        <w:t>‘M</w:t>
      </w:r>
      <w:r w:rsidR="00616572" w:rsidRPr="007B5BE6">
        <w:t xml:space="preserve">ental </w:t>
      </w:r>
      <w:r w:rsidR="00E845F5" w:rsidRPr="007B5BE6">
        <w:t>H</w:t>
      </w:r>
      <w:r w:rsidR="00616572" w:rsidRPr="007B5BE6">
        <w:t xml:space="preserve">ealth, </w:t>
      </w:r>
      <w:r w:rsidR="00E845F5" w:rsidRPr="007B5BE6">
        <w:t>A</w:t>
      </w:r>
      <w:r w:rsidR="00616572" w:rsidRPr="007B5BE6">
        <w:t xml:space="preserve">lcohol and </w:t>
      </w:r>
      <w:r w:rsidR="00E845F5" w:rsidRPr="007B5BE6">
        <w:t>O</w:t>
      </w:r>
      <w:r w:rsidR="00616572" w:rsidRPr="007B5BE6">
        <w:t xml:space="preserve">ther </w:t>
      </w:r>
      <w:r w:rsidR="00E845F5" w:rsidRPr="007B5BE6">
        <w:t>D</w:t>
      </w:r>
      <w:r w:rsidR="00616572" w:rsidRPr="007B5BE6">
        <w:t xml:space="preserve">rugs </w:t>
      </w:r>
      <w:r w:rsidR="00E845F5" w:rsidRPr="007B5BE6">
        <w:t>A</w:t>
      </w:r>
      <w:r w:rsidR="00616572" w:rsidRPr="007B5BE6">
        <w:t>dvocacy</w:t>
      </w:r>
      <w:r w:rsidR="00E845F5" w:rsidRPr="007B5BE6">
        <w:t>’</w:t>
      </w:r>
      <w:r w:rsidR="00616572" w:rsidRPr="007B5BE6">
        <w:t>.</w:t>
      </w:r>
      <w:r w:rsidR="005246C2" w:rsidRPr="007B5BE6">
        <w:rPr>
          <w:rStyle w:val="FootnoteReference"/>
        </w:rPr>
        <w:footnoteReference w:id="149"/>
      </w:r>
    </w:p>
    <w:p w14:paraId="0425271B" w14:textId="38B68723" w:rsidR="00DB3C54" w:rsidRPr="007B5BE6" w:rsidRDefault="00DB3C54" w:rsidP="00BB7987">
      <w:pPr>
        <w:spacing w:before="240" w:after="240"/>
        <w:rPr>
          <w:b/>
          <w:bCs/>
        </w:rPr>
      </w:pPr>
      <w:r w:rsidRPr="007B5BE6">
        <w:rPr>
          <w:b/>
          <w:bCs/>
        </w:rPr>
        <w:t xml:space="preserve">Table </w:t>
      </w:r>
      <w:r w:rsidR="00A13491" w:rsidRPr="007B5BE6">
        <w:rPr>
          <w:b/>
          <w:bCs/>
        </w:rPr>
        <w:t>2.3:</w:t>
      </w:r>
      <w:r w:rsidRPr="007B5BE6">
        <w:rPr>
          <w:b/>
          <w:bCs/>
        </w:rPr>
        <w:t xml:space="preserve"> Advocacy Tasmania</w:t>
      </w:r>
      <w:r w:rsidR="00FE63BD" w:rsidRPr="007B5BE6">
        <w:rPr>
          <w:b/>
          <w:bCs/>
        </w:rPr>
        <w:t xml:space="preserve">: ‘Key </w:t>
      </w:r>
      <w:r w:rsidR="00FF32F9" w:rsidRPr="007B5BE6">
        <w:rPr>
          <w:b/>
          <w:bCs/>
        </w:rPr>
        <w:t>Statistics’ on Elder Abuse</w:t>
      </w:r>
      <w:r w:rsidRPr="007B5BE6">
        <w:rPr>
          <w:b/>
          <w:bCs/>
        </w:rPr>
        <w:t xml:space="preserve"> Helpline</w:t>
      </w:r>
      <w:r w:rsidR="00FF32F9" w:rsidRPr="007B5BE6">
        <w:rPr>
          <w:b/>
          <w:bCs/>
        </w:rPr>
        <w:t xml:space="preserve"> </w:t>
      </w:r>
      <w:r w:rsidR="00A6074A" w:rsidRPr="007B5BE6">
        <w:rPr>
          <w:b/>
          <w:bCs/>
        </w:rPr>
        <w:t>over 4 years</w:t>
      </w:r>
      <w:r w:rsidR="00AC4220" w:rsidRPr="007B5BE6">
        <w:rPr>
          <w:b/>
          <w:bCs/>
        </w:rPr>
        <w:t xml:space="preserve">, </w:t>
      </w:r>
      <w:r w:rsidRPr="007B5BE6">
        <w:rPr>
          <w:b/>
          <w:bCs/>
        </w:rPr>
        <w:t>2020–21 to 2023–24</w:t>
      </w:r>
      <w:r w:rsidR="005246C2" w:rsidRPr="007B5BE6">
        <w:rPr>
          <w:rStyle w:val="FootnoteReference"/>
          <w:b/>
          <w:bCs/>
        </w:rPr>
        <w:footnoteReference w:id="150"/>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513"/>
        <w:gridCol w:w="4513"/>
      </w:tblGrid>
      <w:tr w:rsidR="00DB3C54" w:rsidRPr="007B5BE6" w14:paraId="24B5A409" w14:textId="77777777" w:rsidTr="00B7536C">
        <w:tc>
          <w:tcPr>
            <w:tcW w:w="2500" w:type="pct"/>
            <w:tcBorders>
              <w:top w:val="single" w:sz="8" w:space="0" w:color="auto"/>
              <w:bottom w:val="single" w:sz="8" w:space="0" w:color="auto"/>
            </w:tcBorders>
            <w:shd w:val="clear" w:color="auto" w:fill="FFFFFF" w:themeFill="background1"/>
          </w:tcPr>
          <w:p w14:paraId="2059E857" w14:textId="77777777" w:rsidR="00DB3C54" w:rsidRPr="007B5BE6" w:rsidRDefault="00DB3C54" w:rsidP="00E37E26">
            <w:pPr>
              <w:rPr>
                <w:b/>
                <w:bCs/>
                <w:sz w:val="20"/>
                <w:szCs w:val="20"/>
              </w:rPr>
            </w:pPr>
            <w:r w:rsidRPr="007B5BE6">
              <w:rPr>
                <w:b/>
                <w:bCs/>
                <w:sz w:val="20"/>
                <w:szCs w:val="20"/>
              </w:rPr>
              <w:t xml:space="preserve">Reporting period </w:t>
            </w:r>
          </w:p>
        </w:tc>
        <w:tc>
          <w:tcPr>
            <w:tcW w:w="2500" w:type="pct"/>
            <w:tcBorders>
              <w:top w:val="single" w:sz="8" w:space="0" w:color="auto"/>
              <w:bottom w:val="single" w:sz="8" w:space="0" w:color="auto"/>
            </w:tcBorders>
            <w:shd w:val="clear" w:color="auto" w:fill="FFFFFF" w:themeFill="background1"/>
          </w:tcPr>
          <w:p w14:paraId="3433078E" w14:textId="77777777" w:rsidR="00DB3C54" w:rsidRPr="007B5BE6" w:rsidRDefault="00DB3C54" w:rsidP="00E37E26">
            <w:pPr>
              <w:rPr>
                <w:b/>
                <w:bCs/>
                <w:sz w:val="20"/>
                <w:szCs w:val="20"/>
              </w:rPr>
            </w:pPr>
            <w:r w:rsidRPr="007B5BE6">
              <w:rPr>
                <w:b/>
                <w:bCs/>
                <w:sz w:val="20"/>
                <w:szCs w:val="20"/>
              </w:rPr>
              <w:t>Number of cases</w:t>
            </w:r>
          </w:p>
        </w:tc>
      </w:tr>
      <w:tr w:rsidR="00DB3C54" w:rsidRPr="007B5BE6" w14:paraId="44E2AB05" w14:textId="77777777" w:rsidTr="00B7536C">
        <w:tc>
          <w:tcPr>
            <w:tcW w:w="2500" w:type="pct"/>
            <w:tcBorders>
              <w:top w:val="single" w:sz="8" w:space="0" w:color="auto"/>
            </w:tcBorders>
          </w:tcPr>
          <w:p w14:paraId="6762B1C0" w14:textId="77777777" w:rsidR="00DB3C54" w:rsidRPr="007B5BE6" w:rsidRDefault="00DB3C54" w:rsidP="00E37E26">
            <w:pPr>
              <w:rPr>
                <w:sz w:val="20"/>
                <w:szCs w:val="20"/>
              </w:rPr>
            </w:pPr>
            <w:r w:rsidRPr="007B5BE6">
              <w:rPr>
                <w:sz w:val="20"/>
                <w:szCs w:val="20"/>
              </w:rPr>
              <w:t xml:space="preserve">2023–24 </w:t>
            </w:r>
          </w:p>
        </w:tc>
        <w:tc>
          <w:tcPr>
            <w:tcW w:w="2500" w:type="pct"/>
            <w:tcBorders>
              <w:top w:val="single" w:sz="8" w:space="0" w:color="auto"/>
            </w:tcBorders>
          </w:tcPr>
          <w:p w14:paraId="504A13B3" w14:textId="50695602" w:rsidR="00DB3C54" w:rsidRPr="007B5BE6" w:rsidRDefault="00DB3C54" w:rsidP="00E37E26">
            <w:pPr>
              <w:rPr>
                <w:sz w:val="20"/>
                <w:szCs w:val="20"/>
              </w:rPr>
            </w:pPr>
            <w:r w:rsidRPr="007B5BE6">
              <w:rPr>
                <w:sz w:val="20"/>
                <w:szCs w:val="20"/>
              </w:rPr>
              <w:t>492</w:t>
            </w:r>
            <w:r w:rsidR="00652782" w:rsidRPr="007B5BE6">
              <w:rPr>
                <w:rStyle w:val="FootnoteReference"/>
                <w:sz w:val="20"/>
                <w:szCs w:val="20"/>
              </w:rPr>
              <w:footnoteReference w:id="151"/>
            </w:r>
          </w:p>
        </w:tc>
      </w:tr>
      <w:tr w:rsidR="00DB3C54" w:rsidRPr="007B5BE6" w14:paraId="75365D97" w14:textId="77777777" w:rsidTr="00E10312">
        <w:tc>
          <w:tcPr>
            <w:tcW w:w="2500" w:type="pct"/>
          </w:tcPr>
          <w:p w14:paraId="46C7B55C" w14:textId="77777777" w:rsidR="00DB3C54" w:rsidRPr="007B5BE6" w:rsidRDefault="00DB3C54" w:rsidP="00E37E26">
            <w:pPr>
              <w:rPr>
                <w:sz w:val="20"/>
                <w:szCs w:val="20"/>
              </w:rPr>
            </w:pPr>
            <w:r w:rsidRPr="007B5BE6">
              <w:rPr>
                <w:sz w:val="20"/>
                <w:szCs w:val="20"/>
              </w:rPr>
              <w:t>2022–23</w:t>
            </w:r>
          </w:p>
        </w:tc>
        <w:tc>
          <w:tcPr>
            <w:tcW w:w="2500" w:type="pct"/>
          </w:tcPr>
          <w:p w14:paraId="76855C64" w14:textId="77777777" w:rsidR="00DB3C54" w:rsidRPr="007B5BE6" w:rsidRDefault="00DB3C54" w:rsidP="00E37E26">
            <w:pPr>
              <w:rPr>
                <w:sz w:val="20"/>
                <w:szCs w:val="20"/>
              </w:rPr>
            </w:pPr>
            <w:r w:rsidRPr="007B5BE6">
              <w:rPr>
                <w:sz w:val="20"/>
                <w:szCs w:val="20"/>
              </w:rPr>
              <w:t>355</w:t>
            </w:r>
          </w:p>
        </w:tc>
      </w:tr>
      <w:tr w:rsidR="00DB3C54" w:rsidRPr="007B5BE6" w14:paraId="36C3126A" w14:textId="77777777" w:rsidTr="00E10312">
        <w:tc>
          <w:tcPr>
            <w:tcW w:w="2500" w:type="pct"/>
          </w:tcPr>
          <w:p w14:paraId="41B14E09" w14:textId="77777777" w:rsidR="00DB3C54" w:rsidRPr="007B5BE6" w:rsidRDefault="00DB3C54" w:rsidP="00E37E26">
            <w:pPr>
              <w:rPr>
                <w:sz w:val="20"/>
                <w:szCs w:val="20"/>
              </w:rPr>
            </w:pPr>
            <w:r w:rsidRPr="007B5BE6">
              <w:rPr>
                <w:sz w:val="20"/>
                <w:szCs w:val="20"/>
              </w:rPr>
              <w:t>2021–22</w:t>
            </w:r>
          </w:p>
        </w:tc>
        <w:tc>
          <w:tcPr>
            <w:tcW w:w="2500" w:type="pct"/>
          </w:tcPr>
          <w:p w14:paraId="4A0B8390" w14:textId="77777777" w:rsidR="00DB3C54" w:rsidRPr="007B5BE6" w:rsidRDefault="00DB3C54" w:rsidP="00E37E26">
            <w:pPr>
              <w:rPr>
                <w:sz w:val="20"/>
                <w:szCs w:val="20"/>
              </w:rPr>
            </w:pPr>
            <w:r w:rsidRPr="007B5BE6">
              <w:rPr>
                <w:sz w:val="20"/>
                <w:szCs w:val="20"/>
              </w:rPr>
              <w:t>400</w:t>
            </w:r>
          </w:p>
        </w:tc>
      </w:tr>
      <w:tr w:rsidR="00DB3C54" w:rsidRPr="007B5BE6" w14:paraId="1EEB4167" w14:textId="77777777" w:rsidTr="00E10312">
        <w:tc>
          <w:tcPr>
            <w:tcW w:w="2500" w:type="pct"/>
          </w:tcPr>
          <w:p w14:paraId="74A643F2" w14:textId="77777777" w:rsidR="00DB3C54" w:rsidRPr="007B5BE6" w:rsidRDefault="00DB3C54" w:rsidP="00E37E26">
            <w:pPr>
              <w:rPr>
                <w:sz w:val="20"/>
                <w:szCs w:val="20"/>
              </w:rPr>
            </w:pPr>
            <w:r w:rsidRPr="007B5BE6">
              <w:rPr>
                <w:sz w:val="20"/>
                <w:szCs w:val="20"/>
              </w:rPr>
              <w:t>2020–21</w:t>
            </w:r>
          </w:p>
        </w:tc>
        <w:tc>
          <w:tcPr>
            <w:tcW w:w="2500" w:type="pct"/>
          </w:tcPr>
          <w:p w14:paraId="29899A25" w14:textId="7AF460E0" w:rsidR="00DB3C54" w:rsidRPr="007B5BE6" w:rsidRDefault="00DB3C54" w:rsidP="00E37E26">
            <w:pPr>
              <w:rPr>
                <w:sz w:val="20"/>
                <w:szCs w:val="20"/>
              </w:rPr>
            </w:pPr>
            <w:r w:rsidRPr="007B5BE6">
              <w:rPr>
                <w:sz w:val="20"/>
                <w:szCs w:val="20"/>
              </w:rPr>
              <w:t>600+</w:t>
            </w:r>
            <w:r w:rsidR="00652782" w:rsidRPr="007B5BE6">
              <w:rPr>
                <w:rStyle w:val="FootnoteReference"/>
                <w:sz w:val="20"/>
                <w:szCs w:val="20"/>
              </w:rPr>
              <w:footnoteReference w:id="152"/>
            </w:r>
          </w:p>
        </w:tc>
      </w:tr>
    </w:tbl>
    <w:p w14:paraId="508DBB50" w14:textId="58DBBDEB" w:rsidR="008B688A" w:rsidRPr="007B5BE6" w:rsidRDefault="000577F5" w:rsidP="007936FC">
      <w:pPr>
        <w:pStyle w:val="Sub-HeadingTLRI"/>
        <w:spacing w:before="360"/>
      </w:pPr>
      <w:bookmarkStart w:id="37" w:name="_Toc212561732"/>
      <w:r w:rsidRPr="007B5BE6">
        <w:t xml:space="preserve">Tasmania Legal Aid’s </w:t>
      </w:r>
      <w:r w:rsidR="008B688A" w:rsidRPr="007B5BE6">
        <w:t xml:space="preserve">Senior Assist </w:t>
      </w:r>
      <w:r w:rsidR="00F60585">
        <w:t>P</w:t>
      </w:r>
      <w:r w:rsidR="008B688A" w:rsidRPr="007B5BE6">
        <w:t>rogram</w:t>
      </w:r>
      <w:r w:rsidRPr="007B5BE6">
        <w:t xml:space="preserve"> (‘Senior Assist’)</w:t>
      </w:r>
      <w:r w:rsidR="008B688A" w:rsidRPr="007B5BE6">
        <w:t xml:space="preserve"> data: 1 July</w:t>
      </w:r>
      <w:r w:rsidR="00CB7527" w:rsidRPr="007B5BE6">
        <w:t xml:space="preserve"> 2023</w:t>
      </w:r>
      <w:r w:rsidR="008B688A" w:rsidRPr="007B5BE6">
        <w:t xml:space="preserve"> to 31 December 2023</w:t>
      </w:r>
      <w:bookmarkEnd w:id="37"/>
      <w:r w:rsidR="008B688A" w:rsidRPr="007B5BE6">
        <w:t xml:space="preserve"> </w:t>
      </w:r>
    </w:p>
    <w:p w14:paraId="229A0EA2" w14:textId="62D5B230" w:rsidR="00BF6E44" w:rsidRPr="007B5BE6" w:rsidRDefault="00BF6E44" w:rsidP="00BF6E44">
      <w:pPr>
        <w:pStyle w:val="NormalNumberedTextTLRI"/>
        <w:rPr>
          <w:b/>
          <w:bCs/>
          <w:u w:val="single"/>
        </w:rPr>
      </w:pPr>
      <w:r w:rsidRPr="007B5BE6">
        <w:rPr>
          <w:b/>
          <w:bCs/>
          <w:u w:val="single"/>
        </w:rPr>
        <w:t>Demographic details</w:t>
      </w:r>
      <w:r w:rsidRPr="007B5BE6">
        <w:t xml:space="preserve"> were provided on the gender and age of </w:t>
      </w:r>
      <w:r w:rsidR="009D1EA5" w:rsidRPr="007B5BE6">
        <w:t xml:space="preserve">the 95 </w:t>
      </w:r>
      <w:r w:rsidRPr="007B5BE6">
        <w:t>older people</w:t>
      </w:r>
      <w:r w:rsidR="009D1EA5" w:rsidRPr="007B5BE6">
        <w:t xml:space="preserve"> surveyed</w:t>
      </w:r>
      <w:r w:rsidRPr="007B5BE6">
        <w:t xml:space="preserve"> who were Senior Assist clients</w:t>
      </w:r>
      <w:r w:rsidR="00D45A92" w:rsidRPr="007B5BE6">
        <w:t xml:space="preserve"> </w:t>
      </w:r>
      <w:r w:rsidR="002532EE" w:rsidRPr="007B5BE6">
        <w:t xml:space="preserve">(from 1 July </w:t>
      </w:r>
      <w:r w:rsidR="00CB7527" w:rsidRPr="007B5BE6">
        <w:t xml:space="preserve">2023 </w:t>
      </w:r>
      <w:r w:rsidR="002532EE" w:rsidRPr="007B5BE6">
        <w:t>to 31 December 2023)</w:t>
      </w:r>
      <w:r w:rsidR="008C1C40" w:rsidRPr="007B5BE6">
        <w:t xml:space="preserve">. Gender and age </w:t>
      </w:r>
      <w:r w:rsidR="003862F7" w:rsidRPr="007B5BE6">
        <w:t xml:space="preserve">are relevant </w:t>
      </w:r>
      <w:r w:rsidR="00F716F0" w:rsidRPr="007B5BE6">
        <w:t>in the context of previous research identifying the factors that can impact the likelihood of older Tasmanians experiencing abuse</w:t>
      </w:r>
      <w:r w:rsidR="003862F7" w:rsidRPr="007B5BE6">
        <w:t>.</w:t>
      </w:r>
    </w:p>
    <w:p w14:paraId="0B302157" w14:textId="55336702" w:rsidR="00BF6E44" w:rsidRPr="007B5BE6" w:rsidRDefault="00BF6E44" w:rsidP="00BF6E44">
      <w:pPr>
        <w:pStyle w:val="DotPointTLRI"/>
      </w:pPr>
      <w:r w:rsidRPr="007B5BE6">
        <w:lastRenderedPageBreak/>
        <w:t xml:space="preserve">The same pattern </w:t>
      </w:r>
      <w:r w:rsidR="004910FA" w:rsidRPr="007B5BE6">
        <w:t>identified in</w:t>
      </w:r>
      <w:r w:rsidRPr="007B5BE6">
        <w:t xml:space="preserve"> callers to the Helpline regarding </w:t>
      </w:r>
      <w:r w:rsidRPr="007B5BE6">
        <w:rPr>
          <w:b/>
          <w:bCs/>
          <w:u w:val="single"/>
        </w:rPr>
        <w:t>gender of the older person</w:t>
      </w:r>
      <w:r w:rsidRPr="007B5BE6">
        <w:t xml:space="preserve"> was evident in clients who accessed Senior Assist in the period, with six in </w:t>
      </w:r>
      <w:r w:rsidR="004A139B" w:rsidRPr="007B5BE6">
        <w:t>10</w:t>
      </w:r>
      <w:r w:rsidRPr="007B5BE6">
        <w:t xml:space="preserve"> clients being women (n=58). Men comprised 38.3%</w:t>
      </w:r>
      <w:r w:rsidR="006D3161">
        <w:t xml:space="preserve"> (n=36</w:t>
      </w:r>
      <w:r w:rsidR="005058F7">
        <w:t>)</w:t>
      </w:r>
      <w:r w:rsidRPr="007B5BE6">
        <w:t>.</w:t>
      </w:r>
    </w:p>
    <w:p w14:paraId="507BBAD4" w14:textId="4AF30DAD" w:rsidR="00BF6E44" w:rsidRPr="007B5BE6" w:rsidRDefault="00BF6E44" w:rsidP="00640EF7">
      <w:pPr>
        <w:pStyle w:val="DotPointTLRI"/>
        <w:rPr>
          <w:b/>
          <w:bCs/>
          <w:u w:val="single"/>
        </w:rPr>
      </w:pPr>
      <w:r w:rsidRPr="007B5BE6">
        <w:t xml:space="preserve">Ages of older people who accessed Senior Assist ranged from 55 to 99 years. Figure </w:t>
      </w:r>
      <w:r w:rsidR="00A13491" w:rsidRPr="007B5BE6">
        <w:t>2.9</w:t>
      </w:r>
      <w:r w:rsidRPr="007B5BE6">
        <w:t xml:space="preserve"> shows the percentages of older people by categories of age range, showing that </w:t>
      </w:r>
      <w:proofErr w:type="gramStart"/>
      <w:r w:rsidRPr="007B5BE6">
        <w:t>similar to</w:t>
      </w:r>
      <w:proofErr w:type="gramEnd"/>
      <w:r w:rsidRPr="007B5BE6">
        <w:t xml:space="preserve"> </w:t>
      </w:r>
      <w:r w:rsidR="0070653B" w:rsidRPr="007B5BE6">
        <w:t>the ag</w:t>
      </w:r>
      <w:r w:rsidR="003D4E86" w:rsidRPr="007B5BE6">
        <w:t>e data in</w:t>
      </w:r>
      <w:r w:rsidR="0070653B" w:rsidRPr="007B5BE6">
        <w:t xml:space="preserve"> </w:t>
      </w:r>
      <w:r w:rsidRPr="007B5BE6">
        <w:t>Helpline calls, the most common age category was 70–74 years (28.13%)</w:t>
      </w:r>
      <w:r w:rsidR="00102294" w:rsidRPr="007B5BE6">
        <w:t>. H</w:t>
      </w:r>
      <w:r w:rsidRPr="007B5BE6">
        <w:t>owever, th</w:t>
      </w:r>
      <w:r w:rsidR="00102294" w:rsidRPr="007B5BE6">
        <w:t xml:space="preserve">e second most common category was </w:t>
      </w:r>
      <w:r w:rsidRPr="007B5BE6">
        <w:t>75–79 years (23.96%).</w:t>
      </w:r>
      <w:r w:rsidR="00652782" w:rsidRPr="007B5BE6">
        <w:rPr>
          <w:rStyle w:val="FootnoteReference"/>
        </w:rPr>
        <w:footnoteReference w:id="153"/>
      </w:r>
      <w:r w:rsidRPr="007B5BE6">
        <w:t xml:space="preserve"> </w:t>
      </w:r>
    </w:p>
    <w:p w14:paraId="35BB4802" w14:textId="01618C9C" w:rsidR="00BF6E44" w:rsidRPr="007B5BE6" w:rsidRDefault="00BF6E44" w:rsidP="00253B6D">
      <w:pPr>
        <w:spacing w:before="240" w:after="240" w:line="276" w:lineRule="auto"/>
        <w:jc w:val="left"/>
        <w:rPr>
          <w:b/>
          <w:bCs/>
        </w:rPr>
      </w:pPr>
      <w:r w:rsidRPr="007B5BE6">
        <w:rPr>
          <w:b/>
          <w:bCs/>
        </w:rPr>
        <w:t xml:space="preserve">Figure </w:t>
      </w:r>
      <w:r w:rsidR="00A13491" w:rsidRPr="007B5BE6">
        <w:rPr>
          <w:b/>
          <w:bCs/>
        </w:rPr>
        <w:t>2.9:</w:t>
      </w:r>
      <w:r w:rsidRPr="007B5BE6">
        <w:rPr>
          <w:b/>
          <w:bCs/>
        </w:rPr>
        <w:t xml:space="preserve"> Senior Assist client sample, 1 July</w:t>
      </w:r>
      <w:r w:rsidR="00AC4220" w:rsidRPr="007B5BE6">
        <w:rPr>
          <w:b/>
          <w:bCs/>
        </w:rPr>
        <w:t>–</w:t>
      </w:r>
      <w:r w:rsidRPr="007B5BE6">
        <w:rPr>
          <w:b/>
          <w:bCs/>
        </w:rPr>
        <w:t xml:space="preserve"> 31 December 2023 (categories of age range</w:t>
      </w:r>
      <w:r w:rsidR="00AC4220" w:rsidRPr="007B5BE6">
        <w:rPr>
          <w:b/>
          <w:bCs/>
        </w:rPr>
        <w:t>—o</w:t>
      </w:r>
      <w:r w:rsidRPr="007B5BE6">
        <w:rPr>
          <w:b/>
          <w:bCs/>
        </w:rPr>
        <w:t>lder person</w:t>
      </w:r>
      <w:r w:rsidR="00BE6CD0" w:rsidRPr="007B5BE6">
        <w:rPr>
          <w:b/>
          <w:bCs/>
        </w:rPr>
        <w:t>, %</w:t>
      </w:r>
      <w:r w:rsidRPr="007B5BE6">
        <w:rPr>
          <w:b/>
          <w:bCs/>
        </w:rPr>
        <w:t>)</w:t>
      </w:r>
    </w:p>
    <w:p w14:paraId="6CC64B44" w14:textId="23DCD2F9" w:rsidR="00BF6E44" w:rsidRPr="007B5BE6" w:rsidRDefault="00AE248B" w:rsidP="00AE248B">
      <w:pPr>
        <w:jc w:val="center"/>
      </w:pPr>
      <w:r w:rsidRPr="007B5BE6">
        <w:rPr>
          <w:noProof/>
        </w:rPr>
        <w:drawing>
          <wp:inline distT="0" distB="0" distL="0" distR="0" wp14:anchorId="699661DD" wp14:editId="486C1048">
            <wp:extent cx="4572000" cy="2743200"/>
            <wp:effectExtent l="0" t="0" r="0" b="0"/>
            <wp:docPr id="373674010" name="Chart 1">
              <a:extLst xmlns:a="http://schemas.openxmlformats.org/drawingml/2006/main">
                <a:ext uri="{FF2B5EF4-FFF2-40B4-BE49-F238E27FC236}">
                  <a16:creationId xmlns:a16="http://schemas.microsoft.com/office/drawing/2014/main" id="{285154AE-806D-9098-4505-471337A9E5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E42680B" w14:textId="26718EC4" w:rsidR="00BF6E44" w:rsidRPr="007B5BE6" w:rsidRDefault="00BF6E44" w:rsidP="00BF6E44">
      <w:pPr>
        <w:pStyle w:val="NormalNumberedTextTLRI"/>
      </w:pPr>
      <w:r w:rsidRPr="007B5BE6">
        <w:t>Data were available on the Indigenous status and disability status of the sample of Senior Assist clients (</w:t>
      </w:r>
      <w:r w:rsidR="00102294" w:rsidRPr="007B5BE6">
        <w:t xml:space="preserve">which was </w:t>
      </w:r>
      <w:r w:rsidRPr="007B5BE6">
        <w:t xml:space="preserve">not available in </w:t>
      </w:r>
      <w:r w:rsidR="00102294" w:rsidRPr="007B5BE6">
        <w:t xml:space="preserve">the </w:t>
      </w:r>
      <w:r w:rsidRPr="007B5BE6">
        <w:t xml:space="preserve">Helpline data). </w:t>
      </w:r>
    </w:p>
    <w:p w14:paraId="249E16AF" w14:textId="77777777" w:rsidR="00BF6E44" w:rsidRPr="007B5BE6" w:rsidRDefault="00BF6E44" w:rsidP="00BF6E44">
      <w:pPr>
        <w:pStyle w:val="DotPointTLRI"/>
      </w:pPr>
      <w:r w:rsidRPr="007B5BE6">
        <w:t>The majority of the 95 clients sampled were non-Indigenous (n=90, 95.74%).</w:t>
      </w:r>
    </w:p>
    <w:p w14:paraId="5FD90340" w14:textId="5C596DE2" w:rsidR="00BF6E44" w:rsidRPr="007B5BE6" w:rsidRDefault="00EC290C" w:rsidP="00BF6E44">
      <w:pPr>
        <w:pStyle w:val="DotPointTLRI"/>
      </w:pPr>
      <w:r>
        <w:t>Almost two-thirds of the sample of clients</w:t>
      </w:r>
      <w:r w:rsidR="00BF6E44" w:rsidRPr="007B5BE6">
        <w:t xml:space="preserve"> had a disability (n=60), most commonly a physical/diverse disability (</w:t>
      </w:r>
      <w:r w:rsidR="0037703E">
        <w:t>n=48</w:t>
      </w:r>
      <w:r w:rsidR="00BF6E44" w:rsidRPr="007B5BE6">
        <w:t>).</w:t>
      </w:r>
      <w:r w:rsidR="00E134C4">
        <w:t xml:space="preserve"> </w:t>
      </w:r>
      <w:r w:rsidR="00BF6E44" w:rsidRPr="007B5BE6">
        <w:t>Other disability types were</w:t>
      </w:r>
      <w:r w:rsidR="00102294" w:rsidRPr="007B5BE6">
        <w:t xml:space="preserve"> categorised as</w:t>
      </w:r>
      <w:r w:rsidR="00BF6E44" w:rsidRPr="007B5BE6">
        <w:t xml:space="preserve"> psychiatric (</w:t>
      </w:r>
      <w:r w:rsidR="0037703E">
        <w:t>n=10</w:t>
      </w:r>
      <w:r w:rsidR="00BF6E44" w:rsidRPr="007B5BE6">
        <w:t>), sensory/speech (</w:t>
      </w:r>
      <w:r w:rsidR="0037703E">
        <w:t>n=10</w:t>
      </w:r>
      <w:r w:rsidR="00BF6E44" w:rsidRPr="007B5BE6">
        <w:t>) and intellectual learning (</w:t>
      </w:r>
      <w:r w:rsidR="0037703E">
        <w:t>n=5</w:t>
      </w:r>
      <w:r w:rsidR="00BF6E44" w:rsidRPr="007B5BE6">
        <w:t>).</w:t>
      </w:r>
    </w:p>
    <w:p w14:paraId="235E99A0" w14:textId="78F5E315" w:rsidR="008D28CF" w:rsidRPr="007B5BE6" w:rsidRDefault="00BF6E44" w:rsidP="00BF6E44">
      <w:pPr>
        <w:pStyle w:val="DotPointTLRI"/>
      </w:pPr>
      <w:r w:rsidRPr="007B5BE6">
        <w:t>Disability was more prevalent amongst men in the sample, than women</w:t>
      </w:r>
      <w:r w:rsidR="00A41B5E" w:rsidRPr="007B5BE6">
        <w:t>—</w:t>
      </w:r>
      <w:r w:rsidRPr="007B5BE6">
        <w:t>72.22% of the 36 male Senior Assist clients had disability, compared with 58.62% of the 58 female Senior Assist clients.</w:t>
      </w:r>
    </w:p>
    <w:p w14:paraId="38E44968" w14:textId="0748DC7B" w:rsidR="00BF4BBA" w:rsidRPr="007B5BE6" w:rsidRDefault="00872468" w:rsidP="00D2705A">
      <w:pPr>
        <w:pStyle w:val="NormalNumberedTextTLRI"/>
        <w:rPr>
          <w:rFonts w:eastAsia="Times New Roman"/>
        </w:rPr>
      </w:pPr>
      <w:r w:rsidRPr="007B5BE6">
        <w:t>In terms of regional breakdown, t</w:t>
      </w:r>
      <w:r w:rsidR="006F024C" w:rsidRPr="007B5BE6">
        <w:t>here were</w:t>
      </w:r>
      <w:r w:rsidR="00C97E14" w:rsidRPr="007B5BE6">
        <w:t xml:space="preserve"> </w:t>
      </w:r>
      <w:r w:rsidRPr="007B5BE6">
        <w:t xml:space="preserve">broad </w:t>
      </w:r>
      <w:r w:rsidR="00C97E14" w:rsidRPr="007B5BE6">
        <w:t>similar</w:t>
      </w:r>
      <w:r w:rsidR="006F024C" w:rsidRPr="007B5BE6">
        <w:t xml:space="preserve">ities </w:t>
      </w:r>
      <w:r w:rsidR="00A61865" w:rsidRPr="007B5BE6">
        <w:t>between the sample of Senior Assist clients and</w:t>
      </w:r>
      <w:r w:rsidR="006F024C" w:rsidRPr="007B5BE6">
        <w:t xml:space="preserve"> the Helpline data</w:t>
      </w:r>
      <w:r w:rsidRPr="007B5BE6">
        <w:t>. H</w:t>
      </w:r>
      <w:r w:rsidR="00C97E14" w:rsidRPr="007B5BE6">
        <w:t xml:space="preserve">owever, </w:t>
      </w:r>
      <w:r w:rsidR="0023029D" w:rsidRPr="007B5BE6">
        <w:t xml:space="preserve">in the Senior Assist client sample, </w:t>
      </w:r>
      <w:r w:rsidR="00EC647F" w:rsidRPr="007B5BE6">
        <w:t xml:space="preserve">compared with Helpline callers, </w:t>
      </w:r>
      <w:r w:rsidR="006D1116" w:rsidRPr="007B5BE6">
        <w:t xml:space="preserve">there was a </w:t>
      </w:r>
      <w:r w:rsidR="00C97E14" w:rsidRPr="007B5BE6">
        <w:t>greater proportion of</w:t>
      </w:r>
      <w:r w:rsidR="0023029D" w:rsidRPr="007B5BE6">
        <w:t xml:space="preserve"> </w:t>
      </w:r>
      <w:r w:rsidR="00EC647F" w:rsidRPr="007B5BE6">
        <w:t xml:space="preserve">Senior Assist </w:t>
      </w:r>
      <w:r w:rsidR="00C97E14" w:rsidRPr="007B5BE6">
        <w:t>clients in the South region and a lower proportion in the Northwest</w:t>
      </w:r>
      <w:r w:rsidR="006D1116" w:rsidRPr="007B5BE6">
        <w:t>.</w:t>
      </w:r>
      <w:r w:rsidR="00C97E14" w:rsidRPr="007B5BE6">
        <w:t xml:space="preserve"> Just over half of </w:t>
      </w:r>
      <w:r w:rsidR="00947799" w:rsidRPr="007B5BE6">
        <w:t xml:space="preserve">Senior Assist </w:t>
      </w:r>
      <w:r w:rsidR="00C97E14" w:rsidRPr="007B5BE6">
        <w:t xml:space="preserve">clients were from the South (52%, n=49). Three out of </w:t>
      </w:r>
      <w:r w:rsidR="004A139B" w:rsidRPr="007B5BE6">
        <w:t xml:space="preserve">10 </w:t>
      </w:r>
      <w:r w:rsidR="006F024C" w:rsidRPr="007B5BE6">
        <w:t xml:space="preserve">clients </w:t>
      </w:r>
      <w:r w:rsidR="00C97E14" w:rsidRPr="007B5BE6">
        <w:t>were from the North (29.34%</w:t>
      </w:r>
      <w:r w:rsidR="00B062A9" w:rsidRPr="007B5BE6">
        <w:t>, n=30</w:t>
      </w:r>
      <w:r w:rsidR="00C97E14" w:rsidRPr="007B5BE6">
        <w:t xml:space="preserve">) </w:t>
      </w:r>
      <w:r w:rsidR="00EE5215" w:rsidRPr="007B5BE6">
        <w:t xml:space="preserve">and </w:t>
      </w:r>
      <w:r w:rsidR="00C97E14" w:rsidRPr="007B5BE6">
        <w:t>only</w:t>
      </w:r>
      <w:r w:rsidR="00EE5215" w:rsidRPr="007B5BE6">
        <w:t xml:space="preserve"> </w:t>
      </w:r>
      <w:r w:rsidR="00C97E14" w:rsidRPr="007B5BE6">
        <w:t xml:space="preserve">14.89% (n=14) were in the Northwest. </w:t>
      </w:r>
    </w:p>
    <w:p w14:paraId="28E0DA8C" w14:textId="2BFD328C" w:rsidR="00BF4BBA" w:rsidRPr="007B5BE6" w:rsidRDefault="004C4191" w:rsidP="007936FC">
      <w:pPr>
        <w:pStyle w:val="Sub-HeadingTLRI"/>
        <w:spacing w:before="360"/>
      </w:pPr>
      <w:bookmarkStart w:id="38" w:name="_Toc212561733"/>
      <w:r w:rsidRPr="007B5BE6">
        <w:lastRenderedPageBreak/>
        <w:t>I</w:t>
      </w:r>
      <w:r w:rsidR="00BF4BBA" w:rsidRPr="007B5BE6">
        <w:t>nterviews with stakeholders</w:t>
      </w:r>
      <w:bookmarkEnd w:id="38"/>
    </w:p>
    <w:p w14:paraId="66861390" w14:textId="37824A7C" w:rsidR="00926CA2" w:rsidRPr="007B5BE6" w:rsidRDefault="00926CA2" w:rsidP="00E37E26">
      <w:pPr>
        <w:pStyle w:val="NormalNumberedTextTLRI"/>
      </w:pPr>
      <w:r w:rsidRPr="007B5BE6">
        <w:t xml:space="preserve">Stakeholders were asked in interviews to consider some key factors regarding risk of abuse and help-seeking for abuse </w:t>
      </w:r>
      <w:r w:rsidR="003566E7" w:rsidRPr="007B5BE6">
        <w:t>(</w:t>
      </w:r>
      <w:r w:rsidRPr="007B5BE6">
        <w:t xml:space="preserve">identified in AIFS’s </w:t>
      </w:r>
      <w:r w:rsidR="00F4661F" w:rsidRPr="007B5BE6">
        <w:rPr>
          <w:i/>
          <w:iCs/>
        </w:rPr>
        <w:t>N</w:t>
      </w:r>
      <w:r w:rsidRPr="007B5BE6">
        <w:rPr>
          <w:i/>
          <w:iCs/>
        </w:rPr>
        <w:t xml:space="preserve">ational </w:t>
      </w:r>
      <w:r w:rsidR="00F4661F" w:rsidRPr="007B5BE6">
        <w:rPr>
          <w:i/>
          <w:iCs/>
        </w:rPr>
        <w:t>E</w:t>
      </w:r>
      <w:r w:rsidRPr="007B5BE6">
        <w:rPr>
          <w:i/>
          <w:iCs/>
        </w:rPr>
        <w:t xml:space="preserve">lder </w:t>
      </w:r>
      <w:r w:rsidR="00F4661F" w:rsidRPr="007B5BE6">
        <w:rPr>
          <w:i/>
          <w:iCs/>
        </w:rPr>
        <w:t>A</w:t>
      </w:r>
      <w:r w:rsidRPr="007B5BE6">
        <w:rPr>
          <w:i/>
          <w:iCs/>
        </w:rPr>
        <w:t xml:space="preserve">buse </w:t>
      </w:r>
      <w:r w:rsidR="00F4661F" w:rsidRPr="007B5BE6">
        <w:rPr>
          <w:i/>
          <w:iCs/>
        </w:rPr>
        <w:t>P</w:t>
      </w:r>
      <w:r w:rsidRPr="007B5BE6">
        <w:rPr>
          <w:i/>
          <w:iCs/>
        </w:rPr>
        <w:t xml:space="preserve">revalence </w:t>
      </w:r>
      <w:r w:rsidR="00F4661F" w:rsidRPr="007B5BE6">
        <w:rPr>
          <w:i/>
          <w:iCs/>
        </w:rPr>
        <w:t>Study</w:t>
      </w:r>
      <w:r w:rsidRPr="007B5BE6">
        <w:t xml:space="preserve"> and by Elder Abuse Action Australia</w:t>
      </w:r>
      <w:r w:rsidR="003566E7" w:rsidRPr="007B5BE6">
        <w:t>)</w:t>
      </w:r>
      <w:r w:rsidR="00F4661F" w:rsidRPr="007B5BE6">
        <w:t>,</w:t>
      </w:r>
      <w:r w:rsidR="00923C61" w:rsidRPr="007B5BE6">
        <w:rPr>
          <w:rStyle w:val="FootnoteReference"/>
        </w:rPr>
        <w:footnoteReference w:id="154"/>
      </w:r>
      <w:r w:rsidRPr="007B5BE6">
        <w:t xml:space="preserve"> and </w:t>
      </w:r>
      <w:r w:rsidR="00F4661F" w:rsidRPr="007B5BE6">
        <w:t xml:space="preserve">to </w:t>
      </w:r>
      <w:r w:rsidR="00A6457E" w:rsidRPr="007B5BE6">
        <w:t>identify</w:t>
      </w:r>
      <w:r w:rsidR="003566E7" w:rsidRPr="007B5BE6">
        <w:t xml:space="preserve"> wh</w:t>
      </w:r>
      <w:r w:rsidRPr="007B5BE6">
        <w:t xml:space="preserve">ich were most relevant </w:t>
      </w:r>
      <w:r w:rsidR="00A6457E" w:rsidRPr="007B5BE6">
        <w:t>for</w:t>
      </w:r>
      <w:r w:rsidRPr="007B5BE6">
        <w:t xml:space="preserve"> the Tasmanian context</w:t>
      </w:r>
      <w:r w:rsidR="00F7075D" w:rsidRPr="007B5BE6">
        <w:t>.</w:t>
      </w:r>
      <w:r w:rsidR="00923C61" w:rsidRPr="007B5BE6">
        <w:rPr>
          <w:rStyle w:val="FootnoteReference"/>
        </w:rPr>
        <w:footnoteReference w:id="155"/>
      </w:r>
      <w:r w:rsidR="00F7075D" w:rsidRPr="007B5BE6">
        <w:t xml:space="preserve"> </w:t>
      </w:r>
      <w:r w:rsidRPr="007B5BE6">
        <w:t xml:space="preserve">Table </w:t>
      </w:r>
      <w:r w:rsidR="00A13491" w:rsidRPr="007B5BE6">
        <w:t>2.4</w:t>
      </w:r>
      <w:r w:rsidRPr="007B5BE6">
        <w:t xml:space="preserve"> highlights </w:t>
      </w:r>
      <w:r w:rsidR="00843913" w:rsidRPr="007B5BE6">
        <w:t xml:space="preserve">key examples of the </w:t>
      </w:r>
      <w:r w:rsidRPr="007B5BE6">
        <w:t>factors identified, noting that stakeholders often discussed these</w:t>
      </w:r>
      <w:r w:rsidR="007C3BC4" w:rsidRPr="007B5BE6">
        <w:t xml:space="preserve"> as</w:t>
      </w:r>
      <w:r w:rsidRPr="007B5BE6">
        <w:t xml:space="preserve"> intersecting factors in terms of relevance to risk of abuse </w:t>
      </w:r>
      <w:r w:rsidR="00A6457E" w:rsidRPr="007B5BE6">
        <w:t>and</w:t>
      </w:r>
      <w:r w:rsidRPr="007B5BE6">
        <w:t xml:space="preserve"> help</w:t>
      </w:r>
      <w:r w:rsidR="00A6457E" w:rsidRPr="007B5BE6">
        <w:t>-</w:t>
      </w:r>
      <w:r w:rsidRPr="007B5BE6">
        <w:t>seeking.</w:t>
      </w:r>
    </w:p>
    <w:p w14:paraId="40A95A3F" w14:textId="796D0119" w:rsidR="00926CA2" w:rsidRPr="007B5BE6" w:rsidRDefault="00926CA2" w:rsidP="00BB7987">
      <w:pPr>
        <w:spacing w:before="240" w:after="240" w:line="276" w:lineRule="auto"/>
        <w:jc w:val="left"/>
        <w:rPr>
          <w:b/>
          <w:bCs/>
        </w:rPr>
      </w:pPr>
      <w:r w:rsidRPr="007B5BE6">
        <w:rPr>
          <w:b/>
          <w:bCs/>
        </w:rPr>
        <w:t xml:space="preserve">Table </w:t>
      </w:r>
      <w:r w:rsidR="00A13491" w:rsidRPr="007B5BE6">
        <w:rPr>
          <w:b/>
          <w:bCs/>
        </w:rPr>
        <w:t>2.4:</w:t>
      </w:r>
      <w:r w:rsidRPr="007B5BE6">
        <w:rPr>
          <w:b/>
          <w:bCs/>
        </w:rPr>
        <w:t xml:space="preserve"> Factors </w:t>
      </w:r>
      <w:r w:rsidR="003F6478" w:rsidRPr="007B5BE6">
        <w:rPr>
          <w:b/>
          <w:bCs/>
        </w:rPr>
        <w:t>regarding risk of abuse and help</w:t>
      </w:r>
      <w:r w:rsidR="00D76813" w:rsidRPr="007B5BE6">
        <w:rPr>
          <w:b/>
          <w:bCs/>
        </w:rPr>
        <w:t>-</w:t>
      </w:r>
      <w:r w:rsidR="003F6478" w:rsidRPr="007B5BE6">
        <w:rPr>
          <w:b/>
          <w:bCs/>
        </w:rPr>
        <w:t xml:space="preserve">seeking </w:t>
      </w:r>
      <w:r w:rsidR="007C3BC4" w:rsidRPr="007B5BE6">
        <w:rPr>
          <w:b/>
          <w:bCs/>
        </w:rPr>
        <w:t>relevant to Tasmania</w:t>
      </w:r>
      <w:r w:rsidR="00A6457E" w:rsidRPr="007B5BE6">
        <w:rPr>
          <w:b/>
          <w:bCs/>
        </w:rPr>
        <w:t>n context</w:t>
      </w:r>
      <w:r w:rsidR="00843913" w:rsidRPr="007B5BE6">
        <w:rPr>
          <w:b/>
          <w:bCs/>
        </w:rPr>
        <w:t>: key examples</w:t>
      </w:r>
      <w:r w:rsidR="007C3BC4" w:rsidRPr="007B5BE6">
        <w:rPr>
          <w:b/>
          <w:bCs/>
        </w:rPr>
        <w:t xml:space="preserve"> </w:t>
      </w:r>
      <w:r w:rsidRPr="007B5BE6">
        <w:rPr>
          <w:b/>
          <w:bCs/>
        </w:rPr>
        <w:t>identified in</w:t>
      </w:r>
      <w:r w:rsidR="00192024" w:rsidRPr="007B5BE6">
        <w:rPr>
          <w:b/>
          <w:bCs/>
        </w:rPr>
        <w:t xml:space="preserve"> the</w:t>
      </w:r>
      <w:r w:rsidR="00881C86" w:rsidRPr="007B5BE6">
        <w:rPr>
          <w:b/>
          <w:bCs/>
        </w:rPr>
        <w:t xml:space="preserve"> </w:t>
      </w:r>
      <w:r w:rsidR="007C3BC4" w:rsidRPr="007B5BE6">
        <w:rPr>
          <w:b/>
          <w:bCs/>
        </w:rPr>
        <w:t>TLRI</w:t>
      </w:r>
      <w:r w:rsidR="00192024" w:rsidRPr="007B5BE6">
        <w:rPr>
          <w:b/>
          <w:bCs/>
        </w:rPr>
        <w:t>’s</w:t>
      </w:r>
      <w:r w:rsidR="007C3BC4" w:rsidRPr="007B5BE6">
        <w:rPr>
          <w:b/>
          <w:bCs/>
        </w:rPr>
        <w:t xml:space="preserve"> </w:t>
      </w:r>
      <w:r w:rsidR="00881C86" w:rsidRPr="007B5BE6">
        <w:rPr>
          <w:b/>
          <w:bCs/>
        </w:rPr>
        <w:t>stakeholder</w:t>
      </w:r>
      <w:r w:rsidRPr="007B5BE6">
        <w:rPr>
          <w:b/>
          <w:bCs/>
        </w:rPr>
        <w:t xml:space="preserve"> interviews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926CA2" w:rsidRPr="007B5BE6" w14:paraId="476CAB26" w14:textId="77777777" w:rsidTr="00B7536C">
        <w:trPr>
          <w:tblHeader/>
        </w:trPr>
        <w:tc>
          <w:tcPr>
            <w:tcW w:w="4508" w:type="dxa"/>
            <w:tcBorders>
              <w:top w:val="single" w:sz="8" w:space="0" w:color="auto"/>
              <w:bottom w:val="single" w:sz="8" w:space="0" w:color="auto"/>
            </w:tcBorders>
            <w:shd w:val="clear" w:color="auto" w:fill="FFFFFF" w:themeFill="background1"/>
          </w:tcPr>
          <w:p w14:paraId="3BF8020C" w14:textId="77777777" w:rsidR="00926CA2" w:rsidRPr="007B5BE6" w:rsidRDefault="00926CA2" w:rsidP="00E37E26">
            <w:pPr>
              <w:rPr>
                <w:b/>
                <w:bCs/>
                <w:sz w:val="20"/>
                <w:szCs w:val="20"/>
              </w:rPr>
            </w:pPr>
            <w:r w:rsidRPr="007B5BE6">
              <w:rPr>
                <w:b/>
                <w:bCs/>
                <w:sz w:val="20"/>
                <w:szCs w:val="20"/>
              </w:rPr>
              <w:t>Factors regarding risk of abuse</w:t>
            </w:r>
          </w:p>
        </w:tc>
        <w:tc>
          <w:tcPr>
            <w:tcW w:w="4508" w:type="dxa"/>
            <w:tcBorders>
              <w:top w:val="single" w:sz="8" w:space="0" w:color="auto"/>
              <w:bottom w:val="single" w:sz="8" w:space="0" w:color="auto"/>
            </w:tcBorders>
            <w:shd w:val="clear" w:color="auto" w:fill="FFFFFF" w:themeFill="background1"/>
          </w:tcPr>
          <w:p w14:paraId="34735410" w14:textId="77777777" w:rsidR="00926CA2" w:rsidRPr="007B5BE6" w:rsidRDefault="00926CA2" w:rsidP="00E37E26">
            <w:pPr>
              <w:rPr>
                <w:b/>
                <w:bCs/>
                <w:sz w:val="20"/>
                <w:szCs w:val="20"/>
              </w:rPr>
            </w:pPr>
            <w:r w:rsidRPr="007B5BE6">
              <w:rPr>
                <w:b/>
                <w:bCs/>
                <w:sz w:val="20"/>
                <w:szCs w:val="20"/>
              </w:rPr>
              <w:t xml:space="preserve">Factors regarding help-seeking  </w:t>
            </w:r>
          </w:p>
        </w:tc>
      </w:tr>
      <w:tr w:rsidR="00926CA2" w:rsidRPr="007B5BE6" w14:paraId="1452138F" w14:textId="77777777" w:rsidTr="00B7536C">
        <w:tc>
          <w:tcPr>
            <w:tcW w:w="4508" w:type="dxa"/>
            <w:tcBorders>
              <w:top w:val="single" w:sz="8" w:space="0" w:color="auto"/>
            </w:tcBorders>
          </w:tcPr>
          <w:p w14:paraId="2EEEB9A1" w14:textId="38E6727F" w:rsidR="00926CA2" w:rsidRPr="007B5BE6" w:rsidRDefault="002D0E1A" w:rsidP="00B32A77">
            <w:pPr>
              <w:pStyle w:val="DotPointTLRI"/>
              <w:numPr>
                <w:ilvl w:val="0"/>
                <w:numId w:val="0"/>
              </w:numPr>
              <w:jc w:val="left"/>
              <w:rPr>
                <w:sz w:val="20"/>
                <w:szCs w:val="20"/>
              </w:rPr>
            </w:pPr>
            <w:r w:rsidRPr="007B5BE6">
              <w:rPr>
                <w:sz w:val="20"/>
                <w:szCs w:val="20"/>
              </w:rPr>
              <w:t>Social isolation, including ‘diminishing circles of trust’ in the community</w:t>
            </w:r>
            <w:r w:rsidR="00D61392" w:rsidRPr="007B5BE6">
              <w:rPr>
                <w:rStyle w:val="FootnoteReference"/>
                <w:sz w:val="20"/>
                <w:szCs w:val="20"/>
              </w:rPr>
              <w:footnoteReference w:id="156"/>
            </w:r>
          </w:p>
        </w:tc>
        <w:tc>
          <w:tcPr>
            <w:tcW w:w="4508" w:type="dxa"/>
            <w:tcBorders>
              <w:top w:val="single" w:sz="8" w:space="0" w:color="auto"/>
            </w:tcBorders>
          </w:tcPr>
          <w:p w14:paraId="175433C0" w14:textId="3C417325" w:rsidR="00926CA2" w:rsidRPr="007B5BE6" w:rsidRDefault="00926CA2" w:rsidP="00B32A77">
            <w:pPr>
              <w:jc w:val="left"/>
              <w:rPr>
                <w:sz w:val="20"/>
                <w:szCs w:val="20"/>
              </w:rPr>
            </w:pPr>
            <w:r w:rsidRPr="007B5BE6">
              <w:rPr>
                <w:sz w:val="20"/>
                <w:szCs w:val="20"/>
              </w:rPr>
              <w:t>Fear of losing relationships</w:t>
            </w:r>
            <w:r w:rsidR="00D61392" w:rsidRPr="007B5BE6">
              <w:rPr>
                <w:rStyle w:val="FootnoteReference"/>
                <w:sz w:val="20"/>
                <w:szCs w:val="20"/>
              </w:rPr>
              <w:footnoteReference w:id="157"/>
            </w:r>
            <w:r w:rsidRPr="007B5BE6">
              <w:rPr>
                <w:sz w:val="20"/>
                <w:szCs w:val="20"/>
              </w:rPr>
              <w:t xml:space="preserve"> </w:t>
            </w:r>
          </w:p>
        </w:tc>
      </w:tr>
      <w:tr w:rsidR="00926CA2" w:rsidRPr="007B5BE6" w14:paraId="06AB610D" w14:textId="77777777" w:rsidTr="00B32A77">
        <w:tc>
          <w:tcPr>
            <w:tcW w:w="4508" w:type="dxa"/>
          </w:tcPr>
          <w:p w14:paraId="59205047" w14:textId="2DFAEFEA" w:rsidR="008F5C03" w:rsidRPr="007B5BE6" w:rsidRDefault="008F5C03" w:rsidP="00B32A77">
            <w:pPr>
              <w:jc w:val="left"/>
              <w:rPr>
                <w:sz w:val="20"/>
                <w:szCs w:val="20"/>
              </w:rPr>
            </w:pPr>
            <w:r w:rsidRPr="007B5BE6">
              <w:rPr>
                <w:sz w:val="20"/>
                <w:szCs w:val="20"/>
              </w:rPr>
              <w:t>Carer or support person factors</w:t>
            </w:r>
            <w:r w:rsidR="004B4089" w:rsidRPr="007B5BE6">
              <w:rPr>
                <w:sz w:val="20"/>
                <w:szCs w:val="20"/>
              </w:rPr>
              <w:t>, including</w:t>
            </w:r>
            <w:r w:rsidRPr="007B5BE6">
              <w:rPr>
                <w:sz w:val="20"/>
                <w:szCs w:val="20"/>
              </w:rPr>
              <w:t>:</w:t>
            </w:r>
          </w:p>
          <w:p w14:paraId="47B4932D" w14:textId="77777777" w:rsidR="008F5C03" w:rsidRPr="007B5BE6" w:rsidRDefault="008F5C03" w:rsidP="00B32A77">
            <w:pPr>
              <w:pStyle w:val="DotPointTLRI"/>
              <w:jc w:val="left"/>
              <w:rPr>
                <w:sz w:val="20"/>
                <w:szCs w:val="20"/>
              </w:rPr>
            </w:pPr>
            <w:r w:rsidRPr="007B5BE6">
              <w:rPr>
                <w:sz w:val="20"/>
                <w:szCs w:val="20"/>
              </w:rPr>
              <w:t xml:space="preserve">burn out or drop in capacity to provide care (due to lack of support); </w:t>
            </w:r>
          </w:p>
          <w:p w14:paraId="757F07F3" w14:textId="77777777" w:rsidR="008F5C03" w:rsidRPr="007B5BE6" w:rsidRDefault="008F5C03" w:rsidP="00B32A77">
            <w:pPr>
              <w:pStyle w:val="DotPointTLRI"/>
              <w:jc w:val="left"/>
              <w:rPr>
                <w:sz w:val="20"/>
                <w:szCs w:val="20"/>
              </w:rPr>
            </w:pPr>
            <w:r w:rsidRPr="007B5BE6">
              <w:rPr>
                <w:sz w:val="20"/>
                <w:szCs w:val="20"/>
              </w:rPr>
              <w:t xml:space="preserve">psychological distress or problems coping; or </w:t>
            </w:r>
          </w:p>
          <w:p w14:paraId="2BC52161" w14:textId="5D132E37" w:rsidR="00926CA2" w:rsidRPr="007B5BE6" w:rsidRDefault="008F5C03" w:rsidP="00B32A77">
            <w:pPr>
              <w:pStyle w:val="DotPointTLRI"/>
              <w:jc w:val="left"/>
              <w:rPr>
                <w:sz w:val="20"/>
                <w:szCs w:val="20"/>
              </w:rPr>
            </w:pPr>
            <w:r w:rsidRPr="007B5BE6">
              <w:rPr>
                <w:sz w:val="20"/>
                <w:szCs w:val="20"/>
              </w:rPr>
              <w:t>lack of knowledge of support services and lack of understanding of what appropriate care looks like</w:t>
            </w:r>
            <w:r w:rsidR="00D61392" w:rsidRPr="007B5BE6">
              <w:rPr>
                <w:rStyle w:val="FootnoteReference"/>
                <w:sz w:val="20"/>
                <w:szCs w:val="20"/>
              </w:rPr>
              <w:footnoteReference w:id="158"/>
            </w:r>
          </w:p>
        </w:tc>
        <w:tc>
          <w:tcPr>
            <w:tcW w:w="4508" w:type="dxa"/>
          </w:tcPr>
          <w:p w14:paraId="40856AB8" w14:textId="77777777" w:rsidR="00056465" w:rsidRPr="007B5BE6" w:rsidRDefault="00056465" w:rsidP="00B32A77">
            <w:pPr>
              <w:jc w:val="left"/>
              <w:rPr>
                <w:sz w:val="20"/>
                <w:szCs w:val="20"/>
              </w:rPr>
            </w:pPr>
            <w:r w:rsidRPr="007B5BE6">
              <w:rPr>
                <w:sz w:val="20"/>
                <w:szCs w:val="20"/>
              </w:rPr>
              <w:t>Carer or support person factors, including:</w:t>
            </w:r>
          </w:p>
          <w:p w14:paraId="595BEA56" w14:textId="77777777" w:rsidR="00056465" w:rsidRPr="007B5BE6" w:rsidRDefault="00056465" w:rsidP="00B32A77">
            <w:pPr>
              <w:pStyle w:val="DotPointTLRI"/>
              <w:jc w:val="left"/>
              <w:rPr>
                <w:sz w:val="20"/>
                <w:szCs w:val="20"/>
              </w:rPr>
            </w:pPr>
            <w:r w:rsidRPr="007B5BE6">
              <w:rPr>
                <w:sz w:val="20"/>
                <w:szCs w:val="20"/>
              </w:rPr>
              <w:t>lack of information or support; or</w:t>
            </w:r>
          </w:p>
          <w:p w14:paraId="449E4434" w14:textId="5D85798C" w:rsidR="00926CA2" w:rsidRPr="007B5BE6" w:rsidRDefault="00056465" w:rsidP="00B32A77">
            <w:pPr>
              <w:pStyle w:val="DotPointTLRI"/>
              <w:jc w:val="left"/>
              <w:rPr>
                <w:sz w:val="20"/>
                <w:szCs w:val="20"/>
              </w:rPr>
            </w:pPr>
            <w:r w:rsidRPr="007B5BE6">
              <w:rPr>
                <w:sz w:val="20"/>
                <w:szCs w:val="20"/>
              </w:rPr>
              <w:t>lack of knowledge of support services and lack of understanding of what appropriate care looks like</w:t>
            </w:r>
            <w:r w:rsidR="00D61392" w:rsidRPr="007B5BE6">
              <w:rPr>
                <w:rStyle w:val="FootnoteReference"/>
                <w:sz w:val="20"/>
                <w:szCs w:val="20"/>
              </w:rPr>
              <w:footnoteReference w:id="159"/>
            </w:r>
          </w:p>
        </w:tc>
      </w:tr>
      <w:tr w:rsidR="00926CA2" w:rsidRPr="007B5BE6" w14:paraId="290FD5C3" w14:textId="77777777" w:rsidTr="00B32A77">
        <w:tc>
          <w:tcPr>
            <w:tcW w:w="4508" w:type="dxa"/>
          </w:tcPr>
          <w:p w14:paraId="77B6E13F" w14:textId="5B84E3A7" w:rsidR="00926CA2" w:rsidRPr="007B5BE6" w:rsidRDefault="00926CA2" w:rsidP="00B32A77">
            <w:pPr>
              <w:jc w:val="left"/>
              <w:rPr>
                <w:sz w:val="20"/>
                <w:szCs w:val="20"/>
              </w:rPr>
            </w:pPr>
            <w:r w:rsidRPr="007B5BE6">
              <w:rPr>
                <w:sz w:val="20"/>
                <w:szCs w:val="20"/>
              </w:rPr>
              <w:t>Financial pressures</w:t>
            </w:r>
            <w:r w:rsidR="00D61392" w:rsidRPr="007B5BE6">
              <w:rPr>
                <w:rStyle w:val="FootnoteReference"/>
                <w:sz w:val="20"/>
                <w:szCs w:val="20"/>
              </w:rPr>
              <w:footnoteReference w:id="160"/>
            </w:r>
          </w:p>
        </w:tc>
        <w:tc>
          <w:tcPr>
            <w:tcW w:w="4508" w:type="dxa"/>
          </w:tcPr>
          <w:p w14:paraId="3DEC3090" w14:textId="36CB8426" w:rsidR="00926CA2" w:rsidRPr="007B5BE6" w:rsidRDefault="00056465" w:rsidP="00B32A77">
            <w:pPr>
              <w:jc w:val="left"/>
              <w:rPr>
                <w:sz w:val="20"/>
                <w:szCs w:val="20"/>
              </w:rPr>
            </w:pPr>
            <w:r w:rsidRPr="007B5BE6">
              <w:rPr>
                <w:sz w:val="20"/>
                <w:szCs w:val="20"/>
              </w:rPr>
              <w:t>Fear of other consequences for older person or carer (</w:t>
            </w:r>
            <w:r w:rsidR="00DD3633">
              <w:rPr>
                <w:sz w:val="20"/>
                <w:szCs w:val="20"/>
              </w:rPr>
              <w:t>for example, retribution,</w:t>
            </w:r>
            <w:r w:rsidRPr="007B5BE6">
              <w:rPr>
                <w:sz w:val="20"/>
                <w:szCs w:val="20"/>
              </w:rPr>
              <w:t xml:space="preserve"> losing care, </w:t>
            </w:r>
            <w:r w:rsidR="006F5FA4">
              <w:rPr>
                <w:sz w:val="20"/>
                <w:szCs w:val="20"/>
              </w:rPr>
              <w:t xml:space="preserve">being moved into </w:t>
            </w:r>
            <w:r w:rsidR="00C43DA2">
              <w:rPr>
                <w:sz w:val="20"/>
                <w:szCs w:val="20"/>
              </w:rPr>
              <w:t xml:space="preserve">care, such residential aged care or taken to hospital, </w:t>
            </w:r>
            <w:r w:rsidR="008C6D3A">
              <w:rPr>
                <w:sz w:val="20"/>
                <w:szCs w:val="20"/>
              </w:rPr>
              <w:t xml:space="preserve">or </w:t>
            </w:r>
            <w:r w:rsidRPr="007B5BE6">
              <w:rPr>
                <w:sz w:val="20"/>
                <w:szCs w:val="20"/>
              </w:rPr>
              <w:t>carer being accused of abuse)</w:t>
            </w:r>
            <w:r w:rsidR="00D61392" w:rsidRPr="007B5BE6">
              <w:rPr>
                <w:rStyle w:val="FootnoteReference"/>
                <w:sz w:val="20"/>
                <w:szCs w:val="20"/>
              </w:rPr>
              <w:footnoteReference w:id="161"/>
            </w:r>
          </w:p>
        </w:tc>
      </w:tr>
      <w:tr w:rsidR="00926CA2" w:rsidRPr="007B5BE6" w14:paraId="05CCF3A8" w14:textId="77777777" w:rsidTr="00B32A77">
        <w:tc>
          <w:tcPr>
            <w:tcW w:w="4508" w:type="dxa"/>
          </w:tcPr>
          <w:p w14:paraId="5F885E53" w14:textId="67466DBC" w:rsidR="00926CA2" w:rsidRPr="007B5BE6" w:rsidRDefault="00926CA2" w:rsidP="00B32A77">
            <w:pPr>
              <w:jc w:val="left"/>
              <w:rPr>
                <w:sz w:val="20"/>
                <w:szCs w:val="20"/>
              </w:rPr>
            </w:pPr>
            <w:r w:rsidRPr="007B5BE6">
              <w:rPr>
                <w:sz w:val="20"/>
                <w:szCs w:val="20"/>
              </w:rPr>
              <w:t>Low literacy (general, financial and functional)</w:t>
            </w:r>
            <w:r w:rsidR="00D61392" w:rsidRPr="007B5BE6">
              <w:rPr>
                <w:rStyle w:val="FootnoteReference"/>
                <w:sz w:val="20"/>
                <w:szCs w:val="20"/>
              </w:rPr>
              <w:footnoteReference w:id="162"/>
            </w:r>
            <w:r w:rsidRPr="007B5BE6">
              <w:rPr>
                <w:sz w:val="20"/>
                <w:szCs w:val="20"/>
              </w:rPr>
              <w:t xml:space="preserve"> </w:t>
            </w:r>
          </w:p>
        </w:tc>
        <w:tc>
          <w:tcPr>
            <w:tcW w:w="4508" w:type="dxa"/>
          </w:tcPr>
          <w:p w14:paraId="0D9770BE" w14:textId="183E1594" w:rsidR="00926CA2" w:rsidRPr="007B5BE6" w:rsidRDefault="00056465" w:rsidP="00B32A77">
            <w:pPr>
              <w:jc w:val="left"/>
              <w:rPr>
                <w:sz w:val="20"/>
                <w:szCs w:val="20"/>
              </w:rPr>
            </w:pPr>
            <w:r w:rsidRPr="007B5BE6">
              <w:rPr>
                <w:sz w:val="20"/>
                <w:szCs w:val="20"/>
              </w:rPr>
              <w:t>Shame/not wanting to ‘complain’ or be a burden</w:t>
            </w:r>
            <w:r w:rsidR="00D61392" w:rsidRPr="007B5BE6">
              <w:rPr>
                <w:rStyle w:val="FootnoteReference"/>
                <w:sz w:val="20"/>
                <w:szCs w:val="20"/>
              </w:rPr>
              <w:footnoteReference w:id="163"/>
            </w:r>
          </w:p>
        </w:tc>
      </w:tr>
      <w:tr w:rsidR="00926CA2" w:rsidRPr="007B5BE6" w14:paraId="4E888079" w14:textId="77777777" w:rsidTr="00B32A77">
        <w:tc>
          <w:tcPr>
            <w:tcW w:w="4508" w:type="dxa"/>
          </w:tcPr>
          <w:p w14:paraId="196FC838" w14:textId="572B1DBF" w:rsidR="002D0E1A" w:rsidRPr="007B5BE6" w:rsidRDefault="002D0E1A" w:rsidP="008F5C03">
            <w:pPr>
              <w:pStyle w:val="DotPointTLRI"/>
              <w:numPr>
                <w:ilvl w:val="0"/>
                <w:numId w:val="0"/>
              </w:numPr>
            </w:pPr>
            <w:r w:rsidRPr="007B5BE6">
              <w:rPr>
                <w:sz w:val="20"/>
                <w:szCs w:val="20"/>
              </w:rPr>
              <w:t>Geographical remoteness and rurality</w:t>
            </w:r>
            <w:r w:rsidR="00D61392" w:rsidRPr="007B5BE6">
              <w:rPr>
                <w:rStyle w:val="FootnoteReference"/>
                <w:sz w:val="20"/>
                <w:szCs w:val="20"/>
              </w:rPr>
              <w:footnoteReference w:id="164"/>
            </w:r>
          </w:p>
        </w:tc>
        <w:tc>
          <w:tcPr>
            <w:tcW w:w="4508" w:type="dxa"/>
          </w:tcPr>
          <w:p w14:paraId="7060D998" w14:textId="66C55795" w:rsidR="00926CA2" w:rsidRPr="007B5BE6" w:rsidRDefault="00056465" w:rsidP="003B13FC">
            <w:pPr>
              <w:jc w:val="left"/>
              <w:rPr>
                <w:sz w:val="20"/>
                <w:szCs w:val="20"/>
              </w:rPr>
            </w:pPr>
            <w:r w:rsidRPr="007B5BE6">
              <w:rPr>
                <w:sz w:val="20"/>
                <w:szCs w:val="20"/>
              </w:rPr>
              <w:t>Geographical remoteness and rurality (associated with issues such as increased reliance on abuser, increased stigma and lack of understanding of dementia)</w:t>
            </w:r>
            <w:r w:rsidR="00D61392" w:rsidRPr="007B5BE6">
              <w:rPr>
                <w:rStyle w:val="FootnoteReference"/>
                <w:sz w:val="20"/>
                <w:szCs w:val="20"/>
              </w:rPr>
              <w:footnoteReference w:id="165"/>
            </w:r>
          </w:p>
        </w:tc>
      </w:tr>
      <w:tr w:rsidR="00926CA2" w:rsidRPr="007B5BE6" w14:paraId="246CA1DC" w14:textId="77777777" w:rsidTr="00B32A77">
        <w:tc>
          <w:tcPr>
            <w:tcW w:w="4508" w:type="dxa"/>
          </w:tcPr>
          <w:p w14:paraId="65B57D4B" w14:textId="5918B20A" w:rsidR="00926CA2" w:rsidRPr="007B5BE6" w:rsidRDefault="00926CA2" w:rsidP="00B32A77">
            <w:pPr>
              <w:jc w:val="left"/>
              <w:rPr>
                <w:sz w:val="20"/>
                <w:szCs w:val="20"/>
              </w:rPr>
            </w:pPr>
            <w:r w:rsidRPr="007B5BE6">
              <w:rPr>
                <w:sz w:val="20"/>
                <w:szCs w:val="20"/>
              </w:rPr>
              <w:lastRenderedPageBreak/>
              <w:t>Lack of understanding of capacity</w:t>
            </w:r>
            <w:r w:rsidR="00D61392" w:rsidRPr="007B5BE6">
              <w:rPr>
                <w:rStyle w:val="FootnoteReference"/>
                <w:sz w:val="20"/>
                <w:szCs w:val="20"/>
              </w:rPr>
              <w:footnoteReference w:id="166"/>
            </w:r>
          </w:p>
        </w:tc>
        <w:tc>
          <w:tcPr>
            <w:tcW w:w="4508" w:type="dxa"/>
          </w:tcPr>
          <w:p w14:paraId="7E949031" w14:textId="09B894CD" w:rsidR="00926CA2" w:rsidRPr="007B5BE6" w:rsidRDefault="00926CA2" w:rsidP="00B32A77">
            <w:pPr>
              <w:jc w:val="left"/>
              <w:rPr>
                <w:sz w:val="20"/>
                <w:szCs w:val="20"/>
              </w:rPr>
            </w:pPr>
            <w:r w:rsidRPr="007B5BE6">
              <w:rPr>
                <w:sz w:val="20"/>
                <w:szCs w:val="20"/>
              </w:rPr>
              <w:t>Fear of authority (particularly in some communities, such as CALD communities)</w:t>
            </w:r>
            <w:r w:rsidR="00D61392" w:rsidRPr="007B5BE6">
              <w:rPr>
                <w:rStyle w:val="FootnoteReference"/>
                <w:sz w:val="20"/>
                <w:szCs w:val="20"/>
              </w:rPr>
              <w:footnoteReference w:id="167"/>
            </w:r>
          </w:p>
        </w:tc>
      </w:tr>
      <w:tr w:rsidR="00926CA2" w:rsidRPr="007B5BE6" w14:paraId="28E1A2F9" w14:textId="77777777" w:rsidTr="00B32A77">
        <w:tc>
          <w:tcPr>
            <w:tcW w:w="4508" w:type="dxa"/>
          </w:tcPr>
          <w:p w14:paraId="768A4AB6" w14:textId="7E7035CE" w:rsidR="00926CA2" w:rsidRPr="007B5BE6" w:rsidRDefault="0097025E" w:rsidP="00B32A77">
            <w:pPr>
              <w:jc w:val="left"/>
              <w:rPr>
                <w:sz w:val="20"/>
                <w:szCs w:val="20"/>
              </w:rPr>
            </w:pPr>
            <w:r w:rsidRPr="007B5BE6">
              <w:rPr>
                <w:sz w:val="20"/>
                <w:szCs w:val="20"/>
              </w:rPr>
              <w:t>Cognitive decline</w:t>
            </w:r>
            <w:r w:rsidR="0022405D" w:rsidRPr="007B5BE6">
              <w:rPr>
                <w:rStyle w:val="FootnoteReference"/>
                <w:sz w:val="20"/>
                <w:szCs w:val="20"/>
              </w:rPr>
              <w:footnoteReference w:id="168"/>
            </w:r>
          </w:p>
        </w:tc>
        <w:tc>
          <w:tcPr>
            <w:tcW w:w="4508" w:type="dxa"/>
          </w:tcPr>
          <w:p w14:paraId="3D6B0C92" w14:textId="77777777" w:rsidR="00465EDE" w:rsidRPr="007B5BE6" w:rsidRDefault="00465EDE" w:rsidP="00B32A77">
            <w:pPr>
              <w:jc w:val="left"/>
              <w:rPr>
                <w:sz w:val="20"/>
                <w:szCs w:val="20"/>
              </w:rPr>
            </w:pPr>
            <w:r w:rsidRPr="007B5BE6">
              <w:rPr>
                <w:sz w:val="20"/>
                <w:szCs w:val="20"/>
              </w:rPr>
              <w:t>Capacity to seek help, including:</w:t>
            </w:r>
          </w:p>
          <w:p w14:paraId="4ECE1215" w14:textId="76E77E0D" w:rsidR="00465EDE" w:rsidRPr="007B5BE6" w:rsidRDefault="00465EDE" w:rsidP="00B32A77">
            <w:pPr>
              <w:pStyle w:val="DotPointTLRI"/>
              <w:jc w:val="left"/>
              <w:rPr>
                <w:sz w:val="20"/>
                <w:szCs w:val="20"/>
              </w:rPr>
            </w:pPr>
            <w:r w:rsidRPr="007B5BE6">
              <w:rPr>
                <w:sz w:val="20"/>
                <w:szCs w:val="20"/>
              </w:rPr>
              <w:t>digital literacy; or</w:t>
            </w:r>
          </w:p>
          <w:p w14:paraId="11093276" w14:textId="2F73D14F" w:rsidR="00926CA2" w:rsidRPr="007B5BE6" w:rsidRDefault="00465EDE" w:rsidP="00B32A77">
            <w:pPr>
              <w:pStyle w:val="DotPointTLRI"/>
              <w:jc w:val="left"/>
              <w:rPr>
                <w:sz w:val="20"/>
                <w:szCs w:val="20"/>
              </w:rPr>
            </w:pPr>
            <w:r w:rsidRPr="007B5BE6">
              <w:rPr>
                <w:sz w:val="20"/>
                <w:szCs w:val="20"/>
              </w:rPr>
              <w:t>cognitive capacity to report using current responses available (carer can operate as gatekeeper to help-seeking)</w:t>
            </w:r>
            <w:r w:rsidR="00D61392" w:rsidRPr="007B5BE6">
              <w:rPr>
                <w:rStyle w:val="FootnoteReference"/>
                <w:sz w:val="20"/>
                <w:szCs w:val="20"/>
              </w:rPr>
              <w:footnoteReference w:id="169"/>
            </w:r>
          </w:p>
        </w:tc>
      </w:tr>
      <w:tr w:rsidR="00926CA2" w:rsidRPr="007B5BE6" w14:paraId="6BF7B9FA" w14:textId="77777777" w:rsidTr="00B32A77">
        <w:tc>
          <w:tcPr>
            <w:tcW w:w="4508" w:type="dxa"/>
          </w:tcPr>
          <w:p w14:paraId="7335F695" w14:textId="3B6F6B13" w:rsidR="00926CA2" w:rsidRPr="007B5BE6" w:rsidRDefault="003B5280" w:rsidP="00B32A77">
            <w:pPr>
              <w:jc w:val="left"/>
              <w:rPr>
                <w:sz w:val="20"/>
                <w:szCs w:val="20"/>
              </w:rPr>
            </w:pPr>
            <w:r w:rsidRPr="007B5BE6">
              <w:rPr>
                <w:sz w:val="20"/>
                <w:szCs w:val="20"/>
              </w:rPr>
              <w:t>Reliance on others for care/loss of control and choice over lives</w:t>
            </w:r>
            <w:r w:rsidR="00D61392" w:rsidRPr="007B5BE6">
              <w:rPr>
                <w:rStyle w:val="FootnoteReference"/>
                <w:sz w:val="20"/>
                <w:szCs w:val="20"/>
              </w:rPr>
              <w:footnoteReference w:id="170"/>
            </w:r>
          </w:p>
        </w:tc>
        <w:tc>
          <w:tcPr>
            <w:tcW w:w="4508" w:type="dxa"/>
          </w:tcPr>
          <w:p w14:paraId="08B03BED" w14:textId="49AACB94" w:rsidR="00926CA2" w:rsidRPr="007B5BE6" w:rsidRDefault="002D0E1A" w:rsidP="00B32A77">
            <w:pPr>
              <w:pStyle w:val="DotPointTLRI"/>
              <w:numPr>
                <w:ilvl w:val="0"/>
                <w:numId w:val="0"/>
              </w:numPr>
              <w:jc w:val="left"/>
            </w:pPr>
            <w:r w:rsidRPr="007B5BE6">
              <w:rPr>
                <w:sz w:val="20"/>
                <w:szCs w:val="20"/>
              </w:rPr>
              <w:t>Lack of understanding of what abuse is</w:t>
            </w:r>
            <w:r w:rsidR="00D61392" w:rsidRPr="007B5BE6">
              <w:rPr>
                <w:rStyle w:val="FootnoteReference"/>
                <w:sz w:val="20"/>
                <w:szCs w:val="20"/>
              </w:rPr>
              <w:footnoteReference w:id="171"/>
            </w:r>
            <w:r w:rsidRPr="007B5BE6">
              <w:rPr>
                <w:sz w:val="20"/>
                <w:szCs w:val="20"/>
              </w:rPr>
              <w:t xml:space="preserve"> </w:t>
            </w:r>
            <w:r w:rsidR="00926CA2" w:rsidRPr="007B5BE6">
              <w:t xml:space="preserve"> </w:t>
            </w:r>
          </w:p>
        </w:tc>
      </w:tr>
      <w:tr w:rsidR="00926CA2" w:rsidRPr="007B5BE6" w14:paraId="718758DB" w14:textId="77777777" w:rsidTr="00B32A77">
        <w:tc>
          <w:tcPr>
            <w:tcW w:w="4508" w:type="dxa"/>
          </w:tcPr>
          <w:p w14:paraId="19A6A595" w14:textId="65C0EBAC" w:rsidR="00926CA2" w:rsidRPr="007B5BE6" w:rsidRDefault="00E650A0" w:rsidP="00B32A77">
            <w:pPr>
              <w:jc w:val="left"/>
              <w:rPr>
                <w:sz w:val="20"/>
                <w:szCs w:val="20"/>
              </w:rPr>
            </w:pPr>
            <w:r>
              <w:rPr>
                <w:sz w:val="20"/>
                <w:szCs w:val="20"/>
              </w:rPr>
              <w:t xml:space="preserve">Challenges in family relationships, including </w:t>
            </w:r>
            <w:r w:rsidR="004500B7">
              <w:rPr>
                <w:sz w:val="20"/>
                <w:szCs w:val="20"/>
              </w:rPr>
              <w:t>complex dynamics and perpetrators experiencing mental health challenges, substance use and relationship breakdown</w:t>
            </w:r>
            <w:r w:rsidR="008C2144">
              <w:rPr>
                <w:rStyle w:val="FootnoteReference"/>
                <w:sz w:val="20"/>
                <w:szCs w:val="20"/>
              </w:rPr>
              <w:footnoteReference w:id="172"/>
            </w:r>
            <w:r w:rsidR="004500B7">
              <w:rPr>
                <w:sz w:val="20"/>
                <w:szCs w:val="20"/>
              </w:rPr>
              <w:t xml:space="preserve"> </w:t>
            </w:r>
          </w:p>
        </w:tc>
        <w:tc>
          <w:tcPr>
            <w:tcW w:w="4508" w:type="dxa"/>
          </w:tcPr>
          <w:p w14:paraId="292AFF0D" w14:textId="325C9060" w:rsidR="00926CA2" w:rsidRPr="007B5BE6" w:rsidRDefault="00926CA2" w:rsidP="00B32A77">
            <w:pPr>
              <w:jc w:val="left"/>
              <w:rPr>
                <w:sz w:val="20"/>
                <w:szCs w:val="20"/>
              </w:rPr>
            </w:pPr>
            <w:r w:rsidRPr="007B5BE6">
              <w:rPr>
                <w:sz w:val="20"/>
                <w:szCs w:val="20"/>
              </w:rPr>
              <w:t>Most options for help-seeking require consent of older person</w:t>
            </w:r>
            <w:r w:rsidR="00D61392" w:rsidRPr="007B5BE6">
              <w:rPr>
                <w:rStyle w:val="FootnoteReference"/>
                <w:sz w:val="20"/>
                <w:szCs w:val="20"/>
              </w:rPr>
              <w:footnoteReference w:id="173"/>
            </w:r>
          </w:p>
        </w:tc>
      </w:tr>
      <w:tr w:rsidR="00926CA2" w:rsidRPr="007B5BE6" w14:paraId="295ADBEC" w14:textId="77777777" w:rsidTr="00B32A77">
        <w:tc>
          <w:tcPr>
            <w:tcW w:w="4508" w:type="dxa"/>
          </w:tcPr>
          <w:p w14:paraId="7068C02B" w14:textId="77777777" w:rsidR="00926CA2" w:rsidRPr="007B5BE6" w:rsidRDefault="00926CA2" w:rsidP="00B32A77">
            <w:pPr>
              <w:jc w:val="left"/>
              <w:rPr>
                <w:sz w:val="20"/>
                <w:szCs w:val="20"/>
              </w:rPr>
            </w:pPr>
          </w:p>
        </w:tc>
        <w:tc>
          <w:tcPr>
            <w:tcW w:w="4508" w:type="dxa"/>
          </w:tcPr>
          <w:p w14:paraId="7DA12023" w14:textId="24F35E0D" w:rsidR="00926CA2" w:rsidRPr="007B5BE6" w:rsidRDefault="00926CA2" w:rsidP="00B32A77">
            <w:pPr>
              <w:jc w:val="left"/>
              <w:rPr>
                <w:sz w:val="20"/>
                <w:szCs w:val="20"/>
              </w:rPr>
            </w:pPr>
            <w:r w:rsidRPr="007B5BE6">
              <w:rPr>
                <w:sz w:val="20"/>
                <w:szCs w:val="20"/>
              </w:rPr>
              <w:t>Service systems and individuals don’t know where to go to seek help</w:t>
            </w:r>
            <w:r w:rsidR="00D61392" w:rsidRPr="007B5BE6">
              <w:rPr>
                <w:rStyle w:val="FootnoteReference"/>
                <w:sz w:val="20"/>
                <w:szCs w:val="20"/>
              </w:rPr>
              <w:footnoteReference w:id="174"/>
            </w:r>
          </w:p>
        </w:tc>
      </w:tr>
    </w:tbl>
    <w:p w14:paraId="3A3A42A7" w14:textId="03513E36" w:rsidR="00D53EF0" w:rsidRPr="007B5BE6" w:rsidRDefault="00926CA2" w:rsidP="00926CA2">
      <w:pPr>
        <w:pStyle w:val="NormalNumberedTextTLRI"/>
      </w:pPr>
      <w:r w:rsidRPr="007B5BE6">
        <w:t xml:space="preserve"> It was noted by many stakeholders that there can be multiple factors at play affecting the occurrence of abuse and help-seeking behaviours.</w:t>
      </w:r>
      <w:r w:rsidR="00F3294D" w:rsidRPr="007B5BE6">
        <w:rPr>
          <w:rStyle w:val="FootnoteReference"/>
        </w:rPr>
        <w:footnoteReference w:id="175"/>
      </w:r>
      <w:r w:rsidRPr="007B5BE6">
        <w:t xml:space="preserve"> </w:t>
      </w:r>
      <w:r w:rsidR="00F3294D" w:rsidRPr="007B5BE6">
        <w:t>For example, one stakeholder noted that this can inc</w:t>
      </w:r>
      <w:r w:rsidR="00120B72" w:rsidRPr="007B5BE6">
        <w:t xml:space="preserve">lude </w:t>
      </w:r>
      <w:r w:rsidR="00F3294D" w:rsidRPr="007B5BE6">
        <w:t>a combination of the following</w:t>
      </w:r>
      <w:r w:rsidR="00D53EF0" w:rsidRPr="007B5BE6">
        <w:t>:</w:t>
      </w:r>
    </w:p>
    <w:p w14:paraId="1D91622D" w14:textId="1370BCA4" w:rsidR="00D53EF0" w:rsidRPr="007B5BE6" w:rsidRDefault="0023384B" w:rsidP="00BE2657">
      <w:pPr>
        <w:pStyle w:val="DotPointTLRI"/>
      </w:pPr>
      <w:r w:rsidRPr="007B5BE6">
        <w:t>deterre</w:t>
      </w:r>
      <w:r w:rsidR="00C7163D" w:rsidRPr="007B5BE6">
        <w:t>nce from, or avoidance of, help-</w:t>
      </w:r>
      <w:r w:rsidR="006772E4" w:rsidRPr="007B5BE6">
        <w:t xml:space="preserve">seeking due to </w:t>
      </w:r>
      <w:r w:rsidR="00774E6D" w:rsidRPr="007B5BE6">
        <w:t>perception</w:t>
      </w:r>
      <w:r w:rsidR="00120B72" w:rsidRPr="007B5BE6">
        <w:t>s</w:t>
      </w:r>
      <w:r w:rsidR="00774E6D" w:rsidRPr="007B5BE6">
        <w:t xml:space="preserve"> that </w:t>
      </w:r>
      <w:r w:rsidR="006772E4" w:rsidRPr="007B5BE6">
        <w:t xml:space="preserve">it </w:t>
      </w:r>
      <w:r w:rsidR="005A5C56" w:rsidRPr="007B5BE6">
        <w:t xml:space="preserve">would </w:t>
      </w:r>
      <w:r w:rsidR="006772E4" w:rsidRPr="007B5BE6">
        <w:t>likely be</w:t>
      </w:r>
      <w:r w:rsidR="00ED0E5A" w:rsidRPr="007B5BE6">
        <w:t xml:space="preserve"> ineffective or lead to negative outcomes (possibly from hearing stories about the experience of others)</w:t>
      </w:r>
      <w:r w:rsidR="00D53EF0" w:rsidRPr="007B5BE6">
        <w:t>;</w:t>
      </w:r>
    </w:p>
    <w:p w14:paraId="1E9EF9AB" w14:textId="75A3CA22" w:rsidR="0023384B" w:rsidRPr="007B5BE6" w:rsidRDefault="00120B72" w:rsidP="00BE2657">
      <w:pPr>
        <w:pStyle w:val="DotPointTLRI"/>
      </w:pPr>
      <w:r w:rsidRPr="007B5BE6">
        <w:t>not knowing where to get</w:t>
      </w:r>
      <w:r w:rsidR="00C56806" w:rsidRPr="007B5BE6">
        <w:t xml:space="preserve"> help or understanding information </w:t>
      </w:r>
      <w:r w:rsidR="00A77A98" w:rsidRPr="007B5BE6">
        <w:t>available to</w:t>
      </w:r>
      <w:r w:rsidR="005A5C56" w:rsidRPr="007B5BE6">
        <w:t xml:space="preserve"> </w:t>
      </w:r>
      <w:r w:rsidR="00C56806" w:rsidRPr="007B5BE6">
        <w:t>support help-seeking (due to</w:t>
      </w:r>
      <w:r w:rsidR="009306E8" w:rsidRPr="007B5BE6">
        <w:t xml:space="preserve"> a</w:t>
      </w:r>
      <w:r w:rsidR="00C56806" w:rsidRPr="007B5BE6">
        <w:t xml:space="preserve"> lack of literacy or access to technology</w:t>
      </w:r>
      <w:r w:rsidR="009306E8" w:rsidRPr="007B5BE6">
        <w:t>,</w:t>
      </w:r>
      <w:r w:rsidR="00C56806" w:rsidRPr="007B5BE6">
        <w:t xml:space="preserve"> such as </w:t>
      </w:r>
      <w:r w:rsidR="009306E8" w:rsidRPr="007B5BE6">
        <w:t xml:space="preserve">not having a </w:t>
      </w:r>
      <w:r w:rsidR="00C56806" w:rsidRPr="007B5BE6">
        <w:t>computer</w:t>
      </w:r>
      <w:r w:rsidR="0023384B" w:rsidRPr="007B5BE6">
        <w:t xml:space="preserve"> or internet access);</w:t>
      </w:r>
      <w:r w:rsidR="006F0027" w:rsidRPr="007B5BE6">
        <w:t xml:space="preserve"> and</w:t>
      </w:r>
    </w:p>
    <w:p w14:paraId="4D260FF8" w14:textId="56E65A0E" w:rsidR="00271B65" w:rsidRPr="007B5BE6" w:rsidRDefault="00D529E2" w:rsidP="00C337BA">
      <w:pPr>
        <w:pStyle w:val="DotPointTLRI"/>
        <w:rPr>
          <w:sz w:val="20"/>
          <w:szCs w:val="20"/>
        </w:rPr>
      </w:pPr>
      <w:r w:rsidRPr="007B5BE6">
        <w:t>reluctance</w:t>
      </w:r>
      <w:r w:rsidR="006772E4" w:rsidRPr="007B5BE6">
        <w:t xml:space="preserve"> to seek help </w:t>
      </w:r>
      <w:r w:rsidR="0045086A" w:rsidRPr="007B5BE6">
        <w:t>due to f</w:t>
      </w:r>
      <w:r w:rsidR="006772E4" w:rsidRPr="007B5BE6">
        <w:t xml:space="preserve">ear of </w:t>
      </w:r>
      <w:r w:rsidR="00783C5B" w:rsidRPr="007B5BE6">
        <w:t>upsetting family members</w:t>
      </w:r>
      <w:r w:rsidR="00F84DE1" w:rsidRPr="007B5BE6">
        <w:t>,</w:t>
      </w:r>
      <w:r w:rsidR="00783C5B" w:rsidRPr="007B5BE6">
        <w:t xml:space="preserve"> or causing conflict</w:t>
      </w:r>
      <w:r w:rsidR="00F84DE1" w:rsidRPr="007B5BE6">
        <w:t>,</w:t>
      </w:r>
      <w:r w:rsidR="00783C5B" w:rsidRPr="007B5BE6">
        <w:t xml:space="preserve"> that could lead to relationship breakdown</w:t>
      </w:r>
      <w:r w:rsidR="002A2399" w:rsidRPr="007B5BE6">
        <w:t>,</w:t>
      </w:r>
      <w:r w:rsidR="006F0027" w:rsidRPr="007B5BE6">
        <w:t xml:space="preserve"> </w:t>
      </w:r>
      <w:r w:rsidR="009E0ED4" w:rsidRPr="007B5BE6">
        <w:t xml:space="preserve">or </w:t>
      </w:r>
      <w:r w:rsidR="00F84DE1" w:rsidRPr="007B5BE6">
        <w:t xml:space="preserve">fear of </w:t>
      </w:r>
      <w:r w:rsidR="002F6D29" w:rsidRPr="007B5BE6">
        <w:t xml:space="preserve">others </w:t>
      </w:r>
      <w:r w:rsidR="00F84DE1" w:rsidRPr="007B5BE6">
        <w:t>discovering</w:t>
      </w:r>
      <w:r w:rsidR="002F6D29" w:rsidRPr="007B5BE6">
        <w:t xml:space="preserve"> </w:t>
      </w:r>
      <w:r w:rsidR="00D34B45" w:rsidRPr="007B5BE6">
        <w:t>that the older person has sought hel</w:t>
      </w:r>
      <w:r w:rsidR="004A23F5" w:rsidRPr="007B5BE6">
        <w:t>p</w:t>
      </w:r>
      <w:r w:rsidR="00FA6BE4" w:rsidRPr="007B5BE6">
        <w:t xml:space="preserve">—especially noted </w:t>
      </w:r>
      <w:r w:rsidR="006F0027" w:rsidRPr="007B5BE6">
        <w:t xml:space="preserve">as potential </w:t>
      </w:r>
      <w:r w:rsidR="00185384" w:rsidRPr="007B5BE6">
        <w:t xml:space="preserve">issues of </w:t>
      </w:r>
      <w:r w:rsidR="006F0027" w:rsidRPr="007B5BE6">
        <w:t xml:space="preserve">concern </w:t>
      </w:r>
      <w:r w:rsidR="00783C5B" w:rsidRPr="007B5BE6">
        <w:t>in small rural or regional Tasmania</w:t>
      </w:r>
      <w:r w:rsidR="00185384" w:rsidRPr="007B5BE6">
        <w:t>n communities</w:t>
      </w:r>
      <w:r w:rsidR="00940C57" w:rsidRPr="007B5BE6">
        <w:t>)</w:t>
      </w:r>
      <w:r w:rsidR="00926CA2" w:rsidRPr="007B5BE6">
        <w:t>.</w:t>
      </w:r>
      <w:r w:rsidR="00D61392" w:rsidRPr="007B5BE6">
        <w:rPr>
          <w:rStyle w:val="FootnoteReference"/>
        </w:rPr>
        <w:footnoteReference w:id="176"/>
      </w:r>
      <w:r w:rsidR="00926CA2" w:rsidRPr="007B5BE6">
        <w:rPr>
          <w:sz w:val="20"/>
          <w:szCs w:val="20"/>
        </w:rPr>
        <w:t xml:space="preserve"> </w:t>
      </w:r>
    </w:p>
    <w:p w14:paraId="64020BEB" w14:textId="7944F8B7" w:rsidR="009D3C38" w:rsidRPr="007B5BE6" w:rsidRDefault="00422934" w:rsidP="009D3C38">
      <w:pPr>
        <w:pStyle w:val="NormalNumberedTextTLRI"/>
      </w:pPr>
      <w:r w:rsidRPr="007B5BE6">
        <w:t xml:space="preserve">Another stakeholder </w:t>
      </w:r>
      <w:r w:rsidR="00A77A98" w:rsidRPr="007B5BE6">
        <w:t xml:space="preserve">highlighted </w:t>
      </w:r>
      <w:r w:rsidRPr="007B5BE6">
        <w:t>the complex dynamics</w:t>
      </w:r>
      <w:r w:rsidR="00304416" w:rsidRPr="007B5BE6">
        <w:t xml:space="preserve"> </w:t>
      </w:r>
      <w:r w:rsidR="005F01BC" w:rsidRPr="007B5BE6">
        <w:t xml:space="preserve">between older people and adult children </w:t>
      </w:r>
      <w:r w:rsidR="00304416" w:rsidRPr="007B5BE6">
        <w:t>that can exist in</w:t>
      </w:r>
      <w:r w:rsidR="00940C57" w:rsidRPr="007B5BE6">
        <w:t xml:space="preserve"> </w:t>
      </w:r>
      <w:r w:rsidR="005433F6" w:rsidRPr="007B5BE6">
        <w:t>circumstances that can give rise to abusive relationships</w:t>
      </w:r>
      <w:r w:rsidR="00940C57" w:rsidRPr="007B5BE6">
        <w:t xml:space="preserve">. </w:t>
      </w:r>
      <w:r w:rsidR="00CB0E0B" w:rsidRPr="007B5BE6">
        <w:t>T</w:t>
      </w:r>
      <w:r w:rsidR="00940C57" w:rsidRPr="007B5BE6">
        <w:t>hese circumstances</w:t>
      </w:r>
      <w:r w:rsidR="00F66F2B" w:rsidRPr="007B5BE6">
        <w:t xml:space="preserve"> </w:t>
      </w:r>
      <w:r w:rsidR="00746068" w:rsidRPr="007B5BE6">
        <w:t xml:space="preserve">were described to </w:t>
      </w:r>
      <w:r w:rsidR="000808D8" w:rsidRPr="007B5BE6">
        <w:t xml:space="preserve">sometimes </w:t>
      </w:r>
      <w:r w:rsidR="00746068" w:rsidRPr="007B5BE6">
        <w:t xml:space="preserve">involve </w:t>
      </w:r>
      <w:r w:rsidR="0011704D" w:rsidRPr="007B5BE6">
        <w:t xml:space="preserve">mutual </w:t>
      </w:r>
      <w:r w:rsidR="000808D8" w:rsidRPr="007B5BE6">
        <w:t>dependen</w:t>
      </w:r>
      <w:r w:rsidR="0011704D" w:rsidRPr="007B5BE6">
        <w:t xml:space="preserve">cy for </w:t>
      </w:r>
      <w:r w:rsidR="000808D8" w:rsidRPr="007B5BE6">
        <w:t>care</w:t>
      </w:r>
      <w:r w:rsidR="0011704D" w:rsidRPr="007B5BE6">
        <w:t xml:space="preserve">, with the </w:t>
      </w:r>
      <w:r w:rsidR="009863A0" w:rsidRPr="007B5BE6">
        <w:t xml:space="preserve">adult child having </w:t>
      </w:r>
      <w:r w:rsidR="002B6CFA" w:rsidRPr="007B5BE6">
        <w:t>expectations</w:t>
      </w:r>
      <w:r w:rsidR="00384788" w:rsidRPr="007B5BE6">
        <w:t xml:space="preserve">, for example not having to pay rent or </w:t>
      </w:r>
      <w:r w:rsidR="00A33AB8" w:rsidRPr="007B5BE6">
        <w:t xml:space="preserve">contribute to </w:t>
      </w:r>
      <w:r w:rsidR="00384788" w:rsidRPr="007B5BE6">
        <w:t>living costs</w:t>
      </w:r>
      <w:r w:rsidR="00666987" w:rsidRPr="007B5BE6">
        <w:t>.</w:t>
      </w:r>
      <w:r w:rsidR="009C1172" w:rsidRPr="007B5BE6">
        <w:t xml:space="preserve"> </w:t>
      </w:r>
      <w:r w:rsidR="00AF0309" w:rsidRPr="007B5BE6">
        <w:t>Such complexities</w:t>
      </w:r>
      <w:r w:rsidR="00BE1128" w:rsidRPr="007B5BE6">
        <w:t xml:space="preserve"> in these circumstances</w:t>
      </w:r>
      <w:r w:rsidR="00AF0309" w:rsidRPr="007B5BE6">
        <w:t xml:space="preserve"> were </w:t>
      </w:r>
      <w:r w:rsidR="009C1172" w:rsidRPr="007B5BE6">
        <w:t>p</w:t>
      </w:r>
      <w:r w:rsidR="000150BD" w:rsidRPr="007B5BE6">
        <w:t xml:space="preserve">articularly </w:t>
      </w:r>
      <w:r w:rsidR="009C1172" w:rsidRPr="007B5BE6">
        <w:t xml:space="preserve">noted </w:t>
      </w:r>
      <w:r w:rsidR="004922D9" w:rsidRPr="007B5BE6">
        <w:t xml:space="preserve">where </w:t>
      </w:r>
      <w:r w:rsidR="0012343E" w:rsidRPr="007B5BE6">
        <w:t xml:space="preserve">the adult child </w:t>
      </w:r>
      <w:r w:rsidR="00BE1128" w:rsidRPr="007B5BE6">
        <w:t xml:space="preserve">is </w:t>
      </w:r>
      <w:r w:rsidR="004922D9" w:rsidRPr="007B5BE6">
        <w:t xml:space="preserve">suffering from </w:t>
      </w:r>
      <w:r w:rsidR="000150BD" w:rsidRPr="007B5BE6">
        <w:t xml:space="preserve">mental health </w:t>
      </w:r>
      <w:r w:rsidR="004922D9" w:rsidRPr="007B5BE6">
        <w:t>concerns</w:t>
      </w:r>
      <w:r w:rsidR="00B73FFD">
        <w:t>:</w:t>
      </w:r>
    </w:p>
    <w:p w14:paraId="7F306516" w14:textId="1B9960BB" w:rsidR="009D3C38" w:rsidRPr="007B5BE6" w:rsidRDefault="009D3C38" w:rsidP="009D3C38">
      <w:pPr>
        <w:pStyle w:val="Indentedquote"/>
        <w:rPr>
          <w:sz w:val="20"/>
          <w:szCs w:val="20"/>
        </w:rPr>
      </w:pPr>
      <w:r w:rsidRPr="007B5BE6">
        <w:rPr>
          <w:sz w:val="20"/>
          <w:szCs w:val="20"/>
        </w:rPr>
        <w:lastRenderedPageBreak/>
        <w:t xml:space="preserve">The … whole complexity of mental health issues as well that plays into this space. And </w:t>
      </w:r>
      <w:r w:rsidR="00F6447C" w:rsidRPr="007B5BE6">
        <w:rPr>
          <w:sz w:val="20"/>
          <w:szCs w:val="20"/>
        </w:rPr>
        <w:t>so,</w:t>
      </w:r>
      <w:r w:rsidRPr="007B5BE6">
        <w:rPr>
          <w:sz w:val="20"/>
          <w:szCs w:val="20"/>
        </w:rPr>
        <w:t xml:space="preserve"> in terms of trying to manage that, so you've got parents concerned for the </w:t>
      </w:r>
      <w:r w:rsidR="00545C13" w:rsidRPr="007B5BE6">
        <w:rPr>
          <w:sz w:val="20"/>
          <w:szCs w:val="20"/>
        </w:rPr>
        <w:t>wellbeing</w:t>
      </w:r>
      <w:r w:rsidRPr="007B5BE6">
        <w:rPr>
          <w:sz w:val="20"/>
          <w:szCs w:val="20"/>
        </w:rPr>
        <w:t xml:space="preserve"> of their child as well as being sort of suffering at the hands of their mentally unwell child</w:t>
      </w:r>
      <w:r w:rsidRPr="007B5BE6" w:rsidDel="0045492C">
        <w:rPr>
          <w:sz w:val="20"/>
          <w:szCs w:val="20"/>
        </w:rPr>
        <w:t>.</w:t>
      </w:r>
      <w:r w:rsidR="00D61392" w:rsidRPr="007B5BE6">
        <w:rPr>
          <w:rStyle w:val="FootnoteReference"/>
          <w:sz w:val="20"/>
          <w:szCs w:val="20"/>
        </w:rPr>
        <w:footnoteReference w:id="177"/>
      </w:r>
    </w:p>
    <w:p w14:paraId="483F82FF" w14:textId="266BD47F" w:rsidR="00926CA2" w:rsidRPr="007B5BE6" w:rsidRDefault="00521D9B" w:rsidP="00926CA2">
      <w:pPr>
        <w:pStyle w:val="NormalNumberedTextTLRI"/>
      </w:pPr>
      <w:r w:rsidRPr="007B5BE6">
        <w:t xml:space="preserve">In considering the </w:t>
      </w:r>
      <w:r w:rsidR="00926CA2" w:rsidRPr="007B5BE6">
        <w:t xml:space="preserve">factors </w:t>
      </w:r>
      <w:r w:rsidR="00E6237D" w:rsidRPr="007B5BE6">
        <w:t xml:space="preserve">bearing on experiences of abuse </w:t>
      </w:r>
      <w:r w:rsidR="00712071" w:rsidRPr="007B5BE6">
        <w:t>of older people</w:t>
      </w:r>
      <w:r w:rsidR="00926CA2" w:rsidRPr="007B5BE6">
        <w:t xml:space="preserve"> and help-seeking</w:t>
      </w:r>
      <w:r w:rsidRPr="007B5BE6">
        <w:t xml:space="preserve">, stakeholders most frequently identified </w:t>
      </w:r>
      <w:r w:rsidR="00E6237D" w:rsidRPr="007B5BE6">
        <w:t xml:space="preserve">the factor of </w:t>
      </w:r>
      <w:r w:rsidR="00926CA2" w:rsidRPr="007B5BE6">
        <w:t xml:space="preserve">fear of losing relationships </w:t>
      </w:r>
      <w:r w:rsidR="009D3C38" w:rsidRPr="007B5BE6">
        <w:t>due to</w:t>
      </w:r>
      <w:r w:rsidR="00926CA2" w:rsidRPr="007B5BE6">
        <w:t xml:space="preserve"> seeking help, </w:t>
      </w:r>
      <w:r w:rsidR="000A7B7A" w:rsidRPr="007B5BE6">
        <w:t xml:space="preserve">especially the reluctance of </w:t>
      </w:r>
      <w:r w:rsidR="00926CA2" w:rsidRPr="007B5BE6">
        <w:t>older people to pursue a legal response</w:t>
      </w:r>
      <w:r w:rsidR="00ED6FE9" w:rsidRPr="007B5BE6">
        <w:t>, through seeking legal support</w:t>
      </w:r>
      <w:r w:rsidR="00926CA2" w:rsidRPr="007B5BE6">
        <w:t xml:space="preserve"> or initiat</w:t>
      </w:r>
      <w:r w:rsidR="00ED6FE9" w:rsidRPr="007B5BE6">
        <w:t>ing</w:t>
      </w:r>
      <w:r w:rsidR="00926CA2" w:rsidRPr="007B5BE6">
        <w:t xml:space="preserve"> legal proceedings against family members. For example, one stakeholder commented: </w:t>
      </w:r>
    </w:p>
    <w:p w14:paraId="47914BAD" w14:textId="1DBD587D" w:rsidR="00926CA2" w:rsidRPr="007B5BE6" w:rsidRDefault="00926CA2" w:rsidP="00DC58B5">
      <w:pPr>
        <w:pStyle w:val="Indentedquote"/>
        <w:rPr>
          <w:sz w:val="20"/>
          <w:szCs w:val="20"/>
        </w:rPr>
      </w:pPr>
      <w:r w:rsidRPr="007B5BE6">
        <w:rPr>
          <w:sz w:val="20"/>
          <w:szCs w:val="20"/>
        </w:rPr>
        <w:t>They don't wanna lose their relationships with family when they're being abused. They just want the abuse to stop.</w:t>
      </w:r>
      <w:r w:rsidR="00D61392" w:rsidRPr="007B5BE6">
        <w:rPr>
          <w:rStyle w:val="FootnoteReference"/>
          <w:sz w:val="20"/>
          <w:szCs w:val="20"/>
        </w:rPr>
        <w:footnoteReference w:id="178"/>
      </w:r>
    </w:p>
    <w:p w14:paraId="7C4A4A5C" w14:textId="62596305" w:rsidR="00480277" w:rsidRPr="007B5BE6" w:rsidRDefault="00926CA2" w:rsidP="00303241">
      <w:pPr>
        <w:rPr>
          <w:rFonts w:eastAsia="Times New Roman"/>
        </w:rPr>
      </w:pPr>
      <w:r w:rsidRPr="007B5BE6">
        <w:t>This theme was also reflected throughout stakeholder</w:t>
      </w:r>
      <w:r w:rsidR="00D268BE" w:rsidRPr="007B5BE6">
        <w:t xml:space="preserve">s’ discussions of </w:t>
      </w:r>
      <w:r w:rsidRPr="007B5BE6">
        <w:t>gaps in the law</w:t>
      </w:r>
      <w:r w:rsidR="008D1BC6" w:rsidRPr="007B5BE6">
        <w:t>.</w:t>
      </w:r>
      <w:r w:rsidR="00AE0B98" w:rsidRPr="007B5BE6">
        <w:rPr>
          <w:rStyle w:val="FootnoteReference"/>
        </w:rPr>
        <w:footnoteReference w:id="179"/>
      </w:r>
      <w:r w:rsidR="008D1BC6" w:rsidRPr="007B5BE6">
        <w:t xml:space="preserve"> </w:t>
      </w:r>
    </w:p>
    <w:p w14:paraId="4E97CBA9" w14:textId="573C9137" w:rsidR="00FF0984" w:rsidRPr="007B5BE6" w:rsidRDefault="000B34C3" w:rsidP="00744D17">
      <w:pPr>
        <w:pStyle w:val="NumberedHeadingTLRI"/>
      </w:pPr>
      <w:bookmarkStart w:id="39" w:name="_Toc212561734"/>
      <w:r w:rsidRPr="007B5BE6">
        <w:t xml:space="preserve">Insights into the nature of abuse from cases </w:t>
      </w:r>
      <w:r w:rsidR="00FF0984" w:rsidRPr="007B5BE6">
        <w:t>in Tasmanian courts and tribunals</w:t>
      </w:r>
      <w:bookmarkEnd w:id="39"/>
      <w:r w:rsidR="00FF0984" w:rsidRPr="007B5BE6">
        <w:t xml:space="preserve"> </w:t>
      </w:r>
    </w:p>
    <w:p w14:paraId="37089BD7" w14:textId="50482386" w:rsidR="007636AF" w:rsidRPr="007B5BE6" w:rsidRDefault="00C34FF0" w:rsidP="007636AF">
      <w:pPr>
        <w:pStyle w:val="NormalNumberedTextTLRI"/>
      </w:pPr>
      <w:r w:rsidRPr="007B5BE6">
        <w:t>There is l</w:t>
      </w:r>
      <w:r w:rsidR="007636AF" w:rsidRPr="007B5BE6">
        <w:t xml:space="preserve">imited information available </w:t>
      </w:r>
      <w:r w:rsidR="00174E40" w:rsidRPr="007B5BE6">
        <w:t xml:space="preserve">concerning </w:t>
      </w:r>
      <w:r w:rsidR="007636AF" w:rsidRPr="007B5BE6">
        <w:t xml:space="preserve">the abuse of older Tasmanians </w:t>
      </w:r>
      <w:r w:rsidR="00174E40" w:rsidRPr="007B5BE6">
        <w:t xml:space="preserve">within </w:t>
      </w:r>
      <w:r w:rsidR="007636AF" w:rsidRPr="007B5BE6">
        <w:t xml:space="preserve">data held by police </w:t>
      </w:r>
      <w:r w:rsidR="00EA6684" w:rsidRPr="007B5BE6">
        <w:t xml:space="preserve">and </w:t>
      </w:r>
      <w:r w:rsidR="007636AF" w:rsidRPr="007B5BE6">
        <w:t xml:space="preserve">courts in Tasmania. </w:t>
      </w:r>
      <w:r w:rsidR="00EA6684" w:rsidRPr="007B5BE6">
        <w:t>Therefore, i</w:t>
      </w:r>
      <w:r w:rsidR="007636AF" w:rsidRPr="007B5BE6">
        <w:t>t is difficult to identify</w:t>
      </w:r>
      <w:r w:rsidR="00371F1E" w:rsidRPr="007B5BE6">
        <w:t>,</w:t>
      </w:r>
      <w:r w:rsidR="007636AF" w:rsidRPr="007B5BE6">
        <w:t xml:space="preserve"> </w:t>
      </w:r>
      <w:r w:rsidR="00E36DA1" w:rsidRPr="007B5BE6">
        <w:t xml:space="preserve">the extent of </w:t>
      </w:r>
      <w:r w:rsidR="007636AF" w:rsidRPr="007B5BE6">
        <w:t>cases involving the abuse of older people</w:t>
      </w:r>
      <w:r w:rsidR="004637B7" w:rsidRPr="007B5BE6">
        <w:t xml:space="preserve"> </w:t>
      </w:r>
      <w:r w:rsidR="00E50131" w:rsidRPr="007B5BE6">
        <w:t xml:space="preserve">within </w:t>
      </w:r>
      <w:r w:rsidR="0004128A" w:rsidRPr="007B5BE6">
        <w:t xml:space="preserve">legal responses </w:t>
      </w:r>
      <w:r w:rsidR="00597F08" w:rsidRPr="007B5BE6">
        <w:t>within these systems</w:t>
      </w:r>
      <w:r w:rsidR="00933548" w:rsidRPr="007B5BE6">
        <w:t xml:space="preserve">. </w:t>
      </w:r>
      <w:r w:rsidR="007F4760" w:rsidRPr="007B5BE6">
        <w:t>This</w:t>
      </w:r>
      <w:r w:rsidR="007636AF" w:rsidRPr="007B5BE6">
        <w:t xml:space="preserve"> limits the extent to which </w:t>
      </w:r>
      <w:r w:rsidR="00E50131" w:rsidRPr="007B5BE6">
        <w:t>data from these systems</w:t>
      </w:r>
      <w:r w:rsidR="007636AF" w:rsidRPr="007B5BE6">
        <w:t xml:space="preserve"> can provide insights into the nature of abuse </w:t>
      </w:r>
      <w:r w:rsidR="007B00D7" w:rsidRPr="007B5BE6">
        <w:t>and</w:t>
      </w:r>
      <w:r w:rsidR="007636AF" w:rsidRPr="007B5BE6">
        <w:t xml:space="preserve"> responses </w:t>
      </w:r>
      <w:r w:rsidR="00F94085" w:rsidRPr="007B5BE6">
        <w:t xml:space="preserve">to abuse </w:t>
      </w:r>
      <w:r w:rsidR="007636AF" w:rsidRPr="007B5BE6">
        <w:t>under the current legal framework</w:t>
      </w:r>
      <w:r w:rsidR="007B00D7" w:rsidRPr="007B5BE6">
        <w:t xml:space="preserve"> (as discussed in </w:t>
      </w:r>
      <w:r w:rsidR="007B00D7" w:rsidRPr="007B5BE6">
        <w:rPr>
          <w:b/>
          <w:bCs/>
        </w:rPr>
        <w:t>Part 4</w:t>
      </w:r>
      <w:r w:rsidR="007B00D7" w:rsidRPr="007B5BE6">
        <w:t>)</w:t>
      </w:r>
      <w:r w:rsidR="007636AF" w:rsidRPr="007B5BE6">
        <w:t>. There are several reasons for this including that:</w:t>
      </w:r>
    </w:p>
    <w:p w14:paraId="604F6B6F" w14:textId="77777777" w:rsidR="007636AF" w:rsidRPr="007B5BE6" w:rsidRDefault="007636AF" w:rsidP="007636AF">
      <w:pPr>
        <w:pStyle w:val="DotPointTLRI"/>
      </w:pPr>
      <w:r w:rsidRPr="007B5BE6">
        <w:t>there are no specific ‘elder abuse’ offences; and</w:t>
      </w:r>
    </w:p>
    <w:p w14:paraId="61D9637B" w14:textId="7A87A06C" w:rsidR="007636AF" w:rsidRPr="007B5BE6" w:rsidRDefault="007636AF" w:rsidP="007636AF">
      <w:pPr>
        <w:pStyle w:val="DotPointTLRI"/>
      </w:pPr>
      <w:r w:rsidRPr="007B5BE6">
        <w:t xml:space="preserve">for offences that exist, data is not recorded </w:t>
      </w:r>
      <w:r w:rsidR="007B00D7" w:rsidRPr="007B5BE6">
        <w:t xml:space="preserve">in a way </w:t>
      </w:r>
      <w:r w:rsidRPr="007B5BE6">
        <w:t xml:space="preserve">that would allow for the identification of cases involving abuse of older people. </w:t>
      </w:r>
    </w:p>
    <w:p w14:paraId="0E6048F1" w14:textId="6AEA702E" w:rsidR="00167EA3" w:rsidRDefault="007636AF" w:rsidP="005F7BEF">
      <w:pPr>
        <w:pStyle w:val="NormalNumberedTextTLRI"/>
      </w:pPr>
      <w:r w:rsidRPr="007B5BE6">
        <w:t xml:space="preserve">This </w:t>
      </w:r>
      <w:r w:rsidR="007E5B74" w:rsidRPr="007B5BE6">
        <w:t xml:space="preserve">limitation </w:t>
      </w:r>
      <w:r w:rsidRPr="007B5BE6">
        <w:t xml:space="preserve">means it </w:t>
      </w:r>
      <w:r w:rsidR="007E5B74" w:rsidRPr="007B5BE6">
        <w:t xml:space="preserve">is </w:t>
      </w:r>
      <w:r w:rsidRPr="007B5BE6">
        <w:t>not possible to know how many such cases are reported to police or proceeded with by police. This also applies to</w:t>
      </w:r>
      <w:r w:rsidR="00D61CE3" w:rsidRPr="007B5BE6">
        <w:t xml:space="preserve"> data in Tasmanian</w:t>
      </w:r>
      <w:r w:rsidRPr="007B5BE6">
        <w:t xml:space="preserve"> court</w:t>
      </w:r>
      <w:r w:rsidR="00D61CE3" w:rsidRPr="007B5BE6">
        <w:t>s and tribunals</w:t>
      </w:r>
      <w:r w:rsidRPr="007B5BE6">
        <w:t xml:space="preserve">, where it is </w:t>
      </w:r>
      <w:r w:rsidR="00B3373C" w:rsidRPr="007B5BE6">
        <w:t xml:space="preserve">generally </w:t>
      </w:r>
      <w:r w:rsidRPr="007B5BE6">
        <w:t xml:space="preserve">not possible to extract </w:t>
      </w:r>
      <w:r w:rsidR="00983E90" w:rsidRPr="007B5BE6">
        <w:t xml:space="preserve">criminal or civil </w:t>
      </w:r>
      <w:r w:rsidRPr="007B5BE6">
        <w:t>cases involving the abuse of older people.</w:t>
      </w:r>
      <w:r w:rsidR="00AE0B98" w:rsidRPr="007B5BE6">
        <w:rPr>
          <w:rStyle w:val="FootnoteReference"/>
        </w:rPr>
        <w:footnoteReference w:id="180"/>
      </w:r>
      <w:r w:rsidR="000F6931" w:rsidRPr="007B5BE6">
        <w:t xml:space="preserve"> </w:t>
      </w:r>
      <w:r w:rsidRPr="007B5BE6">
        <w:t xml:space="preserve"> </w:t>
      </w:r>
      <w:r w:rsidR="00EF0DFC" w:rsidRPr="007B5BE6">
        <w:t>C</w:t>
      </w:r>
      <w:r w:rsidR="008F787A" w:rsidRPr="007B5BE6">
        <w:t>omments on passing sentence</w:t>
      </w:r>
      <w:r w:rsidR="00EF0DFC" w:rsidRPr="007B5BE6">
        <w:t xml:space="preserve"> for sentences imposed in the Magistrates Court of Tasmania </w:t>
      </w:r>
      <w:r w:rsidR="008F787A" w:rsidRPr="007B5BE6">
        <w:t xml:space="preserve">are not routinely published online, so it is not possible to determine cases </w:t>
      </w:r>
      <w:r w:rsidR="009900E3" w:rsidRPr="007B5BE6">
        <w:t xml:space="preserve">in which </w:t>
      </w:r>
      <w:r w:rsidR="008F787A" w:rsidRPr="007B5BE6">
        <w:t xml:space="preserve">older people have been </w:t>
      </w:r>
      <w:r w:rsidR="00F06638" w:rsidRPr="007B5BE6">
        <w:t xml:space="preserve">the </w:t>
      </w:r>
      <w:r w:rsidR="008F787A" w:rsidRPr="007B5BE6">
        <w:t>victim</w:t>
      </w:r>
      <w:r w:rsidR="00387795" w:rsidRPr="007B5BE6">
        <w:t xml:space="preserve"> of an offence in a criminal matter</w:t>
      </w:r>
      <w:r w:rsidR="008F787A" w:rsidRPr="007B5BE6">
        <w:t>, or s</w:t>
      </w:r>
      <w:r w:rsidR="009900E3" w:rsidRPr="007B5BE6">
        <w:t>ought</w:t>
      </w:r>
      <w:r w:rsidR="008F787A" w:rsidRPr="007B5BE6">
        <w:t xml:space="preserve"> civil family violence orders or restraint orders</w:t>
      </w:r>
      <w:r w:rsidR="00265406" w:rsidRPr="007B5BE6">
        <w:t>.</w:t>
      </w:r>
    </w:p>
    <w:p w14:paraId="3EDE7F8D" w14:textId="77777777" w:rsidR="00167EA3" w:rsidRDefault="00167EA3">
      <w:pPr>
        <w:spacing w:after="200" w:line="276" w:lineRule="auto"/>
        <w:jc w:val="left"/>
        <w:rPr>
          <w:rFonts w:eastAsia="Times" w:cs="Times New Roman"/>
          <w:szCs w:val="20"/>
        </w:rPr>
      </w:pPr>
      <w:r>
        <w:br w:type="page"/>
      </w:r>
    </w:p>
    <w:p w14:paraId="6F05087F" w14:textId="549EC08D" w:rsidR="00195D68" w:rsidRPr="007B5BE6" w:rsidRDefault="00A302AE" w:rsidP="005F7BEF">
      <w:pPr>
        <w:pStyle w:val="NormalNumberedTextTLRI"/>
      </w:pPr>
      <w:r w:rsidRPr="007B5BE6">
        <w:lastRenderedPageBreak/>
        <w:t>A</w:t>
      </w:r>
      <w:r w:rsidR="00195D68" w:rsidRPr="007B5BE6">
        <w:t>n ex</w:t>
      </w:r>
      <w:r w:rsidR="006E6BCB" w:rsidRPr="007B5BE6">
        <w:t>ception</w:t>
      </w:r>
      <w:r w:rsidR="00195D68" w:rsidRPr="007B5BE6">
        <w:t xml:space="preserve"> is data published by the Coronial Division of the Magistrates Court</w:t>
      </w:r>
      <w:r w:rsidR="00F527FE" w:rsidRPr="007B5BE6">
        <w:rPr>
          <w:rStyle w:val="FootnoteReference"/>
        </w:rPr>
        <w:footnoteReference w:id="181"/>
      </w:r>
      <w:r w:rsidR="00195D68" w:rsidRPr="007B5BE6">
        <w:t xml:space="preserve"> (on the Coronial Division’s website</w:t>
      </w:r>
      <w:r w:rsidR="00AE0B98" w:rsidRPr="007B5BE6">
        <w:rPr>
          <w:rStyle w:val="FootnoteReference"/>
        </w:rPr>
        <w:footnoteReference w:id="182"/>
      </w:r>
      <w:r w:rsidR="00195D68" w:rsidRPr="007B5BE6">
        <w:t xml:space="preserve"> and in its annual reports) in cases where the coroner investigates the death of an older person.</w:t>
      </w:r>
      <w:r w:rsidR="00AE0B98" w:rsidRPr="007B5BE6">
        <w:rPr>
          <w:rStyle w:val="FootnoteReference"/>
        </w:rPr>
        <w:footnoteReference w:id="183"/>
      </w:r>
      <w:r w:rsidR="000B2CFD" w:rsidRPr="007B5BE6">
        <w:t xml:space="preserve"> </w:t>
      </w:r>
      <w:r w:rsidR="00265406" w:rsidRPr="007B5BE6">
        <w:t xml:space="preserve">Further information is </w:t>
      </w:r>
      <w:r w:rsidR="00CA1A58" w:rsidRPr="007B5BE6">
        <w:t xml:space="preserve">also </w:t>
      </w:r>
      <w:r w:rsidR="00265406" w:rsidRPr="007B5BE6">
        <w:t xml:space="preserve">available in </w:t>
      </w:r>
      <w:r w:rsidR="002E2BFB" w:rsidRPr="007B5BE6">
        <w:t xml:space="preserve">comments on passing </w:t>
      </w:r>
      <w:r w:rsidR="00265406" w:rsidRPr="007B5BE6">
        <w:t>s</w:t>
      </w:r>
      <w:r w:rsidRPr="007B5BE6">
        <w:t>ente</w:t>
      </w:r>
      <w:r w:rsidR="002E2BFB" w:rsidRPr="007B5BE6">
        <w:t xml:space="preserve">nce for sentences imposed in the </w:t>
      </w:r>
      <w:r w:rsidRPr="007B5BE6">
        <w:t xml:space="preserve">Supreme Court </w:t>
      </w:r>
      <w:r w:rsidR="002E2BFB" w:rsidRPr="007B5BE6">
        <w:t>of Tasmania</w:t>
      </w:r>
      <w:r w:rsidR="00CA1A58" w:rsidRPr="007B5BE6">
        <w:t>, which are published</w:t>
      </w:r>
      <w:r w:rsidR="00CA1A58" w:rsidRPr="007B5BE6" w:rsidDel="00D51505">
        <w:t xml:space="preserve"> </w:t>
      </w:r>
      <w:r w:rsidR="00390051" w:rsidRPr="007B5BE6">
        <w:t>on the Court’s website</w:t>
      </w:r>
      <w:r w:rsidRPr="007B5BE6">
        <w:t>.</w:t>
      </w:r>
      <w:r w:rsidR="00390051" w:rsidRPr="007B5BE6">
        <w:rPr>
          <w:rStyle w:val="FootnoteReference"/>
        </w:rPr>
        <w:footnoteReference w:id="184"/>
      </w:r>
    </w:p>
    <w:p w14:paraId="40E9E65C" w14:textId="7D9552AD" w:rsidR="00DA08F7" w:rsidRPr="007B5BE6" w:rsidRDefault="00DA08F7" w:rsidP="00987055">
      <w:pPr>
        <w:pStyle w:val="Headingunnumbered"/>
        <w:spacing w:before="360"/>
      </w:pPr>
      <w:bookmarkStart w:id="40" w:name="_Toc212561735"/>
      <w:r w:rsidRPr="007B5BE6">
        <w:t>Criminal and coronial cases</w:t>
      </w:r>
      <w:r w:rsidR="00660871" w:rsidRPr="007B5BE6">
        <w:t>:</w:t>
      </w:r>
      <w:r w:rsidRPr="007B5BE6">
        <w:t xml:space="preserve"> deaths of older Tasmanians</w:t>
      </w:r>
      <w:bookmarkEnd w:id="40"/>
    </w:p>
    <w:p w14:paraId="5997108A" w14:textId="02F58FC9" w:rsidR="00586529" w:rsidRPr="007B5BE6" w:rsidRDefault="00586529" w:rsidP="00586529">
      <w:pPr>
        <w:pStyle w:val="NormalNumberedTextTLRI"/>
      </w:pPr>
      <w:r w:rsidRPr="007B5BE6">
        <w:t xml:space="preserve">An analysis of </w:t>
      </w:r>
      <w:r w:rsidR="00DF65AF" w:rsidRPr="007B5BE6">
        <w:t xml:space="preserve">comments on passing </w:t>
      </w:r>
      <w:r w:rsidRPr="007B5BE6">
        <w:t>sentenc</w:t>
      </w:r>
      <w:r w:rsidR="00DF65AF" w:rsidRPr="007B5BE6">
        <w:t xml:space="preserve">e for sentences imposed in </w:t>
      </w:r>
      <w:r w:rsidRPr="007B5BE6">
        <w:t xml:space="preserve">the Supreme Court of Tasmania </w:t>
      </w:r>
      <w:r w:rsidR="009439D6" w:rsidRPr="007B5BE6">
        <w:t xml:space="preserve">in </w:t>
      </w:r>
      <w:r w:rsidRPr="007B5BE6">
        <w:t>2023</w:t>
      </w:r>
      <w:r w:rsidR="009439D6" w:rsidRPr="007B5BE6">
        <w:t xml:space="preserve"> and </w:t>
      </w:r>
      <w:r w:rsidRPr="007B5BE6">
        <w:t>2024 did not reveal any cases that would fall within the scope of the abuse of an older person.</w:t>
      </w:r>
      <w:r w:rsidR="00E2173A" w:rsidRPr="007B5BE6">
        <w:rPr>
          <w:rStyle w:val="FootnoteReference"/>
        </w:rPr>
        <w:footnoteReference w:id="185"/>
      </w:r>
      <w:r w:rsidRPr="007B5BE6">
        <w:t xml:space="preserve"> </w:t>
      </w:r>
      <w:r w:rsidR="00265406" w:rsidRPr="007B5BE6">
        <w:t>In addition, n</w:t>
      </w:r>
      <w:r w:rsidRPr="007B5BE6">
        <w:t>o cases were located where a child or other family member</w:t>
      </w:r>
      <w:r w:rsidR="00F563B5" w:rsidRPr="007B5BE6">
        <w:t xml:space="preserve"> of an older person</w:t>
      </w:r>
      <w:r w:rsidRPr="007B5BE6">
        <w:t xml:space="preserve"> was convicted in relation to stealing or any other financial offence.</w:t>
      </w:r>
      <w:r w:rsidR="00A2413E" w:rsidRPr="007B5BE6">
        <w:rPr>
          <w:rStyle w:val="FootnoteReference"/>
        </w:rPr>
        <w:footnoteReference w:id="186"/>
      </w:r>
      <w:r w:rsidRPr="007B5BE6">
        <w:t xml:space="preserve"> However, there have been </w:t>
      </w:r>
      <w:r w:rsidR="005A5892" w:rsidRPr="007B5BE6">
        <w:t xml:space="preserve">two </w:t>
      </w:r>
      <w:r w:rsidRPr="007B5BE6">
        <w:t>earlier cases</w:t>
      </w:r>
      <w:r w:rsidR="00A2413E" w:rsidRPr="007B5BE6">
        <w:rPr>
          <w:rStyle w:val="FootnoteReference"/>
        </w:rPr>
        <w:footnoteReference w:id="187"/>
      </w:r>
      <w:r w:rsidRPr="007B5BE6">
        <w:t xml:space="preserve"> sentenced in the Supreme Court </w:t>
      </w:r>
      <w:r w:rsidR="00C92E7E" w:rsidRPr="007B5BE6">
        <w:t xml:space="preserve">of Tasmania </w:t>
      </w:r>
      <w:r w:rsidRPr="007B5BE6">
        <w:t>in circumstances that constitute</w:t>
      </w:r>
      <w:r w:rsidR="00C92E7E" w:rsidRPr="007B5BE6">
        <w:t>d,</w:t>
      </w:r>
      <w:r w:rsidRPr="007B5BE6">
        <w:t xml:space="preserve"> or may </w:t>
      </w:r>
      <w:r w:rsidR="00C92E7E" w:rsidRPr="007B5BE6">
        <w:t xml:space="preserve">have </w:t>
      </w:r>
      <w:r w:rsidRPr="007B5BE6">
        <w:t>constitute</w:t>
      </w:r>
      <w:r w:rsidR="00C92E7E" w:rsidRPr="007B5BE6">
        <w:t>d,</w:t>
      </w:r>
      <w:r w:rsidRPr="007B5BE6">
        <w:t xml:space="preserve"> abuse of an older person.</w:t>
      </w:r>
      <w:r w:rsidR="00A2413E" w:rsidRPr="007B5BE6">
        <w:rPr>
          <w:rStyle w:val="FootnoteReference"/>
        </w:rPr>
        <w:footnoteReference w:id="188"/>
      </w:r>
    </w:p>
    <w:p w14:paraId="24814CF3" w14:textId="2C4096B2" w:rsidR="00167EA3" w:rsidRDefault="00BB0C75" w:rsidP="00E37E26">
      <w:pPr>
        <w:pStyle w:val="NormalNumberedTextTLRI"/>
      </w:pPr>
      <w:r w:rsidRPr="007B5BE6">
        <w:t xml:space="preserve">Findings </w:t>
      </w:r>
      <w:r w:rsidR="00D4444F" w:rsidRPr="007B5BE6">
        <w:t xml:space="preserve">from coronial cases </w:t>
      </w:r>
      <w:r w:rsidRPr="007B5BE6">
        <w:t>are published by year from 2013</w:t>
      </w:r>
      <w:r w:rsidR="009439D6" w:rsidRPr="007B5BE6">
        <w:t xml:space="preserve"> to </w:t>
      </w:r>
      <w:r w:rsidRPr="007B5BE6">
        <w:t>2025, as well as a smaller selection pre-2012</w:t>
      </w:r>
      <w:r w:rsidR="007E7487" w:rsidRPr="007B5BE6">
        <w:t xml:space="preserve">. A review of these cases </w:t>
      </w:r>
      <w:r w:rsidR="00D4444F" w:rsidRPr="007B5BE6">
        <w:t>showed that</w:t>
      </w:r>
      <w:r w:rsidR="00265406" w:rsidRPr="007B5BE6">
        <w:t xml:space="preserve"> </w:t>
      </w:r>
      <w:r w:rsidR="00D4444F" w:rsidRPr="007B5BE6">
        <w:t>m</w:t>
      </w:r>
      <w:r w:rsidR="0059783E" w:rsidRPr="007B5BE6">
        <w:t xml:space="preserve">ost commonly, </w:t>
      </w:r>
      <w:r w:rsidR="00D4444F" w:rsidRPr="007B5BE6">
        <w:t xml:space="preserve">the </w:t>
      </w:r>
      <w:r w:rsidR="0059783E" w:rsidRPr="007B5BE6">
        <w:t xml:space="preserve">death of an older person was caused by a fall, while in </w:t>
      </w:r>
      <w:r w:rsidR="007E7487" w:rsidRPr="007B5BE6">
        <w:t xml:space="preserve">residential </w:t>
      </w:r>
      <w:r w:rsidR="0059783E" w:rsidRPr="007B5BE6">
        <w:t>aged care, living at home or in hospital.</w:t>
      </w:r>
      <w:r w:rsidR="00A2413E" w:rsidRPr="007B5BE6">
        <w:rPr>
          <w:rStyle w:val="FootnoteReference"/>
        </w:rPr>
        <w:footnoteReference w:id="189"/>
      </w:r>
      <w:r w:rsidR="0059783E" w:rsidRPr="007B5BE6">
        <w:t xml:space="preserve"> </w:t>
      </w:r>
      <w:r w:rsidR="00CD0879" w:rsidRPr="007B5BE6">
        <w:t xml:space="preserve">There were </w:t>
      </w:r>
      <w:r w:rsidR="00D4444F" w:rsidRPr="007B5BE6">
        <w:t xml:space="preserve">four </w:t>
      </w:r>
      <w:r w:rsidR="00CD0879" w:rsidRPr="007B5BE6">
        <w:t>cases where the death was attributable to the conduct of a family member or in circumstances that would come within the scope of abuse of an older person.</w:t>
      </w:r>
      <w:r w:rsidR="00A2413E" w:rsidRPr="007B5BE6">
        <w:rPr>
          <w:rStyle w:val="FootnoteReference"/>
        </w:rPr>
        <w:footnoteReference w:id="190"/>
      </w:r>
      <w:r w:rsidR="00651A1D" w:rsidRPr="007B5BE6">
        <w:t xml:space="preserve"> </w:t>
      </w:r>
    </w:p>
    <w:p w14:paraId="44E1FC30" w14:textId="77777777" w:rsidR="00167EA3" w:rsidRDefault="00167EA3">
      <w:pPr>
        <w:spacing w:after="200" w:line="276" w:lineRule="auto"/>
        <w:jc w:val="left"/>
        <w:rPr>
          <w:rFonts w:eastAsia="Times" w:cs="Times New Roman"/>
          <w:szCs w:val="20"/>
        </w:rPr>
      </w:pPr>
      <w:r>
        <w:br w:type="page"/>
      </w:r>
    </w:p>
    <w:p w14:paraId="14617DB0" w14:textId="7799F60E" w:rsidR="009709B7" w:rsidRPr="007B5BE6" w:rsidRDefault="008A4EAE" w:rsidP="00B6355E">
      <w:pPr>
        <w:pStyle w:val="NormalNumberedTextTLRI"/>
      </w:pPr>
      <w:r w:rsidRPr="007B5BE6">
        <w:lastRenderedPageBreak/>
        <w:t xml:space="preserve">Table </w:t>
      </w:r>
      <w:r w:rsidR="00A27C6E" w:rsidRPr="007B5BE6">
        <w:t>B.1</w:t>
      </w:r>
      <w:r w:rsidRPr="007B5BE6">
        <w:t xml:space="preserve"> in </w:t>
      </w:r>
      <w:r w:rsidRPr="007B5BE6">
        <w:rPr>
          <w:b/>
          <w:bCs/>
        </w:rPr>
        <w:t xml:space="preserve">Appendix </w:t>
      </w:r>
      <w:r w:rsidR="00B55255" w:rsidRPr="007B5BE6">
        <w:rPr>
          <w:b/>
          <w:bCs/>
        </w:rPr>
        <w:t>B</w:t>
      </w:r>
      <w:r w:rsidRPr="007B5BE6">
        <w:t xml:space="preserve"> summarises the circumstances of these </w:t>
      </w:r>
      <w:r w:rsidR="00275C87" w:rsidRPr="007B5BE6">
        <w:t xml:space="preserve">four </w:t>
      </w:r>
      <w:r w:rsidRPr="007B5BE6">
        <w:t xml:space="preserve">cases reflected in the relevant court decisions (in </w:t>
      </w:r>
      <w:r w:rsidR="00275C87" w:rsidRPr="007B5BE6">
        <w:t xml:space="preserve">criminal and/or </w:t>
      </w:r>
      <w:r w:rsidR="00745D2F" w:rsidRPr="007B5BE6">
        <w:t xml:space="preserve">coronial </w:t>
      </w:r>
      <w:r w:rsidRPr="007B5BE6">
        <w:t>jurisdictions)</w:t>
      </w:r>
      <w:r w:rsidR="0074155C" w:rsidRPr="007B5BE6">
        <w:t xml:space="preserve">, </w:t>
      </w:r>
      <w:r w:rsidR="00F74ABF" w:rsidRPr="007B5BE6">
        <w:t>concern</w:t>
      </w:r>
      <w:r w:rsidR="0074155C" w:rsidRPr="007B5BE6">
        <w:t>ing</w:t>
      </w:r>
      <w:r w:rsidR="00F74ABF" w:rsidRPr="007B5BE6">
        <w:t xml:space="preserve"> </w:t>
      </w:r>
      <w:r w:rsidR="009709B7" w:rsidRPr="007B5BE6">
        <w:t>the deaths of:</w:t>
      </w:r>
    </w:p>
    <w:p w14:paraId="53ECBF9B" w14:textId="23FDA72F" w:rsidR="009709B7" w:rsidRPr="007B5BE6" w:rsidRDefault="009709B7" w:rsidP="009709B7">
      <w:pPr>
        <w:pStyle w:val="DotPointTLRI"/>
      </w:pPr>
      <w:r w:rsidRPr="007B5BE6">
        <w:t>Mrs Janet Lois Mac</w:t>
      </w:r>
      <w:r w:rsidR="00B55255" w:rsidRPr="007B5BE6">
        <w:t>k</w:t>
      </w:r>
      <w:r w:rsidRPr="007B5BE6">
        <w:t>ozdi (criminal</w:t>
      </w:r>
      <w:r w:rsidR="00A2413E" w:rsidRPr="007B5BE6">
        <w:rPr>
          <w:rStyle w:val="FootnoteReference"/>
        </w:rPr>
        <w:footnoteReference w:id="191"/>
      </w:r>
      <w:r w:rsidRPr="007B5BE6">
        <w:t xml:space="preserve"> and coronial</w:t>
      </w:r>
      <w:r w:rsidR="00A2413E" w:rsidRPr="007B5BE6">
        <w:rPr>
          <w:rStyle w:val="FootnoteReference"/>
        </w:rPr>
        <w:footnoteReference w:id="192"/>
      </w:r>
      <w:r w:rsidRPr="007B5BE6">
        <w:t xml:space="preserve"> </w:t>
      </w:r>
      <w:r w:rsidR="00702B44" w:rsidRPr="007B5BE6">
        <w:t>jurisdictions</w:t>
      </w:r>
      <w:r w:rsidRPr="007B5BE6">
        <w:t>);</w:t>
      </w:r>
    </w:p>
    <w:p w14:paraId="3B21E13C" w14:textId="4809B7CE" w:rsidR="009709B7" w:rsidRPr="007B5BE6" w:rsidRDefault="009709B7" w:rsidP="009709B7">
      <w:pPr>
        <w:pStyle w:val="DotPointTLRI"/>
      </w:pPr>
      <w:r w:rsidRPr="007B5BE6">
        <w:t xml:space="preserve">Mrs </w:t>
      </w:r>
      <w:r w:rsidR="00052948" w:rsidRPr="007B5BE6">
        <w:t>Dorothy Jean Atkins (coronial</w:t>
      </w:r>
      <w:r w:rsidR="007C3C1C" w:rsidRPr="007B5BE6">
        <w:rPr>
          <w:rStyle w:val="FootnoteReference"/>
        </w:rPr>
        <w:footnoteReference w:id="193"/>
      </w:r>
      <w:r w:rsidR="00052948" w:rsidRPr="007B5BE6">
        <w:t xml:space="preserve"> </w:t>
      </w:r>
      <w:r w:rsidR="00702B44" w:rsidRPr="007B5BE6">
        <w:t>jurisdiction</w:t>
      </w:r>
      <w:r w:rsidR="00052948" w:rsidRPr="007B5BE6">
        <w:t>);</w:t>
      </w:r>
    </w:p>
    <w:p w14:paraId="4C819CB0" w14:textId="37DD30E7" w:rsidR="00052948" w:rsidRPr="007B5BE6" w:rsidRDefault="00052948" w:rsidP="009709B7">
      <w:pPr>
        <w:pStyle w:val="DotPointTLRI"/>
      </w:pPr>
      <w:r w:rsidRPr="007B5BE6">
        <w:t>Mrs</w:t>
      </w:r>
      <w:r w:rsidR="009170A8" w:rsidRPr="007B5BE6">
        <w:t xml:space="preserve"> Nelda Mavis Edwards (coronial</w:t>
      </w:r>
      <w:r w:rsidR="007C3C1C" w:rsidRPr="007B5BE6">
        <w:rPr>
          <w:rStyle w:val="FootnoteReference"/>
        </w:rPr>
        <w:footnoteReference w:id="194"/>
      </w:r>
      <w:r w:rsidR="009170A8" w:rsidRPr="007B5BE6">
        <w:t xml:space="preserve"> </w:t>
      </w:r>
      <w:r w:rsidR="00702B44" w:rsidRPr="007B5BE6">
        <w:t>jurisdiction</w:t>
      </w:r>
      <w:r w:rsidR="009170A8" w:rsidRPr="007B5BE6">
        <w:t>);</w:t>
      </w:r>
      <w:r w:rsidR="00C93126" w:rsidRPr="007B5BE6">
        <w:t xml:space="preserve"> and </w:t>
      </w:r>
    </w:p>
    <w:p w14:paraId="46061DD2" w14:textId="3BA9EA4E" w:rsidR="009170A8" w:rsidRPr="007B5BE6" w:rsidRDefault="004E3A4F" w:rsidP="009709B7">
      <w:pPr>
        <w:pStyle w:val="DotPointTLRI"/>
      </w:pPr>
      <w:r w:rsidRPr="007B5BE6">
        <w:t xml:space="preserve">Mrs Veronica </w:t>
      </w:r>
      <w:r w:rsidR="00032E9C" w:rsidRPr="007B5BE6">
        <w:t>Corstorphine</w:t>
      </w:r>
      <w:r w:rsidRPr="007B5BE6">
        <w:t xml:space="preserve"> (criminal</w:t>
      </w:r>
      <w:r w:rsidR="007C3C1C" w:rsidRPr="007B5BE6">
        <w:rPr>
          <w:rStyle w:val="FootnoteReference"/>
        </w:rPr>
        <w:footnoteReference w:id="195"/>
      </w:r>
      <w:r w:rsidRPr="007B5BE6">
        <w:t xml:space="preserve"> and coronial</w:t>
      </w:r>
      <w:r w:rsidR="007C3C1C" w:rsidRPr="007B5BE6">
        <w:rPr>
          <w:rStyle w:val="FootnoteReference"/>
        </w:rPr>
        <w:footnoteReference w:id="196"/>
      </w:r>
      <w:r w:rsidRPr="007B5BE6">
        <w:t xml:space="preserve"> </w:t>
      </w:r>
      <w:r w:rsidR="00702B44" w:rsidRPr="007B5BE6">
        <w:t>jurisdictions</w:t>
      </w:r>
      <w:r w:rsidRPr="007B5BE6">
        <w:t>).</w:t>
      </w:r>
    </w:p>
    <w:p w14:paraId="28F85EED" w14:textId="1CE6382B" w:rsidR="00B6355E" w:rsidRPr="007B5BE6" w:rsidRDefault="00F4002A" w:rsidP="009709B7">
      <w:r w:rsidRPr="007B5BE6">
        <w:t xml:space="preserve">Collectively, these four </w:t>
      </w:r>
      <w:r w:rsidR="006D5A8D" w:rsidRPr="007B5BE6">
        <w:t>cases (four</w:t>
      </w:r>
      <w:r w:rsidR="001312B3" w:rsidRPr="007B5BE6">
        <w:t xml:space="preserve"> </w:t>
      </w:r>
      <w:r w:rsidR="00EF3648" w:rsidRPr="007B5BE6">
        <w:t>in</w:t>
      </w:r>
      <w:r w:rsidR="006D5A8D" w:rsidRPr="007B5BE6">
        <w:t xml:space="preserve"> </w:t>
      </w:r>
      <w:r w:rsidR="00EF3648" w:rsidRPr="007B5BE6">
        <w:t xml:space="preserve">the </w:t>
      </w:r>
      <w:r w:rsidRPr="007B5BE6">
        <w:t xml:space="preserve">coronial </w:t>
      </w:r>
      <w:r w:rsidR="00EF3648" w:rsidRPr="007B5BE6">
        <w:t>jurisdiction</w:t>
      </w:r>
      <w:r w:rsidRPr="007B5BE6">
        <w:t xml:space="preserve"> and two </w:t>
      </w:r>
      <w:r w:rsidR="00EF3648" w:rsidRPr="007B5BE6">
        <w:t xml:space="preserve">in the </w:t>
      </w:r>
      <w:r w:rsidR="00AE7977" w:rsidRPr="007B5BE6">
        <w:t xml:space="preserve">criminal </w:t>
      </w:r>
      <w:r w:rsidR="00EF3648" w:rsidRPr="007B5BE6">
        <w:t xml:space="preserve">jurisdiction) </w:t>
      </w:r>
      <w:r w:rsidRPr="007B5BE6">
        <w:t xml:space="preserve">provide some additional insights into the nature of abuse of older Tasmanians, with a focus on dynamics of abuse, risk factors and help-seeking behaviours. </w:t>
      </w:r>
    </w:p>
    <w:p w14:paraId="2E6E42B8" w14:textId="0857AB62" w:rsidR="00483947" w:rsidRPr="007B5BE6" w:rsidRDefault="006670F0" w:rsidP="00483947">
      <w:pPr>
        <w:pStyle w:val="NormalNumberedTextTLRI"/>
      </w:pPr>
      <w:r w:rsidRPr="007B5BE6">
        <w:t>Given the</w:t>
      </w:r>
      <w:r w:rsidR="00B6355E" w:rsidRPr="007B5BE6">
        <w:t xml:space="preserve"> small number of cases, it is not possible to make generalisable findings. However, some observations can be drawn </w:t>
      </w:r>
      <w:r w:rsidR="00F74366" w:rsidRPr="007B5BE6">
        <w:t>about</w:t>
      </w:r>
      <w:r w:rsidR="008A4EAE" w:rsidRPr="007B5BE6">
        <w:t xml:space="preserve"> </w:t>
      </w:r>
      <w:r w:rsidR="00F74366" w:rsidRPr="007B5BE6">
        <w:t xml:space="preserve">the </w:t>
      </w:r>
      <w:r w:rsidR="00B5113C" w:rsidRPr="007B5BE6">
        <w:t xml:space="preserve">circumstances, </w:t>
      </w:r>
      <w:r w:rsidR="00B6355E" w:rsidRPr="007B5BE6">
        <w:t>form and dynamics of abusive behaviour</w:t>
      </w:r>
      <w:r w:rsidR="00AA28DF" w:rsidRPr="007B5BE6">
        <w:t xml:space="preserve"> </w:t>
      </w:r>
      <w:r w:rsidR="00B6355E" w:rsidRPr="007B5BE6">
        <w:t>and any factors regarding risk</w:t>
      </w:r>
      <w:r w:rsidR="004E0AE0" w:rsidRPr="007B5BE6">
        <w:t xml:space="preserve"> of abuse</w:t>
      </w:r>
      <w:r w:rsidR="00B6355E" w:rsidRPr="007B5BE6">
        <w:t xml:space="preserve"> or help-seeking</w:t>
      </w:r>
      <w:r w:rsidR="0064141E" w:rsidRPr="007B5BE6">
        <w:t>, in contexts where the abuse results in the death of an older person</w:t>
      </w:r>
      <w:r w:rsidR="0067313E" w:rsidRPr="007B5BE6">
        <w:t>.</w:t>
      </w:r>
      <w:r w:rsidR="00B73C1A" w:rsidRPr="007B5BE6">
        <w:t xml:space="preserve"> In all cases, the </w:t>
      </w:r>
      <w:r w:rsidR="00196C9D" w:rsidRPr="007B5BE6">
        <w:t>perpetrator of the abuse was an adult child</w:t>
      </w:r>
      <w:r w:rsidR="00732DCF" w:rsidRPr="007B5BE6">
        <w:t xml:space="preserve">. </w:t>
      </w:r>
      <w:r w:rsidR="005E6039" w:rsidRPr="007B5BE6">
        <w:t>In t</w:t>
      </w:r>
      <w:r w:rsidR="00732DCF" w:rsidRPr="007B5BE6">
        <w:t>wo cases</w:t>
      </w:r>
      <w:r w:rsidR="005E6039" w:rsidRPr="007B5BE6">
        <w:t>,</w:t>
      </w:r>
      <w:r w:rsidR="00BE530A" w:rsidRPr="007B5BE6">
        <w:rPr>
          <w:rStyle w:val="FootnoteReference"/>
        </w:rPr>
        <w:footnoteReference w:id="197"/>
      </w:r>
      <w:r w:rsidR="00732DCF" w:rsidRPr="007B5BE6">
        <w:t xml:space="preserve"> </w:t>
      </w:r>
      <w:r w:rsidR="005E6039" w:rsidRPr="007B5BE6">
        <w:t xml:space="preserve">the behaviour </w:t>
      </w:r>
      <w:r w:rsidR="00314AD9" w:rsidRPr="007B5BE6">
        <w:t>involved p</w:t>
      </w:r>
      <w:r w:rsidR="006F4B53" w:rsidRPr="007B5BE6">
        <w:t>hysical</w:t>
      </w:r>
      <w:r w:rsidR="00762BB4" w:rsidRPr="007B5BE6">
        <w:t xml:space="preserve"> abuse </w:t>
      </w:r>
      <w:r w:rsidR="00732DCF" w:rsidRPr="007B5BE6">
        <w:t>and</w:t>
      </w:r>
      <w:r w:rsidR="00084333" w:rsidRPr="007B5BE6">
        <w:t xml:space="preserve"> </w:t>
      </w:r>
      <w:r w:rsidR="00732DCF" w:rsidRPr="007B5BE6">
        <w:t>in the other two cases</w:t>
      </w:r>
      <w:r w:rsidR="00732DCF" w:rsidRPr="007B5BE6">
        <w:rPr>
          <w:rStyle w:val="FootnoteReference"/>
        </w:rPr>
        <w:footnoteReference w:id="198"/>
      </w:r>
      <w:r w:rsidR="00732DCF" w:rsidRPr="007B5BE6">
        <w:t xml:space="preserve"> the </w:t>
      </w:r>
      <w:r w:rsidR="00314AD9" w:rsidRPr="007B5BE6">
        <w:t xml:space="preserve">behaviour </w:t>
      </w:r>
      <w:r w:rsidR="00732DCF" w:rsidRPr="007B5BE6">
        <w:t xml:space="preserve">was </w:t>
      </w:r>
      <w:r w:rsidR="006F4B53" w:rsidRPr="007B5BE6">
        <w:t>indicative</w:t>
      </w:r>
      <w:r w:rsidR="00084333" w:rsidRPr="007B5BE6">
        <w:t xml:space="preserve"> of neglect</w:t>
      </w:r>
      <w:r w:rsidR="00732DCF" w:rsidRPr="007B5BE6">
        <w:t xml:space="preserve">. In </w:t>
      </w:r>
      <w:r w:rsidR="00214465" w:rsidRPr="007B5BE6">
        <w:t xml:space="preserve">addition, </w:t>
      </w:r>
      <w:r w:rsidR="00692F06" w:rsidRPr="007B5BE6">
        <w:t>in two cases,</w:t>
      </w:r>
      <w:r w:rsidR="00692F06" w:rsidRPr="007B5BE6">
        <w:rPr>
          <w:rStyle w:val="FootnoteReference"/>
        </w:rPr>
        <w:footnoteReference w:id="199"/>
      </w:r>
      <w:r w:rsidR="00692F06" w:rsidRPr="007B5BE6">
        <w:t xml:space="preserve"> </w:t>
      </w:r>
      <w:r w:rsidR="00732DCF" w:rsidRPr="007B5BE6">
        <w:t>there was financially abusive behaviour, leading up to or following the death</w:t>
      </w:r>
      <w:r w:rsidR="00214465" w:rsidRPr="007B5BE6">
        <w:t>.</w:t>
      </w:r>
      <w:r w:rsidR="000437DD" w:rsidRPr="007B5BE6">
        <w:t xml:space="preserve"> Other features </w:t>
      </w:r>
      <w:r w:rsidR="00EA2D4C" w:rsidRPr="007B5BE6">
        <w:t xml:space="preserve">that reflected the </w:t>
      </w:r>
      <w:r w:rsidR="002A371F" w:rsidRPr="007B5BE6">
        <w:t>dynamics</w:t>
      </w:r>
      <w:r w:rsidR="00EA2D4C" w:rsidRPr="007B5BE6">
        <w:t xml:space="preserve"> of the abuse of older people were the </w:t>
      </w:r>
      <w:r w:rsidR="00824CE7" w:rsidRPr="007B5BE6">
        <w:t xml:space="preserve">dependency of </w:t>
      </w:r>
      <w:r w:rsidR="002A371F" w:rsidRPr="007B5BE6">
        <w:t>the older person on the family member</w:t>
      </w:r>
      <w:r w:rsidR="00C062E2" w:rsidRPr="007B5BE6">
        <w:t xml:space="preserve">, </w:t>
      </w:r>
      <w:r w:rsidR="00464ED8" w:rsidRPr="007B5BE6">
        <w:t>including</w:t>
      </w:r>
      <w:r w:rsidR="00C062E2" w:rsidRPr="007B5BE6">
        <w:t xml:space="preserve"> </w:t>
      </w:r>
      <w:r w:rsidR="005D54A6" w:rsidRPr="007B5BE6">
        <w:t xml:space="preserve">the older person and </w:t>
      </w:r>
      <w:r w:rsidR="00464ED8" w:rsidRPr="007B5BE6">
        <w:t>adult children</w:t>
      </w:r>
      <w:r w:rsidR="00264729" w:rsidRPr="007B5BE6">
        <w:t xml:space="preserve"> </w:t>
      </w:r>
      <w:r w:rsidR="005D54A6" w:rsidRPr="007B5BE6">
        <w:t xml:space="preserve">living together </w:t>
      </w:r>
      <w:r w:rsidR="00264729" w:rsidRPr="007B5BE6">
        <w:t>(two cases),</w:t>
      </w:r>
      <w:r w:rsidR="00556DCB" w:rsidRPr="007B5BE6">
        <w:rPr>
          <w:rStyle w:val="FootnoteReference"/>
        </w:rPr>
        <w:footnoteReference w:id="200"/>
      </w:r>
      <w:r w:rsidR="00412683" w:rsidRPr="007B5BE6">
        <w:t xml:space="preserve"> and</w:t>
      </w:r>
      <w:r w:rsidR="00483947" w:rsidRPr="007B5BE6">
        <w:t xml:space="preserve"> the older person </w:t>
      </w:r>
      <w:r w:rsidR="005D54A6" w:rsidRPr="007B5BE6">
        <w:t>being</w:t>
      </w:r>
      <w:r w:rsidR="00483947" w:rsidRPr="007B5BE6">
        <w:t xml:space="preserve"> unwell and dependent on the family member(s) for care and support</w:t>
      </w:r>
      <w:r w:rsidR="005D54A6" w:rsidRPr="007B5BE6">
        <w:t xml:space="preserve"> (three cases</w:t>
      </w:r>
      <w:r w:rsidR="00A2413E" w:rsidRPr="007B5BE6">
        <w:t>).</w:t>
      </w:r>
      <w:r w:rsidR="00483947" w:rsidRPr="007B5BE6">
        <w:rPr>
          <w:rStyle w:val="FootnoteReference"/>
        </w:rPr>
        <w:footnoteReference w:id="201"/>
      </w:r>
    </w:p>
    <w:p w14:paraId="26251C4B" w14:textId="34E78BB0" w:rsidR="00011B6C" w:rsidRPr="007B5BE6" w:rsidRDefault="00011B6C" w:rsidP="00011B6C">
      <w:pPr>
        <w:pStyle w:val="NormalNumberedTextTLRI"/>
      </w:pPr>
      <w:r w:rsidRPr="007B5BE6">
        <w:t>Court responses in these cases, in particular the findings and recommendations made by coroners, also provide insights into the gaps in the current legal framework for responding to abuse of older Tasmanians.</w:t>
      </w:r>
      <w:r w:rsidR="00A2413E" w:rsidRPr="007B5BE6">
        <w:rPr>
          <w:rStyle w:val="FootnoteReference"/>
        </w:rPr>
        <w:footnoteReference w:id="202"/>
      </w:r>
      <w:r w:rsidR="006516B3" w:rsidRPr="007B5BE6">
        <w:t xml:space="preserve"> </w:t>
      </w:r>
      <w:r w:rsidR="009C7537" w:rsidRPr="007B5BE6">
        <w:t>In t</w:t>
      </w:r>
      <w:r w:rsidR="0077013F" w:rsidRPr="007B5BE6">
        <w:t xml:space="preserve">he </w:t>
      </w:r>
      <w:r w:rsidR="006516B3" w:rsidRPr="007B5BE6">
        <w:t>coronial jurisdiction</w:t>
      </w:r>
      <w:r w:rsidR="009C7537" w:rsidRPr="007B5BE6">
        <w:t>,</w:t>
      </w:r>
      <w:r w:rsidR="00246A3E" w:rsidRPr="007B5BE6">
        <w:t xml:space="preserve"> findings and recommendations</w:t>
      </w:r>
      <w:r w:rsidR="006516B3" w:rsidRPr="007B5BE6">
        <w:t xml:space="preserve"> </w:t>
      </w:r>
      <w:r w:rsidR="009C7537" w:rsidRPr="007B5BE6">
        <w:t>identified</w:t>
      </w:r>
      <w:r w:rsidR="00B25407" w:rsidRPr="007B5BE6">
        <w:t xml:space="preserve"> </w:t>
      </w:r>
      <w:r w:rsidR="006516B3" w:rsidRPr="007B5BE6">
        <w:t>a lack of systemic oversight and checks and balances as part of the care being provided</w:t>
      </w:r>
      <w:r w:rsidR="00B25407" w:rsidRPr="007B5BE6">
        <w:t xml:space="preserve"> to the older people concerned</w:t>
      </w:r>
      <w:r w:rsidR="00F56BA5" w:rsidRPr="007B5BE6">
        <w:t xml:space="preserve"> in the particular circumstances of these cases.</w:t>
      </w:r>
      <w:r w:rsidR="00FC1AE6" w:rsidRPr="007B5BE6">
        <w:t xml:space="preserve"> Examples </w:t>
      </w:r>
      <w:r w:rsidR="00C34E9E" w:rsidRPr="007B5BE6">
        <w:t xml:space="preserve">of such circumstances </w:t>
      </w:r>
      <w:r w:rsidR="008A1865" w:rsidRPr="007B5BE6">
        <w:t>included</w:t>
      </w:r>
      <w:r w:rsidR="00DD364A" w:rsidRPr="007B5BE6">
        <w:t xml:space="preserve"> </w:t>
      </w:r>
      <w:r w:rsidR="006516B3" w:rsidRPr="007B5BE6">
        <w:lastRenderedPageBreak/>
        <w:t>support</w:t>
      </w:r>
      <w:r w:rsidR="00DD364A" w:rsidRPr="007B5BE6">
        <w:t xml:space="preserve"> for</w:t>
      </w:r>
      <w:r w:rsidR="006516B3" w:rsidRPr="007B5BE6">
        <w:t xml:space="preserve"> family members with</w:t>
      </w:r>
      <w:r w:rsidR="00DD364A" w:rsidRPr="007B5BE6">
        <w:t xml:space="preserve"> care</w:t>
      </w:r>
      <w:r w:rsidR="006516B3" w:rsidRPr="007B5BE6">
        <w:t xml:space="preserve"> responsibilities</w:t>
      </w:r>
      <w:r w:rsidR="00DD364A" w:rsidRPr="007B5BE6">
        <w:t xml:space="preserve"> for older people</w:t>
      </w:r>
      <w:r w:rsidR="006516B3" w:rsidRPr="007B5BE6">
        <w:t>, interaction</w:t>
      </w:r>
      <w:r w:rsidR="00DD364A" w:rsidRPr="007B5BE6">
        <w:t>s of older people</w:t>
      </w:r>
      <w:r w:rsidR="006516B3" w:rsidRPr="007B5BE6">
        <w:t xml:space="preserve"> with services relating to medical and financial decision</w:t>
      </w:r>
      <w:r w:rsidR="00877588" w:rsidRPr="007B5BE6">
        <w:t xml:space="preserve"> </w:t>
      </w:r>
      <w:r w:rsidR="006516B3" w:rsidRPr="007B5BE6">
        <w:t xml:space="preserve">making and </w:t>
      </w:r>
      <w:r w:rsidR="00F72C3A" w:rsidRPr="007B5BE6">
        <w:t xml:space="preserve">the </w:t>
      </w:r>
      <w:r w:rsidR="006516B3" w:rsidRPr="007B5BE6">
        <w:t>administration of palliative care.</w:t>
      </w:r>
      <w:r w:rsidR="00A2413E" w:rsidRPr="007B5BE6">
        <w:rPr>
          <w:rStyle w:val="FootnoteReference"/>
        </w:rPr>
        <w:footnoteReference w:id="203"/>
      </w:r>
    </w:p>
    <w:p w14:paraId="65FBC8CE" w14:textId="3697D75F" w:rsidR="003E283A" w:rsidRPr="007B5BE6" w:rsidRDefault="00086F84" w:rsidP="00987055">
      <w:pPr>
        <w:pStyle w:val="Headingunnumbered"/>
        <w:spacing w:before="360"/>
      </w:pPr>
      <w:bookmarkStart w:id="41" w:name="_Toc212561736"/>
      <w:r w:rsidRPr="007B5BE6">
        <w:t>C</w:t>
      </w:r>
      <w:r w:rsidR="00EC6AF6" w:rsidRPr="007B5BE6">
        <w:t>ivil c</w:t>
      </w:r>
      <w:r w:rsidRPr="007B5BE6">
        <w:t>ases</w:t>
      </w:r>
      <w:r w:rsidR="00636781" w:rsidRPr="007B5BE6">
        <w:t>:</w:t>
      </w:r>
      <w:r w:rsidR="00B275BE" w:rsidRPr="007B5BE6">
        <w:t xml:space="preserve"> </w:t>
      </w:r>
      <w:r w:rsidR="00CC474F" w:rsidRPr="007B5BE6">
        <w:t xml:space="preserve">circumstances of </w:t>
      </w:r>
      <w:r w:rsidR="00636781" w:rsidRPr="007B5BE6">
        <w:t>abuse of older Tasmanians under</w:t>
      </w:r>
      <w:r w:rsidR="0018075E" w:rsidRPr="007B5BE6">
        <w:t xml:space="preserve"> </w:t>
      </w:r>
      <w:r w:rsidR="00DE55E5" w:rsidRPr="007B5BE6">
        <w:t xml:space="preserve">legal </w:t>
      </w:r>
      <w:r w:rsidR="00BF0379" w:rsidRPr="007B5BE6">
        <w:t>decision-making</w:t>
      </w:r>
      <w:r w:rsidR="00DE55E5" w:rsidRPr="007B5BE6">
        <w:t xml:space="preserve"> </w:t>
      </w:r>
      <w:r w:rsidR="0018075E" w:rsidRPr="007B5BE6">
        <w:t>framewor</w:t>
      </w:r>
      <w:r w:rsidR="00B275BE" w:rsidRPr="007B5BE6">
        <w:t>ks</w:t>
      </w:r>
      <w:bookmarkEnd w:id="41"/>
    </w:p>
    <w:p w14:paraId="7DD8EDE9" w14:textId="730754C8" w:rsidR="005B0256" w:rsidRPr="007B5BE6" w:rsidRDefault="0031318D" w:rsidP="00E37E26">
      <w:pPr>
        <w:pStyle w:val="NormalNumberedTextTLRI"/>
      </w:pPr>
      <w:r w:rsidRPr="007B5BE6">
        <w:t xml:space="preserve">There is limited publicly available </w:t>
      </w:r>
      <w:r w:rsidR="004F5AC2" w:rsidRPr="007B5BE6">
        <w:t xml:space="preserve">data to determine the </w:t>
      </w:r>
      <w:r w:rsidR="0058488B" w:rsidRPr="007B5BE6">
        <w:t xml:space="preserve">number of </w:t>
      </w:r>
      <w:r w:rsidR="00386E71" w:rsidRPr="007B5BE6">
        <w:t xml:space="preserve">civil </w:t>
      </w:r>
      <w:r w:rsidR="0058488B" w:rsidRPr="007B5BE6">
        <w:t xml:space="preserve">cases in </w:t>
      </w:r>
      <w:r w:rsidR="00FD4649" w:rsidRPr="007B5BE6">
        <w:t xml:space="preserve">Tasmanian courts </w:t>
      </w:r>
      <w:r w:rsidR="00A9693A" w:rsidRPr="007B5BE6">
        <w:t xml:space="preserve">that </w:t>
      </w:r>
      <w:r w:rsidR="00E05535" w:rsidRPr="007B5BE6">
        <w:t xml:space="preserve">may involve circumstances </w:t>
      </w:r>
      <w:r w:rsidR="00386E71" w:rsidRPr="007B5BE6">
        <w:t>falling</w:t>
      </w:r>
      <w:r w:rsidR="00A9693A" w:rsidRPr="007B5BE6">
        <w:t xml:space="preserve"> within the scope of abuse of an older person</w:t>
      </w:r>
      <w:r w:rsidR="00864F88" w:rsidRPr="007B5BE6">
        <w:t xml:space="preserve"> (under </w:t>
      </w:r>
      <w:r w:rsidR="004370E8" w:rsidRPr="007B5BE6">
        <w:t>relevant legal decision-making frameworks)</w:t>
      </w:r>
      <w:r w:rsidR="00A9693A" w:rsidRPr="007B5BE6">
        <w:t>.</w:t>
      </w:r>
      <w:r w:rsidR="00BD7D81" w:rsidRPr="007B5BE6">
        <w:rPr>
          <w:rStyle w:val="FootnoteReference"/>
        </w:rPr>
        <w:footnoteReference w:id="204"/>
      </w:r>
      <w:r w:rsidRPr="007B5BE6">
        <w:t xml:space="preserve"> </w:t>
      </w:r>
    </w:p>
    <w:p w14:paraId="2BEF9CD0" w14:textId="65CEB160" w:rsidR="006B370C" w:rsidRPr="007B5BE6" w:rsidRDefault="00B6355E" w:rsidP="009E6C1F">
      <w:pPr>
        <w:pStyle w:val="NormalNumberedTextTLRI"/>
      </w:pPr>
      <w:r w:rsidRPr="007B5BE6">
        <w:t xml:space="preserve">An exception </w:t>
      </w:r>
      <w:r w:rsidR="001B6A5E" w:rsidRPr="007B5BE6">
        <w:t xml:space="preserve">to this </w:t>
      </w:r>
      <w:r w:rsidR="003F7C70" w:rsidRPr="007B5BE6">
        <w:t>is</w:t>
      </w:r>
      <w:r w:rsidR="006B1108" w:rsidRPr="007B5BE6">
        <w:t xml:space="preserve"> the</w:t>
      </w:r>
      <w:r w:rsidRPr="007B5BE6">
        <w:t xml:space="preserve"> </w:t>
      </w:r>
      <w:r w:rsidR="00A822D4" w:rsidRPr="007B5BE6">
        <w:t>publi</w:t>
      </w:r>
      <w:r w:rsidR="003F7C70" w:rsidRPr="007B5BE6">
        <w:t xml:space="preserve">cation of </w:t>
      </w:r>
      <w:r w:rsidR="00A822D4" w:rsidRPr="007B5BE6">
        <w:t xml:space="preserve">decisions of the Tasmanian Civil and Administrative Tribunal </w:t>
      </w:r>
      <w:r w:rsidR="00DD43A7" w:rsidRPr="007B5BE6">
        <w:t>(</w:t>
      </w:r>
      <w:r w:rsidR="001B6A5E" w:rsidRPr="007B5BE6">
        <w:t>‘</w:t>
      </w:r>
      <w:r w:rsidR="00DD43A7" w:rsidRPr="007B5BE6">
        <w:t>TASCAT</w:t>
      </w:r>
      <w:r w:rsidR="001B6A5E" w:rsidRPr="007B5BE6">
        <w:t>’</w:t>
      </w:r>
      <w:r w:rsidR="00DD43A7" w:rsidRPr="007B5BE6">
        <w:t xml:space="preserve">) </w:t>
      </w:r>
      <w:r w:rsidR="00A822D4" w:rsidRPr="007B5BE6">
        <w:t>in its Guardianship stream</w:t>
      </w:r>
      <w:r w:rsidR="00E2414E" w:rsidRPr="007B5BE6">
        <w:t xml:space="preserve">, </w:t>
      </w:r>
      <w:r w:rsidR="00000113" w:rsidRPr="007B5BE6">
        <w:t xml:space="preserve">which was reviewed </w:t>
      </w:r>
      <w:r w:rsidR="00CD6D4E" w:rsidRPr="007B5BE6">
        <w:t>to identify some</w:t>
      </w:r>
      <w:r w:rsidR="00041EF2" w:rsidRPr="007B5BE6">
        <w:t xml:space="preserve"> example</w:t>
      </w:r>
      <w:r w:rsidR="00CD6D4E" w:rsidRPr="007B5BE6">
        <w:t>s</w:t>
      </w:r>
      <w:r w:rsidR="00854A3B" w:rsidRPr="007B5BE6">
        <w:t xml:space="preserve"> </w:t>
      </w:r>
      <w:r w:rsidR="00CD6D4E" w:rsidRPr="007B5BE6">
        <w:t xml:space="preserve">of </w:t>
      </w:r>
      <w:r w:rsidR="00041EF2" w:rsidRPr="007B5BE6">
        <w:t>cases involving circumstances that constituted, or may have constituted, abuse of an older person.</w:t>
      </w:r>
      <w:r w:rsidR="00BD7D81" w:rsidRPr="007B5BE6">
        <w:rPr>
          <w:rStyle w:val="FootnoteReference"/>
        </w:rPr>
        <w:footnoteReference w:id="205"/>
      </w:r>
      <w:r w:rsidR="00BD7D81" w:rsidRPr="007B5BE6">
        <w:t xml:space="preserve"> </w:t>
      </w:r>
      <w:r w:rsidR="00041EF2" w:rsidRPr="007B5BE6">
        <w:t xml:space="preserve">Although, the </w:t>
      </w:r>
      <w:r w:rsidR="006B370C" w:rsidRPr="007B5BE6">
        <w:t>small number of cases</w:t>
      </w:r>
      <w:r w:rsidR="001A356D" w:rsidRPr="007B5BE6">
        <w:t xml:space="preserve"> </w:t>
      </w:r>
      <w:r w:rsidR="00854A3B" w:rsidRPr="007B5BE6">
        <w:t xml:space="preserve">(n=11) </w:t>
      </w:r>
      <w:r w:rsidR="001A356D" w:rsidRPr="007B5BE6">
        <w:t>means</w:t>
      </w:r>
      <w:r w:rsidR="00BC58EA" w:rsidRPr="007B5BE6">
        <w:t xml:space="preserve"> </w:t>
      </w:r>
      <w:r w:rsidR="006B370C" w:rsidRPr="007B5BE6">
        <w:t>it is not possible to make generalisable findings</w:t>
      </w:r>
      <w:r w:rsidR="00041EF2" w:rsidRPr="007B5BE6">
        <w:t>, s</w:t>
      </w:r>
      <w:r w:rsidR="006B370C" w:rsidRPr="007B5BE6">
        <w:t>ome observations</w:t>
      </w:r>
      <w:r w:rsidR="00041EF2" w:rsidRPr="007B5BE6">
        <w:t xml:space="preserve"> from these cases</w:t>
      </w:r>
      <w:r w:rsidR="006B370C" w:rsidRPr="007B5BE6">
        <w:t xml:space="preserve"> can be </w:t>
      </w:r>
      <w:r w:rsidR="001A356D" w:rsidRPr="007B5BE6">
        <w:t>made</w:t>
      </w:r>
      <w:r w:rsidR="00041EF2" w:rsidRPr="007B5BE6">
        <w:t>.</w:t>
      </w:r>
      <w:r w:rsidR="003C37A4" w:rsidRPr="007B5BE6">
        <w:t xml:space="preserve"> </w:t>
      </w:r>
    </w:p>
    <w:p w14:paraId="5529004C" w14:textId="5DE271E8" w:rsidR="00E43F56" w:rsidRPr="007B5BE6" w:rsidRDefault="00AF30C8" w:rsidP="00A069B8">
      <w:pPr>
        <w:pStyle w:val="DotPointTLRI"/>
      </w:pPr>
      <w:r w:rsidRPr="007B5BE6">
        <w:t xml:space="preserve">Ten of the </w:t>
      </w:r>
      <w:r w:rsidR="004A139B" w:rsidRPr="007B5BE6">
        <w:t xml:space="preserve">11 </w:t>
      </w:r>
      <w:r w:rsidR="00BB3215" w:rsidRPr="007B5BE6">
        <w:t xml:space="preserve">example cases involved TASCAT’s consideration of the suitability of family members </w:t>
      </w:r>
      <w:r w:rsidR="009E6C2E" w:rsidRPr="007B5BE6">
        <w:t>to potentially be</w:t>
      </w:r>
      <w:r w:rsidR="00BB3215" w:rsidRPr="007B5BE6">
        <w:t xml:space="preserve"> appointed</w:t>
      </w:r>
      <w:r w:rsidR="009E6C2E" w:rsidRPr="007B5BE6">
        <w:t xml:space="preserve"> (or remain appointed) </w:t>
      </w:r>
      <w:r w:rsidR="00BB3215" w:rsidRPr="007B5BE6">
        <w:t>to make decisions on behalf of older people</w:t>
      </w:r>
      <w:r w:rsidR="001F66DE" w:rsidRPr="007B5BE6">
        <w:t xml:space="preserve"> who had impaired decision-making ability</w:t>
      </w:r>
      <w:r w:rsidR="00BB3215" w:rsidRPr="007B5BE6">
        <w:t>, for example as enduring guardians</w:t>
      </w:r>
      <w:r w:rsidR="00595D29" w:rsidRPr="007B5BE6">
        <w:t xml:space="preserve">, with </w:t>
      </w:r>
      <w:r w:rsidR="00BB3215" w:rsidRPr="007B5BE6">
        <w:t>power</w:t>
      </w:r>
      <w:r w:rsidR="00595D29" w:rsidRPr="007B5BE6">
        <w:t>s</w:t>
      </w:r>
      <w:r w:rsidR="00BB3215" w:rsidRPr="007B5BE6">
        <w:t xml:space="preserve"> of attorney, or as administrators. </w:t>
      </w:r>
    </w:p>
    <w:p w14:paraId="1D1AA853" w14:textId="611E6A3B" w:rsidR="00A069B8" w:rsidRPr="007B5BE6" w:rsidRDefault="00A710FA" w:rsidP="00E37E26">
      <w:pPr>
        <w:pStyle w:val="DotPointTLRI"/>
      </w:pPr>
      <w:r w:rsidRPr="007B5BE6">
        <w:t>In these cases, t</w:t>
      </w:r>
      <w:r w:rsidR="00BB3215" w:rsidRPr="007B5BE6">
        <w:t xml:space="preserve">he </w:t>
      </w:r>
      <w:r w:rsidR="009464A4" w:rsidRPr="007B5BE6">
        <w:t xml:space="preserve">family members </w:t>
      </w:r>
      <w:r w:rsidRPr="007B5BE6">
        <w:t xml:space="preserve">considered </w:t>
      </w:r>
      <w:r w:rsidR="00032700" w:rsidRPr="007B5BE6">
        <w:t xml:space="preserve">by TASCAT </w:t>
      </w:r>
      <w:r w:rsidR="00FF08BC" w:rsidRPr="007B5BE6">
        <w:t xml:space="preserve">were </w:t>
      </w:r>
      <w:r w:rsidR="00BB3215" w:rsidRPr="007B5BE6">
        <w:t>mainly adult children</w:t>
      </w:r>
      <w:r w:rsidR="003046A8" w:rsidRPr="007B5BE6">
        <w:t xml:space="preserve"> of the older person</w:t>
      </w:r>
      <w:r w:rsidR="005310EA" w:rsidRPr="007B5BE6">
        <w:t>,</w:t>
      </w:r>
      <w:r w:rsidR="00BD7D81" w:rsidRPr="007B5BE6">
        <w:rPr>
          <w:rStyle w:val="FootnoteReference"/>
        </w:rPr>
        <w:footnoteReference w:id="206"/>
      </w:r>
      <w:r w:rsidR="00F152F6" w:rsidRPr="007B5BE6">
        <w:t xml:space="preserve"> </w:t>
      </w:r>
      <w:r w:rsidR="002651AB" w:rsidRPr="007B5BE6">
        <w:t xml:space="preserve">but </w:t>
      </w:r>
      <w:r w:rsidR="001906F8" w:rsidRPr="007B5BE6">
        <w:t>in some cases</w:t>
      </w:r>
      <w:r w:rsidRPr="007B5BE6">
        <w:t>,</w:t>
      </w:r>
      <w:r w:rsidR="001906F8" w:rsidRPr="007B5BE6">
        <w:t xml:space="preserve"> other family members or people with close personal relationships were involved. For example, one </w:t>
      </w:r>
      <w:r w:rsidR="00F152F6" w:rsidRPr="007B5BE6">
        <w:t xml:space="preserve">case </w:t>
      </w:r>
      <w:r w:rsidR="001A5284" w:rsidRPr="007B5BE6">
        <w:t>invol</w:t>
      </w:r>
      <w:r w:rsidR="00222642" w:rsidRPr="007B5BE6">
        <w:t xml:space="preserve">ved </w:t>
      </w:r>
      <w:r w:rsidR="00032700" w:rsidRPr="007B5BE6">
        <w:t>TASCAT</w:t>
      </w:r>
      <w:r w:rsidR="007437D7" w:rsidRPr="007B5BE6">
        <w:t xml:space="preserve"> consider</w:t>
      </w:r>
      <w:r w:rsidR="00032700" w:rsidRPr="007B5BE6">
        <w:t xml:space="preserve">ing </w:t>
      </w:r>
      <w:r w:rsidR="00F152F6" w:rsidRPr="007B5BE6">
        <w:t xml:space="preserve">the suitability of </w:t>
      </w:r>
      <w:r w:rsidR="00032700" w:rsidRPr="007B5BE6">
        <w:t xml:space="preserve">the older person’s </w:t>
      </w:r>
      <w:r w:rsidR="00F152F6" w:rsidRPr="007B5BE6">
        <w:t xml:space="preserve">friend </w:t>
      </w:r>
      <w:r w:rsidR="007437D7" w:rsidRPr="007B5BE6">
        <w:t>(</w:t>
      </w:r>
      <w:r w:rsidR="00A62A38" w:rsidRPr="007B5BE6">
        <w:t>in addition to his adult children</w:t>
      </w:r>
      <w:r w:rsidR="007437D7" w:rsidRPr="007B5BE6">
        <w:t>)</w:t>
      </w:r>
      <w:r w:rsidR="00A62A38" w:rsidRPr="007B5BE6">
        <w:t>.</w:t>
      </w:r>
      <w:r w:rsidR="00BD7D81" w:rsidRPr="007B5BE6">
        <w:rPr>
          <w:rStyle w:val="FootnoteReference"/>
        </w:rPr>
        <w:footnoteReference w:id="207"/>
      </w:r>
      <w:r w:rsidR="00A62A38" w:rsidRPr="007B5BE6">
        <w:t xml:space="preserve"> </w:t>
      </w:r>
      <w:r w:rsidR="006F4A9A" w:rsidRPr="007B5BE6">
        <w:t>In one case</w:t>
      </w:r>
      <w:r w:rsidR="003046A8" w:rsidRPr="007B5BE6">
        <w:t xml:space="preserve"> </w:t>
      </w:r>
      <w:r w:rsidR="00873FA0" w:rsidRPr="007B5BE6">
        <w:t xml:space="preserve">the family members were the older person’s intimate partner, </w:t>
      </w:r>
      <w:proofErr w:type="gramStart"/>
      <w:r w:rsidR="00873FA0" w:rsidRPr="007B5BE6">
        <w:t>step-child</w:t>
      </w:r>
      <w:proofErr w:type="gramEnd"/>
      <w:r w:rsidR="00873FA0" w:rsidRPr="007B5BE6">
        <w:t xml:space="preserve"> and the p</w:t>
      </w:r>
      <w:r w:rsidR="00BB3215" w:rsidRPr="007B5BE6">
        <w:t>artner</w:t>
      </w:r>
      <w:r w:rsidR="00873FA0" w:rsidRPr="007B5BE6">
        <w:t xml:space="preserve"> </w:t>
      </w:r>
      <w:r w:rsidR="00BB3215" w:rsidRPr="007B5BE6">
        <w:t xml:space="preserve">of </w:t>
      </w:r>
      <w:r w:rsidR="00873FA0" w:rsidRPr="007B5BE6">
        <w:t xml:space="preserve">the </w:t>
      </w:r>
      <w:proofErr w:type="gramStart"/>
      <w:r w:rsidR="00BB3215" w:rsidRPr="007B5BE6">
        <w:t>step-child</w:t>
      </w:r>
      <w:proofErr w:type="gramEnd"/>
      <w:r w:rsidR="009365DA" w:rsidRPr="007B5BE6">
        <w:t>.</w:t>
      </w:r>
      <w:r w:rsidR="00BD7D81" w:rsidRPr="007B5BE6">
        <w:rPr>
          <w:rStyle w:val="FootnoteReference"/>
        </w:rPr>
        <w:footnoteReference w:id="208"/>
      </w:r>
      <w:r w:rsidR="00873FA0" w:rsidRPr="007B5BE6">
        <w:t xml:space="preserve"> </w:t>
      </w:r>
      <w:r w:rsidR="00152B88" w:rsidRPr="007B5BE6">
        <w:t xml:space="preserve">In </w:t>
      </w:r>
      <w:r w:rsidR="001906F8" w:rsidRPr="007B5BE6">
        <w:t>another</w:t>
      </w:r>
      <w:r w:rsidR="00152B88" w:rsidRPr="007B5BE6">
        <w:t xml:space="preserve"> case</w:t>
      </w:r>
      <w:r w:rsidR="00873FA0" w:rsidRPr="007B5BE6">
        <w:t xml:space="preserve">, </w:t>
      </w:r>
      <w:r w:rsidR="00FD214A" w:rsidRPr="007B5BE6">
        <w:t>the family member</w:t>
      </w:r>
      <w:r w:rsidR="00873FA0" w:rsidRPr="007B5BE6">
        <w:t xml:space="preserve"> was </w:t>
      </w:r>
      <w:r w:rsidR="00FD214A" w:rsidRPr="007B5BE6">
        <w:t xml:space="preserve">the older person’s </w:t>
      </w:r>
      <w:r w:rsidR="009E6C2E" w:rsidRPr="007B5BE6">
        <w:t>i</w:t>
      </w:r>
      <w:r w:rsidR="00BB3215" w:rsidRPr="007B5BE6">
        <w:t>ntimate partner</w:t>
      </w:r>
      <w:r w:rsidR="00FD214A" w:rsidRPr="007B5BE6">
        <w:t>.</w:t>
      </w:r>
      <w:r w:rsidR="00BD7D81" w:rsidRPr="007B5BE6">
        <w:rPr>
          <w:rStyle w:val="FootnoteReference"/>
        </w:rPr>
        <w:footnoteReference w:id="209"/>
      </w:r>
      <w:r w:rsidR="00FD214A" w:rsidRPr="007B5BE6">
        <w:t xml:space="preserve"> </w:t>
      </w:r>
    </w:p>
    <w:p w14:paraId="55BA1739" w14:textId="59CBBB1C" w:rsidR="00BB3215" w:rsidRPr="007B5BE6" w:rsidRDefault="009E6C2E" w:rsidP="004E18CF">
      <w:pPr>
        <w:pStyle w:val="DotPointTLRI"/>
      </w:pPr>
      <w:r w:rsidRPr="007B5BE6">
        <w:t xml:space="preserve">In some of these cases, </w:t>
      </w:r>
      <w:r w:rsidR="00A67EDE" w:rsidRPr="007B5BE6">
        <w:t xml:space="preserve">as part of its decision-making, </w:t>
      </w:r>
      <w:r w:rsidRPr="007B5BE6">
        <w:t xml:space="preserve">TASCAT also </w:t>
      </w:r>
      <w:r w:rsidR="004D284A" w:rsidRPr="007B5BE6">
        <w:t>consider</w:t>
      </w:r>
      <w:r w:rsidR="000D4BAA" w:rsidRPr="007B5BE6">
        <w:t>ed</w:t>
      </w:r>
      <w:r w:rsidRPr="007B5BE6">
        <w:t xml:space="preserve"> the</w:t>
      </w:r>
      <w:r w:rsidR="00C627DD" w:rsidRPr="007B5BE6">
        <w:t xml:space="preserve"> conduct </w:t>
      </w:r>
      <w:r w:rsidRPr="007B5BE6">
        <w:t xml:space="preserve">of </w:t>
      </w:r>
      <w:r w:rsidR="00C66BB4" w:rsidRPr="007B5BE6">
        <w:t xml:space="preserve">others towards the older person, including </w:t>
      </w:r>
      <w:r w:rsidRPr="007B5BE6">
        <w:t xml:space="preserve">family members </w:t>
      </w:r>
      <w:r w:rsidR="00250289" w:rsidRPr="007B5BE6">
        <w:t xml:space="preserve">or </w:t>
      </w:r>
      <w:r w:rsidR="0025687D" w:rsidRPr="007B5BE6">
        <w:t>other</w:t>
      </w:r>
      <w:r w:rsidR="00A3362D" w:rsidRPr="007B5BE6">
        <w:t>s</w:t>
      </w:r>
      <w:r w:rsidR="006A29ED" w:rsidRPr="007B5BE6">
        <w:t xml:space="preserve"> with close personal relationships</w:t>
      </w:r>
      <w:r w:rsidR="00533401" w:rsidRPr="007B5BE6">
        <w:t xml:space="preserve"> with</w:t>
      </w:r>
      <w:r w:rsidR="00C66BB4" w:rsidRPr="007B5BE6">
        <w:t xml:space="preserve"> the older person</w:t>
      </w:r>
      <w:r w:rsidR="0025687D" w:rsidRPr="007B5BE6">
        <w:t>,</w:t>
      </w:r>
      <w:r w:rsidR="006A29ED" w:rsidRPr="007B5BE6">
        <w:t xml:space="preserve"> </w:t>
      </w:r>
      <w:r w:rsidR="004D284A" w:rsidRPr="007B5BE6">
        <w:t>where concerns had been expres</w:t>
      </w:r>
      <w:r w:rsidR="00AB0A53" w:rsidRPr="007B5BE6">
        <w:t xml:space="preserve">sed about the nature of this conduct as potentially indicative of abuse. </w:t>
      </w:r>
      <w:r w:rsidR="00BB3215" w:rsidRPr="007B5BE6">
        <w:t xml:space="preserve"> </w:t>
      </w:r>
    </w:p>
    <w:p w14:paraId="2F3D532F" w14:textId="2BB09D5F" w:rsidR="00B4346A" w:rsidRPr="007B5BE6" w:rsidRDefault="00791A4B" w:rsidP="002C3DE8">
      <w:pPr>
        <w:pStyle w:val="DotPointTLRI"/>
      </w:pPr>
      <w:r w:rsidRPr="007B5BE6">
        <w:t xml:space="preserve">In most cases, the behaviours of concern related to conduct </w:t>
      </w:r>
      <w:r w:rsidR="001270BC" w:rsidRPr="007B5BE6">
        <w:t xml:space="preserve">that involved </w:t>
      </w:r>
      <w:r w:rsidRPr="007B5BE6">
        <w:t>seeking access</w:t>
      </w:r>
      <w:r w:rsidR="00A3362D" w:rsidRPr="007B5BE6">
        <w:t xml:space="preserve"> to,</w:t>
      </w:r>
      <w:r w:rsidR="007824B2" w:rsidRPr="007B5BE6">
        <w:t xml:space="preserve"> or having accessed</w:t>
      </w:r>
      <w:r w:rsidR="00A3362D" w:rsidRPr="007B5BE6">
        <w:t>,</w:t>
      </w:r>
      <w:r w:rsidRPr="007B5BE6">
        <w:t xml:space="preserve"> finances or property</w:t>
      </w:r>
      <w:r w:rsidR="007824B2" w:rsidRPr="007B5BE6">
        <w:t xml:space="preserve">, </w:t>
      </w:r>
      <w:r w:rsidR="0032177B" w:rsidRPr="007B5BE6">
        <w:t>where there was</w:t>
      </w:r>
      <w:r w:rsidR="00A3362D" w:rsidRPr="007B5BE6">
        <w:t xml:space="preserve"> a</w:t>
      </w:r>
      <w:r w:rsidR="007824B2" w:rsidRPr="007B5BE6">
        <w:t xml:space="preserve"> </w:t>
      </w:r>
      <w:r w:rsidRPr="007B5BE6">
        <w:t xml:space="preserve">risk of financial abuse </w:t>
      </w:r>
      <w:r w:rsidR="0032177B" w:rsidRPr="007B5BE6">
        <w:t xml:space="preserve">or loss </w:t>
      </w:r>
      <w:r w:rsidRPr="007B5BE6">
        <w:t xml:space="preserve">or </w:t>
      </w:r>
      <w:r w:rsidR="001306BF" w:rsidRPr="007B5BE6">
        <w:t xml:space="preserve">that had </w:t>
      </w:r>
      <w:r w:rsidR="00A3362D" w:rsidRPr="007B5BE6">
        <w:t xml:space="preserve">resulted in </w:t>
      </w:r>
      <w:r w:rsidR="001306BF" w:rsidRPr="007B5BE6">
        <w:t xml:space="preserve">actual financial </w:t>
      </w:r>
      <w:r w:rsidR="007824B2" w:rsidRPr="007B5BE6">
        <w:t>los</w:t>
      </w:r>
      <w:r w:rsidR="001306BF" w:rsidRPr="007B5BE6">
        <w:t>s</w:t>
      </w:r>
      <w:r w:rsidRPr="007B5BE6">
        <w:t xml:space="preserve"> to the older person.</w:t>
      </w:r>
      <w:r w:rsidR="00BD7D81" w:rsidRPr="007B5BE6">
        <w:rPr>
          <w:rStyle w:val="FootnoteReference"/>
        </w:rPr>
        <w:footnoteReference w:id="210"/>
      </w:r>
      <w:r w:rsidR="000D36E4" w:rsidRPr="007B5BE6">
        <w:t xml:space="preserve"> There was one case where the</w:t>
      </w:r>
      <w:r w:rsidR="00A3362D" w:rsidRPr="007B5BE6">
        <w:t xml:space="preserve"> </w:t>
      </w:r>
      <w:r w:rsidR="000D36E4" w:rsidRPr="007B5BE6">
        <w:t xml:space="preserve">concerns </w:t>
      </w:r>
      <w:r w:rsidR="00A3362D" w:rsidRPr="007B5BE6">
        <w:t xml:space="preserve">were </w:t>
      </w:r>
      <w:r w:rsidR="000D36E4" w:rsidRPr="007B5BE6">
        <w:t>about physical harm</w:t>
      </w:r>
      <w:r w:rsidR="00A3362D" w:rsidRPr="007B5BE6">
        <w:t xml:space="preserve"> to the older person</w:t>
      </w:r>
      <w:r w:rsidR="000D36E4" w:rsidRPr="007B5BE6">
        <w:t>.</w:t>
      </w:r>
      <w:r w:rsidR="00BD7D81" w:rsidRPr="007B5BE6">
        <w:rPr>
          <w:rStyle w:val="FootnoteReference"/>
        </w:rPr>
        <w:footnoteReference w:id="211"/>
      </w:r>
      <w:r w:rsidR="000D36E4" w:rsidRPr="007B5BE6">
        <w:t xml:space="preserve"> </w:t>
      </w:r>
    </w:p>
    <w:p w14:paraId="3811F0A5" w14:textId="3608EA52" w:rsidR="0000229B" w:rsidRPr="007B5BE6" w:rsidRDefault="00342C66" w:rsidP="00E37E26">
      <w:pPr>
        <w:pStyle w:val="DotPointTLRI"/>
      </w:pPr>
      <w:r w:rsidRPr="007B5BE6">
        <w:t>B</w:t>
      </w:r>
      <w:r w:rsidR="00692AEA" w:rsidRPr="007B5BE6">
        <w:t xml:space="preserve">ehaviours </w:t>
      </w:r>
      <w:r w:rsidR="00411171" w:rsidRPr="007B5BE6">
        <w:t xml:space="preserve">and dynamics </w:t>
      </w:r>
      <w:r w:rsidR="00F60066" w:rsidRPr="007B5BE6">
        <w:t>as possible</w:t>
      </w:r>
      <w:r w:rsidR="00692AEA" w:rsidRPr="007B5BE6">
        <w:t xml:space="preserve"> indicat</w:t>
      </w:r>
      <w:r w:rsidR="00F60066" w:rsidRPr="007B5BE6">
        <w:t xml:space="preserve">ors </w:t>
      </w:r>
      <w:r w:rsidR="00692AEA" w:rsidRPr="007B5BE6">
        <w:t xml:space="preserve">of abuse of an older person who may </w:t>
      </w:r>
      <w:r w:rsidR="00A31506" w:rsidRPr="007B5BE6">
        <w:t xml:space="preserve">have impaired decision-making ability and </w:t>
      </w:r>
      <w:r w:rsidR="00A31C8E" w:rsidRPr="007B5BE6">
        <w:t xml:space="preserve">is </w:t>
      </w:r>
      <w:r w:rsidR="00A31506" w:rsidRPr="007B5BE6">
        <w:t>subject to</w:t>
      </w:r>
      <w:r w:rsidR="00A11988" w:rsidRPr="007B5BE6">
        <w:t>,</w:t>
      </w:r>
      <w:r w:rsidR="00A31506" w:rsidRPr="007B5BE6">
        <w:t xml:space="preserve"> or</w:t>
      </w:r>
      <w:r w:rsidR="00692AEA" w:rsidRPr="007B5BE6">
        <w:t xml:space="preserve"> in need of</w:t>
      </w:r>
      <w:r w:rsidR="00A11988" w:rsidRPr="007B5BE6">
        <w:t>,</w:t>
      </w:r>
      <w:r w:rsidR="00692AEA" w:rsidRPr="007B5BE6">
        <w:t xml:space="preserve"> </w:t>
      </w:r>
      <w:r w:rsidR="00952525" w:rsidRPr="007B5BE6">
        <w:t xml:space="preserve">decision-making arrangements </w:t>
      </w:r>
      <w:r w:rsidR="00411171" w:rsidRPr="007B5BE6">
        <w:t>can</w:t>
      </w:r>
      <w:r w:rsidR="00952525" w:rsidRPr="007B5BE6">
        <w:t xml:space="preserve"> </w:t>
      </w:r>
      <w:r w:rsidR="00536D89" w:rsidRPr="007B5BE6">
        <w:t xml:space="preserve">arise </w:t>
      </w:r>
      <w:r w:rsidR="00012B72" w:rsidRPr="007B5BE6">
        <w:t xml:space="preserve">amidst conflicts or </w:t>
      </w:r>
      <w:r w:rsidR="00046605" w:rsidRPr="007B5BE6">
        <w:t>complexit</w:t>
      </w:r>
      <w:r w:rsidR="00012B72" w:rsidRPr="007B5BE6">
        <w:t xml:space="preserve">ies within </w:t>
      </w:r>
      <w:r w:rsidR="00046605" w:rsidRPr="007B5BE6">
        <w:t>family relationshi</w:t>
      </w:r>
      <w:r w:rsidR="00AD23FA" w:rsidRPr="007B5BE6">
        <w:t>ps</w:t>
      </w:r>
      <w:r w:rsidR="00012B72" w:rsidRPr="007B5BE6">
        <w:t xml:space="preserve">. </w:t>
      </w:r>
      <w:r w:rsidR="00B31F7A" w:rsidRPr="007B5BE6">
        <w:t xml:space="preserve">In these contexts, </w:t>
      </w:r>
      <w:r w:rsidR="00536D89" w:rsidRPr="007B5BE6">
        <w:t xml:space="preserve">concerns </w:t>
      </w:r>
      <w:r w:rsidR="00B31F7A" w:rsidRPr="007B5BE6">
        <w:t xml:space="preserve">may be </w:t>
      </w:r>
      <w:r w:rsidR="00AD23FA" w:rsidRPr="007B5BE6">
        <w:t xml:space="preserve">expressed by family members </w:t>
      </w:r>
      <w:r w:rsidR="00B23251" w:rsidRPr="007B5BE6">
        <w:t xml:space="preserve">or others </w:t>
      </w:r>
      <w:r w:rsidR="00AD23FA" w:rsidRPr="007B5BE6">
        <w:t xml:space="preserve">about the behaviour of </w:t>
      </w:r>
      <w:r w:rsidR="00F83ABA" w:rsidRPr="007B5BE6">
        <w:t xml:space="preserve">others towards </w:t>
      </w:r>
      <w:r w:rsidR="00F83ABA" w:rsidRPr="007B5BE6">
        <w:lastRenderedPageBreak/>
        <w:t xml:space="preserve">the older person, including </w:t>
      </w:r>
      <w:r w:rsidR="00AD23FA" w:rsidRPr="007B5BE6">
        <w:t xml:space="preserve">other family members or </w:t>
      </w:r>
      <w:r w:rsidR="00A31C8E" w:rsidRPr="007B5BE6">
        <w:t xml:space="preserve">others with close personal relationships with </w:t>
      </w:r>
      <w:r w:rsidR="00B31F7A" w:rsidRPr="007B5BE6">
        <w:t xml:space="preserve">an </w:t>
      </w:r>
      <w:r w:rsidR="009D7BFB" w:rsidRPr="007B5BE6">
        <w:t>older person</w:t>
      </w:r>
      <w:r w:rsidR="00F83ABA" w:rsidRPr="007B5BE6">
        <w:t>, such as</w:t>
      </w:r>
      <w:r w:rsidR="009D7BFB" w:rsidRPr="007B5BE6">
        <w:t xml:space="preserve"> friends and acquaintance</w:t>
      </w:r>
      <w:r w:rsidR="00F83ABA" w:rsidRPr="007B5BE6">
        <w:t>s</w:t>
      </w:r>
      <w:r w:rsidR="00411171" w:rsidRPr="007B5BE6">
        <w:t>.</w:t>
      </w:r>
      <w:r w:rsidR="00BD7D81" w:rsidRPr="007B5BE6">
        <w:rPr>
          <w:rStyle w:val="FootnoteReference"/>
        </w:rPr>
        <w:footnoteReference w:id="212"/>
      </w:r>
      <w:r w:rsidR="003A02E9" w:rsidRPr="007B5BE6">
        <w:t xml:space="preserve"> </w:t>
      </w:r>
    </w:p>
    <w:p w14:paraId="2C77AF6C" w14:textId="17455561" w:rsidR="00942A9E" w:rsidRPr="007B5BE6" w:rsidRDefault="002030E7" w:rsidP="009E6C1F">
      <w:pPr>
        <w:pStyle w:val="DotPointTLRI"/>
      </w:pPr>
      <w:r w:rsidRPr="007B5BE6">
        <w:t>C</w:t>
      </w:r>
      <w:r w:rsidR="00D06D36" w:rsidRPr="007B5BE6">
        <w:t>h</w:t>
      </w:r>
      <w:r w:rsidR="00046605" w:rsidRPr="007B5BE6">
        <w:t>allenges</w:t>
      </w:r>
      <w:r w:rsidR="00092D66" w:rsidRPr="007B5BE6">
        <w:t xml:space="preserve"> </w:t>
      </w:r>
      <w:r w:rsidRPr="007B5BE6">
        <w:t xml:space="preserve">may exist </w:t>
      </w:r>
      <w:r w:rsidR="00EE5595" w:rsidRPr="007B5BE6">
        <w:t xml:space="preserve">in determining </w:t>
      </w:r>
      <w:r w:rsidR="00046605" w:rsidRPr="007B5BE6">
        <w:t xml:space="preserve">matters of </w:t>
      </w:r>
      <w:r w:rsidR="00050FF9" w:rsidRPr="007B5BE6">
        <w:t xml:space="preserve">decision-making </w:t>
      </w:r>
      <w:r w:rsidR="00046605" w:rsidRPr="007B5BE6">
        <w:t>capacity</w:t>
      </w:r>
      <w:r w:rsidR="00942A9E" w:rsidRPr="007B5BE6">
        <w:t xml:space="preserve"> and </w:t>
      </w:r>
      <w:r w:rsidR="00050FF9" w:rsidRPr="007B5BE6">
        <w:t>giving effect to</w:t>
      </w:r>
      <w:r w:rsidR="00046605" w:rsidRPr="007B5BE6">
        <w:t xml:space="preserve"> </w:t>
      </w:r>
      <w:r w:rsidR="00F00054" w:rsidRPr="007B5BE6">
        <w:t xml:space="preserve">an </w:t>
      </w:r>
      <w:r w:rsidR="00050FF9" w:rsidRPr="007B5BE6">
        <w:t xml:space="preserve">older person’s will and preferences and considering </w:t>
      </w:r>
      <w:r w:rsidR="00942A9E" w:rsidRPr="007B5BE6">
        <w:t>best</w:t>
      </w:r>
      <w:r w:rsidR="00330D2F" w:rsidRPr="007B5BE6">
        <w:t xml:space="preserve"> </w:t>
      </w:r>
      <w:r w:rsidR="00942A9E" w:rsidRPr="007B5BE6">
        <w:t xml:space="preserve">interests where there are concerns about the </w:t>
      </w:r>
      <w:r w:rsidR="00046605" w:rsidRPr="007B5BE6">
        <w:t>conduct</w:t>
      </w:r>
      <w:r w:rsidR="00092D66" w:rsidRPr="007B5BE6">
        <w:t xml:space="preserve"> </w:t>
      </w:r>
      <w:r w:rsidR="00942A9E" w:rsidRPr="007B5BE6">
        <w:t>of</w:t>
      </w:r>
      <w:r w:rsidR="00615695" w:rsidRPr="007B5BE6">
        <w:t xml:space="preserve"> </w:t>
      </w:r>
      <w:r w:rsidR="009D3670" w:rsidRPr="007B5BE6">
        <w:t>people who may be entrusted with decision-making roles</w:t>
      </w:r>
      <w:r w:rsidR="00942A9E" w:rsidRPr="007B5BE6">
        <w:t>.</w:t>
      </w:r>
      <w:r w:rsidR="00BD7D81" w:rsidRPr="007B5BE6">
        <w:rPr>
          <w:rStyle w:val="FootnoteReference"/>
        </w:rPr>
        <w:footnoteReference w:id="213"/>
      </w:r>
    </w:p>
    <w:p w14:paraId="6EB0C721" w14:textId="289D2A1E" w:rsidR="006A4F25" w:rsidRPr="007B5BE6" w:rsidRDefault="00930539" w:rsidP="00E37E26">
      <w:pPr>
        <w:pStyle w:val="DotPointTLRI"/>
      </w:pPr>
      <w:r w:rsidRPr="007B5BE6">
        <w:t>C</w:t>
      </w:r>
      <w:r w:rsidR="00990142" w:rsidRPr="007B5BE6">
        <w:t xml:space="preserve">ircumstances </w:t>
      </w:r>
      <w:r w:rsidRPr="007B5BE6">
        <w:t xml:space="preserve">of cases </w:t>
      </w:r>
      <w:r w:rsidR="00B47649" w:rsidRPr="007B5BE6">
        <w:t>in</w:t>
      </w:r>
      <w:r w:rsidR="002F6193" w:rsidRPr="007B5BE6">
        <w:t xml:space="preserve">cluded </w:t>
      </w:r>
      <w:r w:rsidR="004E2116" w:rsidRPr="007B5BE6">
        <w:t xml:space="preserve">some </w:t>
      </w:r>
      <w:r w:rsidR="006307EF" w:rsidRPr="007B5BE6">
        <w:t>of the</w:t>
      </w:r>
      <w:r w:rsidR="004E3F0F" w:rsidRPr="007B5BE6">
        <w:t xml:space="preserve"> risk</w:t>
      </w:r>
      <w:r w:rsidR="006307EF" w:rsidRPr="007B5BE6">
        <w:t xml:space="preserve"> </w:t>
      </w:r>
      <w:r w:rsidR="002F6193" w:rsidRPr="007B5BE6">
        <w:t>factors</w:t>
      </w:r>
      <w:r w:rsidR="00E964BD" w:rsidRPr="007B5BE6">
        <w:t xml:space="preserve"> </w:t>
      </w:r>
      <w:r w:rsidR="00810D10" w:rsidRPr="007B5BE6">
        <w:t>that</w:t>
      </w:r>
      <w:r w:rsidR="00E964BD" w:rsidRPr="007B5BE6">
        <w:t xml:space="preserve"> have been </w:t>
      </w:r>
      <w:r w:rsidR="006307EF" w:rsidRPr="007B5BE6">
        <w:t xml:space="preserve">identified in the research (discussed at </w:t>
      </w:r>
      <w:r w:rsidR="0039042B" w:rsidRPr="007B5BE6">
        <w:t>[2</w:t>
      </w:r>
      <w:r w:rsidR="00B56A53" w:rsidRPr="007B5BE6">
        <w:t>.4.2]–[2.4.8]</w:t>
      </w:r>
      <w:r w:rsidR="006307EF" w:rsidRPr="007B5BE6">
        <w:t>)</w:t>
      </w:r>
      <w:r w:rsidR="002F72B0" w:rsidRPr="007B5BE6">
        <w:t xml:space="preserve"> and by stakeholders in interviews (discussed at [2.4.21]–[2.4.24]</w:t>
      </w:r>
      <w:r w:rsidR="009455E4" w:rsidRPr="007B5BE6">
        <w:t>)</w:t>
      </w:r>
      <w:r w:rsidR="000C3337" w:rsidRPr="007B5BE6">
        <w:t xml:space="preserve"> as being </w:t>
      </w:r>
      <w:r w:rsidR="006B1742" w:rsidRPr="007B5BE6">
        <w:t>associated with older pe</w:t>
      </w:r>
      <w:r w:rsidR="000C3337" w:rsidRPr="007B5BE6">
        <w:t xml:space="preserve">ople’s </w:t>
      </w:r>
      <w:r w:rsidR="006B1742" w:rsidRPr="007B5BE6">
        <w:t>experienc</w:t>
      </w:r>
      <w:r w:rsidR="000C3337" w:rsidRPr="007B5BE6">
        <w:t>es of</w:t>
      </w:r>
      <w:r w:rsidR="006B1742" w:rsidRPr="007B5BE6">
        <w:t xml:space="preserve"> abuse or their likelihood to seek help, and with the perpetration of abuse</w:t>
      </w:r>
      <w:r w:rsidR="000C3337" w:rsidRPr="007B5BE6">
        <w:t>.</w:t>
      </w:r>
      <w:r w:rsidR="006B1742" w:rsidRPr="007B5BE6">
        <w:t xml:space="preserve"> </w:t>
      </w:r>
      <w:r w:rsidR="00144A81" w:rsidRPr="007B5BE6">
        <w:t>Such f</w:t>
      </w:r>
      <w:r w:rsidR="000A394C" w:rsidRPr="007B5BE6">
        <w:t xml:space="preserve">actors </w:t>
      </w:r>
      <w:r w:rsidR="00B40FFD" w:rsidRPr="007B5BE6">
        <w:t>relat</w:t>
      </w:r>
      <w:r w:rsidR="00CC2E06" w:rsidRPr="007B5BE6">
        <w:t>ing</w:t>
      </w:r>
      <w:r w:rsidR="00B40FFD" w:rsidRPr="007B5BE6">
        <w:t xml:space="preserve"> to the older person</w:t>
      </w:r>
      <w:r w:rsidR="003F1292" w:rsidRPr="007B5BE6">
        <w:t xml:space="preserve"> </w:t>
      </w:r>
      <w:r w:rsidR="00516360" w:rsidRPr="007B5BE6">
        <w:t>include</w:t>
      </w:r>
      <w:r w:rsidR="00144A81" w:rsidRPr="007B5BE6">
        <w:t>d</w:t>
      </w:r>
      <w:r w:rsidR="00516360" w:rsidRPr="007B5BE6">
        <w:t xml:space="preserve"> </w:t>
      </w:r>
      <w:r w:rsidR="007C2E68" w:rsidRPr="007B5BE6">
        <w:t xml:space="preserve">cognitive decline, </w:t>
      </w:r>
      <w:r w:rsidR="0069781C" w:rsidRPr="007B5BE6">
        <w:t xml:space="preserve">physical health </w:t>
      </w:r>
      <w:r w:rsidR="007C2E68" w:rsidRPr="007B5BE6">
        <w:t>problems, social isolation, famil</w:t>
      </w:r>
      <w:r w:rsidR="002409E0" w:rsidRPr="007B5BE6">
        <w:t>y conflict or problems with family relationships</w:t>
      </w:r>
      <w:r w:rsidR="006A4F25" w:rsidRPr="007B5BE6">
        <w:t xml:space="preserve"> (especially adult children)</w:t>
      </w:r>
      <w:r w:rsidR="00E571B0" w:rsidRPr="007B5BE6">
        <w:t xml:space="preserve"> and </w:t>
      </w:r>
      <w:r w:rsidR="008444B4" w:rsidRPr="007B5BE6">
        <w:t>previous experiences of abuse</w:t>
      </w:r>
      <w:r w:rsidR="00E571B0" w:rsidRPr="007B5BE6">
        <w:t>.</w:t>
      </w:r>
      <w:r w:rsidR="00BD7D81" w:rsidRPr="007B5BE6">
        <w:rPr>
          <w:rStyle w:val="FootnoteReference"/>
        </w:rPr>
        <w:footnoteReference w:id="214"/>
      </w:r>
      <w:r w:rsidR="008444B4" w:rsidRPr="007B5BE6">
        <w:t xml:space="preserve"> </w:t>
      </w:r>
      <w:r w:rsidR="00144A81" w:rsidRPr="007B5BE6">
        <w:t>Such f</w:t>
      </w:r>
      <w:r w:rsidR="00E571B0" w:rsidRPr="007B5BE6">
        <w:t xml:space="preserve">actors relating to </w:t>
      </w:r>
      <w:r w:rsidR="00450255" w:rsidRPr="007B5BE6">
        <w:t xml:space="preserve">people who commit abuse </w:t>
      </w:r>
      <w:r w:rsidR="00516360" w:rsidRPr="007B5BE6">
        <w:t xml:space="preserve">include </w:t>
      </w:r>
      <w:r w:rsidR="00C44E34" w:rsidRPr="007B5BE6">
        <w:t xml:space="preserve">mental health problems, </w:t>
      </w:r>
      <w:r w:rsidR="00417D11" w:rsidRPr="007B5BE6">
        <w:t>financial dependence (including debt)</w:t>
      </w:r>
      <w:r w:rsidR="00A13F51" w:rsidRPr="007B5BE6">
        <w:t xml:space="preserve"> and family conflict or problems with family relationships (especially adult children).</w:t>
      </w:r>
      <w:r w:rsidR="00BD7D81" w:rsidRPr="007B5BE6">
        <w:rPr>
          <w:rStyle w:val="FootnoteReference"/>
        </w:rPr>
        <w:footnoteReference w:id="215"/>
      </w:r>
    </w:p>
    <w:p w14:paraId="17B88CB4" w14:textId="48814747" w:rsidR="001B2595" w:rsidRPr="007B5BE6" w:rsidRDefault="002030E7" w:rsidP="00D601CA">
      <w:pPr>
        <w:pStyle w:val="DotPointTLRI"/>
      </w:pPr>
      <w:r w:rsidRPr="007B5BE6">
        <w:t>There are</w:t>
      </w:r>
      <w:r w:rsidR="00DB69AF" w:rsidRPr="007B5BE6">
        <w:t xml:space="preserve"> </w:t>
      </w:r>
      <w:r w:rsidR="0063059F" w:rsidRPr="007B5BE6">
        <w:t xml:space="preserve">dynamics </w:t>
      </w:r>
      <w:r w:rsidR="00FE5519" w:rsidRPr="007B5BE6">
        <w:t xml:space="preserve">of abuse that can operate as </w:t>
      </w:r>
      <w:r w:rsidR="00DB69AF" w:rsidRPr="007B5BE6">
        <w:t xml:space="preserve">barriers </w:t>
      </w:r>
      <w:r w:rsidR="001B66F3" w:rsidRPr="007B5BE6">
        <w:t xml:space="preserve">to </w:t>
      </w:r>
      <w:r w:rsidR="00C4372F" w:rsidRPr="007B5BE6">
        <w:t>help-</w:t>
      </w:r>
      <w:r w:rsidR="00DB69AF" w:rsidRPr="007B5BE6">
        <w:t xml:space="preserve">seeking </w:t>
      </w:r>
      <w:r w:rsidR="00D842C7" w:rsidRPr="007B5BE6">
        <w:t xml:space="preserve">or </w:t>
      </w:r>
      <w:r w:rsidR="00FE5519" w:rsidRPr="007B5BE6">
        <w:t xml:space="preserve">pursuing </w:t>
      </w:r>
      <w:r w:rsidR="00D842C7" w:rsidRPr="007B5BE6">
        <w:t>a response under the current legal framework</w:t>
      </w:r>
      <w:r w:rsidR="001865D4" w:rsidRPr="007B5BE6">
        <w:t xml:space="preserve">. </w:t>
      </w:r>
      <w:r w:rsidR="00E670CE" w:rsidRPr="007B5BE6">
        <w:t xml:space="preserve">This </w:t>
      </w:r>
      <w:r w:rsidR="00F71D3E" w:rsidRPr="007B5BE6">
        <w:t xml:space="preserve">was </w:t>
      </w:r>
      <w:r w:rsidR="00E670CE" w:rsidRPr="007B5BE6">
        <w:t>evident in cases involving</w:t>
      </w:r>
      <w:r w:rsidR="00DB69AF" w:rsidRPr="007B5BE6">
        <w:t xml:space="preserve"> circumstances where </w:t>
      </w:r>
      <w:r w:rsidR="00612765" w:rsidRPr="007B5BE6">
        <w:t xml:space="preserve">an older person </w:t>
      </w:r>
      <w:r w:rsidR="009B29B1" w:rsidRPr="007B5BE6">
        <w:t>ha</w:t>
      </w:r>
      <w:r w:rsidR="00AC27C9" w:rsidRPr="007B5BE6">
        <w:t>d</w:t>
      </w:r>
      <w:r w:rsidR="00612765" w:rsidRPr="007B5BE6">
        <w:t xml:space="preserve"> a cognitive disability, or declin</w:t>
      </w:r>
      <w:r w:rsidR="007A7966" w:rsidRPr="007B5BE6">
        <w:t>ing cognitive health</w:t>
      </w:r>
      <w:r w:rsidR="00E670CE" w:rsidRPr="007B5BE6">
        <w:t>,</w:t>
      </w:r>
      <w:r w:rsidR="00A60CD8" w:rsidRPr="007B5BE6">
        <w:t xml:space="preserve"> and </w:t>
      </w:r>
      <w:r w:rsidR="00AC27C9" w:rsidRPr="007B5BE6">
        <w:t xml:space="preserve">were </w:t>
      </w:r>
      <w:r w:rsidR="00A60CD8" w:rsidRPr="007B5BE6">
        <w:t>reliant on those who</w:t>
      </w:r>
      <w:r w:rsidR="00AC27C9" w:rsidRPr="007B5BE6">
        <w:t xml:space="preserve"> </w:t>
      </w:r>
      <w:r w:rsidR="00F71D3E" w:rsidRPr="007B5BE6">
        <w:t xml:space="preserve">were </w:t>
      </w:r>
      <w:r w:rsidR="00A60CD8" w:rsidRPr="007B5BE6">
        <w:t xml:space="preserve">entrusted with </w:t>
      </w:r>
      <w:r w:rsidR="00F27AD7" w:rsidRPr="007B5BE6">
        <w:t>their care</w:t>
      </w:r>
      <w:r w:rsidR="00F71D3E" w:rsidRPr="007B5BE6">
        <w:t xml:space="preserve">, </w:t>
      </w:r>
      <w:r w:rsidR="001B66F3" w:rsidRPr="007B5BE6">
        <w:t>while at the same time</w:t>
      </w:r>
      <w:r w:rsidR="003C272A" w:rsidRPr="007B5BE6">
        <w:t xml:space="preserve"> being </w:t>
      </w:r>
      <w:r w:rsidR="003D1032" w:rsidRPr="007B5BE6">
        <w:t>empowered under the law</w:t>
      </w:r>
      <w:r w:rsidR="003C272A" w:rsidRPr="007B5BE6">
        <w:t xml:space="preserve"> </w:t>
      </w:r>
      <w:r w:rsidR="003D1032" w:rsidRPr="007B5BE6">
        <w:t xml:space="preserve">to make decisions on their behalf </w:t>
      </w:r>
      <w:r w:rsidR="000B6AA0" w:rsidRPr="007B5BE6">
        <w:t xml:space="preserve">(or </w:t>
      </w:r>
      <w:r w:rsidR="00F71D3E" w:rsidRPr="007B5BE6">
        <w:t xml:space="preserve">were </w:t>
      </w:r>
      <w:r w:rsidR="000B6AA0" w:rsidRPr="007B5BE6">
        <w:t>making decisions on their behalf without legal authority)</w:t>
      </w:r>
      <w:r w:rsidR="00DA0880" w:rsidRPr="007B5BE6">
        <w:t>.</w:t>
      </w:r>
      <w:r w:rsidR="00BD7D81" w:rsidRPr="007B5BE6">
        <w:rPr>
          <w:rStyle w:val="FootnoteReference"/>
        </w:rPr>
        <w:footnoteReference w:id="216"/>
      </w:r>
      <w:r w:rsidR="00DA0880" w:rsidRPr="007B5BE6">
        <w:t xml:space="preserve"> </w:t>
      </w:r>
    </w:p>
    <w:p w14:paraId="0BBCFB33" w14:textId="3427F5A3" w:rsidR="002311B7" w:rsidRPr="007B5BE6" w:rsidRDefault="00BB0CD0" w:rsidP="001523A0">
      <w:pPr>
        <w:pStyle w:val="DotPointTLRI"/>
      </w:pPr>
      <w:r w:rsidRPr="007B5BE6">
        <w:t>P</w:t>
      </w:r>
      <w:r w:rsidR="00A60CD8" w:rsidRPr="007B5BE6">
        <w:t xml:space="preserve">eople </w:t>
      </w:r>
      <w:r w:rsidR="00382282" w:rsidRPr="007B5BE6">
        <w:t>(</w:t>
      </w:r>
      <w:r w:rsidR="00BD3DD2" w:rsidRPr="007B5BE6">
        <w:t xml:space="preserve">often </w:t>
      </w:r>
      <w:r w:rsidR="00382282" w:rsidRPr="007B5BE6">
        <w:t xml:space="preserve">family members) </w:t>
      </w:r>
      <w:r w:rsidR="002A3FE7" w:rsidRPr="007B5BE6">
        <w:t>can take advantage of a</w:t>
      </w:r>
      <w:r w:rsidR="000C12EA" w:rsidRPr="007B5BE6">
        <w:t>n older</w:t>
      </w:r>
      <w:r w:rsidR="002A3FE7" w:rsidRPr="007B5BE6">
        <w:t xml:space="preserve"> person’s declining or lack of decision-making </w:t>
      </w:r>
      <w:r w:rsidR="008572B1" w:rsidRPr="007B5BE6">
        <w:t>capacity or</w:t>
      </w:r>
      <w:r w:rsidR="000C12EA" w:rsidRPr="007B5BE6">
        <w:t xml:space="preserve"> make a claim </w:t>
      </w:r>
      <w:r w:rsidR="008572B1" w:rsidRPr="007B5BE6">
        <w:t>than an older person has</w:t>
      </w:r>
      <w:r w:rsidR="000C12EA" w:rsidRPr="007B5BE6">
        <w:t xml:space="preserve"> impaired decision-making capacity </w:t>
      </w:r>
      <w:r w:rsidR="00F303F2" w:rsidRPr="007B5BE6">
        <w:t>to</w:t>
      </w:r>
      <w:r w:rsidR="000C12EA" w:rsidRPr="007B5BE6">
        <w:t xml:space="preserve"> obtain</w:t>
      </w:r>
      <w:r w:rsidR="00E84BFA" w:rsidRPr="007B5BE6">
        <w:t xml:space="preserve"> financial control or</w:t>
      </w:r>
      <w:r w:rsidR="000C12EA" w:rsidRPr="007B5BE6">
        <w:t xml:space="preserve"> </w:t>
      </w:r>
      <w:r w:rsidR="0089512F" w:rsidRPr="007B5BE6">
        <w:t>a financial benefit. Such conduct was evident in cases where there were already decision-making arrangements in place</w:t>
      </w:r>
      <w:r w:rsidR="00907F8C" w:rsidRPr="007B5BE6">
        <w:t>,</w:t>
      </w:r>
      <w:r w:rsidR="0089512F" w:rsidRPr="007B5BE6">
        <w:t xml:space="preserve"> as well as </w:t>
      </w:r>
      <w:r w:rsidR="00907F8C" w:rsidRPr="007B5BE6">
        <w:t xml:space="preserve">in </w:t>
      </w:r>
      <w:r w:rsidR="0089512F" w:rsidRPr="007B5BE6">
        <w:t>cases where the</w:t>
      </w:r>
      <w:r w:rsidR="00B82E60" w:rsidRPr="007B5BE6">
        <w:t>re were no such arrangements, but the</w:t>
      </w:r>
      <w:r w:rsidR="00F700BB" w:rsidRPr="007B5BE6">
        <w:t xml:space="preserve">y were needed </w:t>
      </w:r>
      <w:r w:rsidR="00907F8C" w:rsidRPr="007B5BE6">
        <w:t xml:space="preserve">due to the </w:t>
      </w:r>
      <w:r w:rsidR="00B82E60" w:rsidRPr="007B5BE6">
        <w:t>older person</w:t>
      </w:r>
      <w:r w:rsidR="00751EB0" w:rsidRPr="007B5BE6">
        <w:t>’s</w:t>
      </w:r>
      <w:r w:rsidR="00F700BB" w:rsidRPr="007B5BE6">
        <w:t xml:space="preserve"> </w:t>
      </w:r>
      <w:r w:rsidR="00B82E60" w:rsidRPr="007B5BE6">
        <w:t>impaired decision-making ability</w:t>
      </w:r>
      <w:r w:rsidR="00F303F2" w:rsidRPr="007B5BE6">
        <w:t>.</w:t>
      </w:r>
      <w:r w:rsidR="00BC465B" w:rsidRPr="007B5BE6">
        <w:t xml:space="preserve"> This was also evident in the case</w:t>
      </w:r>
      <w:r w:rsidR="008572B1" w:rsidRPr="007B5BE6">
        <w:t xml:space="preserve"> of Mrs Mackozdi</w:t>
      </w:r>
      <w:r w:rsidR="00BC465B" w:rsidRPr="007B5BE6">
        <w:t xml:space="preserve"> </w:t>
      </w:r>
      <w:r w:rsidR="000149EB" w:rsidRPr="007B5BE6">
        <w:t xml:space="preserve">(in </w:t>
      </w:r>
      <w:r w:rsidR="00751EB0" w:rsidRPr="007B5BE6">
        <w:t xml:space="preserve">the criminal and coronial jurisdictions, discussed at </w:t>
      </w:r>
      <w:r w:rsidR="00117061" w:rsidRPr="007B5BE6">
        <w:t>[2.5.4</w:t>
      </w:r>
      <w:r w:rsidR="00037F3E" w:rsidRPr="007B5BE6">
        <w:t>]–[2.5.8])</w:t>
      </w:r>
      <w:r w:rsidR="008572B1" w:rsidRPr="007B5BE6">
        <w:t>. Mrs Mackozdi</w:t>
      </w:r>
      <w:r w:rsidR="00751EB0" w:rsidRPr="007B5BE6">
        <w:t xml:space="preserve"> </w:t>
      </w:r>
      <w:r w:rsidR="00BC465B" w:rsidRPr="007B5BE6">
        <w:t xml:space="preserve">had advanced </w:t>
      </w:r>
      <w:r w:rsidR="00F700BB" w:rsidRPr="007B5BE6">
        <w:t>dementia,</w:t>
      </w:r>
      <w:r w:rsidR="00BC465B" w:rsidRPr="007B5BE6">
        <w:t xml:space="preserve"> </w:t>
      </w:r>
      <w:r w:rsidR="00922B82" w:rsidRPr="007B5BE6">
        <w:t xml:space="preserve">and her daughter and son-in-law had taken control of financial matters without any decision-making arrangements, such as administration, enduring power of attorney or </w:t>
      </w:r>
      <w:r w:rsidR="008572B1" w:rsidRPr="007B5BE6">
        <w:t xml:space="preserve">enduring </w:t>
      </w:r>
      <w:r w:rsidR="00922B82" w:rsidRPr="007B5BE6">
        <w:t>guardianship being in place.</w:t>
      </w:r>
      <w:r w:rsidR="006E2999" w:rsidRPr="007B5BE6">
        <w:rPr>
          <w:rStyle w:val="FootnoteReference"/>
        </w:rPr>
        <w:footnoteReference w:id="217"/>
      </w:r>
      <w:r w:rsidR="00F303F2" w:rsidRPr="007B5BE6">
        <w:t xml:space="preserve"> </w:t>
      </w:r>
      <w:bookmarkStart w:id="42" w:name="_Toc212561737"/>
    </w:p>
    <w:p w14:paraId="0D6B3B98" w14:textId="5315F0A0" w:rsidR="005E44D7" w:rsidRPr="007B5BE6" w:rsidRDefault="005E44D7" w:rsidP="00987055">
      <w:pPr>
        <w:pStyle w:val="Headingunnumbered"/>
        <w:spacing w:before="360"/>
      </w:pPr>
      <w:r w:rsidRPr="007B5BE6">
        <w:t>Civil cas</w:t>
      </w:r>
      <w:r w:rsidR="00660871" w:rsidRPr="007B5BE6">
        <w:t xml:space="preserve">es: </w:t>
      </w:r>
      <w:r w:rsidR="00CC474F" w:rsidRPr="007B5BE6">
        <w:t xml:space="preserve">circumstances of </w:t>
      </w:r>
      <w:r w:rsidR="00F84A65" w:rsidRPr="007B5BE6">
        <w:t xml:space="preserve">abuse </w:t>
      </w:r>
      <w:r w:rsidR="00332FDD" w:rsidRPr="007B5BE6">
        <w:t xml:space="preserve">of older people </w:t>
      </w:r>
      <w:r w:rsidR="00CC474F" w:rsidRPr="007B5BE6">
        <w:t>involving undue influence or dishonesty</w:t>
      </w:r>
      <w:bookmarkEnd w:id="42"/>
    </w:p>
    <w:p w14:paraId="2FA146D9" w14:textId="667317AF" w:rsidR="00F553F4" w:rsidRPr="007B5BE6" w:rsidRDefault="00EC40BC" w:rsidP="00F27BA2">
      <w:pPr>
        <w:pStyle w:val="NormalNumberedTextTLRI"/>
        <w:sectPr w:rsidR="00F553F4" w:rsidRPr="007B5BE6" w:rsidSect="003B4ABF">
          <w:headerReference w:type="default" r:id="rId30"/>
          <w:pgSz w:w="11906" w:h="16838"/>
          <w:pgMar w:top="1440" w:right="1440" w:bottom="1440" w:left="1440" w:header="708" w:footer="708" w:gutter="0"/>
          <w:cols w:space="708"/>
          <w:docGrid w:linePitch="360"/>
        </w:sectPr>
      </w:pPr>
      <w:r w:rsidRPr="007B5BE6">
        <w:t>The findings of a study</w:t>
      </w:r>
      <w:r w:rsidR="00101E83" w:rsidRPr="007B5BE6">
        <w:t>,</w:t>
      </w:r>
      <w:r w:rsidR="007C3DA6" w:rsidRPr="007B5BE6">
        <w:rPr>
          <w:rStyle w:val="FootnoteReference"/>
        </w:rPr>
        <w:footnoteReference w:id="218"/>
      </w:r>
      <w:r w:rsidR="00384454">
        <w:t xml:space="preserve"> </w:t>
      </w:r>
      <w:r w:rsidR="003D67A1" w:rsidRPr="007B5BE6">
        <w:t>exploring the safeguards of ‘voluntariness’ in the context of behaviours towards people aged over 65 years</w:t>
      </w:r>
      <w:r w:rsidR="00101E83" w:rsidRPr="007B5BE6">
        <w:t>,</w:t>
      </w:r>
      <w:r w:rsidR="007C3DA6" w:rsidRPr="007B5BE6">
        <w:t xml:space="preserve"> </w:t>
      </w:r>
      <w:r w:rsidRPr="007B5BE6">
        <w:t>also r</w:t>
      </w:r>
      <w:r w:rsidR="00F158AC" w:rsidRPr="007B5BE6">
        <w:t xml:space="preserve">eflect the </w:t>
      </w:r>
      <w:r w:rsidRPr="007B5BE6">
        <w:t xml:space="preserve">dynamics </w:t>
      </w:r>
      <w:r w:rsidR="00574FB2" w:rsidRPr="007B5BE6">
        <w:t>of abuse of older peopl</w:t>
      </w:r>
      <w:r w:rsidR="00244832" w:rsidRPr="007B5BE6">
        <w:t>e</w:t>
      </w:r>
      <w:r w:rsidR="00931B8D" w:rsidRPr="007B5BE6">
        <w:t>—</w:t>
      </w:r>
      <w:r w:rsidR="00267BF6" w:rsidRPr="007B5BE6">
        <w:t xml:space="preserve">according with dynamics </w:t>
      </w:r>
      <w:r w:rsidR="00D860C4" w:rsidRPr="007B5BE6">
        <w:t xml:space="preserve">identified </w:t>
      </w:r>
      <w:r w:rsidR="00A0414E" w:rsidRPr="007B5BE6">
        <w:t>in o</w:t>
      </w:r>
      <w:r w:rsidR="00574FB2" w:rsidRPr="007B5BE6">
        <w:t xml:space="preserve">ther research </w:t>
      </w:r>
      <w:r w:rsidR="00173EFA" w:rsidRPr="007B5BE6">
        <w:t xml:space="preserve">(discussed at </w:t>
      </w:r>
      <w:r w:rsidR="001738EE" w:rsidRPr="007B5BE6">
        <w:t>[2.3.2]–[2.3.8]</w:t>
      </w:r>
      <w:r w:rsidR="00540FC5" w:rsidRPr="007B5BE6">
        <w:t>)</w:t>
      </w:r>
      <w:r w:rsidR="000B4027" w:rsidRPr="007B5BE6">
        <w:t xml:space="preserve">, </w:t>
      </w:r>
      <w:r w:rsidR="00D860C4" w:rsidRPr="007B5BE6">
        <w:t xml:space="preserve">the TLRI’s analysis of </w:t>
      </w:r>
      <w:r w:rsidR="00574FB2" w:rsidRPr="007B5BE6">
        <w:t>Tasmanian data</w:t>
      </w:r>
      <w:r w:rsidR="0001715A" w:rsidRPr="007B5BE6">
        <w:t xml:space="preserve"> (discussed at [2.3.12]–[</w:t>
      </w:r>
      <w:r w:rsidR="00E4564D" w:rsidRPr="007B5BE6">
        <w:t>2.3.23]) and in stakeholder interviews (discussed at [2.3.24]–[</w:t>
      </w:r>
      <w:r w:rsidR="00AB3680" w:rsidRPr="007B5BE6">
        <w:t>2.3.28]</w:t>
      </w:r>
      <w:r w:rsidR="000E72D1" w:rsidRPr="007B5BE6">
        <w:t>)</w:t>
      </w:r>
      <w:r w:rsidR="00D860C4" w:rsidRPr="007B5BE6">
        <w:t>.</w:t>
      </w:r>
      <w:r w:rsidR="004F3113" w:rsidRPr="007B5BE6">
        <w:t xml:space="preserve"> </w:t>
      </w:r>
      <w:r w:rsidR="003D67A1" w:rsidRPr="007B5BE6">
        <w:t>The study analysed 15 Australian cases that involved ci</w:t>
      </w:r>
      <w:r w:rsidR="00101E83" w:rsidRPr="007B5BE6">
        <w:t>rcumstances</w:t>
      </w:r>
      <w:r w:rsidR="00A0039D" w:rsidRPr="007B5BE6">
        <w:t xml:space="preserve"> where </w:t>
      </w:r>
      <w:r w:rsidR="007B40B2" w:rsidRPr="007B5BE6">
        <w:t xml:space="preserve">voluntariness was vitiated </w:t>
      </w:r>
      <w:proofErr w:type="gramStart"/>
      <w:r w:rsidR="007B40B2" w:rsidRPr="007B5BE6">
        <w:t>on the basis of</w:t>
      </w:r>
      <w:proofErr w:type="gramEnd"/>
      <w:r w:rsidR="00694DD0" w:rsidRPr="007B5BE6">
        <w:t xml:space="preserve"> duress, coercion, threat of punishment, promise of reward, inducement, dishonesty and</w:t>
      </w:r>
      <w:r w:rsidR="007B40B2" w:rsidRPr="007B5BE6">
        <w:t>/or</w:t>
      </w:r>
      <w:r w:rsidR="00694DD0" w:rsidRPr="007B5BE6">
        <w:t xml:space="preserve"> undue influence. Of the 15 cases,</w:t>
      </w:r>
      <w:r w:rsidR="00694DD0" w:rsidRPr="007B5BE6">
        <w:rPr>
          <w:rStyle w:val="FootnoteReference"/>
        </w:rPr>
        <w:footnoteReference w:id="219"/>
      </w:r>
      <w:r w:rsidR="00694DD0" w:rsidRPr="007B5BE6">
        <w:t xml:space="preserve"> 14 related to </w:t>
      </w:r>
      <w:r w:rsidR="006F0EEC" w:rsidRPr="007B5BE6">
        <w:t xml:space="preserve">voluntariness vitiated on the basis </w:t>
      </w:r>
      <w:r w:rsidR="006F0EEC" w:rsidRPr="007B5BE6">
        <w:lastRenderedPageBreak/>
        <w:t>of</w:t>
      </w:r>
      <w:r w:rsidR="00694DD0" w:rsidRPr="007B5BE6">
        <w:t xml:space="preserve"> ‘undue influence’</w:t>
      </w:r>
      <w:r w:rsidR="00694DD0" w:rsidRPr="007B5BE6">
        <w:rPr>
          <w:rStyle w:val="FootnoteReference"/>
        </w:rPr>
        <w:footnoteReference w:id="220"/>
      </w:r>
      <w:r w:rsidR="00694DD0" w:rsidRPr="007B5BE6">
        <w:t xml:space="preserve"> and </w:t>
      </w:r>
      <w:r w:rsidR="00EE7CF0" w:rsidRPr="007B5BE6">
        <w:t xml:space="preserve">one related to </w:t>
      </w:r>
      <w:r w:rsidR="006F0EEC" w:rsidRPr="007B5BE6">
        <w:t>the basis</w:t>
      </w:r>
      <w:r w:rsidR="00694DD0" w:rsidRPr="007B5BE6">
        <w:t xml:space="preserve"> </w:t>
      </w:r>
      <w:r w:rsidR="006F0EEC" w:rsidRPr="007B5BE6">
        <w:t>of</w:t>
      </w:r>
      <w:r w:rsidR="00694DD0" w:rsidRPr="007B5BE6">
        <w:t xml:space="preserve"> ‘dishonesty’.</w:t>
      </w:r>
      <w:r w:rsidR="00694DD0" w:rsidRPr="007B5BE6">
        <w:rPr>
          <w:rStyle w:val="FootnoteReference"/>
        </w:rPr>
        <w:footnoteReference w:id="221"/>
      </w:r>
      <w:r w:rsidR="00694DD0" w:rsidRPr="007B5BE6">
        <w:t xml:space="preserve"> </w:t>
      </w:r>
      <w:r w:rsidR="006F0EEC" w:rsidRPr="007B5BE6">
        <w:t xml:space="preserve">Central to </w:t>
      </w:r>
      <w:r w:rsidR="008D76FF" w:rsidRPr="007B5BE6">
        <w:t xml:space="preserve">the </w:t>
      </w:r>
      <w:r w:rsidR="006F0EEC" w:rsidRPr="007B5BE6">
        <w:t>concept of</w:t>
      </w:r>
      <w:r w:rsidR="00694DD0" w:rsidRPr="007B5BE6">
        <w:t xml:space="preserve"> undue influence </w:t>
      </w:r>
      <w:r w:rsidR="006F0EEC" w:rsidRPr="007B5BE6">
        <w:t xml:space="preserve">is a relationship of trust and </w:t>
      </w:r>
      <w:r w:rsidR="00441590" w:rsidRPr="007B5BE6">
        <w:t xml:space="preserve">that the </w:t>
      </w:r>
      <w:r w:rsidR="005317D3" w:rsidRPr="007B5BE6">
        <w:t>person</w:t>
      </w:r>
      <w:r w:rsidR="00441590" w:rsidRPr="007B5BE6">
        <w:t xml:space="preserve"> enters a </w:t>
      </w:r>
      <w:r w:rsidR="005317D3" w:rsidRPr="007B5BE6">
        <w:t>transaction</w:t>
      </w:r>
      <w:r w:rsidR="00D840C6" w:rsidRPr="007B5BE6">
        <w:t xml:space="preserve"> </w:t>
      </w:r>
      <w:r w:rsidR="005317D3" w:rsidRPr="007B5BE6">
        <w:t>which</w:t>
      </w:r>
      <w:r w:rsidR="00D840C6" w:rsidRPr="007B5BE6">
        <w:t xml:space="preserve"> </w:t>
      </w:r>
      <w:r w:rsidR="009C2A43" w:rsidRPr="007B5BE6">
        <w:t>i</w:t>
      </w:r>
      <w:r w:rsidR="00D840C6" w:rsidRPr="007B5BE6">
        <w:t xml:space="preserve">s manifestly </w:t>
      </w:r>
      <w:r w:rsidR="005317D3" w:rsidRPr="007B5BE6">
        <w:t>disadvantageous</w:t>
      </w:r>
      <w:r w:rsidR="00D840C6" w:rsidRPr="007B5BE6">
        <w:t xml:space="preserve"> to them.</w:t>
      </w:r>
      <w:r w:rsidR="00D840C6" w:rsidRPr="007B5BE6">
        <w:rPr>
          <w:rStyle w:val="FootnoteReference"/>
        </w:rPr>
        <w:footnoteReference w:id="222"/>
      </w:r>
      <w:r w:rsidR="00694DD0" w:rsidRPr="007B5BE6">
        <w:t xml:space="preserve"> </w:t>
      </w:r>
      <w:r w:rsidR="00C00765" w:rsidRPr="007B5BE6">
        <w:t xml:space="preserve">In all 14 </w:t>
      </w:r>
      <w:r w:rsidR="009C2A43" w:rsidRPr="007B5BE6">
        <w:t xml:space="preserve">cases, </w:t>
      </w:r>
      <w:r w:rsidR="00C00765" w:rsidRPr="007B5BE6">
        <w:t>the older person suffered from deteriorating health (mental or physical)</w:t>
      </w:r>
      <w:r w:rsidR="00E24B52" w:rsidRPr="007B5BE6">
        <w:t xml:space="preserve">. Of </w:t>
      </w:r>
      <w:r w:rsidR="009C2A43" w:rsidRPr="007B5BE6">
        <w:t xml:space="preserve">the </w:t>
      </w:r>
      <w:r w:rsidR="001B3064" w:rsidRPr="007B5BE6">
        <w:t>nine</w:t>
      </w:r>
      <w:r w:rsidR="009C2A43" w:rsidRPr="007B5BE6">
        <w:t xml:space="preserve"> cases where undue influence </w:t>
      </w:r>
      <w:r w:rsidR="008C33F4" w:rsidRPr="007B5BE6">
        <w:t xml:space="preserve">was </w:t>
      </w:r>
      <w:r w:rsidR="009C2A43" w:rsidRPr="007B5BE6">
        <w:t>found</w:t>
      </w:r>
      <w:r w:rsidR="00DD79E5" w:rsidRPr="007B5BE6">
        <w:t>,</w:t>
      </w:r>
      <w:r w:rsidR="009C2A43" w:rsidRPr="007B5BE6">
        <w:t xml:space="preserve"> </w:t>
      </w:r>
      <w:r w:rsidR="003C5C6C" w:rsidRPr="007B5BE6">
        <w:t>six</w:t>
      </w:r>
      <w:r w:rsidR="009C2A43" w:rsidRPr="007B5BE6">
        <w:t xml:space="preserve"> involved family members, particularly children with the other </w:t>
      </w:r>
      <w:r w:rsidR="003C5C6C" w:rsidRPr="007B5BE6">
        <w:t>three</w:t>
      </w:r>
      <w:r w:rsidR="009C2A43" w:rsidRPr="007B5BE6">
        <w:t xml:space="preserve"> cases being a friend, intimate partner and stranger</w:t>
      </w:r>
      <w:r w:rsidR="00E24B52" w:rsidRPr="007B5BE6">
        <w:t xml:space="preserve">. </w:t>
      </w:r>
      <w:r w:rsidR="00B5113F" w:rsidRPr="007B5BE6">
        <w:t xml:space="preserve">In all </w:t>
      </w:r>
      <w:r w:rsidR="003C5C6C" w:rsidRPr="007B5BE6">
        <w:t>nine</w:t>
      </w:r>
      <w:r w:rsidR="00B5113F" w:rsidRPr="007B5BE6">
        <w:t xml:space="preserve"> </w:t>
      </w:r>
      <w:r w:rsidR="00F27BA2" w:rsidRPr="007B5BE6">
        <w:t>cases</w:t>
      </w:r>
      <w:r w:rsidR="00B5113F" w:rsidRPr="007B5BE6">
        <w:t xml:space="preserve">, there was no use of </w:t>
      </w:r>
      <w:r w:rsidR="00694DD0" w:rsidRPr="007B5BE6">
        <w:t xml:space="preserve">physical violence but rather </w:t>
      </w:r>
      <w:r w:rsidR="00332FDD" w:rsidRPr="007B5BE6">
        <w:t>behaviour such as c</w:t>
      </w:r>
      <w:r w:rsidR="00694DD0" w:rsidRPr="007B5BE6">
        <w:t xml:space="preserve">oercion, psychological pressure, repeated requests, taking control or taking over </w:t>
      </w:r>
      <w:r w:rsidR="00BC1779" w:rsidRPr="007B5BE6">
        <w:t>matters or decisions concerning the older person</w:t>
      </w:r>
      <w:r w:rsidR="00F27BA2" w:rsidRPr="007B5BE6">
        <w:t>.</w:t>
      </w:r>
      <w:r w:rsidR="00F27BA2" w:rsidRPr="007B5BE6">
        <w:rPr>
          <w:rStyle w:val="FootnoteReference"/>
        </w:rPr>
        <w:t xml:space="preserve"> </w:t>
      </w:r>
      <w:r w:rsidR="00F27BA2" w:rsidRPr="007B5BE6">
        <w:rPr>
          <w:rStyle w:val="FootnoteReference"/>
        </w:rPr>
        <w:footnoteReference w:id="223"/>
      </w:r>
      <w:r w:rsidR="00F27BA2" w:rsidRPr="007B5BE6">
        <w:t xml:space="preserve"> </w:t>
      </w:r>
    </w:p>
    <w:p w14:paraId="555D8302" w14:textId="77777777" w:rsidR="00030CE7" w:rsidRPr="007B5BE6" w:rsidRDefault="00030CE7" w:rsidP="00586187">
      <w:pPr>
        <w:pStyle w:val="PartNoTLRI"/>
      </w:pPr>
      <w:bookmarkStart w:id="43" w:name="_Toc212561738"/>
      <w:bookmarkEnd w:id="43"/>
    </w:p>
    <w:p w14:paraId="62805CC8" w14:textId="033D8C60" w:rsidR="00586187" w:rsidRPr="007B5BE6" w:rsidRDefault="00486BF6" w:rsidP="00150960">
      <w:pPr>
        <w:pStyle w:val="PartHeadingTLRI"/>
      </w:pPr>
      <w:bookmarkStart w:id="44" w:name="_Toc212561739"/>
      <w:r w:rsidRPr="007B5BE6">
        <w:t>A</w:t>
      </w:r>
      <w:r w:rsidR="005711EC" w:rsidRPr="007B5BE6">
        <w:t>ddress</w:t>
      </w:r>
      <w:r w:rsidRPr="007B5BE6">
        <w:t>ing</w:t>
      </w:r>
      <w:r w:rsidR="005711EC" w:rsidRPr="007B5BE6">
        <w:t xml:space="preserve"> the </w:t>
      </w:r>
      <w:r w:rsidR="00BD32CB" w:rsidRPr="007B5BE6">
        <w:t>A</w:t>
      </w:r>
      <w:r w:rsidR="005711EC" w:rsidRPr="007B5BE6">
        <w:t xml:space="preserve">buse of </w:t>
      </w:r>
      <w:r w:rsidR="00BD32CB" w:rsidRPr="007B5BE6">
        <w:t>O</w:t>
      </w:r>
      <w:r w:rsidR="005711EC" w:rsidRPr="007B5BE6">
        <w:t>lder Tasmanians</w:t>
      </w:r>
      <w:r w:rsidRPr="007B5BE6">
        <w:t xml:space="preserve">: </w:t>
      </w:r>
      <w:r w:rsidR="00BD32CB" w:rsidRPr="007B5BE6">
        <w:t>C</w:t>
      </w:r>
      <w:r w:rsidR="00854860" w:rsidRPr="007B5BE6">
        <w:t xml:space="preserve">urrent </w:t>
      </w:r>
      <w:r w:rsidR="00BD32CB" w:rsidRPr="007B5BE6">
        <w:t>A</w:t>
      </w:r>
      <w:r w:rsidR="00854860" w:rsidRPr="007B5BE6">
        <w:t>pproach</w:t>
      </w:r>
      <w:r w:rsidR="00474ACC" w:rsidRPr="007B5BE6">
        <w:t>es</w:t>
      </w:r>
      <w:r w:rsidR="00854860" w:rsidRPr="007B5BE6">
        <w:t xml:space="preserve"> in Tasmania</w:t>
      </w:r>
      <w:bookmarkEnd w:id="44"/>
    </w:p>
    <w:p w14:paraId="30E7D28D" w14:textId="2E754C69" w:rsidR="00EC0D05" w:rsidRPr="007B5BE6" w:rsidRDefault="00EC0D05" w:rsidP="00744D17">
      <w:pPr>
        <w:pStyle w:val="NumberedHeadingTLRI"/>
      </w:pPr>
      <w:bookmarkStart w:id="45" w:name="_Toc212561740"/>
      <w:r w:rsidRPr="007B5BE6">
        <w:t>Introduction</w:t>
      </w:r>
      <w:bookmarkEnd w:id="45"/>
    </w:p>
    <w:p w14:paraId="068BE90E" w14:textId="0ED71E41" w:rsidR="00451F34" w:rsidRPr="007B5BE6" w:rsidRDefault="00BA1D1F">
      <w:pPr>
        <w:pStyle w:val="NormalNumberedTextTLRI"/>
      </w:pPr>
      <w:r w:rsidRPr="007B5BE6">
        <w:rPr>
          <w:b/>
          <w:bCs/>
        </w:rPr>
        <w:t>Part 3</w:t>
      </w:r>
      <w:r w:rsidRPr="007B5BE6">
        <w:rPr>
          <w:b/>
        </w:rPr>
        <w:t xml:space="preserve"> </w:t>
      </w:r>
      <w:r w:rsidR="00CB4376" w:rsidRPr="007B5BE6">
        <w:t>outlines the</w:t>
      </w:r>
      <w:r w:rsidR="00690B0B" w:rsidRPr="007B5BE6">
        <w:t xml:space="preserve"> </w:t>
      </w:r>
      <w:r w:rsidR="001E7404" w:rsidRPr="007B5BE6">
        <w:t>current approach</w:t>
      </w:r>
      <w:r w:rsidR="001C5311" w:rsidRPr="007B5BE6">
        <w:t xml:space="preserve">es to addressing </w:t>
      </w:r>
      <w:r w:rsidR="00D33BAB" w:rsidRPr="007B5BE6">
        <w:t xml:space="preserve">the </w:t>
      </w:r>
      <w:r w:rsidR="001C5311" w:rsidRPr="007B5BE6">
        <w:t>abuse of older Tasmanians</w:t>
      </w:r>
      <w:r w:rsidR="00967C9C" w:rsidRPr="007B5BE6">
        <w:t>.</w:t>
      </w:r>
      <w:r w:rsidR="00A43F46" w:rsidRPr="007B5BE6">
        <w:t xml:space="preserve"> </w:t>
      </w:r>
      <w:r w:rsidR="00CD0E46" w:rsidRPr="007B5BE6">
        <w:t xml:space="preserve">It provides a </w:t>
      </w:r>
      <w:r w:rsidR="00430DB4" w:rsidRPr="007B5BE6">
        <w:t xml:space="preserve">brief </w:t>
      </w:r>
      <w:r w:rsidR="00CD0E46" w:rsidRPr="007B5BE6">
        <w:t xml:space="preserve">overview of the </w:t>
      </w:r>
      <w:r w:rsidR="0024162F" w:rsidRPr="007B5BE6">
        <w:t xml:space="preserve">policy </w:t>
      </w:r>
      <w:proofErr w:type="gramStart"/>
      <w:r w:rsidR="0024162F" w:rsidRPr="007B5BE6">
        <w:t>framework, and</w:t>
      </w:r>
      <w:proofErr w:type="gramEnd"/>
      <w:r w:rsidR="0024162F" w:rsidRPr="007B5BE6">
        <w:t xml:space="preserve"> sets out the current Tasmanian framework that exists to protect older Tasmanians from abuse</w:t>
      </w:r>
      <w:r w:rsidR="00430DB4" w:rsidRPr="007B5BE6">
        <w:t>.</w:t>
      </w:r>
      <w:r w:rsidR="00474ACC" w:rsidRPr="007B5BE6">
        <w:t xml:space="preserve"> </w:t>
      </w:r>
      <w:r w:rsidR="00807DE2" w:rsidRPr="007B5BE6">
        <w:t>It examines</w:t>
      </w:r>
      <w:r w:rsidR="00943B59" w:rsidRPr="007B5BE6">
        <w:t xml:space="preserve"> </w:t>
      </w:r>
      <w:r w:rsidR="00807DE2" w:rsidRPr="007B5BE6">
        <w:t xml:space="preserve">the current legal framework, which includes a broad range of laws that address the protection needs or rights of groups of people, </w:t>
      </w:r>
      <w:r w:rsidR="00011666" w:rsidRPr="007B5BE6">
        <w:t xml:space="preserve">which </w:t>
      </w:r>
      <w:r w:rsidR="00807DE2" w:rsidRPr="007B5BE6">
        <w:t xml:space="preserve">may include some, but not all, older Tasmanians. </w:t>
      </w:r>
      <w:r w:rsidR="00E93636" w:rsidRPr="007B5BE6">
        <w:t>It considers</w:t>
      </w:r>
      <w:r w:rsidR="00451F34" w:rsidRPr="007B5BE6">
        <w:t>:</w:t>
      </w:r>
    </w:p>
    <w:p w14:paraId="4FA18D67" w14:textId="6DB0658C" w:rsidR="00930908" w:rsidRPr="007B5BE6" w:rsidRDefault="00E93636" w:rsidP="00451F34">
      <w:pPr>
        <w:pStyle w:val="DotPointTLRI"/>
      </w:pPr>
      <w:r w:rsidRPr="007B5BE6">
        <w:t>criminal and civil laws</w:t>
      </w:r>
      <w:r w:rsidR="00451F34" w:rsidRPr="007B5BE6">
        <w:t>;</w:t>
      </w:r>
    </w:p>
    <w:p w14:paraId="5B2AA1BF" w14:textId="17293E0F" w:rsidR="00930908" w:rsidRPr="007B5BE6" w:rsidRDefault="00275540" w:rsidP="00451F34">
      <w:pPr>
        <w:pStyle w:val="DotPointTLRI"/>
      </w:pPr>
      <w:r w:rsidRPr="007B5BE6">
        <w:t xml:space="preserve">laws in the coronial jurisdiction </w:t>
      </w:r>
      <w:r w:rsidR="006D0E66" w:rsidRPr="007B5BE6">
        <w:t>relating to death investigation and inquests</w:t>
      </w:r>
      <w:r w:rsidR="00930908" w:rsidRPr="007B5BE6">
        <w:t>;</w:t>
      </w:r>
    </w:p>
    <w:p w14:paraId="2FCA26FE" w14:textId="5934B128" w:rsidR="00930908" w:rsidRPr="007B5BE6" w:rsidRDefault="00E93636" w:rsidP="00451F34">
      <w:pPr>
        <w:pStyle w:val="DotPointTLRI"/>
      </w:pPr>
      <w:r w:rsidRPr="007B5BE6">
        <w:t xml:space="preserve">laws </w:t>
      </w:r>
      <w:r w:rsidR="00930908" w:rsidRPr="007B5BE6">
        <w:t xml:space="preserve">that may apply to </w:t>
      </w:r>
      <w:r w:rsidR="006D0E0D" w:rsidRPr="007B5BE6">
        <w:t xml:space="preserve">the </w:t>
      </w:r>
      <w:r w:rsidR="00062482" w:rsidRPr="007B5BE6">
        <w:t>rights and interests of some</w:t>
      </w:r>
      <w:r w:rsidR="00930908" w:rsidRPr="007B5BE6">
        <w:t xml:space="preserve"> older Tasmanians</w:t>
      </w:r>
      <w:r w:rsidR="00B94632" w:rsidRPr="007B5BE6">
        <w:t xml:space="preserve"> in specific areas of decision</w:t>
      </w:r>
      <w:r w:rsidR="00877588" w:rsidRPr="007B5BE6">
        <w:t xml:space="preserve"> </w:t>
      </w:r>
      <w:r w:rsidR="00B94632" w:rsidRPr="007B5BE6">
        <w:t>making</w:t>
      </w:r>
      <w:r w:rsidRPr="007B5BE6">
        <w:t>, such as powers of attorney</w:t>
      </w:r>
      <w:r w:rsidR="00252DC8" w:rsidRPr="007B5BE6">
        <w:t>,</w:t>
      </w:r>
      <w:r w:rsidRPr="007B5BE6">
        <w:t xml:space="preserve"> guardianship</w:t>
      </w:r>
      <w:r w:rsidR="00252DC8" w:rsidRPr="007B5BE6">
        <w:t xml:space="preserve"> and administration</w:t>
      </w:r>
      <w:r w:rsidRPr="007B5BE6">
        <w:t>, and end-of-life decisions</w:t>
      </w:r>
      <w:r w:rsidR="00930908" w:rsidRPr="007B5BE6">
        <w:t xml:space="preserve">; </w:t>
      </w:r>
      <w:r w:rsidRPr="007B5BE6">
        <w:t xml:space="preserve">and </w:t>
      </w:r>
    </w:p>
    <w:p w14:paraId="210715AC" w14:textId="557D3BB3" w:rsidR="00807DE2" w:rsidRPr="007B5BE6" w:rsidRDefault="007E5809" w:rsidP="00451F34">
      <w:pPr>
        <w:pStyle w:val="DotPointTLRI"/>
      </w:pPr>
      <w:r w:rsidRPr="007B5BE6">
        <w:t xml:space="preserve">relevant </w:t>
      </w:r>
      <w:r w:rsidR="00E93636" w:rsidRPr="007B5BE6">
        <w:t>mechanisms</w:t>
      </w:r>
      <w:r w:rsidR="00930908" w:rsidRPr="007B5BE6">
        <w:t xml:space="preserve"> for making complaints that may be available for some older Tasmanians</w:t>
      </w:r>
      <w:r w:rsidR="00E93636" w:rsidRPr="007B5BE6">
        <w:t>.</w:t>
      </w:r>
    </w:p>
    <w:p w14:paraId="27D7376F" w14:textId="364AF3D1" w:rsidR="00807DE2" w:rsidRPr="007B5BE6" w:rsidRDefault="00EE7DB5" w:rsidP="00C36293">
      <w:r w:rsidRPr="007B5BE6">
        <w:t xml:space="preserve">Further, it examines the </w:t>
      </w:r>
      <w:r w:rsidR="00807DE2" w:rsidRPr="007B5BE6">
        <w:t xml:space="preserve">specialist services focused </w:t>
      </w:r>
      <w:r w:rsidR="00451F34" w:rsidRPr="007B5BE6">
        <w:t>on</w:t>
      </w:r>
      <w:r w:rsidR="00797938" w:rsidRPr="007B5BE6">
        <w:t xml:space="preserve"> addressing</w:t>
      </w:r>
      <w:r w:rsidR="00807DE2" w:rsidRPr="007B5BE6">
        <w:t xml:space="preserve"> the abuse of older Tasmanians, as </w:t>
      </w:r>
      <w:r w:rsidR="00451F34" w:rsidRPr="007B5BE6">
        <w:t xml:space="preserve">a </w:t>
      </w:r>
      <w:r w:rsidR="00807DE2" w:rsidRPr="007B5BE6">
        <w:t xml:space="preserve">mechanism </w:t>
      </w:r>
      <w:r w:rsidR="00451F34" w:rsidRPr="007B5BE6">
        <w:t xml:space="preserve">for </w:t>
      </w:r>
      <w:r w:rsidR="00807DE2" w:rsidRPr="007B5BE6">
        <w:t xml:space="preserve">responding to </w:t>
      </w:r>
      <w:r w:rsidR="00797938" w:rsidRPr="007B5BE6">
        <w:t>such</w:t>
      </w:r>
      <w:r w:rsidR="006D0E0D" w:rsidRPr="007B5BE6">
        <w:t xml:space="preserve"> </w:t>
      </w:r>
      <w:r w:rsidR="00807DE2" w:rsidRPr="007B5BE6">
        <w:t xml:space="preserve">abuse. </w:t>
      </w:r>
    </w:p>
    <w:p w14:paraId="158843C1" w14:textId="5A2D754A" w:rsidR="00361B10" w:rsidRPr="007B5BE6" w:rsidRDefault="005F078A" w:rsidP="00084313">
      <w:pPr>
        <w:pStyle w:val="NormalNumberedTextTLRI"/>
        <w:rPr>
          <w:i/>
          <w:iCs/>
        </w:rPr>
      </w:pPr>
      <w:r w:rsidRPr="007B5BE6">
        <w:t>It is noted that</w:t>
      </w:r>
      <w:r w:rsidR="00D848C1" w:rsidRPr="007B5BE6">
        <w:t xml:space="preserve">, </w:t>
      </w:r>
      <w:r w:rsidR="00CA29E5" w:rsidRPr="007B5BE6">
        <w:t>under current approach</w:t>
      </w:r>
      <w:r w:rsidR="006D4BF5" w:rsidRPr="007B5BE6">
        <w:t>es</w:t>
      </w:r>
      <w:r w:rsidR="00A56C50" w:rsidRPr="007B5BE6">
        <w:t xml:space="preserve"> in Tasmania</w:t>
      </w:r>
      <w:r w:rsidR="00D848C1" w:rsidRPr="007B5BE6">
        <w:t xml:space="preserve">, </w:t>
      </w:r>
      <w:r w:rsidR="00CA29E5" w:rsidRPr="007B5BE6">
        <w:t>a specialist service response</w:t>
      </w:r>
      <w:r w:rsidR="00D848C1" w:rsidRPr="007B5BE6">
        <w:t xml:space="preserve"> has been the primary mechanism for responding to </w:t>
      </w:r>
      <w:r w:rsidR="00E54DA7" w:rsidRPr="007B5BE6">
        <w:t xml:space="preserve">the </w:t>
      </w:r>
      <w:r w:rsidR="00D848C1" w:rsidRPr="007B5BE6">
        <w:t>abuse of older Tasmanians</w:t>
      </w:r>
      <w:r w:rsidR="00A56C50" w:rsidRPr="007B5BE6">
        <w:t>. This h</w:t>
      </w:r>
      <w:r w:rsidR="00CE40A7" w:rsidRPr="007B5BE6">
        <w:t>as been</w:t>
      </w:r>
      <w:r w:rsidR="00CA29E5" w:rsidRPr="007B5BE6">
        <w:t xml:space="preserve"> through the funding of agencies and a suite of specialist services for older Tasmanians and their families who are seeking assistance regarding experiences or concerns about abuse and neglect. In contrast, the legal framework </w:t>
      </w:r>
      <w:r w:rsidR="003C2C13" w:rsidRPr="007B5BE6">
        <w:t xml:space="preserve">in Tasmania </w:t>
      </w:r>
      <w:r w:rsidR="00CA29E5" w:rsidRPr="007B5BE6">
        <w:t>consist</w:t>
      </w:r>
      <w:r w:rsidR="00611BEE" w:rsidRPr="007B5BE6">
        <w:t>s</w:t>
      </w:r>
      <w:r w:rsidR="00CA29E5" w:rsidRPr="007B5BE6">
        <w:t xml:space="preserve"> of intersecting Tasmanian and Commonwealth</w:t>
      </w:r>
      <w:r w:rsidR="00611BEE" w:rsidRPr="007B5BE6">
        <w:t xml:space="preserve"> laws</w:t>
      </w:r>
      <w:r w:rsidR="00CA29E5" w:rsidRPr="007B5BE6">
        <w:t xml:space="preserve">, </w:t>
      </w:r>
      <w:r w:rsidR="00611BEE" w:rsidRPr="007B5BE6">
        <w:t xml:space="preserve">which </w:t>
      </w:r>
      <w:r w:rsidR="00CA29E5" w:rsidRPr="007B5BE6">
        <w:t xml:space="preserve">have not been specifically developed with the abuse of the older person in mind. </w:t>
      </w:r>
      <w:r w:rsidR="00807DE2" w:rsidRPr="007B5BE6">
        <w:t>This means</w:t>
      </w:r>
      <w:r w:rsidR="00190255" w:rsidRPr="007B5BE6">
        <w:t xml:space="preserve">, despite the </w:t>
      </w:r>
      <w:r w:rsidR="00623A22" w:rsidRPr="007B5BE6">
        <w:t xml:space="preserve">growing </w:t>
      </w:r>
      <w:r w:rsidR="00190255" w:rsidRPr="007B5BE6">
        <w:t xml:space="preserve">focus on safeguarding older adults in Tasmanian and national policy framework </w:t>
      </w:r>
      <w:r w:rsidR="00623A22" w:rsidRPr="007B5BE6">
        <w:t xml:space="preserve">to </w:t>
      </w:r>
      <w:r w:rsidR="00190255" w:rsidRPr="007B5BE6">
        <w:t>address and respond to</w:t>
      </w:r>
      <w:r w:rsidR="00BC2904" w:rsidRPr="007B5BE6">
        <w:t xml:space="preserve"> </w:t>
      </w:r>
      <w:r w:rsidR="00190255" w:rsidRPr="007B5BE6">
        <w:t>abuse</w:t>
      </w:r>
      <w:r w:rsidR="00A26074" w:rsidRPr="007B5BE6">
        <w:t xml:space="preserve">, </w:t>
      </w:r>
      <w:r w:rsidR="00084313" w:rsidRPr="007B5BE6">
        <w:t xml:space="preserve">current laws do not provide a systematic or comprehensive legal framework focused on the abuse of older </w:t>
      </w:r>
      <w:r w:rsidR="00FF7491" w:rsidRPr="007B5BE6">
        <w:t xml:space="preserve">Tasmanians </w:t>
      </w:r>
      <w:r w:rsidR="00084313" w:rsidRPr="007B5BE6">
        <w:t xml:space="preserve">and </w:t>
      </w:r>
      <w:r w:rsidR="00A26074" w:rsidRPr="007B5BE6">
        <w:t>there is no overarching safeguarding legal framework.</w:t>
      </w:r>
      <w:r w:rsidR="00190255" w:rsidRPr="007B5BE6">
        <w:t xml:space="preserve"> </w:t>
      </w:r>
      <w:r w:rsidR="00807DE2" w:rsidRPr="007B5BE6">
        <w:t xml:space="preserve"> </w:t>
      </w:r>
      <w:r w:rsidR="00A26074" w:rsidRPr="007B5BE6">
        <w:t xml:space="preserve">Further, while human rights law provides an important part of the broader legal policy framework regarding the rights of older persons and </w:t>
      </w:r>
      <w:r w:rsidR="007F6402" w:rsidRPr="007B5BE6">
        <w:t>potential</w:t>
      </w:r>
      <w:r w:rsidR="00A26074" w:rsidRPr="007B5BE6">
        <w:t xml:space="preserve"> measures for protection from abuse, there is currently no United Nations Convention on the rights of older persons and no human rights legislation </w:t>
      </w:r>
      <w:r w:rsidR="00BD66AD" w:rsidRPr="007B5BE6">
        <w:t xml:space="preserve">that may apply to older Tasmanians </w:t>
      </w:r>
      <w:r w:rsidR="00A26074" w:rsidRPr="007B5BE6">
        <w:t>under Tasmanian and Commonwealth law</w:t>
      </w:r>
      <w:r w:rsidR="00A26074" w:rsidRPr="007B5BE6">
        <w:rPr>
          <w:i/>
          <w:iCs/>
        </w:rPr>
        <w:t xml:space="preserve">. </w:t>
      </w:r>
    </w:p>
    <w:p w14:paraId="1CF98A00" w14:textId="77777777" w:rsidR="00361B10" w:rsidRPr="007B5BE6" w:rsidRDefault="00361B10">
      <w:pPr>
        <w:spacing w:after="200" w:line="276" w:lineRule="auto"/>
        <w:jc w:val="left"/>
        <w:rPr>
          <w:rFonts w:eastAsia="Times" w:cs="Times New Roman"/>
          <w:i/>
          <w:iCs/>
          <w:szCs w:val="20"/>
        </w:rPr>
      </w:pPr>
      <w:r w:rsidRPr="007B5BE6">
        <w:rPr>
          <w:i/>
          <w:iCs/>
        </w:rPr>
        <w:br w:type="page"/>
      </w:r>
    </w:p>
    <w:p w14:paraId="77870230" w14:textId="1971FD3C" w:rsidR="0024162F" w:rsidRPr="007B5BE6" w:rsidRDefault="0024162F" w:rsidP="00744D17">
      <w:pPr>
        <w:pStyle w:val="NumberedHeadingTLRI"/>
      </w:pPr>
      <w:bookmarkStart w:id="46" w:name="_Toc212561741"/>
      <w:r w:rsidRPr="007B5BE6">
        <w:lastRenderedPageBreak/>
        <w:t>Pol</w:t>
      </w:r>
      <w:r w:rsidR="000415DF" w:rsidRPr="007B5BE6">
        <w:t>icy framework</w:t>
      </w:r>
      <w:r w:rsidR="007C39F2" w:rsidRPr="007B5BE6">
        <w:t xml:space="preserve"> for addressing and responding to the abuse of older Tasmanians</w:t>
      </w:r>
      <w:bookmarkEnd w:id="46"/>
    </w:p>
    <w:p w14:paraId="5D934DCC" w14:textId="2E015899" w:rsidR="00421BEC" w:rsidRPr="007B5BE6" w:rsidRDefault="000415DF">
      <w:pPr>
        <w:pStyle w:val="NormalNumberedTextTLRI"/>
      </w:pPr>
      <w:r w:rsidRPr="007B5BE6">
        <w:t>Tasmania has had a strategy focused on the abuse of older people since 2011,</w:t>
      </w:r>
      <w:r w:rsidR="009548DB" w:rsidRPr="007B5BE6">
        <w:rPr>
          <w:rStyle w:val="FootnoteReference"/>
        </w:rPr>
        <w:footnoteReference w:id="224"/>
      </w:r>
      <w:r w:rsidRPr="007B5BE6">
        <w:t xml:space="preserve"> which has been reviewed and revised to reflect local and national developments. Most recently, </w:t>
      </w:r>
      <w:r w:rsidRPr="007B5BE6">
        <w:rPr>
          <w:i/>
          <w:iCs/>
        </w:rPr>
        <w:t>Respect and Protect Older Tasmanians: Tasmania’s Elder Abuse Prevention Strategy 2019–2022</w:t>
      </w:r>
      <w:r w:rsidR="00BC0D33" w:rsidRPr="007B5BE6">
        <w:rPr>
          <w:rStyle w:val="FootnoteReference"/>
          <w:i/>
          <w:iCs/>
        </w:rPr>
        <w:footnoteReference w:id="225"/>
      </w:r>
      <w:r w:rsidRPr="007B5BE6">
        <w:t xml:space="preserve"> was followed by </w:t>
      </w:r>
      <w:r w:rsidRPr="007B5BE6">
        <w:rPr>
          <w:i/>
          <w:iCs/>
        </w:rPr>
        <w:t>Lifelong Respect: Tasmania’s Strategy to End the Abuse of Older People (Elder Abuse) 2023–2029</w:t>
      </w:r>
      <w:r w:rsidRPr="007B5BE6">
        <w:t>.</w:t>
      </w:r>
      <w:r w:rsidR="00BC0D33" w:rsidRPr="007B5BE6">
        <w:rPr>
          <w:rStyle w:val="FootnoteReference"/>
        </w:rPr>
        <w:footnoteReference w:id="226"/>
      </w:r>
      <w:r w:rsidRPr="007B5BE6">
        <w:t xml:space="preserve"> In this current </w:t>
      </w:r>
      <w:r w:rsidR="00AB6D31" w:rsidRPr="007B5BE6">
        <w:t>strategy</w:t>
      </w:r>
      <w:r w:rsidRPr="007B5BE6">
        <w:t>, safeguarding is one of the four priorities of the Tasmanian Government. This safeguarding priority aims to ‘reinforce the safety of older Tasmanians across a service continuum of prevention, early intervention and response.’</w:t>
      </w:r>
      <w:r w:rsidR="001D1B53" w:rsidRPr="007B5BE6">
        <w:rPr>
          <w:rStyle w:val="FootnoteReference"/>
        </w:rPr>
        <w:footnoteReference w:id="227"/>
      </w:r>
      <w:r w:rsidRPr="007B5BE6">
        <w:t xml:space="preserve"> A focus on recognition, response and prevention regarding the abuse of older people through a range of measures, including safeguarding mechanisms, is also reflected in the Tasmanian Government’s new Action Plan released in December 2024</w:t>
      </w:r>
      <w:r w:rsidR="00F139D2" w:rsidRPr="007B5BE6">
        <w:t>:</w:t>
      </w:r>
      <w:r w:rsidRPr="007B5BE6">
        <w:t xml:space="preserve"> </w:t>
      </w:r>
      <w:r w:rsidRPr="007B5BE6">
        <w:rPr>
          <w:i/>
          <w:iCs/>
        </w:rPr>
        <w:t>A Respectful, Age-friendly Island: Older Tasmanians Action Plan 2025–2029</w:t>
      </w:r>
      <w:r w:rsidRPr="007B5BE6">
        <w:t>.</w:t>
      </w:r>
      <w:r w:rsidR="001D1B53" w:rsidRPr="007B5BE6">
        <w:rPr>
          <w:rStyle w:val="FootnoteReference"/>
        </w:rPr>
        <w:footnoteReference w:id="228"/>
      </w:r>
      <w:r w:rsidRPr="007B5BE6">
        <w:t xml:space="preserve"> </w:t>
      </w:r>
      <w:r w:rsidR="00147FCA" w:rsidRPr="007B5BE6">
        <w:t xml:space="preserve">Relevantly, the Action Plan includes two safeguarding actions: </w:t>
      </w:r>
    </w:p>
    <w:p w14:paraId="3DE8544D" w14:textId="77777777" w:rsidR="00421BEC" w:rsidRPr="007B5BE6" w:rsidRDefault="00147FCA" w:rsidP="00421BEC">
      <w:pPr>
        <w:pStyle w:val="DotPointTLRI"/>
      </w:pPr>
      <w:r w:rsidRPr="007B5BE6">
        <w:t>‘Action 13: Strengthen existing and develop new initiatives to safeguard older Tasmanians against abuse’</w:t>
      </w:r>
      <w:r w:rsidR="00421BEC" w:rsidRPr="007B5BE6">
        <w:t>;</w:t>
      </w:r>
      <w:r w:rsidRPr="007B5BE6">
        <w:t xml:space="preserve"> and </w:t>
      </w:r>
    </w:p>
    <w:p w14:paraId="6317292A" w14:textId="26B75F18" w:rsidR="00421BEC" w:rsidRPr="007B5BE6" w:rsidRDefault="00147FCA" w:rsidP="00421BEC">
      <w:pPr>
        <w:pStyle w:val="DotPointTLRI"/>
      </w:pPr>
      <w:r w:rsidRPr="007B5BE6">
        <w:t>‘Action 14: Promote the improved safeguards to Tasmania’s communities with a focus on empowering community members to recognise, respond to and prevent abuse, and to counteract its underlying drivers.’</w:t>
      </w:r>
      <w:r w:rsidR="001D1B53" w:rsidRPr="007B5BE6">
        <w:rPr>
          <w:rStyle w:val="FootnoteReference"/>
        </w:rPr>
        <w:footnoteReference w:id="229"/>
      </w:r>
      <w:r w:rsidRPr="007B5BE6">
        <w:t xml:space="preserve"> </w:t>
      </w:r>
    </w:p>
    <w:p w14:paraId="660A0A12" w14:textId="4C81D7E8" w:rsidR="000415DF" w:rsidRPr="007B5BE6" w:rsidRDefault="000415DF" w:rsidP="00C36293">
      <w:r w:rsidRPr="007B5BE6">
        <w:t xml:space="preserve">Under this policy framework, rather than specific law reforms focused on the wide range of circumstances in which older people experience abuse, the primary mechanism for addressing and responding to </w:t>
      </w:r>
      <w:r w:rsidR="00E54DA7" w:rsidRPr="007B5BE6">
        <w:t xml:space="preserve">the </w:t>
      </w:r>
      <w:r w:rsidRPr="007B5BE6">
        <w:t xml:space="preserve">abuse </w:t>
      </w:r>
      <w:r w:rsidR="00E54DA7" w:rsidRPr="007B5BE6">
        <w:t xml:space="preserve">of older </w:t>
      </w:r>
      <w:r w:rsidRPr="007B5BE6">
        <w:t>Tasmania</w:t>
      </w:r>
      <w:r w:rsidR="00E54DA7" w:rsidRPr="007B5BE6">
        <w:t>ns</w:t>
      </w:r>
      <w:r w:rsidRPr="007B5BE6">
        <w:t xml:space="preserve"> has been funding of agencies and a suite of specialist services for older Tasmanians and their families who are seeking assistance regarding experiences or concerns about abuse and neglect.</w:t>
      </w:r>
      <w:r w:rsidR="001D1B53" w:rsidRPr="007B5BE6">
        <w:rPr>
          <w:rStyle w:val="FootnoteReference"/>
        </w:rPr>
        <w:footnoteReference w:id="230"/>
      </w:r>
      <w:r w:rsidR="000003A0" w:rsidRPr="007B5BE6">
        <w:t xml:space="preserve"> </w:t>
      </w:r>
      <w:r w:rsidR="00147FCA" w:rsidRPr="007B5BE6">
        <w:t>Further, c</w:t>
      </w:r>
      <w:r w:rsidR="00EC7CA3" w:rsidRPr="007B5BE6">
        <w:t xml:space="preserve">entral to the </w:t>
      </w:r>
      <w:r w:rsidR="00BE7C50" w:rsidRPr="007B5BE6">
        <w:t xml:space="preserve">policy framework </w:t>
      </w:r>
      <w:r w:rsidR="009B4D28" w:rsidRPr="007B5BE6">
        <w:t xml:space="preserve">and </w:t>
      </w:r>
      <w:r w:rsidR="009C2A0E" w:rsidRPr="007B5BE6">
        <w:t xml:space="preserve">this </w:t>
      </w:r>
      <w:r w:rsidR="009B4D28" w:rsidRPr="007B5BE6">
        <w:t xml:space="preserve">approach </w:t>
      </w:r>
      <w:r w:rsidR="00BE7C50" w:rsidRPr="007B5BE6">
        <w:t xml:space="preserve">are </w:t>
      </w:r>
      <w:r w:rsidR="00750AF4" w:rsidRPr="007B5BE6">
        <w:t>k</w:t>
      </w:r>
      <w:r w:rsidR="00661E3E" w:rsidRPr="007B5BE6">
        <w:t>ey pri</w:t>
      </w:r>
      <w:r w:rsidR="00C5231B" w:rsidRPr="007B5BE6">
        <w:t xml:space="preserve">nciples of </w:t>
      </w:r>
      <w:r w:rsidR="00750AF4" w:rsidRPr="007B5BE6">
        <w:t>‘independence, freedom and agency’, ‘empowerment</w:t>
      </w:r>
      <w:r w:rsidR="007B3F12" w:rsidRPr="007B5BE6">
        <w:t>’</w:t>
      </w:r>
      <w:r w:rsidR="00661E3E" w:rsidRPr="007B5BE6">
        <w:t>, ‘dignity and respect’ and ‘diversity and inclusion’.</w:t>
      </w:r>
      <w:r w:rsidR="000E0131" w:rsidRPr="007B5BE6">
        <w:rPr>
          <w:rStyle w:val="FootnoteReference"/>
        </w:rPr>
        <w:footnoteReference w:id="231"/>
      </w:r>
      <w:r w:rsidR="00661E3E" w:rsidRPr="007B5BE6">
        <w:t xml:space="preserve"> </w:t>
      </w:r>
      <w:r w:rsidR="007B3F12" w:rsidRPr="007B5BE6">
        <w:t>The</w:t>
      </w:r>
      <w:r w:rsidR="00661E3E" w:rsidRPr="007B5BE6">
        <w:t>se</w:t>
      </w:r>
      <w:r w:rsidR="007B3F12" w:rsidRPr="007B5BE6">
        <w:t xml:space="preserve"> </w:t>
      </w:r>
      <w:r w:rsidR="000E0131" w:rsidRPr="007B5BE6">
        <w:t xml:space="preserve">are reflected in </w:t>
      </w:r>
      <w:r w:rsidR="00C135CB" w:rsidRPr="007B5BE6">
        <w:t>‘</w:t>
      </w:r>
      <w:r w:rsidR="007B3F12" w:rsidRPr="007B5BE6">
        <w:t>Guiding Principles</w:t>
      </w:r>
      <w:r w:rsidR="00C135CB" w:rsidRPr="007B5BE6">
        <w:t>’</w:t>
      </w:r>
      <w:r w:rsidR="00393472" w:rsidRPr="007B5BE6">
        <w:t xml:space="preserve">, which were </w:t>
      </w:r>
      <w:r w:rsidR="007B3F12" w:rsidRPr="007B5BE6">
        <w:t>developed by the Council of the Ageing (</w:t>
      </w:r>
      <w:r w:rsidR="00C47AAD" w:rsidRPr="007B5BE6">
        <w:t>‘</w:t>
      </w:r>
      <w:r w:rsidR="007B3F12" w:rsidRPr="007B5BE6">
        <w:t>COTA</w:t>
      </w:r>
      <w:r w:rsidR="00C47AAD" w:rsidRPr="007B5BE6">
        <w:t>’</w:t>
      </w:r>
      <w:r w:rsidR="007B3F12" w:rsidRPr="007B5BE6">
        <w:t>) Tasmania in partnership with the Tasmanian Government</w:t>
      </w:r>
      <w:r w:rsidR="00880D3F" w:rsidRPr="007B5BE6">
        <w:t>. The Guiding Principles</w:t>
      </w:r>
      <w:r w:rsidR="002067C9" w:rsidRPr="007B5BE6">
        <w:t xml:space="preserve"> </w:t>
      </w:r>
      <w:r w:rsidR="00C135CB" w:rsidRPr="007B5BE6">
        <w:t xml:space="preserve">are described as being </w:t>
      </w:r>
      <w:r w:rsidR="00B36929" w:rsidRPr="007B5BE6">
        <w:t>‘</w:t>
      </w:r>
      <w:r w:rsidR="007B3F12" w:rsidRPr="007B5BE6">
        <w:t>adapted from the United Nations Principles for Older Persons and the South Australian Charter of the Rights and Freedom</w:t>
      </w:r>
      <w:r w:rsidR="00A97046" w:rsidRPr="007B5BE6">
        <w:t>s</w:t>
      </w:r>
      <w:r w:rsidR="007B3F12" w:rsidRPr="007B5BE6">
        <w:t xml:space="preserve"> of Older People</w:t>
      </w:r>
      <w:r w:rsidR="00B36929" w:rsidRPr="007B5BE6">
        <w:t>’</w:t>
      </w:r>
      <w:r w:rsidR="007B3F12" w:rsidRPr="007B5BE6">
        <w:t>.</w:t>
      </w:r>
      <w:r w:rsidR="007B3F12" w:rsidRPr="007B5BE6">
        <w:rPr>
          <w:rStyle w:val="FootnoteReference"/>
        </w:rPr>
        <w:footnoteReference w:id="232"/>
      </w:r>
      <w:r w:rsidR="00661E3E" w:rsidRPr="007B5BE6">
        <w:t xml:space="preserve"> </w:t>
      </w:r>
      <w:r w:rsidR="000003A0" w:rsidRPr="007B5BE6">
        <w:t>A summary of the</w:t>
      </w:r>
      <w:r w:rsidR="00F83850" w:rsidRPr="007B5BE6">
        <w:t xml:space="preserve"> Tasmanian</w:t>
      </w:r>
      <w:r w:rsidR="000003A0" w:rsidRPr="007B5BE6">
        <w:t xml:space="preserve"> strategies and the Action Plan is </w:t>
      </w:r>
      <w:r w:rsidR="00413023" w:rsidRPr="007B5BE6">
        <w:t xml:space="preserve">in </w:t>
      </w:r>
      <w:r w:rsidR="00413023" w:rsidRPr="007B5BE6">
        <w:rPr>
          <w:b/>
          <w:bCs/>
        </w:rPr>
        <w:t>Appendix C</w:t>
      </w:r>
      <w:r w:rsidR="00413023" w:rsidRPr="007B5BE6">
        <w:t xml:space="preserve">. </w:t>
      </w:r>
    </w:p>
    <w:p w14:paraId="78D4E14C" w14:textId="1CE770DA" w:rsidR="00A66FE3" w:rsidRPr="007B5BE6" w:rsidRDefault="000415DF" w:rsidP="00A66FE3">
      <w:pPr>
        <w:pStyle w:val="NormalNumberedTextTLRI"/>
      </w:pPr>
      <w:r w:rsidRPr="007B5BE6">
        <w:lastRenderedPageBreak/>
        <w:t>Beyond Tasmania, the abuse of older people, has ‘gained significant attention in Australia in recent years as a serious problem requiring increased policy focus’.</w:t>
      </w:r>
      <w:r w:rsidR="001E789E" w:rsidRPr="007B5BE6">
        <w:rPr>
          <w:rStyle w:val="FootnoteReference"/>
        </w:rPr>
        <w:footnoteReference w:id="233"/>
      </w:r>
      <w:r w:rsidRPr="007B5BE6">
        <w:t xml:space="preserve"> The protection of the legal rights and interests of older people is a well-recognised and growing area of national policy and law reform</w:t>
      </w:r>
      <w:r w:rsidR="00901097" w:rsidRPr="007B5BE6">
        <w:t>,</w:t>
      </w:r>
      <w:r w:rsidRPr="007B5BE6">
        <w:t xml:space="preserve"> encompassing a wide range of service systems that can intersect in complex ways to affect the legal rights and interests of older people. </w:t>
      </w:r>
      <w:r w:rsidR="009620DE" w:rsidRPr="007B5BE6">
        <w:t xml:space="preserve">Spearheading the national policy response and a program of reforms over the past decade focused on recognising, preventing and responding to the abuse of older people has been the </w:t>
      </w:r>
      <w:r w:rsidR="00901097" w:rsidRPr="007B5BE6">
        <w:t xml:space="preserve">ALRC’s </w:t>
      </w:r>
      <w:r w:rsidR="005C3987" w:rsidRPr="007B5BE6">
        <w:t>2017 Final Report</w:t>
      </w:r>
      <w:r w:rsidR="00E673E1" w:rsidRPr="007B5BE6">
        <w:t>:</w:t>
      </w:r>
      <w:r w:rsidR="00713103" w:rsidRPr="007B5BE6">
        <w:t xml:space="preserve"> </w:t>
      </w:r>
      <w:r w:rsidR="00713103" w:rsidRPr="007B5BE6">
        <w:rPr>
          <w:i/>
          <w:iCs/>
        </w:rPr>
        <w:t>Elder Abuse–A National Legal Response</w:t>
      </w:r>
      <w:r w:rsidR="007F01E9" w:rsidRPr="007B5BE6">
        <w:t>.</w:t>
      </w:r>
      <w:r w:rsidR="00FD650E" w:rsidRPr="007B5BE6">
        <w:rPr>
          <w:rStyle w:val="FootnoteReference"/>
        </w:rPr>
        <w:footnoteReference w:id="234"/>
      </w:r>
      <w:r w:rsidR="00713103" w:rsidRPr="007B5BE6">
        <w:t xml:space="preserve"> </w:t>
      </w:r>
      <w:r w:rsidR="007F01E9" w:rsidRPr="007B5BE6">
        <w:t xml:space="preserve"> </w:t>
      </w:r>
      <w:r w:rsidR="00BF651F" w:rsidRPr="007B5BE6">
        <w:t xml:space="preserve">This led to the </w:t>
      </w:r>
      <w:r w:rsidR="00D23C6D" w:rsidRPr="007B5BE6">
        <w:rPr>
          <w:i/>
          <w:iCs/>
        </w:rPr>
        <w:t>National Plan to Respond to the Abuse of Older Australians (Elder Abuse) 2019–2023</w:t>
      </w:r>
      <w:r w:rsidR="00D23C6D" w:rsidRPr="007B5BE6">
        <w:t xml:space="preserve">, </w:t>
      </w:r>
      <w:r w:rsidR="0083675E" w:rsidRPr="007B5BE6">
        <w:t>with strengthening safeguards for vulnerable older adults included as a priority area.</w:t>
      </w:r>
      <w:r w:rsidR="004B05FA" w:rsidRPr="007B5BE6">
        <w:rPr>
          <w:rStyle w:val="FootnoteReference"/>
        </w:rPr>
        <w:footnoteReference w:id="235"/>
      </w:r>
      <w:r w:rsidR="00C75C39" w:rsidRPr="007B5BE6">
        <w:t xml:space="preserve"> A subsequent evaluation of the National Plan </w:t>
      </w:r>
      <w:r w:rsidR="00602D2A" w:rsidRPr="007B5BE6">
        <w:t xml:space="preserve">also </w:t>
      </w:r>
      <w:r w:rsidR="005F7C18" w:rsidRPr="007B5BE6">
        <w:t xml:space="preserve">focused on </w:t>
      </w:r>
      <w:r w:rsidR="00987066" w:rsidRPr="007B5BE6">
        <w:t xml:space="preserve">the operation of safeguarding reforms and </w:t>
      </w:r>
      <w:r w:rsidR="00602D2A" w:rsidRPr="007B5BE6">
        <w:t xml:space="preserve">made </w:t>
      </w:r>
      <w:r w:rsidR="00987066" w:rsidRPr="007B5BE6">
        <w:t xml:space="preserve">‘a </w:t>
      </w:r>
      <w:r w:rsidR="005F7C18" w:rsidRPr="007B5BE6">
        <w:t>call for an establishment of adult safeguarding units in all states’.</w:t>
      </w:r>
      <w:r w:rsidR="00291F00" w:rsidRPr="007B5BE6">
        <w:rPr>
          <w:rStyle w:val="FootnoteReference"/>
        </w:rPr>
        <w:footnoteReference w:id="236"/>
      </w:r>
      <w:r w:rsidR="00B43586" w:rsidRPr="007B5BE6">
        <w:t xml:space="preserve"> Informed by the evaluation, a new National Plan is under development, with a draft of the </w:t>
      </w:r>
      <w:r w:rsidR="00B43586" w:rsidRPr="007B5BE6">
        <w:rPr>
          <w:i/>
          <w:iCs/>
        </w:rPr>
        <w:t>National Pan to End the Abuse and Mistreatment of Older People 2024–2034</w:t>
      </w:r>
      <w:r w:rsidR="00B43586" w:rsidRPr="007B5BE6">
        <w:t>, released for public consultation on 12 December 2024</w:t>
      </w:r>
      <w:r w:rsidR="00612957" w:rsidRPr="007B5BE6">
        <w:t>.</w:t>
      </w:r>
      <w:r w:rsidR="003044B6" w:rsidRPr="007B5BE6">
        <w:t xml:space="preserve"> Th</w:t>
      </w:r>
      <w:r w:rsidR="0034594A" w:rsidRPr="007B5BE6">
        <w:t xml:space="preserve">e draft National Plan </w:t>
      </w:r>
      <w:r w:rsidR="002642DB" w:rsidRPr="007B5BE6">
        <w:t>focused on taking a human rights approach that supported individual decision making</w:t>
      </w:r>
      <w:r w:rsidR="008C3909" w:rsidRPr="007B5BE6">
        <w:t xml:space="preserve">, autonomy and dignity. Safeguarding </w:t>
      </w:r>
      <w:r w:rsidR="0034594A" w:rsidRPr="007B5BE6">
        <w:t>has continued to be</w:t>
      </w:r>
      <w:r w:rsidR="008C3909" w:rsidRPr="007B5BE6">
        <w:t xml:space="preserve"> </w:t>
      </w:r>
      <w:r w:rsidR="00B01AAC" w:rsidRPr="007B5BE6">
        <w:t xml:space="preserve">identified as </w:t>
      </w:r>
      <w:r w:rsidR="008C3909" w:rsidRPr="007B5BE6">
        <w:t xml:space="preserve">a </w:t>
      </w:r>
      <w:r w:rsidR="009109F0" w:rsidRPr="007B5BE6">
        <w:t>priority. Other priority areas for enhancing legal frameworks and adult safeguarding responses focus on financial abuse by ‘exploring enhancements to the role of institutions’ in prevention and response</w:t>
      </w:r>
      <w:r w:rsidR="00866DA1" w:rsidRPr="007B5BE6">
        <w:t>,</w:t>
      </w:r>
      <w:r w:rsidR="009109F0" w:rsidRPr="007B5BE6">
        <w:t xml:space="preserve"> and continuing to ‘raise awareness about the importance of planning ahead for decision making in later years and rights and obligations in relation to enduring instruments’.</w:t>
      </w:r>
      <w:r w:rsidR="00F23F84" w:rsidRPr="007B5BE6">
        <w:rPr>
          <w:rStyle w:val="FootnoteReference"/>
        </w:rPr>
        <w:footnoteReference w:id="237"/>
      </w:r>
      <w:r w:rsidR="009109F0" w:rsidRPr="007B5BE6">
        <w:t xml:space="preserve"> The strong focus on financial abuse at the national level </w:t>
      </w:r>
      <w:r w:rsidR="00E35A1F" w:rsidRPr="007B5BE6">
        <w:t>has</w:t>
      </w:r>
      <w:r w:rsidR="009109F0" w:rsidRPr="007B5BE6">
        <w:t xml:space="preserve"> also </w:t>
      </w:r>
      <w:r w:rsidR="00E35A1F" w:rsidRPr="007B5BE6">
        <w:t xml:space="preserve">been </w:t>
      </w:r>
      <w:r w:rsidR="009109F0" w:rsidRPr="007B5BE6">
        <w:t>reflected in new initiatives, such as the establishment of the Elder Financial Abuse Collaborative, led by the Australian Human Rights Commission. The Collaborative is a ‘collection of representatives from banking and financial services and peak community organisations sectors, to work together to improve the prevention and response to financial elder abuse.’</w:t>
      </w:r>
      <w:r w:rsidR="00F23F84" w:rsidRPr="007B5BE6">
        <w:rPr>
          <w:rStyle w:val="FootnoteReference"/>
        </w:rPr>
        <w:footnoteReference w:id="238"/>
      </w:r>
      <w:r w:rsidR="009109F0" w:rsidRPr="007B5BE6">
        <w:t xml:space="preserve"> </w:t>
      </w:r>
      <w:r w:rsidR="00844DD8" w:rsidRPr="007B5BE6">
        <w:rPr>
          <w:b/>
          <w:bCs/>
        </w:rPr>
        <w:t xml:space="preserve">Appendix C </w:t>
      </w:r>
      <w:r w:rsidR="00844DD8" w:rsidRPr="007B5BE6">
        <w:t>contains a</w:t>
      </w:r>
      <w:r w:rsidR="004A2BD9" w:rsidRPr="007B5BE6">
        <w:t xml:space="preserve"> summary of</w:t>
      </w:r>
      <w:r w:rsidR="00A66FE3" w:rsidRPr="007B5BE6">
        <w:t xml:space="preserve"> the ALRC’s review and issues</w:t>
      </w:r>
      <w:r w:rsidR="006F289B" w:rsidRPr="007B5BE6">
        <w:t xml:space="preserve"> examined</w:t>
      </w:r>
      <w:r w:rsidR="00A66FE3" w:rsidRPr="007B5BE6">
        <w:t xml:space="preserve"> relevant to safeguardin</w:t>
      </w:r>
      <w:r w:rsidR="00DD499D" w:rsidRPr="007B5BE6">
        <w:t>g,</w:t>
      </w:r>
      <w:r w:rsidR="00A66FE3" w:rsidRPr="007B5BE6">
        <w:t xml:space="preserve"> the previous</w:t>
      </w:r>
      <w:r w:rsidR="004A2BD9" w:rsidRPr="007B5BE6">
        <w:t xml:space="preserve"> National Plan and its evaluation and the draft </w:t>
      </w:r>
      <w:r w:rsidR="00DD499D" w:rsidRPr="007B5BE6">
        <w:t xml:space="preserve">new </w:t>
      </w:r>
      <w:r w:rsidR="004A2BD9" w:rsidRPr="007B5BE6">
        <w:t>National Plan</w:t>
      </w:r>
      <w:r w:rsidR="00A66FE3" w:rsidRPr="007B5BE6">
        <w:t xml:space="preserve">. </w:t>
      </w:r>
    </w:p>
    <w:p w14:paraId="02EAE2A1" w14:textId="77777777" w:rsidR="003B0F65" w:rsidRPr="007B5BE6" w:rsidRDefault="003B0F65" w:rsidP="00744D17">
      <w:pPr>
        <w:pStyle w:val="NumberedHeadingTLRI"/>
      </w:pPr>
      <w:bookmarkStart w:id="47" w:name="_Toc212561742"/>
      <w:r w:rsidRPr="007B5BE6">
        <w:lastRenderedPageBreak/>
        <w:t>Current legal framework for addressing and responding to the abuse of older Tasmanians</w:t>
      </w:r>
      <w:bookmarkEnd w:id="47"/>
      <w:r w:rsidRPr="007B5BE6">
        <w:t xml:space="preserve"> </w:t>
      </w:r>
    </w:p>
    <w:p w14:paraId="3E2D254C" w14:textId="1B685DC3" w:rsidR="003B0F65" w:rsidRPr="007B5BE6" w:rsidRDefault="003B0F65" w:rsidP="00E37E26">
      <w:pPr>
        <w:pStyle w:val="NormalNumberedTextTLRI"/>
      </w:pPr>
      <w:r w:rsidRPr="007B5BE6">
        <w:t xml:space="preserve">The current legal framework for addressing and responding to the abuse of older Tasmanians comprises Tasmanian and Commonwealth laws, as well as any applicable human rights laws, frameworks and policy. </w:t>
      </w:r>
    </w:p>
    <w:p w14:paraId="64FC9F27" w14:textId="4310B1B1" w:rsidR="003B0F65" w:rsidRPr="007B5BE6" w:rsidRDefault="003B0F65" w:rsidP="00987055">
      <w:pPr>
        <w:pStyle w:val="Headingunnumbered"/>
        <w:spacing w:before="360"/>
      </w:pPr>
      <w:bookmarkStart w:id="48" w:name="_Toc212561743"/>
      <w:r w:rsidRPr="007B5BE6">
        <w:t xml:space="preserve">Overview of Tasmanian laws under </w:t>
      </w:r>
      <w:r w:rsidR="002E52A4">
        <w:t xml:space="preserve">the </w:t>
      </w:r>
      <w:r w:rsidRPr="007B5BE6">
        <w:t>current legal framework</w:t>
      </w:r>
      <w:bookmarkEnd w:id="48"/>
    </w:p>
    <w:p w14:paraId="4A7281D2" w14:textId="52B055EA" w:rsidR="003B0F65" w:rsidRPr="007B5BE6" w:rsidRDefault="003B0F65" w:rsidP="003B0F65">
      <w:pPr>
        <w:pStyle w:val="NormalNumberedTextTLRI"/>
      </w:pPr>
      <w:r w:rsidRPr="007B5BE6">
        <w:t xml:space="preserve">There are </w:t>
      </w:r>
      <w:r w:rsidR="00EC62C3" w:rsidRPr="007B5BE6">
        <w:t xml:space="preserve">a </w:t>
      </w:r>
      <w:r w:rsidRPr="007B5BE6">
        <w:t xml:space="preserve">wide range of Tasmanian laws that may form part of the response to the abuse of older Tasmanians. Table </w:t>
      </w:r>
      <w:r w:rsidR="00A13491" w:rsidRPr="007B5BE6">
        <w:t>3.1</w:t>
      </w:r>
      <w:r w:rsidRPr="007B5BE6">
        <w:t xml:space="preserve"> sets out a summary of these laws, and each area of law is discussed briefly below.</w:t>
      </w:r>
    </w:p>
    <w:p w14:paraId="25EB2949" w14:textId="7ED456CD" w:rsidR="003B0F65" w:rsidRPr="007B5BE6" w:rsidRDefault="003B0F65" w:rsidP="00BB7987">
      <w:pPr>
        <w:spacing w:before="240" w:after="240"/>
        <w:rPr>
          <w:b/>
          <w:bCs/>
        </w:rPr>
      </w:pPr>
      <w:r w:rsidRPr="007B5BE6">
        <w:rPr>
          <w:b/>
          <w:bCs/>
        </w:rPr>
        <w:t xml:space="preserve">Table </w:t>
      </w:r>
      <w:r w:rsidR="00A13491" w:rsidRPr="007B5BE6">
        <w:rPr>
          <w:b/>
          <w:bCs/>
        </w:rPr>
        <w:t>3.1:</w:t>
      </w:r>
      <w:r w:rsidRPr="007B5BE6">
        <w:rPr>
          <w:b/>
          <w:bCs/>
        </w:rPr>
        <w:t xml:space="preserve"> Tasmanian laws under current legal framework for responding to abuse of older Tasmanians</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559"/>
        <w:gridCol w:w="2552"/>
        <w:gridCol w:w="3497"/>
      </w:tblGrid>
      <w:tr w:rsidR="00F251EE" w:rsidRPr="007B5BE6" w14:paraId="08FE2F99" w14:textId="77777777" w:rsidTr="00A63771">
        <w:trPr>
          <w:tblHeader/>
        </w:trPr>
        <w:tc>
          <w:tcPr>
            <w:tcW w:w="1418" w:type="dxa"/>
            <w:tcBorders>
              <w:top w:val="single" w:sz="8" w:space="0" w:color="auto"/>
              <w:bottom w:val="single" w:sz="8" w:space="0" w:color="auto"/>
            </w:tcBorders>
            <w:shd w:val="clear" w:color="auto" w:fill="FFFFFF" w:themeFill="background1"/>
          </w:tcPr>
          <w:p w14:paraId="499BA0BF" w14:textId="77777777" w:rsidR="003B0F65" w:rsidRPr="007B5BE6" w:rsidRDefault="003B0F65" w:rsidP="00E37E26">
            <w:pPr>
              <w:rPr>
                <w:b/>
                <w:bCs/>
                <w:sz w:val="20"/>
                <w:szCs w:val="20"/>
              </w:rPr>
            </w:pPr>
            <w:r w:rsidRPr="007B5BE6">
              <w:rPr>
                <w:b/>
                <w:bCs/>
                <w:sz w:val="20"/>
                <w:szCs w:val="20"/>
              </w:rPr>
              <w:t>Area of law</w:t>
            </w:r>
          </w:p>
        </w:tc>
        <w:tc>
          <w:tcPr>
            <w:tcW w:w="1559" w:type="dxa"/>
            <w:tcBorders>
              <w:top w:val="single" w:sz="8" w:space="0" w:color="auto"/>
              <w:bottom w:val="single" w:sz="8" w:space="0" w:color="auto"/>
            </w:tcBorders>
            <w:shd w:val="clear" w:color="auto" w:fill="FFFFFF" w:themeFill="background1"/>
          </w:tcPr>
          <w:p w14:paraId="7272A74F" w14:textId="77777777" w:rsidR="003B0F65" w:rsidRPr="007B5BE6" w:rsidRDefault="003B0F65" w:rsidP="00E37E26">
            <w:pPr>
              <w:rPr>
                <w:b/>
                <w:bCs/>
                <w:sz w:val="20"/>
                <w:szCs w:val="20"/>
              </w:rPr>
            </w:pPr>
            <w:r w:rsidRPr="007B5BE6">
              <w:rPr>
                <w:b/>
                <w:bCs/>
                <w:sz w:val="20"/>
                <w:szCs w:val="20"/>
              </w:rPr>
              <w:t xml:space="preserve">Key legislation </w:t>
            </w:r>
          </w:p>
        </w:tc>
        <w:tc>
          <w:tcPr>
            <w:tcW w:w="2552" w:type="dxa"/>
            <w:tcBorders>
              <w:top w:val="single" w:sz="8" w:space="0" w:color="auto"/>
              <w:bottom w:val="single" w:sz="8" w:space="0" w:color="auto"/>
            </w:tcBorders>
            <w:shd w:val="clear" w:color="auto" w:fill="FFFFFF" w:themeFill="background1"/>
          </w:tcPr>
          <w:p w14:paraId="33897F6E" w14:textId="77777777" w:rsidR="003B0F65" w:rsidRPr="007B5BE6" w:rsidRDefault="003B0F65" w:rsidP="00E37E26">
            <w:pPr>
              <w:rPr>
                <w:b/>
                <w:bCs/>
                <w:sz w:val="20"/>
                <w:szCs w:val="20"/>
              </w:rPr>
            </w:pPr>
            <w:r w:rsidRPr="007B5BE6">
              <w:rPr>
                <w:b/>
                <w:bCs/>
                <w:sz w:val="20"/>
                <w:szCs w:val="20"/>
              </w:rPr>
              <w:t xml:space="preserve">Response to abuse </w:t>
            </w:r>
          </w:p>
        </w:tc>
        <w:tc>
          <w:tcPr>
            <w:tcW w:w="3497" w:type="dxa"/>
            <w:tcBorders>
              <w:top w:val="single" w:sz="8" w:space="0" w:color="auto"/>
              <w:bottom w:val="single" w:sz="8" w:space="0" w:color="auto"/>
            </w:tcBorders>
            <w:shd w:val="clear" w:color="auto" w:fill="FFFFFF" w:themeFill="background1"/>
          </w:tcPr>
          <w:p w14:paraId="3CEA7102" w14:textId="77777777" w:rsidR="003B0F65" w:rsidRPr="007B5BE6" w:rsidRDefault="003B0F65" w:rsidP="00E37E26">
            <w:pPr>
              <w:jc w:val="left"/>
              <w:rPr>
                <w:b/>
                <w:bCs/>
                <w:sz w:val="20"/>
                <w:szCs w:val="20"/>
              </w:rPr>
            </w:pPr>
            <w:r w:rsidRPr="007B5BE6">
              <w:rPr>
                <w:b/>
                <w:bCs/>
                <w:sz w:val="20"/>
                <w:szCs w:val="20"/>
              </w:rPr>
              <w:t xml:space="preserve">Specialisation or considerations regarding older people </w:t>
            </w:r>
          </w:p>
        </w:tc>
      </w:tr>
      <w:tr w:rsidR="00F251EE" w:rsidRPr="007B5BE6" w14:paraId="5DB79CEF" w14:textId="77777777" w:rsidTr="00A63771">
        <w:tc>
          <w:tcPr>
            <w:tcW w:w="1418" w:type="dxa"/>
            <w:tcBorders>
              <w:top w:val="single" w:sz="8" w:space="0" w:color="auto"/>
            </w:tcBorders>
          </w:tcPr>
          <w:p w14:paraId="1A74BA34" w14:textId="77777777" w:rsidR="003B0F65" w:rsidRPr="007B5BE6" w:rsidRDefault="003B0F65" w:rsidP="00B32A77">
            <w:pPr>
              <w:jc w:val="left"/>
              <w:rPr>
                <w:sz w:val="20"/>
                <w:szCs w:val="20"/>
              </w:rPr>
            </w:pPr>
            <w:r w:rsidRPr="007B5BE6">
              <w:rPr>
                <w:sz w:val="20"/>
                <w:szCs w:val="20"/>
              </w:rPr>
              <w:t xml:space="preserve">Criminal law </w:t>
            </w:r>
          </w:p>
        </w:tc>
        <w:tc>
          <w:tcPr>
            <w:tcW w:w="1559" w:type="dxa"/>
            <w:tcBorders>
              <w:top w:val="single" w:sz="8" w:space="0" w:color="auto"/>
            </w:tcBorders>
          </w:tcPr>
          <w:p w14:paraId="0B182A85" w14:textId="77777777" w:rsidR="003B0F65" w:rsidRPr="007B5BE6" w:rsidRDefault="003B0F65" w:rsidP="00B32A77">
            <w:pPr>
              <w:jc w:val="left"/>
              <w:rPr>
                <w:sz w:val="20"/>
                <w:szCs w:val="20"/>
              </w:rPr>
            </w:pPr>
            <w:r w:rsidRPr="007B5BE6">
              <w:rPr>
                <w:i/>
                <w:iCs/>
                <w:sz w:val="20"/>
                <w:szCs w:val="20"/>
              </w:rPr>
              <w:t>Police Offences Act 1935</w:t>
            </w:r>
            <w:r w:rsidRPr="007B5BE6">
              <w:rPr>
                <w:sz w:val="20"/>
                <w:szCs w:val="20"/>
              </w:rPr>
              <w:t xml:space="preserve"> (Tas)</w:t>
            </w:r>
          </w:p>
          <w:p w14:paraId="3923EAB0" w14:textId="77777777" w:rsidR="003B0F65" w:rsidRPr="007B5BE6" w:rsidRDefault="003B0F65" w:rsidP="00B32A77">
            <w:pPr>
              <w:jc w:val="left"/>
              <w:rPr>
                <w:sz w:val="20"/>
                <w:szCs w:val="20"/>
              </w:rPr>
            </w:pPr>
            <w:r w:rsidRPr="007B5BE6">
              <w:rPr>
                <w:i/>
                <w:iCs/>
                <w:sz w:val="20"/>
                <w:szCs w:val="20"/>
              </w:rPr>
              <w:t>Criminal Code Act 1924</w:t>
            </w:r>
            <w:r w:rsidRPr="007B5BE6">
              <w:rPr>
                <w:sz w:val="20"/>
                <w:szCs w:val="20"/>
              </w:rPr>
              <w:t xml:space="preserve"> (Tas)</w:t>
            </w:r>
          </w:p>
          <w:p w14:paraId="31EF2885" w14:textId="77777777" w:rsidR="003B0F65" w:rsidRPr="007B5BE6" w:rsidRDefault="003B0F65" w:rsidP="00B32A77">
            <w:pPr>
              <w:jc w:val="left"/>
              <w:rPr>
                <w:sz w:val="20"/>
                <w:szCs w:val="20"/>
              </w:rPr>
            </w:pPr>
            <w:r w:rsidRPr="007B5BE6">
              <w:rPr>
                <w:i/>
                <w:iCs/>
                <w:sz w:val="20"/>
                <w:szCs w:val="20"/>
              </w:rPr>
              <w:t xml:space="preserve">Sentencing Act 1997 </w:t>
            </w:r>
            <w:r w:rsidRPr="007B5BE6">
              <w:rPr>
                <w:sz w:val="20"/>
                <w:szCs w:val="20"/>
              </w:rPr>
              <w:t>(Tas)</w:t>
            </w:r>
          </w:p>
          <w:p w14:paraId="3EF25434" w14:textId="01336787" w:rsidR="003B0F65" w:rsidRPr="007B5BE6" w:rsidRDefault="003B0F65" w:rsidP="00B32A77">
            <w:pPr>
              <w:jc w:val="left"/>
              <w:rPr>
                <w:sz w:val="20"/>
                <w:szCs w:val="20"/>
              </w:rPr>
            </w:pPr>
            <w:r w:rsidRPr="007B5BE6">
              <w:rPr>
                <w:sz w:val="20"/>
                <w:szCs w:val="20"/>
              </w:rPr>
              <w:t>Offences under other legislation that apply in some circumstances</w:t>
            </w:r>
            <w:r w:rsidR="00F23F84" w:rsidRPr="007B5BE6">
              <w:rPr>
                <w:rStyle w:val="FootnoteReference"/>
                <w:sz w:val="20"/>
                <w:szCs w:val="20"/>
              </w:rPr>
              <w:footnoteReference w:id="239"/>
            </w:r>
          </w:p>
          <w:p w14:paraId="71951937" w14:textId="77777777" w:rsidR="003B0F65" w:rsidRPr="007B5BE6" w:rsidRDefault="003B0F65" w:rsidP="00B32A77">
            <w:pPr>
              <w:jc w:val="left"/>
              <w:rPr>
                <w:sz w:val="20"/>
                <w:szCs w:val="20"/>
              </w:rPr>
            </w:pPr>
          </w:p>
        </w:tc>
        <w:tc>
          <w:tcPr>
            <w:tcW w:w="2552" w:type="dxa"/>
            <w:tcBorders>
              <w:top w:val="single" w:sz="8" w:space="0" w:color="auto"/>
            </w:tcBorders>
          </w:tcPr>
          <w:p w14:paraId="7FF55A5F" w14:textId="254600EA" w:rsidR="003B0F65" w:rsidRPr="007B5BE6" w:rsidRDefault="003B0F65" w:rsidP="00B32A77">
            <w:pPr>
              <w:jc w:val="left"/>
              <w:rPr>
                <w:sz w:val="20"/>
                <w:szCs w:val="20"/>
              </w:rPr>
            </w:pPr>
            <w:r w:rsidRPr="007B5BE6">
              <w:rPr>
                <w:sz w:val="20"/>
                <w:szCs w:val="20"/>
              </w:rPr>
              <w:t>Provides Tasmania Police with a power to respond to some forms of abuse</w:t>
            </w:r>
            <w:r w:rsidR="00244F77" w:rsidRPr="007B5BE6">
              <w:rPr>
                <w:sz w:val="20"/>
                <w:szCs w:val="20"/>
              </w:rPr>
              <w:t>.</w:t>
            </w:r>
          </w:p>
          <w:p w14:paraId="0298F769" w14:textId="66DA1157" w:rsidR="003B0F65" w:rsidRPr="007B5BE6" w:rsidRDefault="003B0F65" w:rsidP="00B32A77">
            <w:pPr>
              <w:jc w:val="left"/>
              <w:rPr>
                <w:sz w:val="20"/>
                <w:szCs w:val="20"/>
              </w:rPr>
            </w:pPr>
            <w:r w:rsidRPr="007B5BE6">
              <w:rPr>
                <w:sz w:val="20"/>
                <w:szCs w:val="20"/>
              </w:rPr>
              <w:t>May result in a person being arrested and charged with a criminal offence</w:t>
            </w:r>
            <w:r w:rsidR="000D54DD" w:rsidRPr="007B5BE6">
              <w:rPr>
                <w:sz w:val="20"/>
                <w:szCs w:val="20"/>
              </w:rPr>
              <w:t>.</w:t>
            </w:r>
            <w:r w:rsidRPr="007B5BE6">
              <w:rPr>
                <w:sz w:val="20"/>
                <w:szCs w:val="20"/>
              </w:rPr>
              <w:t xml:space="preserve"> </w:t>
            </w:r>
          </w:p>
          <w:p w14:paraId="6D98F0BF" w14:textId="15423AD6" w:rsidR="003B0F65" w:rsidRPr="007B5BE6" w:rsidRDefault="003B0F65" w:rsidP="00B32A77">
            <w:pPr>
              <w:jc w:val="left"/>
              <w:rPr>
                <w:sz w:val="20"/>
                <w:szCs w:val="20"/>
              </w:rPr>
            </w:pPr>
            <w:r w:rsidRPr="007B5BE6">
              <w:rPr>
                <w:sz w:val="20"/>
                <w:szCs w:val="20"/>
              </w:rPr>
              <w:t>If found or pleads guilty, the person is sentenced by a Tasmanian Court</w:t>
            </w:r>
            <w:r w:rsidR="000D54DD" w:rsidRPr="007B5BE6">
              <w:rPr>
                <w:sz w:val="20"/>
                <w:szCs w:val="20"/>
              </w:rPr>
              <w:t>.</w:t>
            </w:r>
            <w:r w:rsidRPr="007B5BE6">
              <w:rPr>
                <w:sz w:val="20"/>
                <w:szCs w:val="20"/>
              </w:rPr>
              <w:t xml:space="preserve"> </w:t>
            </w:r>
          </w:p>
        </w:tc>
        <w:tc>
          <w:tcPr>
            <w:tcW w:w="3497" w:type="dxa"/>
            <w:tcBorders>
              <w:top w:val="single" w:sz="8" w:space="0" w:color="auto"/>
            </w:tcBorders>
          </w:tcPr>
          <w:p w14:paraId="1F58B597" w14:textId="451D3D50" w:rsidR="003B0F65" w:rsidRPr="007B5BE6" w:rsidRDefault="003B0F65" w:rsidP="00B32A77">
            <w:pPr>
              <w:jc w:val="left"/>
              <w:rPr>
                <w:sz w:val="20"/>
                <w:szCs w:val="20"/>
              </w:rPr>
            </w:pPr>
            <w:r w:rsidRPr="007B5BE6">
              <w:rPr>
                <w:sz w:val="20"/>
                <w:szCs w:val="20"/>
              </w:rPr>
              <w:t>Offences cover some circumstances involving abuse of older people</w:t>
            </w:r>
            <w:r w:rsidR="000D54DD" w:rsidRPr="007B5BE6">
              <w:rPr>
                <w:sz w:val="20"/>
                <w:szCs w:val="20"/>
              </w:rPr>
              <w:t>.</w:t>
            </w:r>
            <w:r w:rsidRPr="007B5BE6">
              <w:rPr>
                <w:sz w:val="20"/>
                <w:szCs w:val="20"/>
              </w:rPr>
              <w:t xml:space="preserve">  </w:t>
            </w:r>
          </w:p>
          <w:p w14:paraId="293B3268" w14:textId="363B3CAA" w:rsidR="003B0F65" w:rsidRPr="007B5BE6" w:rsidRDefault="003B0F65" w:rsidP="00B32A77">
            <w:pPr>
              <w:jc w:val="left"/>
              <w:rPr>
                <w:sz w:val="20"/>
                <w:szCs w:val="20"/>
              </w:rPr>
            </w:pPr>
            <w:r w:rsidRPr="007B5BE6">
              <w:rPr>
                <w:sz w:val="20"/>
                <w:szCs w:val="20"/>
              </w:rPr>
              <w:t>No specific ‘elder abuse’ offences</w:t>
            </w:r>
            <w:r w:rsidR="000D54DD" w:rsidRPr="007B5BE6">
              <w:rPr>
                <w:sz w:val="20"/>
                <w:szCs w:val="20"/>
              </w:rPr>
              <w:t>.</w:t>
            </w:r>
            <w:r w:rsidRPr="007B5BE6">
              <w:rPr>
                <w:sz w:val="20"/>
                <w:szCs w:val="20"/>
              </w:rPr>
              <w:t xml:space="preserve"> </w:t>
            </w:r>
          </w:p>
          <w:p w14:paraId="5F097D5F" w14:textId="3312F900" w:rsidR="003B0F65" w:rsidRPr="007B5BE6" w:rsidRDefault="003B0F65" w:rsidP="00B32A77">
            <w:pPr>
              <w:jc w:val="left"/>
              <w:rPr>
                <w:sz w:val="20"/>
                <w:szCs w:val="20"/>
              </w:rPr>
            </w:pPr>
            <w:r w:rsidRPr="007B5BE6">
              <w:rPr>
                <w:sz w:val="20"/>
                <w:szCs w:val="20"/>
              </w:rPr>
              <w:t>Age of the victim is not specified in legislation as an aggravating factor</w:t>
            </w:r>
            <w:r w:rsidR="00F74B67" w:rsidRPr="007B5BE6">
              <w:rPr>
                <w:sz w:val="20"/>
                <w:szCs w:val="20"/>
              </w:rPr>
              <w:t xml:space="preserve">, </w:t>
            </w:r>
            <w:r w:rsidRPr="007B5BE6">
              <w:rPr>
                <w:sz w:val="20"/>
                <w:szCs w:val="20"/>
              </w:rPr>
              <w:t>although the vulnerability of the victim is a consideration for sentencing (for example, pertaining to the relationship with the offender or the victim’s level of mobility)</w:t>
            </w:r>
            <w:r w:rsidR="000D54DD" w:rsidRPr="007B5BE6">
              <w:rPr>
                <w:sz w:val="20"/>
                <w:szCs w:val="20"/>
              </w:rPr>
              <w:t>.</w:t>
            </w:r>
          </w:p>
          <w:p w14:paraId="0A1B8B31" w14:textId="631FD43F" w:rsidR="003B0F65" w:rsidRPr="007B5BE6" w:rsidRDefault="003B0F65" w:rsidP="00B32A77">
            <w:pPr>
              <w:jc w:val="left"/>
              <w:rPr>
                <w:sz w:val="20"/>
                <w:szCs w:val="20"/>
              </w:rPr>
            </w:pPr>
            <w:r w:rsidRPr="007B5BE6">
              <w:rPr>
                <w:sz w:val="20"/>
                <w:szCs w:val="20"/>
              </w:rPr>
              <w:t>Family violence response is confined to where an older person is experiencing these forms of abuse in the context of a current or former ‘significant’ intimate partner relationship</w:t>
            </w:r>
            <w:r w:rsidR="000D54DD" w:rsidRPr="007B5BE6">
              <w:rPr>
                <w:sz w:val="20"/>
                <w:szCs w:val="20"/>
              </w:rPr>
              <w:t>.</w:t>
            </w:r>
            <w:r w:rsidR="0065582D" w:rsidRPr="007B5BE6">
              <w:rPr>
                <w:rStyle w:val="FootnoteReference"/>
                <w:sz w:val="20"/>
                <w:szCs w:val="20"/>
              </w:rPr>
              <w:footnoteReference w:id="240"/>
            </w:r>
          </w:p>
        </w:tc>
      </w:tr>
      <w:tr w:rsidR="007600CA" w:rsidRPr="007B5BE6" w14:paraId="1CA19F09" w14:textId="77777777" w:rsidTr="00A63771">
        <w:tc>
          <w:tcPr>
            <w:tcW w:w="1418" w:type="dxa"/>
          </w:tcPr>
          <w:p w14:paraId="680C5743" w14:textId="77777777" w:rsidR="003B0F65" w:rsidRPr="007B5BE6" w:rsidRDefault="003B0F65" w:rsidP="00C36293">
            <w:pPr>
              <w:jc w:val="left"/>
              <w:rPr>
                <w:sz w:val="20"/>
                <w:szCs w:val="20"/>
              </w:rPr>
            </w:pPr>
            <w:r w:rsidRPr="007B5BE6">
              <w:rPr>
                <w:sz w:val="20"/>
                <w:szCs w:val="20"/>
              </w:rPr>
              <w:t xml:space="preserve">Coronial law </w:t>
            </w:r>
          </w:p>
        </w:tc>
        <w:tc>
          <w:tcPr>
            <w:tcW w:w="1559" w:type="dxa"/>
          </w:tcPr>
          <w:p w14:paraId="3C7C8865" w14:textId="77777777" w:rsidR="003B0F65" w:rsidRPr="007B5BE6" w:rsidRDefault="003B0F65" w:rsidP="00B32A77">
            <w:pPr>
              <w:jc w:val="left"/>
              <w:rPr>
                <w:sz w:val="20"/>
                <w:szCs w:val="20"/>
              </w:rPr>
            </w:pPr>
            <w:r w:rsidRPr="007B5BE6">
              <w:rPr>
                <w:i/>
                <w:iCs/>
                <w:sz w:val="20"/>
                <w:szCs w:val="20"/>
              </w:rPr>
              <w:t>Coroners Act 1995</w:t>
            </w:r>
            <w:r w:rsidRPr="007B5BE6">
              <w:rPr>
                <w:sz w:val="20"/>
                <w:szCs w:val="20"/>
              </w:rPr>
              <w:t xml:space="preserve"> (Tas)</w:t>
            </w:r>
          </w:p>
        </w:tc>
        <w:tc>
          <w:tcPr>
            <w:tcW w:w="2552" w:type="dxa"/>
          </w:tcPr>
          <w:p w14:paraId="1089697B" w14:textId="3675860F" w:rsidR="003B0F65" w:rsidRPr="007B5BE6" w:rsidRDefault="003B0F65" w:rsidP="00B32A77">
            <w:pPr>
              <w:jc w:val="left"/>
              <w:rPr>
                <w:sz w:val="20"/>
                <w:szCs w:val="20"/>
              </w:rPr>
            </w:pPr>
            <w:r w:rsidRPr="007B5BE6">
              <w:rPr>
                <w:sz w:val="20"/>
                <w:szCs w:val="20"/>
              </w:rPr>
              <w:t xml:space="preserve">Provides the Coroners Court </w:t>
            </w:r>
            <w:r w:rsidR="007E28C1" w:rsidRPr="007B5BE6">
              <w:rPr>
                <w:sz w:val="20"/>
                <w:szCs w:val="20"/>
              </w:rPr>
              <w:t xml:space="preserve">with the power </w:t>
            </w:r>
            <w:r w:rsidRPr="007B5BE6">
              <w:rPr>
                <w:sz w:val="20"/>
                <w:szCs w:val="20"/>
              </w:rPr>
              <w:t xml:space="preserve">to investigate the circumstances of the death of an older person (when </w:t>
            </w:r>
            <w:r w:rsidR="007E28C1" w:rsidRPr="007B5BE6">
              <w:rPr>
                <w:sz w:val="20"/>
                <w:szCs w:val="20"/>
              </w:rPr>
              <w:t xml:space="preserve">the death is </w:t>
            </w:r>
            <w:r w:rsidRPr="007B5BE6">
              <w:rPr>
                <w:sz w:val="20"/>
                <w:szCs w:val="20"/>
              </w:rPr>
              <w:t>a ‘reportable death’ within scope of the Act)</w:t>
            </w:r>
            <w:r w:rsidR="000D54DD" w:rsidRPr="007B5BE6">
              <w:rPr>
                <w:sz w:val="20"/>
                <w:szCs w:val="20"/>
              </w:rPr>
              <w:t>.</w:t>
            </w:r>
            <w:r w:rsidRPr="007B5BE6">
              <w:rPr>
                <w:sz w:val="20"/>
                <w:szCs w:val="20"/>
              </w:rPr>
              <w:t xml:space="preserve"> </w:t>
            </w:r>
          </w:p>
          <w:p w14:paraId="02A03E8C" w14:textId="29E25B63" w:rsidR="003B0F65" w:rsidRPr="007B5BE6" w:rsidRDefault="003B0F65" w:rsidP="00B32A77">
            <w:pPr>
              <w:jc w:val="left"/>
              <w:rPr>
                <w:sz w:val="20"/>
                <w:szCs w:val="20"/>
              </w:rPr>
            </w:pPr>
            <w:r w:rsidRPr="007B5BE6">
              <w:rPr>
                <w:sz w:val="20"/>
                <w:szCs w:val="20"/>
              </w:rPr>
              <w:t xml:space="preserve">Focus is to determine the circumstances of a death and </w:t>
            </w:r>
            <w:r w:rsidR="0051780B" w:rsidRPr="007B5BE6">
              <w:rPr>
                <w:sz w:val="20"/>
                <w:szCs w:val="20"/>
              </w:rPr>
              <w:t xml:space="preserve">can </w:t>
            </w:r>
            <w:r w:rsidRPr="007B5BE6">
              <w:rPr>
                <w:sz w:val="20"/>
                <w:szCs w:val="20"/>
              </w:rPr>
              <w:t xml:space="preserve">potentially </w:t>
            </w:r>
            <w:r w:rsidR="0051780B" w:rsidRPr="007B5BE6">
              <w:rPr>
                <w:sz w:val="20"/>
                <w:szCs w:val="20"/>
              </w:rPr>
              <w:t xml:space="preserve">include </w:t>
            </w:r>
            <w:r w:rsidRPr="007B5BE6">
              <w:rPr>
                <w:sz w:val="20"/>
                <w:szCs w:val="20"/>
              </w:rPr>
              <w:t xml:space="preserve">making recommendations </w:t>
            </w:r>
            <w:r w:rsidRPr="007B5BE6">
              <w:rPr>
                <w:sz w:val="20"/>
                <w:szCs w:val="20"/>
              </w:rPr>
              <w:lastRenderedPageBreak/>
              <w:t>focused on the prevention of future deaths</w:t>
            </w:r>
            <w:r w:rsidR="000D54DD" w:rsidRPr="007B5BE6">
              <w:rPr>
                <w:sz w:val="20"/>
                <w:szCs w:val="20"/>
              </w:rPr>
              <w:t>.</w:t>
            </w:r>
          </w:p>
        </w:tc>
        <w:tc>
          <w:tcPr>
            <w:tcW w:w="3497" w:type="dxa"/>
          </w:tcPr>
          <w:p w14:paraId="588C3070" w14:textId="72E3D130" w:rsidR="003B0F65" w:rsidRPr="007B5BE6" w:rsidRDefault="003B0F65" w:rsidP="00B32A77">
            <w:pPr>
              <w:jc w:val="left"/>
              <w:rPr>
                <w:sz w:val="20"/>
                <w:szCs w:val="20"/>
              </w:rPr>
            </w:pPr>
            <w:r w:rsidRPr="007B5BE6">
              <w:rPr>
                <w:sz w:val="20"/>
                <w:szCs w:val="20"/>
              </w:rPr>
              <w:lastRenderedPageBreak/>
              <w:t xml:space="preserve">Investigation for any ‘reportable death’ (not just limited to </w:t>
            </w:r>
            <w:r w:rsidR="0051780B" w:rsidRPr="007B5BE6">
              <w:rPr>
                <w:sz w:val="20"/>
                <w:szCs w:val="20"/>
              </w:rPr>
              <w:t xml:space="preserve">deaths of </w:t>
            </w:r>
            <w:r w:rsidRPr="007B5BE6">
              <w:rPr>
                <w:sz w:val="20"/>
                <w:szCs w:val="20"/>
              </w:rPr>
              <w:t>older people)</w:t>
            </w:r>
            <w:r w:rsidR="000D54DD" w:rsidRPr="007B5BE6">
              <w:rPr>
                <w:sz w:val="20"/>
                <w:szCs w:val="20"/>
              </w:rPr>
              <w:t>.</w:t>
            </w:r>
          </w:p>
          <w:p w14:paraId="152B1FA5" w14:textId="6CC4616C" w:rsidR="003B0F65" w:rsidRPr="007B5BE6" w:rsidRDefault="003B0F65" w:rsidP="00B32A77">
            <w:pPr>
              <w:jc w:val="left"/>
              <w:rPr>
                <w:sz w:val="20"/>
                <w:szCs w:val="20"/>
              </w:rPr>
            </w:pPr>
            <w:r w:rsidRPr="007B5BE6">
              <w:rPr>
                <w:sz w:val="20"/>
                <w:szCs w:val="20"/>
              </w:rPr>
              <w:t>‘Reportable death’ includes deaths that are unexpected, due to unnatural causes, violent or caused by an accident or injury, or where the cause of death is unknown</w:t>
            </w:r>
            <w:r w:rsidR="000D54DD" w:rsidRPr="007B5BE6">
              <w:rPr>
                <w:sz w:val="20"/>
                <w:szCs w:val="20"/>
              </w:rPr>
              <w:t>.</w:t>
            </w:r>
          </w:p>
          <w:p w14:paraId="3269B716" w14:textId="55A4BF32" w:rsidR="003B0F65" w:rsidRPr="007B5BE6" w:rsidRDefault="003B0F65" w:rsidP="00B32A77">
            <w:pPr>
              <w:jc w:val="left"/>
              <w:rPr>
                <w:sz w:val="20"/>
                <w:szCs w:val="20"/>
              </w:rPr>
            </w:pPr>
            <w:r w:rsidRPr="007B5BE6">
              <w:rPr>
                <w:sz w:val="20"/>
                <w:szCs w:val="20"/>
              </w:rPr>
              <w:t xml:space="preserve">Inquest </w:t>
            </w:r>
            <w:r w:rsidR="00621925" w:rsidRPr="007B5BE6">
              <w:rPr>
                <w:sz w:val="20"/>
                <w:szCs w:val="20"/>
              </w:rPr>
              <w:t xml:space="preserve">is </w:t>
            </w:r>
            <w:r w:rsidRPr="007B5BE6">
              <w:rPr>
                <w:sz w:val="20"/>
                <w:szCs w:val="20"/>
              </w:rPr>
              <w:t>required in some circumstances that may apply to</w:t>
            </w:r>
            <w:r w:rsidRPr="007B5BE6">
              <w:t xml:space="preserve"> </w:t>
            </w:r>
            <w:r w:rsidR="00621925" w:rsidRPr="007B5BE6">
              <w:rPr>
                <w:sz w:val="20"/>
                <w:szCs w:val="20"/>
              </w:rPr>
              <w:t xml:space="preserve">the </w:t>
            </w:r>
            <w:r w:rsidRPr="007B5BE6">
              <w:rPr>
                <w:sz w:val="20"/>
                <w:szCs w:val="20"/>
              </w:rPr>
              <w:lastRenderedPageBreak/>
              <w:t xml:space="preserve">death of an older person </w:t>
            </w:r>
            <w:r w:rsidR="00A96C8E" w:rsidRPr="007B5BE6">
              <w:rPr>
                <w:sz w:val="20"/>
                <w:szCs w:val="20"/>
              </w:rPr>
              <w:t xml:space="preserve">where the death </w:t>
            </w:r>
            <w:r w:rsidRPr="007B5BE6">
              <w:rPr>
                <w:sz w:val="20"/>
                <w:szCs w:val="20"/>
              </w:rPr>
              <w:t xml:space="preserve">is </w:t>
            </w:r>
            <w:r w:rsidR="00621925" w:rsidRPr="007B5BE6">
              <w:rPr>
                <w:sz w:val="20"/>
                <w:szCs w:val="20"/>
              </w:rPr>
              <w:t xml:space="preserve">a </w:t>
            </w:r>
            <w:r w:rsidRPr="007B5BE6">
              <w:rPr>
                <w:sz w:val="20"/>
                <w:szCs w:val="20"/>
              </w:rPr>
              <w:t>reportable death, including a suspected homicide, or a person held in care immediately before death</w:t>
            </w:r>
            <w:r w:rsidR="000D54DD" w:rsidRPr="007B5BE6">
              <w:rPr>
                <w:sz w:val="20"/>
                <w:szCs w:val="20"/>
              </w:rPr>
              <w:t>.</w:t>
            </w:r>
            <w:r w:rsidRPr="007B5BE6">
              <w:rPr>
                <w:sz w:val="20"/>
                <w:szCs w:val="20"/>
              </w:rPr>
              <w:t xml:space="preserve"> </w:t>
            </w:r>
          </w:p>
        </w:tc>
      </w:tr>
      <w:tr w:rsidR="007600CA" w:rsidRPr="007B5BE6" w14:paraId="0AC331AA" w14:textId="77777777" w:rsidTr="00A63771">
        <w:tc>
          <w:tcPr>
            <w:tcW w:w="1418" w:type="dxa"/>
          </w:tcPr>
          <w:p w14:paraId="7F5EE027" w14:textId="77777777" w:rsidR="003B0F65" w:rsidRPr="007B5BE6" w:rsidRDefault="003B0F65" w:rsidP="0057029A">
            <w:pPr>
              <w:jc w:val="left"/>
              <w:rPr>
                <w:sz w:val="20"/>
                <w:szCs w:val="20"/>
              </w:rPr>
            </w:pPr>
            <w:r w:rsidRPr="007B5BE6">
              <w:rPr>
                <w:sz w:val="20"/>
                <w:szCs w:val="20"/>
              </w:rPr>
              <w:lastRenderedPageBreak/>
              <w:t>Family violence laws and ‘Safe at Home’</w:t>
            </w:r>
          </w:p>
        </w:tc>
        <w:tc>
          <w:tcPr>
            <w:tcW w:w="1559" w:type="dxa"/>
          </w:tcPr>
          <w:p w14:paraId="75CA27BC" w14:textId="77777777" w:rsidR="003B0F65" w:rsidRPr="007B5BE6" w:rsidRDefault="003B0F65" w:rsidP="00B32A77">
            <w:pPr>
              <w:jc w:val="left"/>
              <w:rPr>
                <w:sz w:val="20"/>
                <w:szCs w:val="20"/>
              </w:rPr>
            </w:pPr>
            <w:r w:rsidRPr="007B5BE6">
              <w:rPr>
                <w:i/>
                <w:iCs/>
                <w:sz w:val="20"/>
                <w:szCs w:val="20"/>
              </w:rPr>
              <w:t>Family Violence Act 2004</w:t>
            </w:r>
            <w:r w:rsidRPr="007B5BE6">
              <w:rPr>
                <w:sz w:val="20"/>
                <w:szCs w:val="20"/>
              </w:rPr>
              <w:t xml:space="preserve"> (Tas) </w:t>
            </w:r>
          </w:p>
        </w:tc>
        <w:tc>
          <w:tcPr>
            <w:tcW w:w="2552" w:type="dxa"/>
          </w:tcPr>
          <w:p w14:paraId="676342F7" w14:textId="0B2615B6" w:rsidR="003B0F65" w:rsidRPr="007B5BE6" w:rsidRDefault="003B0F65" w:rsidP="00B32A77">
            <w:pPr>
              <w:jc w:val="left"/>
              <w:rPr>
                <w:sz w:val="20"/>
                <w:szCs w:val="20"/>
              </w:rPr>
            </w:pPr>
            <w:r w:rsidRPr="007B5BE6">
              <w:rPr>
                <w:sz w:val="20"/>
                <w:szCs w:val="20"/>
              </w:rPr>
              <w:t>Provides powers to Tasmania Police and Tasmanian Courts to issue civil protection orders (police family violence orders, family violence orders and interim family violence orders)</w:t>
            </w:r>
            <w:r w:rsidR="000D54DD" w:rsidRPr="007B5BE6">
              <w:rPr>
                <w:sz w:val="20"/>
                <w:szCs w:val="20"/>
              </w:rPr>
              <w:t>.</w:t>
            </w:r>
            <w:r w:rsidRPr="007B5BE6">
              <w:rPr>
                <w:sz w:val="20"/>
                <w:szCs w:val="20"/>
              </w:rPr>
              <w:t xml:space="preserve"> </w:t>
            </w:r>
          </w:p>
          <w:p w14:paraId="660CFEAE" w14:textId="4DAC7879" w:rsidR="003B0F65" w:rsidRPr="007B5BE6" w:rsidRDefault="003B0F65" w:rsidP="00B32A77">
            <w:pPr>
              <w:jc w:val="left"/>
              <w:rPr>
                <w:sz w:val="20"/>
                <w:szCs w:val="20"/>
              </w:rPr>
            </w:pPr>
            <w:r w:rsidRPr="007B5BE6">
              <w:rPr>
                <w:sz w:val="20"/>
                <w:szCs w:val="20"/>
              </w:rPr>
              <w:t>Provides Tasmania Police with a power to respond to some forms of abuse</w:t>
            </w:r>
            <w:r w:rsidR="000D54DD" w:rsidRPr="007B5BE6">
              <w:rPr>
                <w:sz w:val="20"/>
                <w:szCs w:val="20"/>
              </w:rPr>
              <w:t>.</w:t>
            </w:r>
          </w:p>
          <w:p w14:paraId="1B934A35" w14:textId="2C47C186" w:rsidR="003B0F65" w:rsidRPr="007B5BE6" w:rsidRDefault="003B0F65" w:rsidP="00B32A77">
            <w:pPr>
              <w:jc w:val="left"/>
              <w:rPr>
                <w:sz w:val="20"/>
                <w:szCs w:val="20"/>
              </w:rPr>
            </w:pPr>
            <w:r w:rsidRPr="007B5BE6">
              <w:rPr>
                <w:sz w:val="20"/>
                <w:szCs w:val="20"/>
              </w:rPr>
              <w:t>May result in a person being arrested and charged with a criminal offence (‘family violence offence</w:t>
            </w:r>
            <w:r w:rsidR="000D54DD" w:rsidRPr="007B5BE6">
              <w:rPr>
                <w:sz w:val="20"/>
                <w:szCs w:val="20"/>
              </w:rPr>
              <w:t>’</w:t>
            </w:r>
            <w:r w:rsidRPr="007B5BE6">
              <w:rPr>
                <w:sz w:val="20"/>
                <w:szCs w:val="20"/>
              </w:rPr>
              <w:t>)</w:t>
            </w:r>
            <w:r w:rsidR="000D54DD" w:rsidRPr="007B5BE6">
              <w:rPr>
                <w:sz w:val="20"/>
                <w:szCs w:val="20"/>
              </w:rPr>
              <w:t>.</w:t>
            </w:r>
          </w:p>
          <w:p w14:paraId="7C92836E" w14:textId="17692E11" w:rsidR="003B0F65" w:rsidRPr="007B5BE6" w:rsidRDefault="003B0F65" w:rsidP="00B32A77">
            <w:pPr>
              <w:jc w:val="left"/>
              <w:rPr>
                <w:sz w:val="20"/>
                <w:szCs w:val="20"/>
              </w:rPr>
            </w:pPr>
            <w:r w:rsidRPr="007B5BE6">
              <w:rPr>
                <w:sz w:val="20"/>
                <w:szCs w:val="20"/>
              </w:rPr>
              <w:t>If found or pleads guilty, the person is sentenced by a Tasmanian Court</w:t>
            </w:r>
            <w:r w:rsidR="000D54DD" w:rsidRPr="007B5BE6">
              <w:rPr>
                <w:sz w:val="20"/>
                <w:szCs w:val="20"/>
              </w:rPr>
              <w:t>.</w:t>
            </w:r>
            <w:r w:rsidRPr="007B5BE6">
              <w:rPr>
                <w:sz w:val="20"/>
                <w:szCs w:val="20"/>
              </w:rPr>
              <w:t xml:space="preserve"> </w:t>
            </w:r>
          </w:p>
        </w:tc>
        <w:tc>
          <w:tcPr>
            <w:tcW w:w="3497" w:type="dxa"/>
          </w:tcPr>
          <w:p w14:paraId="1BC90B4C" w14:textId="5AA00619" w:rsidR="003B0F65" w:rsidRPr="007B5BE6" w:rsidRDefault="003B0F65" w:rsidP="00B32A77">
            <w:pPr>
              <w:jc w:val="left"/>
              <w:rPr>
                <w:sz w:val="20"/>
                <w:szCs w:val="20"/>
              </w:rPr>
            </w:pPr>
            <w:r w:rsidRPr="007B5BE6">
              <w:rPr>
                <w:sz w:val="20"/>
                <w:szCs w:val="20"/>
              </w:rPr>
              <w:t>Family violence response is confined to where an older person is experiencing these forms of abuse in the context of a current or former ‘significant’ intimate partner relationship</w:t>
            </w:r>
            <w:r w:rsidR="000D54DD" w:rsidRPr="007B5BE6">
              <w:rPr>
                <w:sz w:val="20"/>
                <w:szCs w:val="20"/>
              </w:rPr>
              <w:t>.</w:t>
            </w:r>
            <w:r w:rsidR="0065582D" w:rsidRPr="007B5BE6">
              <w:rPr>
                <w:rStyle w:val="FootnoteReference"/>
                <w:sz w:val="20"/>
                <w:szCs w:val="20"/>
              </w:rPr>
              <w:footnoteReference w:id="241"/>
            </w:r>
          </w:p>
        </w:tc>
      </w:tr>
      <w:tr w:rsidR="007600CA" w:rsidRPr="007B5BE6" w14:paraId="2D609970" w14:textId="77777777" w:rsidTr="00A63771">
        <w:tc>
          <w:tcPr>
            <w:tcW w:w="1418" w:type="dxa"/>
          </w:tcPr>
          <w:p w14:paraId="7D54EC12" w14:textId="77777777" w:rsidR="003B0F65" w:rsidRPr="007B5BE6" w:rsidRDefault="003B0F65" w:rsidP="00C36293">
            <w:pPr>
              <w:jc w:val="left"/>
              <w:rPr>
                <w:sz w:val="20"/>
                <w:szCs w:val="20"/>
              </w:rPr>
            </w:pPr>
            <w:r w:rsidRPr="007B5BE6">
              <w:rPr>
                <w:sz w:val="20"/>
                <w:szCs w:val="20"/>
              </w:rPr>
              <w:t>Restraint Orders</w:t>
            </w:r>
          </w:p>
        </w:tc>
        <w:tc>
          <w:tcPr>
            <w:tcW w:w="1559" w:type="dxa"/>
          </w:tcPr>
          <w:p w14:paraId="3DF159E9" w14:textId="1D85C608" w:rsidR="003B0F65" w:rsidRPr="007B5BE6" w:rsidRDefault="003B0F65" w:rsidP="00B32A77">
            <w:pPr>
              <w:jc w:val="left"/>
              <w:rPr>
                <w:sz w:val="20"/>
                <w:szCs w:val="20"/>
              </w:rPr>
            </w:pPr>
            <w:r w:rsidRPr="007B5BE6">
              <w:rPr>
                <w:i/>
                <w:iCs/>
                <w:sz w:val="20"/>
                <w:szCs w:val="20"/>
              </w:rPr>
              <w:t>Justices Act 195</w:t>
            </w:r>
            <w:r w:rsidR="00477F94" w:rsidRPr="007B5BE6">
              <w:rPr>
                <w:i/>
                <w:iCs/>
                <w:sz w:val="20"/>
                <w:szCs w:val="20"/>
              </w:rPr>
              <w:t>9</w:t>
            </w:r>
            <w:r w:rsidRPr="007B5BE6">
              <w:rPr>
                <w:sz w:val="20"/>
                <w:szCs w:val="20"/>
              </w:rPr>
              <w:t xml:space="preserve"> (Tas)</w:t>
            </w:r>
          </w:p>
        </w:tc>
        <w:tc>
          <w:tcPr>
            <w:tcW w:w="2552" w:type="dxa"/>
          </w:tcPr>
          <w:p w14:paraId="6F1324B8" w14:textId="02AE04A3" w:rsidR="003B0F65" w:rsidRPr="007B5BE6" w:rsidRDefault="003B0F65" w:rsidP="00B32A77">
            <w:pPr>
              <w:jc w:val="left"/>
              <w:rPr>
                <w:sz w:val="20"/>
                <w:szCs w:val="20"/>
              </w:rPr>
            </w:pPr>
            <w:r w:rsidRPr="007B5BE6">
              <w:rPr>
                <w:sz w:val="20"/>
                <w:szCs w:val="20"/>
              </w:rPr>
              <w:t>Provides powers to Tasmanian Courts to issue civil restraint orders</w:t>
            </w:r>
            <w:r w:rsidR="000D54DD" w:rsidRPr="007B5BE6">
              <w:rPr>
                <w:sz w:val="20"/>
                <w:szCs w:val="20"/>
              </w:rPr>
              <w:t>.</w:t>
            </w:r>
          </w:p>
        </w:tc>
        <w:tc>
          <w:tcPr>
            <w:tcW w:w="3497" w:type="dxa"/>
          </w:tcPr>
          <w:p w14:paraId="4C74A852" w14:textId="13E31A26" w:rsidR="003B0F65" w:rsidRPr="007B5BE6" w:rsidRDefault="003B0F65" w:rsidP="00B32A77">
            <w:pPr>
              <w:jc w:val="left"/>
              <w:rPr>
                <w:sz w:val="20"/>
                <w:szCs w:val="20"/>
              </w:rPr>
            </w:pPr>
            <w:r w:rsidRPr="007B5BE6">
              <w:rPr>
                <w:sz w:val="20"/>
                <w:szCs w:val="20"/>
              </w:rPr>
              <w:t>No considerations regarding older people</w:t>
            </w:r>
            <w:r w:rsidR="00DD499D" w:rsidRPr="007B5BE6">
              <w:rPr>
                <w:sz w:val="20"/>
                <w:szCs w:val="20"/>
              </w:rPr>
              <w:t xml:space="preserve"> but does contemplate </w:t>
            </w:r>
            <w:r w:rsidR="008A3966" w:rsidRPr="007B5BE6">
              <w:rPr>
                <w:sz w:val="20"/>
                <w:szCs w:val="20"/>
              </w:rPr>
              <w:t xml:space="preserve">that </w:t>
            </w:r>
            <w:r w:rsidR="00DD499D" w:rsidRPr="007B5BE6">
              <w:rPr>
                <w:sz w:val="20"/>
                <w:szCs w:val="20"/>
              </w:rPr>
              <w:t>family relationships may be affected by restraint orders</w:t>
            </w:r>
            <w:r w:rsidR="000D54DD" w:rsidRPr="007B5BE6">
              <w:rPr>
                <w:sz w:val="20"/>
                <w:szCs w:val="20"/>
              </w:rPr>
              <w:t>.</w:t>
            </w:r>
          </w:p>
          <w:p w14:paraId="326A26D5" w14:textId="0A6EEC44" w:rsidR="003B0F65" w:rsidRPr="007B5BE6" w:rsidRDefault="003B0F65" w:rsidP="00B32A77">
            <w:pPr>
              <w:jc w:val="left"/>
              <w:rPr>
                <w:sz w:val="20"/>
                <w:szCs w:val="20"/>
              </w:rPr>
            </w:pPr>
            <w:r w:rsidRPr="007B5BE6">
              <w:rPr>
                <w:sz w:val="20"/>
                <w:szCs w:val="20"/>
              </w:rPr>
              <w:t xml:space="preserve">No constraints on relationship as with civil protection orders </w:t>
            </w:r>
            <w:r w:rsidR="00796867" w:rsidRPr="007B5BE6">
              <w:rPr>
                <w:sz w:val="20"/>
                <w:szCs w:val="20"/>
              </w:rPr>
              <w:t>under family violence laws</w:t>
            </w:r>
            <w:r w:rsidR="000D54DD" w:rsidRPr="007B5BE6">
              <w:rPr>
                <w:sz w:val="20"/>
                <w:szCs w:val="20"/>
              </w:rPr>
              <w:t>.</w:t>
            </w:r>
          </w:p>
        </w:tc>
      </w:tr>
      <w:tr w:rsidR="007600CA" w:rsidRPr="007B5BE6" w14:paraId="33C2C704" w14:textId="77777777" w:rsidTr="00A63771">
        <w:tc>
          <w:tcPr>
            <w:tcW w:w="1418" w:type="dxa"/>
          </w:tcPr>
          <w:p w14:paraId="6DEB3247" w14:textId="5C6A929E" w:rsidR="003B0F65" w:rsidRPr="007B5BE6" w:rsidRDefault="003B0F65" w:rsidP="005846AB">
            <w:pPr>
              <w:jc w:val="left"/>
              <w:rPr>
                <w:sz w:val="20"/>
                <w:szCs w:val="20"/>
              </w:rPr>
            </w:pPr>
            <w:r w:rsidRPr="007B5BE6">
              <w:rPr>
                <w:sz w:val="20"/>
                <w:szCs w:val="20"/>
              </w:rPr>
              <w:t>Financial decision</w:t>
            </w:r>
            <w:r w:rsidR="00877588" w:rsidRPr="007B5BE6">
              <w:rPr>
                <w:sz w:val="20"/>
                <w:szCs w:val="20"/>
              </w:rPr>
              <w:t xml:space="preserve"> </w:t>
            </w:r>
            <w:r w:rsidRPr="007B5BE6">
              <w:rPr>
                <w:sz w:val="20"/>
                <w:szCs w:val="20"/>
              </w:rPr>
              <w:t xml:space="preserve">making </w:t>
            </w:r>
          </w:p>
        </w:tc>
        <w:tc>
          <w:tcPr>
            <w:tcW w:w="1559" w:type="dxa"/>
          </w:tcPr>
          <w:p w14:paraId="72F4D0C4" w14:textId="77777777" w:rsidR="003B0F65" w:rsidRPr="007B5BE6" w:rsidRDefault="003B0F65" w:rsidP="00B32A77">
            <w:pPr>
              <w:jc w:val="left"/>
              <w:rPr>
                <w:sz w:val="20"/>
                <w:szCs w:val="20"/>
              </w:rPr>
            </w:pPr>
            <w:r w:rsidRPr="007B5BE6">
              <w:rPr>
                <w:i/>
                <w:iCs/>
                <w:sz w:val="20"/>
                <w:szCs w:val="20"/>
              </w:rPr>
              <w:t>Powers of Attorney Act 2000</w:t>
            </w:r>
            <w:r w:rsidRPr="007B5BE6">
              <w:rPr>
                <w:sz w:val="20"/>
                <w:szCs w:val="20"/>
              </w:rPr>
              <w:t xml:space="preserve"> (Tas)</w:t>
            </w:r>
          </w:p>
          <w:p w14:paraId="34F9DC86" w14:textId="77777777" w:rsidR="003B0F65" w:rsidRPr="007B5BE6" w:rsidRDefault="003B0F65" w:rsidP="00B32A77">
            <w:pPr>
              <w:jc w:val="left"/>
              <w:rPr>
                <w:sz w:val="20"/>
                <w:szCs w:val="20"/>
              </w:rPr>
            </w:pPr>
            <w:r w:rsidRPr="007B5BE6">
              <w:rPr>
                <w:i/>
                <w:iCs/>
                <w:sz w:val="20"/>
                <w:szCs w:val="20"/>
              </w:rPr>
              <w:t>Guardianship and Administration Act 1995</w:t>
            </w:r>
            <w:r w:rsidRPr="007B5BE6">
              <w:rPr>
                <w:sz w:val="20"/>
                <w:szCs w:val="20"/>
              </w:rPr>
              <w:t xml:space="preserve"> (Tas)</w:t>
            </w:r>
          </w:p>
        </w:tc>
        <w:tc>
          <w:tcPr>
            <w:tcW w:w="2552" w:type="dxa"/>
          </w:tcPr>
          <w:p w14:paraId="708DDB1E" w14:textId="1791B264" w:rsidR="003B0F65" w:rsidRPr="007B5BE6" w:rsidRDefault="003B0F65" w:rsidP="00B32A77">
            <w:pPr>
              <w:jc w:val="left"/>
              <w:rPr>
                <w:sz w:val="20"/>
                <w:szCs w:val="20"/>
              </w:rPr>
            </w:pPr>
            <w:r w:rsidRPr="007B5BE6">
              <w:rPr>
                <w:sz w:val="20"/>
                <w:szCs w:val="20"/>
              </w:rPr>
              <w:t xml:space="preserve">Provides powers to the Tasmanian </w:t>
            </w:r>
            <w:r w:rsidR="00DD43A7" w:rsidRPr="007B5BE6">
              <w:rPr>
                <w:sz w:val="20"/>
                <w:szCs w:val="20"/>
              </w:rPr>
              <w:t xml:space="preserve">Civil and </w:t>
            </w:r>
            <w:r w:rsidRPr="007B5BE6">
              <w:rPr>
                <w:sz w:val="20"/>
                <w:szCs w:val="20"/>
              </w:rPr>
              <w:t>Administrative Tribunal (</w:t>
            </w:r>
            <w:r w:rsidR="004A12ED" w:rsidRPr="007B5BE6">
              <w:rPr>
                <w:sz w:val="20"/>
                <w:szCs w:val="20"/>
              </w:rPr>
              <w:t>‘</w:t>
            </w:r>
            <w:r w:rsidRPr="007B5BE6">
              <w:rPr>
                <w:sz w:val="20"/>
                <w:szCs w:val="20"/>
              </w:rPr>
              <w:t>TASCAT</w:t>
            </w:r>
            <w:r w:rsidR="004A12ED" w:rsidRPr="007B5BE6">
              <w:rPr>
                <w:sz w:val="20"/>
                <w:szCs w:val="20"/>
              </w:rPr>
              <w:t>’</w:t>
            </w:r>
            <w:r w:rsidRPr="007B5BE6">
              <w:rPr>
                <w:sz w:val="20"/>
                <w:szCs w:val="20"/>
              </w:rPr>
              <w:t>) to make orders for</w:t>
            </w:r>
            <w:r w:rsidR="000D54DD" w:rsidRPr="007B5BE6">
              <w:rPr>
                <w:sz w:val="20"/>
                <w:szCs w:val="20"/>
              </w:rPr>
              <w:t>,</w:t>
            </w:r>
            <w:r w:rsidRPr="007B5BE6">
              <w:rPr>
                <w:sz w:val="20"/>
                <w:szCs w:val="20"/>
              </w:rPr>
              <w:t xml:space="preserve"> and manage legal arrangements regarding</w:t>
            </w:r>
            <w:r w:rsidR="000D54DD" w:rsidRPr="007B5BE6">
              <w:rPr>
                <w:sz w:val="20"/>
                <w:szCs w:val="20"/>
              </w:rPr>
              <w:t>,</w:t>
            </w:r>
            <w:r w:rsidRPr="007B5BE6">
              <w:rPr>
                <w:sz w:val="20"/>
                <w:szCs w:val="20"/>
              </w:rPr>
              <w:t xml:space="preserve"> appointment of people to make financial decisions on behalf of people with impaired decision-making ability. The Public Guardian and Public Trustee also have powers and functions under the Act</w:t>
            </w:r>
            <w:r w:rsidR="00762D9F" w:rsidRPr="007B5BE6">
              <w:rPr>
                <w:sz w:val="20"/>
                <w:szCs w:val="20"/>
              </w:rPr>
              <w:t>s</w:t>
            </w:r>
            <w:r w:rsidRPr="007B5BE6">
              <w:rPr>
                <w:sz w:val="20"/>
                <w:szCs w:val="20"/>
              </w:rPr>
              <w:t>.</w:t>
            </w:r>
          </w:p>
          <w:p w14:paraId="0D1BF0F5" w14:textId="77777777" w:rsidR="003B0F65" w:rsidRPr="007B5BE6" w:rsidRDefault="003B0F65" w:rsidP="00B32A77">
            <w:pPr>
              <w:jc w:val="left"/>
              <w:rPr>
                <w:sz w:val="20"/>
                <w:szCs w:val="20"/>
              </w:rPr>
            </w:pPr>
            <w:r w:rsidRPr="007B5BE6">
              <w:rPr>
                <w:sz w:val="20"/>
                <w:szCs w:val="20"/>
              </w:rPr>
              <w:t xml:space="preserve">Relevant decision-making arrangements include enduring powers of attorney, </w:t>
            </w:r>
            <w:r w:rsidRPr="007B5BE6">
              <w:rPr>
                <w:sz w:val="20"/>
                <w:szCs w:val="20"/>
              </w:rPr>
              <w:lastRenderedPageBreak/>
              <w:t>general powers of attorney and administration orders.</w:t>
            </w:r>
          </w:p>
        </w:tc>
        <w:tc>
          <w:tcPr>
            <w:tcW w:w="3497" w:type="dxa"/>
          </w:tcPr>
          <w:p w14:paraId="5DE38A07" w14:textId="61007A22" w:rsidR="00894618" w:rsidRPr="007B5BE6" w:rsidRDefault="00016BD7" w:rsidP="00B32A77">
            <w:pPr>
              <w:jc w:val="left"/>
              <w:rPr>
                <w:sz w:val="20"/>
                <w:szCs w:val="20"/>
              </w:rPr>
            </w:pPr>
            <w:r w:rsidRPr="007B5BE6">
              <w:rPr>
                <w:sz w:val="20"/>
                <w:szCs w:val="20"/>
              </w:rPr>
              <w:lastRenderedPageBreak/>
              <w:t>Provisions c</w:t>
            </w:r>
            <w:r w:rsidR="00894618" w:rsidRPr="007B5BE6">
              <w:rPr>
                <w:sz w:val="20"/>
                <w:szCs w:val="20"/>
              </w:rPr>
              <w:t>over some circumstances involving abuse of older people</w:t>
            </w:r>
            <w:r w:rsidR="000D54DD" w:rsidRPr="007B5BE6">
              <w:rPr>
                <w:sz w:val="20"/>
                <w:szCs w:val="20"/>
              </w:rPr>
              <w:t>.</w:t>
            </w:r>
            <w:r w:rsidR="00894618" w:rsidRPr="007B5BE6">
              <w:rPr>
                <w:sz w:val="20"/>
                <w:szCs w:val="20"/>
              </w:rPr>
              <w:t xml:space="preserve">  </w:t>
            </w:r>
          </w:p>
          <w:p w14:paraId="4DB1A990" w14:textId="3FD5155C" w:rsidR="003B0F65" w:rsidRPr="007B5BE6" w:rsidRDefault="003B0F65" w:rsidP="00B32A77">
            <w:pPr>
              <w:jc w:val="left"/>
              <w:rPr>
                <w:sz w:val="20"/>
                <w:szCs w:val="20"/>
              </w:rPr>
            </w:pPr>
            <w:r w:rsidRPr="007B5BE6">
              <w:rPr>
                <w:sz w:val="20"/>
                <w:szCs w:val="20"/>
              </w:rPr>
              <w:t>Confined to older people who have</w:t>
            </w:r>
            <w:r w:rsidR="000D54DD" w:rsidRPr="007B5BE6">
              <w:rPr>
                <w:sz w:val="20"/>
                <w:szCs w:val="20"/>
              </w:rPr>
              <w:t>,</w:t>
            </w:r>
            <w:r w:rsidRPr="007B5BE6">
              <w:rPr>
                <w:sz w:val="20"/>
                <w:szCs w:val="20"/>
              </w:rPr>
              <w:t xml:space="preserve"> or may have</w:t>
            </w:r>
            <w:r w:rsidR="000D54DD" w:rsidRPr="007B5BE6">
              <w:rPr>
                <w:sz w:val="20"/>
                <w:szCs w:val="20"/>
              </w:rPr>
              <w:t>,</w:t>
            </w:r>
            <w:r w:rsidRPr="007B5BE6">
              <w:rPr>
                <w:sz w:val="20"/>
                <w:szCs w:val="20"/>
              </w:rPr>
              <w:t xml:space="preserve"> impaired decision-making ability</w:t>
            </w:r>
            <w:r w:rsidR="000D54DD" w:rsidRPr="007B5BE6">
              <w:rPr>
                <w:sz w:val="20"/>
                <w:szCs w:val="20"/>
              </w:rPr>
              <w:t>.</w:t>
            </w:r>
          </w:p>
        </w:tc>
      </w:tr>
      <w:tr w:rsidR="007600CA" w:rsidRPr="007B5BE6" w14:paraId="0AA91B24" w14:textId="77777777" w:rsidTr="00A63771">
        <w:tc>
          <w:tcPr>
            <w:tcW w:w="1418" w:type="dxa"/>
          </w:tcPr>
          <w:p w14:paraId="5259A5CA" w14:textId="7F878DCA" w:rsidR="003B0F65" w:rsidRPr="007B5BE6" w:rsidRDefault="003B0F65" w:rsidP="00B32A77">
            <w:pPr>
              <w:jc w:val="left"/>
              <w:rPr>
                <w:sz w:val="20"/>
                <w:szCs w:val="20"/>
              </w:rPr>
            </w:pPr>
            <w:r w:rsidRPr="007B5BE6">
              <w:rPr>
                <w:sz w:val="20"/>
                <w:szCs w:val="20"/>
              </w:rPr>
              <w:t>Personal, medical and lifestyle decision</w:t>
            </w:r>
            <w:r w:rsidR="00877588" w:rsidRPr="007B5BE6">
              <w:rPr>
                <w:sz w:val="20"/>
                <w:szCs w:val="20"/>
              </w:rPr>
              <w:t xml:space="preserve"> </w:t>
            </w:r>
            <w:r w:rsidRPr="007B5BE6">
              <w:rPr>
                <w:sz w:val="20"/>
                <w:szCs w:val="20"/>
              </w:rPr>
              <w:t>making</w:t>
            </w:r>
          </w:p>
        </w:tc>
        <w:tc>
          <w:tcPr>
            <w:tcW w:w="1559" w:type="dxa"/>
          </w:tcPr>
          <w:p w14:paraId="543A1F35" w14:textId="77777777" w:rsidR="003B0F65" w:rsidRPr="007B5BE6" w:rsidRDefault="003B0F65" w:rsidP="00B32A77">
            <w:pPr>
              <w:jc w:val="left"/>
              <w:rPr>
                <w:sz w:val="20"/>
                <w:szCs w:val="20"/>
              </w:rPr>
            </w:pPr>
            <w:r w:rsidRPr="007B5BE6">
              <w:rPr>
                <w:i/>
                <w:iCs/>
                <w:sz w:val="20"/>
                <w:szCs w:val="20"/>
              </w:rPr>
              <w:t>Guardianship and Administration Act 1995</w:t>
            </w:r>
            <w:r w:rsidRPr="007B5BE6">
              <w:rPr>
                <w:sz w:val="20"/>
                <w:szCs w:val="20"/>
              </w:rPr>
              <w:t xml:space="preserve"> (Tas)</w:t>
            </w:r>
          </w:p>
        </w:tc>
        <w:tc>
          <w:tcPr>
            <w:tcW w:w="2552" w:type="dxa"/>
          </w:tcPr>
          <w:p w14:paraId="54CC1283" w14:textId="6F37D724" w:rsidR="003B0F65" w:rsidRPr="007B5BE6" w:rsidRDefault="003B0F65" w:rsidP="00B32A77">
            <w:pPr>
              <w:jc w:val="left"/>
              <w:rPr>
                <w:sz w:val="20"/>
                <w:szCs w:val="20"/>
              </w:rPr>
            </w:pPr>
            <w:r w:rsidRPr="007B5BE6">
              <w:rPr>
                <w:sz w:val="20"/>
                <w:szCs w:val="20"/>
              </w:rPr>
              <w:t xml:space="preserve">Provides powers to the </w:t>
            </w:r>
            <w:r w:rsidR="00DD43A7" w:rsidRPr="007B5BE6">
              <w:rPr>
                <w:sz w:val="20"/>
                <w:szCs w:val="20"/>
              </w:rPr>
              <w:t xml:space="preserve">Tasmanian Civil and Administrative Tribunal </w:t>
            </w:r>
            <w:r w:rsidRPr="007B5BE6">
              <w:rPr>
                <w:sz w:val="20"/>
                <w:szCs w:val="20"/>
              </w:rPr>
              <w:t>(</w:t>
            </w:r>
            <w:r w:rsidR="004A12ED" w:rsidRPr="007B5BE6">
              <w:rPr>
                <w:sz w:val="20"/>
                <w:szCs w:val="20"/>
              </w:rPr>
              <w:t>‘</w:t>
            </w:r>
            <w:r w:rsidRPr="007B5BE6">
              <w:rPr>
                <w:sz w:val="20"/>
                <w:szCs w:val="20"/>
              </w:rPr>
              <w:t>TASCAT</w:t>
            </w:r>
            <w:r w:rsidR="004A12ED" w:rsidRPr="007B5BE6">
              <w:rPr>
                <w:sz w:val="20"/>
                <w:szCs w:val="20"/>
              </w:rPr>
              <w:t>’</w:t>
            </w:r>
            <w:r w:rsidRPr="007B5BE6">
              <w:rPr>
                <w:sz w:val="20"/>
                <w:szCs w:val="20"/>
              </w:rPr>
              <w:t>) to make orders for</w:t>
            </w:r>
            <w:r w:rsidR="000D54DD" w:rsidRPr="007B5BE6">
              <w:rPr>
                <w:sz w:val="20"/>
                <w:szCs w:val="20"/>
              </w:rPr>
              <w:t>,</w:t>
            </w:r>
            <w:r w:rsidRPr="007B5BE6">
              <w:rPr>
                <w:sz w:val="20"/>
                <w:szCs w:val="20"/>
              </w:rPr>
              <w:t xml:space="preserve"> and manage legal arrangements regarding</w:t>
            </w:r>
            <w:r w:rsidR="000D54DD" w:rsidRPr="007B5BE6">
              <w:rPr>
                <w:sz w:val="20"/>
                <w:szCs w:val="20"/>
              </w:rPr>
              <w:t>,</w:t>
            </w:r>
            <w:r w:rsidRPr="007B5BE6">
              <w:rPr>
                <w:sz w:val="20"/>
                <w:szCs w:val="20"/>
              </w:rPr>
              <w:t xml:space="preserve"> appointment of people to make personal, medical and lifestyle decisions on behalf of people with impaired decision-making ability. The Public Guardian also has powers and functions under the Act.</w:t>
            </w:r>
          </w:p>
          <w:p w14:paraId="33EF18C3" w14:textId="099DE468" w:rsidR="003B0F65" w:rsidRPr="007B5BE6" w:rsidRDefault="003B0F65" w:rsidP="00B32A77">
            <w:pPr>
              <w:jc w:val="left"/>
              <w:rPr>
                <w:sz w:val="20"/>
                <w:szCs w:val="20"/>
              </w:rPr>
            </w:pPr>
            <w:r w:rsidRPr="007B5BE6">
              <w:rPr>
                <w:sz w:val="20"/>
                <w:szCs w:val="20"/>
              </w:rPr>
              <w:t>Relevant decision-making arrangements include enduring guardianship, guardianship and advance care directives.</w:t>
            </w:r>
          </w:p>
        </w:tc>
        <w:tc>
          <w:tcPr>
            <w:tcW w:w="3497" w:type="dxa"/>
          </w:tcPr>
          <w:p w14:paraId="5271E189" w14:textId="24703BA4" w:rsidR="00894618" w:rsidRPr="007B5BE6" w:rsidRDefault="00016BD7" w:rsidP="00B32A77">
            <w:pPr>
              <w:jc w:val="left"/>
              <w:rPr>
                <w:sz w:val="20"/>
                <w:szCs w:val="20"/>
              </w:rPr>
            </w:pPr>
            <w:r w:rsidRPr="007B5BE6">
              <w:rPr>
                <w:sz w:val="20"/>
                <w:szCs w:val="20"/>
              </w:rPr>
              <w:t>Provisions c</w:t>
            </w:r>
            <w:r w:rsidR="00894618" w:rsidRPr="007B5BE6">
              <w:rPr>
                <w:sz w:val="20"/>
                <w:szCs w:val="20"/>
              </w:rPr>
              <w:t>over some circumstances involving abuse of older people</w:t>
            </w:r>
            <w:r w:rsidR="000D54DD" w:rsidRPr="007B5BE6">
              <w:rPr>
                <w:sz w:val="20"/>
                <w:szCs w:val="20"/>
              </w:rPr>
              <w:t>.</w:t>
            </w:r>
            <w:r w:rsidR="00894618" w:rsidRPr="007B5BE6">
              <w:rPr>
                <w:sz w:val="20"/>
                <w:szCs w:val="20"/>
              </w:rPr>
              <w:t xml:space="preserve">  </w:t>
            </w:r>
          </w:p>
          <w:p w14:paraId="698ABE08" w14:textId="183BF6FB" w:rsidR="003B0F65" w:rsidRPr="007B5BE6" w:rsidRDefault="003B0F65" w:rsidP="00B32A77">
            <w:pPr>
              <w:jc w:val="left"/>
              <w:rPr>
                <w:sz w:val="20"/>
                <w:szCs w:val="20"/>
              </w:rPr>
            </w:pPr>
            <w:r w:rsidRPr="007B5BE6">
              <w:rPr>
                <w:sz w:val="20"/>
                <w:szCs w:val="20"/>
              </w:rPr>
              <w:t>Confined to older people who have</w:t>
            </w:r>
            <w:r w:rsidR="000D54DD" w:rsidRPr="007B5BE6">
              <w:rPr>
                <w:sz w:val="20"/>
                <w:szCs w:val="20"/>
              </w:rPr>
              <w:t>,</w:t>
            </w:r>
            <w:r w:rsidRPr="007B5BE6">
              <w:rPr>
                <w:sz w:val="20"/>
                <w:szCs w:val="20"/>
              </w:rPr>
              <w:t xml:space="preserve"> or may have</w:t>
            </w:r>
            <w:r w:rsidR="000D54DD" w:rsidRPr="007B5BE6">
              <w:rPr>
                <w:sz w:val="20"/>
                <w:szCs w:val="20"/>
              </w:rPr>
              <w:t>,</w:t>
            </w:r>
            <w:r w:rsidRPr="007B5BE6">
              <w:rPr>
                <w:sz w:val="20"/>
                <w:szCs w:val="20"/>
              </w:rPr>
              <w:t xml:space="preserve"> impaired decision-making ability</w:t>
            </w:r>
            <w:r w:rsidR="00D3284F" w:rsidRPr="007B5BE6">
              <w:rPr>
                <w:sz w:val="20"/>
                <w:szCs w:val="20"/>
              </w:rPr>
              <w:t>,</w:t>
            </w:r>
            <w:r w:rsidRPr="007B5BE6">
              <w:rPr>
                <w:sz w:val="20"/>
                <w:szCs w:val="20"/>
              </w:rPr>
              <w:t xml:space="preserve"> </w:t>
            </w:r>
          </w:p>
        </w:tc>
      </w:tr>
      <w:tr w:rsidR="007600CA" w:rsidRPr="007B5BE6" w14:paraId="2239B95B" w14:textId="77777777" w:rsidTr="00A63771">
        <w:tc>
          <w:tcPr>
            <w:tcW w:w="1418" w:type="dxa"/>
          </w:tcPr>
          <w:p w14:paraId="1482EC94" w14:textId="0E5768C9" w:rsidR="003B0F65" w:rsidRPr="007B5BE6" w:rsidRDefault="003B0F65" w:rsidP="00B32A77">
            <w:pPr>
              <w:jc w:val="left"/>
              <w:rPr>
                <w:sz w:val="20"/>
                <w:szCs w:val="20"/>
              </w:rPr>
            </w:pPr>
            <w:r w:rsidRPr="007B5BE6">
              <w:rPr>
                <w:sz w:val="20"/>
                <w:szCs w:val="20"/>
              </w:rPr>
              <w:t>Voluntary-assisted dying decision</w:t>
            </w:r>
            <w:r w:rsidR="00877588" w:rsidRPr="007B5BE6">
              <w:rPr>
                <w:sz w:val="20"/>
                <w:szCs w:val="20"/>
              </w:rPr>
              <w:t xml:space="preserve"> </w:t>
            </w:r>
            <w:r w:rsidRPr="007B5BE6">
              <w:rPr>
                <w:sz w:val="20"/>
                <w:szCs w:val="20"/>
              </w:rPr>
              <w:t xml:space="preserve">making </w:t>
            </w:r>
          </w:p>
        </w:tc>
        <w:tc>
          <w:tcPr>
            <w:tcW w:w="1559" w:type="dxa"/>
          </w:tcPr>
          <w:p w14:paraId="7DBA9B97" w14:textId="77777777" w:rsidR="003B0F65" w:rsidRPr="007B5BE6" w:rsidRDefault="003B0F65" w:rsidP="00B32A77">
            <w:pPr>
              <w:jc w:val="left"/>
              <w:rPr>
                <w:sz w:val="20"/>
                <w:szCs w:val="20"/>
              </w:rPr>
            </w:pPr>
            <w:r w:rsidRPr="007B5BE6">
              <w:rPr>
                <w:i/>
                <w:iCs/>
                <w:sz w:val="20"/>
                <w:szCs w:val="20"/>
              </w:rPr>
              <w:t>End-of-Life Choices (Voluntary Assisted Dying) Act 2021</w:t>
            </w:r>
            <w:r w:rsidRPr="007B5BE6">
              <w:rPr>
                <w:sz w:val="20"/>
                <w:szCs w:val="20"/>
              </w:rPr>
              <w:t xml:space="preserve"> (Tas)</w:t>
            </w:r>
          </w:p>
        </w:tc>
        <w:tc>
          <w:tcPr>
            <w:tcW w:w="2552" w:type="dxa"/>
          </w:tcPr>
          <w:p w14:paraId="7AEFE80A" w14:textId="095023A1" w:rsidR="003B0F65" w:rsidRPr="007B5BE6" w:rsidRDefault="003B0F65" w:rsidP="00B32A77">
            <w:pPr>
              <w:jc w:val="left"/>
              <w:rPr>
                <w:sz w:val="20"/>
                <w:szCs w:val="20"/>
              </w:rPr>
            </w:pPr>
            <w:r w:rsidRPr="007B5BE6">
              <w:rPr>
                <w:sz w:val="20"/>
                <w:szCs w:val="20"/>
              </w:rPr>
              <w:t>Provides for a process for person who is terminally ill to access end of life process</w:t>
            </w:r>
            <w:r w:rsidR="00F717EB" w:rsidRPr="007B5BE6">
              <w:rPr>
                <w:sz w:val="20"/>
                <w:szCs w:val="20"/>
              </w:rPr>
              <w:t>.</w:t>
            </w:r>
          </w:p>
          <w:p w14:paraId="60A5AEF5" w14:textId="157EC70D" w:rsidR="003B0F65" w:rsidRPr="007B5BE6" w:rsidRDefault="003B0F65" w:rsidP="00B32A77">
            <w:pPr>
              <w:jc w:val="left"/>
              <w:rPr>
                <w:sz w:val="20"/>
                <w:szCs w:val="20"/>
              </w:rPr>
            </w:pPr>
            <w:r w:rsidRPr="007B5BE6">
              <w:rPr>
                <w:sz w:val="20"/>
                <w:szCs w:val="20"/>
              </w:rPr>
              <w:t xml:space="preserve">Provides </w:t>
            </w:r>
            <w:r w:rsidR="00D3284F" w:rsidRPr="007B5BE6">
              <w:rPr>
                <w:sz w:val="20"/>
                <w:szCs w:val="20"/>
              </w:rPr>
              <w:t xml:space="preserve">a </w:t>
            </w:r>
            <w:r w:rsidRPr="007B5BE6">
              <w:rPr>
                <w:sz w:val="20"/>
                <w:szCs w:val="20"/>
              </w:rPr>
              <w:t>process to ensure compliance with eligibility criteria, including voluntariness and safeguards against misuse of the framework</w:t>
            </w:r>
            <w:r w:rsidR="00D3284F" w:rsidRPr="007B5BE6">
              <w:rPr>
                <w:sz w:val="20"/>
                <w:szCs w:val="20"/>
              </w:rPr>
              <w:t>.</w:t>
            </w:r>
            <w:r w:rsidRPr="007B5BE6">
              <w:rPr>
                <w:sz w:val="20"/>
                <w:szCs w:val="20"/>
              </w:rPr>
              <w:t xml:space="preserve"> </w:t>
            </w:r>
          </w:p>
        </w:tc>
        <w:tc>
          <w:tcPr>
            <w:tcW w:w="3497" w:type="dxa"/>
          </w:tcPr>
          <w:p w14:paraId="03698909" w14:textId="292ACD29" w:rsidR="001F3C77" w:rsidRPr="007B5BE6" w:rsidRDefault="00016BD7" w:rsidP="00B32A77">
            <w:pPr>
              <w:jc w:val="left"/>
              <w:rPr>
                <w:sz w:val="20"/>
                <w:szCs w:val="20"/>
              </w:rPr>
            </w:pPr>
            <w:r w:rsidRPr="007B5BE6">
              <w:rPr>
                <w:sz w:val="20"/>
                <w:szCs w:val="20"/>
              </w:rPr>
              <w:t>Provisions c</w:t>
            </w:r>
            <w:r w:rsidR="001F3C77" w:rsidRPr="007B5BE6">
              <w:rPr>
                <w:sz w:val="20"/>
                <w:szCs w:val="20"/>
              </w:rPr>
              <w:t>over some circumstances involving abuse of older people</w:t>
            </w:r>
            <w:r w:rsidR="00D3284F" w:rsidRPr="007B5BE6">
              <w:rPr>
                <w:sz w:val="20"/>
                <w:szCs w:val="20"/>
              </w:rPr>
              <w:t>.</w:t>
            </w:r>
          </w:p>
          <w:p w14:paraId="1400AC73" w14:textId="74A2098D" w:rsidR="001F3C77" w:rsidRPr="007B5BE6" w:rsidRDefault="001F3C77" w:rsidP="00B32A77">
            <w:pPr>
              <w:jc w:val="left"/>
              <w:rPr>
                <w:sz w:val="20"/>
                <w:szCs w:val="20"/>
              </w:rPr>
            </w:pPr>
            <w:r w:rsidRPr="007B5BE6">
              <w:rPr>
                <w:sz w:val="20"/>
                <w:szCs w:val="20"/>
              </w:rPr>
              <w:t xml:space="preserve">Confined to </w:t>
            </w:r>
            <w:r w:rsidR="00203861" w:rsidRPr="007B5BE6">
              <w:rPr>
                <w:sz w:val="20"/>
                <w:szCs w:val="20"/>
              </w:rPr>
              <w:t xml:space="preserve">older </w:t>
            </w:r>
            <w:r w:rsidRPr="007B5BE6">
              <w:rPr>
                <w:sz w:val="20"/>
                <w:szCs w:val="20"/>
              </w:rPr>
              <w:t>people who are</w:t>
            </w:r>
            <w:r w:rsidR="00203861" w:rsidRPr="007B5BE6">
              <w:rPr>
                <w:sz w:val="20"/>
                <w:szCs w:val="20"/>
              </w:rPr>
              <w:t xml:space="preserve"> eligible to access voluntary assisted dying </w:t>
            </w:r>
            <w:r w:rsidR="00123716" w:rsidRPr="007B5BE6">
              <w:rPr>
                <w:sz w:val="20"/>
                <w:szCs w:val="20"/>
              </w:rPr>
              <w:t>under Part 3</w:t>
            </w:r>
            <w:r w:rsidR="00AD72E4" w:rsidRPr="007B5BE6">
              <w:rPr>
                <w:sz w:val="20"/>
                <w:szCs w:val="20"/>
              </w:rPr>
              <w:t xml:space="preserve"> of the Act</w:t>
            </w:r>
            <w:r w:rsidR="00D3284F" w:rsidRPr="007B5BE6">
              <w:rPr>
                <w:sz w:val="20"/>
                <w:szCs w:val="20"/>
              </w:rPr>
              <w:t>.</w:t>
            </w:r>
            <w:r w:rsidRPr="007B5BE6">
              <w:rPr>
                <w:sz w:val="20"/>
                <w:szCs w:val="20"/>
              </w:rPr>
              <w:t xml:space="preserve">   </w:t>
            </w:r>
          </w:p>
          <w:p w14:paraId="1DFA02EA" w14:textId="77777777" w:rsidR="001F3C77" w:rsidRPr="007B5BE6" w:rsidRDefault="001F3C77" w:rsidP="00B32A77">
            <w:pPr>
              <w:jc w:val="left"/>
              <w:rPr>
                <w:sz w:val="20"/>
                <w:szCs w:val="20"/>
              </w:rPr>
            </w:pPr>
          </w:p>
          <w:p w14:paraId="5FE2FE11" w14:textId="77777777" w:rsidR="003B0F65" w:rsidRPr="007B5BE6" w:rsidRDefault="003B0F65" w:rsidP="00B32A77">
            <w:pPr>
              <w:jc w:val="left"/>
              <w:rPr>
                <w:sz w:val="20"/>
                <w:szCs w:val="20"/>
              </w:rPr>
            </w:pPr>
          </w:p>
        </w:tc>
      </w:tr>
      <w:tr w:rsidR="007600CA" w:rsidRPr="007B5BE6" w14:paraId="221CC2D7" w14:textId="77777777" w:rsidTr="00A63771">
        <w:tc>
          <w:tcPr>
            <w:tcW w:w="1418" w:type="dxa"/>
          </w:tcPr>
          <w:p w14:paraId="1B88901C" w14:textId="77777777" w:rsidR="003B0F65" w:rsidRPr="007B5BE6" w:rsidRDefault="003B0F65" w:rsidP="00B32A77">
            <w:pPr>
              <w:jc w:val="left"/>
              <w:rPr>
                <w:sz w:val="20"/>
                <w:szCs w:val="20"/>
              </w:rPr>
            </w:pPr>
            <w:r w:rsidRPr="007B5BE6">
              <w:rPr>
                <w:sz w:val="20"/>
                <w:szCs w:val="20"/>
              </w:rPr>
              <w:t>Common law and equity</w:t>
            </w:r>
          </w:p>
        </w:tc>
        <w:tc>
          <w:tcPr>
            <w:tcW w:w="1559" w:type="dxa"/>
          </w:tcPr>
          <w:p w14:paraId="610D308D" w14:textId="77777777" w:rsidR="003B0F65" w:rsidRPr="007B5BE6" w:rsidRDefault="003B0F65" w:rsidP="00B32A77">
            <w:pPr>
              <w:jc w:val="left"/>
              <w:rPr>
                <w:sz w:val="20"/>
                <w:szCs w:val="20"/>
              </w:rPr>
            </w:pPr>
            <w:r w:rsidRPr="007B5BE6">
              <w:rPr>
                <w:sz w:val="20"/>
                <w:szCs w:val="20"/>
              </w:rPr>
              <w:t xml:space="preserve">Common law </w:t>
            </w:r>
          </w:p>
        </w:tc>
        <w:tc>
          <w:tcPr>
            <w:tcW w:w="2552" w:type="dxa"/>
          </w:tcPr>
          <w:p w14:paraId="520C7BC5" w14:textId="77777777" w:rsidR="003B0F65" w:rsidRPr="007B5BE6" w:rsidRDefault="003B0F65" w:rsidP="00B32A77">
            <w:pPr>
              <w:jc w:val="left"/>
              <w:rPr>
                <w:sz w:val="20"/>
                <w:szCs w:val="20"/>
              </w:rPr>
            </w:pPr>
            <w:r w:rsidRPr="007B5BE6">
              <w:rPr>
                <w:sz w:val="20"/>
                <w:szCs w:val="20"/>
              </w:rPr>
              <w:t>Provides civil causes of action under equitable principles in the common law, including:</w:t>
            </w:r>
          </w:p>
          <w:p w14:paraId="43F519A5" w14:textId="4A5B97CC" w:rsidR="003B0F65" w:rsidRPr="007B5BE6" w:rsidRDefault="00D3284F" w:rsidP="00B32A77">
            <w:pPr>
              <w:pStyle w:val="DotPointTLRI"/>
              <w:jc w:val="left"/>
              <w:rPr>
                <w:sz w:val="20"/>
                <w:szCs w:val="20"/>
              </w:rPr>
            </w:pPr>
            <w:r w:rsidRPr="007B5BE6">
              <w:rPr>
                <w:sz w:val="20"/>
                <w:szCs w:val="20"/>
              </w:rPr>
              <w:t>u</w:t>
            </w:r>
            <w:r w:rsidR="003B0F65" w:rsidRPr="007B5BE6">
              <w:rPr>
                <w:sz w:val="20"/>
                <w:szCs w:val="20"/>
              </w:rPr>
              <w:t>nconscionable conduct</w:t>
            </w:r>
            <w:r w:rsidRPr="007B5BE6">
              <w:rPr>
                <w:sz w:val="20"/>
                <w:szCs w:val="20"/>
              </w:rPr>
              <w:t>;</w:t>
            </w:r>
          </w:p>
          <w:p w14:paraId="2CE5AA0E" w14:textId="36DB5077" w:rsidR="003B0F65" w:rsidRPr="007B5BE6" w:rsidRDefault="00D3284F" w:rsidP="00B32A77">
            <w:pPr>
              <w:pStyle w:val="DotPointTLRI"/>
              <w:jc w:val="left"/>
            </w:pPr>
            <w:r w:rsidRPr="007B5BE6">
              <w:rPr>
                <w:sz w:val="20"/>
                <w:szCs w:val="20"/>
              </w:rPr>
              <w:t>u</w:t>
            </w:r>
            <w:r w:rsidR="003B0F65" w:rsidRPr="007B5BE6">
              <w:rPr>
                <w:sz w:val="20"/>
                <w:szCs w:val="20"/>
              </w:rPr>
              <w:t>ndue influence</w:t>
            </w:r>
            <w:r w:rsidRPr="007B5BE6">
              <w:rPr>
                <w:sz w:val="20"/>
                <w:szCs w:val="20"/>
              </w:rPr>
              <w:t>; and</w:t>
            </w:r>
          </w:p>
          <w:p w14:paraId="01B9B022" w14:textId="16AAB987" w:rsidR="003B0F65" w:rsidRPr="007B5BE6" w:rsidRDefault="00D3284F" w:rsidP="00B32A77">
            <w:pPr>
              <w:pStyle w:val="DotPointTLRI"/>
              <w:jc w:val="left"/>
            </w:pPr>
            <w:r w:rsidRPr="007B5BE6">
              <w:rPr>
                <w:sz w:val="20"/>
                <w:szCs w:val="20"/>
              </w:rPr>
              <w:t>b</w:t>
            </w:r>
            <w:r w:rsidR="003B0F65" w:rsidRPr="007B5BE6">
              <w:rPr>
                <w:sz w:val="20"/>
                <w:szCs w:val="20"/>
              </w:rPr>
              <w:t xml:space="preserve">reach of fiduciary duty </w:t>
            </w:r>
          </w:p>
          <w:p w14:paraId="4BA6C20C" w14:textId="7BEE03FD" w:rsidR="003B0F65" w:rsidRPr="007B5BE6" w:rsidRDefault="003B0F65" w:rsidP="00B32A77">
            <w:pPr>
              <w:jc w:val="left"/>
              <w:rPr>
                <w:sz w:val="20"/>
                <w:szCs w:val="20"/>
              </w:rPr>
            </w:pPr>
            <w:r w:rsidRPr="007B5BE6">
              <w:rPr>
                <w:sz w:val="20"/>
                <w:szCs w:val="20"/>
              </w:rPr>
              <w:t>Individual claim against a person that can result in initiation of civil proceedings in the Supreme Court of Tasmania to determine dispute</w:t>
            </w:r>
            <w:r w:rsidR="009D67B6" w:rsidRPr="007B5BE6">
              <w:rPr>
                <w:sz w:val="20"/>
                <w:szCs w:val="20"/>
              </w:rPr>
              <w:t>.</w:t>
            </w:r>
            <w:r w:rsidRPr="007B5BE6">
              <w:rPr>
                <w:sz w:val="20"/>
                <w:szCs w:val="20"/>
              </w:rPr>
              <w:t xml:space="preserve"> </w:t>
            </w:r>
          </w:p>
        </w:tc>
        <w:tc>
          <w:tcPr>
            <w:tcW w:w="3497" w:type="dxa"/>
          </w:tcPr>
          <w:p w14:paraId="576F1AF4" w14:textId="1ED131BE" w:rsidR="003B0F65" w:rsidRPr="007B5BE6" w:rsidRDefault="003B0F65" w:rsidP="00B32A77">
            <w:pPr>
              <w:jc w:val="left"/>
              <w:rPr>
                <w:sz w:val="20"/>
                <w:szCs w:val="20"/>
              </w:rPr>
            </w:pPr>
            <w:r w:rsidRPr="007B5BE6">
              <w:rPr>
                <w:sz w:val="20"/>
                <w:szCs w:val="20"/>
              </w:rPr>
              <w:t>Generic responses sourced in common law and equity</w:t>
            </w:r>
            <w:r w:rsidR="002B6DBA" w:rsidRPr="007B5BE6">
              <w:rPr>
                <w:sz w:val="20"/>
                <w:szCs w:val="20"/>
              </w:rPr>
              <w:t>.</w:t>
            </w:r>
          </w:p>
          <w:p w14:paraId="5C69F641" w14:textId="3FD054D1" w:rsidR="003B0F65" w:rsidRPr="007B5BE6" w:rsidRDefault="003B0F65" w:rsidP="00B32A77">
            <w:pPr>
              <w:jc w:val="left"/>
              <w:rPr>
                <w:sz w:val="20"/>
                <w:szCs w:val="20"/>
              </w:rPr>
            </w:pPr>
            <w:r w:rsidRPr="007B5BE6">
              <w:rPr>
                <w:sz w:val="20"/>
                <w:szCs w:val="20"/>
              </w:rPr>
              <w:t>Law based on legal assumptions that do not reflect contemporary nature of family relationships as contexts in which abuse of older person arise</w:t>
            </w:r>
            <w:r w:rsidR="009D67B6" w:rsidRPr="007B5BE6">
              <w:rPr>
                <w:sz w:val="20"/>
                <w:szCs w:val="20"/>
              </w:rPr>
              <w:t>s</w:t>
            </w:r>
            <w:r w:rsidR="002B6DBA" w:rsidRPr="007B5BE6">
              <w:rPr>
                <w:sz w:val="20"/>
                <w:szCs w:val="20"/>
              </w:rPr>
              <w:t>.</w:t>
            </w:r>
            <w:r w:rsidRPr="007B5BE6">
              <w:rPr>
                <w:sz w:val="20"/>
                <w:szCs w:val="20"/>
              </w:rPr>
              <w:t xml:space="preserve"> </w:t>
            </w:r>
          </w:p>
          <w:p w14:paraId="6818FFDD" w14:textId="3D4D0FEC" w:rsidR="003B0F65" w:rsidRPr="007B5BE6" w:rsidRDefault="003B0F65" w:rsidP="00B32A77">
            <w:pPr>
              <w:jc w:val="left"/>
              <w:rPr>
                <w:sz w:val="20"/>
                <w:szCs w:val="20"/>
              </w:rPr>
            </w:pPr>
            <w:r w:rsidRPr="007B5BE6">
              <w:rPr>
                <w:sz w:val="20"/>
                <w:szCs w:val="20"/>
              </w:rPr>
              <w:t xml:space="preserve">Enduring powers of attorney context </w:t>
            </w:r>
            <w:r w:rsidR="00235C55" w:rsidRPr="007B5BE6">
              <w:rPr>
                <w:sz w:val="20"/>
                <w:szCs w:val="20"/>
              </w:rPr>
              <w:t xml:space="preserve">may apply </w:t>
            </w:r>
            <w:r w:rsidRPr="007B5BE6">
              <w:rPr>
                <w:sz w:val="20"/>
                <w:szCs w:val="20"/>
              </w:rPr>
              <w:t>for some older people with impaired decision-making ability</w:t>
            </w:r>
            <w:r w:rsidR="00235C55" w:rsidRPr="007B5BE6">
              <w:rPr>
                <w:sz w:val="20"/>
                <w:szCs w:val="20"/>
              </w:rPr>
              <w:t>.</w:t>
            </w:r>
            <w:r w:rsidRPr="007B5BE6">
              <w:rPr>
                <w:sz w:val="20"/>
                <w:szCs w:val="20"/>
              </w:rPr>
              <w:t xml:space="preserve"> </w:t>
            </w:r>
          </w:p>
        </w:tc>
      </w:tr>
      <w:tr w:rsidR="007600CA" w:rsidRPr="007B5BE6" w14:paraId="319E6745" w14:textId="77777777" w:rsidTr="00A63771">
        <w:tc>
          <w:tcPr>
            <w:tcW w:w="1418" w:type="dxa"/>
          </w:tcPr>
          <w:p w14:paraId="446B67C1" w14:textId="77777777" w:rsidR="003B0F65" w:rsidRPr="007B5BE6" w:rsidRDefault="003B0F65" w:rsidP="00B32A77">
            <w:pPr>
              <w:jc w:val="left"/>
              <w:rPr>
                <w:sz w:val="20"/>
                <w:szCs w:val="20"/>
              </w:rPr>
            </w:pPr>
            <w:r w:rsidRPr="007B5BE6">
              <w:rPr>
                <w:sz w:val="20"/>
                <w:szCs w:val="20"/>
              </w:rPr>
              <w:lastRenderedPageBreak/>
              <w:t xml:space="preserve">Complaints about disability services </w:t>
            </w:r>
          </w:p>
        </w:tc>
        <w:tc>
          <w:tcPr>
            <w:tcW w:w="1559" w:type="dxa"/>
          </w:tcPr>
          <w:p w14:paraId="6778330C" w14:textId="77777777" w:rsidR="003B0F65" w:rsidRPr="007B5BE6" w:rsidRDefault="003B0F65" w:rsidP="00B32A77">
            <w:pPr>
              <w:jc w:val="left"/>
              <w:rPr>
                <w:sz w:val="20"/>
                <w:szCs w:val="20"/>
              </w:rPr>
            </w:pPr>
            <w:r w:rsidRPr="007B5BE6">
              <w:rPr>
                <w:i/>
                <w:iCs/>
                <w:sz w:val="20"/>
                <w:szCs w:val="20"/>
              </w:rPr>
              <w:t>Disability Rights, Inclusion</w:t>
            </w:r>
            <w:r w:rsidRPr="007B5BE6">
              <w:rPr>
                <w:i/>
                <w:sz w:val="20"/>
                <w:szCs w:val="20"/>
              </w:rPr>
              <w:t xml:space="preserve"> and </w:t>
            </w:r>
            <w:r w:rsidRPr="007B5BE6">
              <w:rPr>
                <w:i/>
                <w:iCs/>
                <w:sz w:val="20"/>
                <w:szCs w:val="20"/>
              </w:rPr>
              <w:t>Safeguarding Act 2024</w:t>
            </w:r>
            <w:r w:rsidRPr="007B5BE6">
              <w:rPr>
                <w:sz w:val="20"/>
                <w:szCs w:val="20"/>
              </w:rPr>
              <w:t xml:space="preserve"> (Tas)</w:t>
            </w:r>
          </w:p>
        </w:tc>
        <w:tc>
          <w:tcPr>
            <w:tcW w:w="2552" w:type="dxa"/>
          </w:tcPr>
          <w:p w14:paraId="094B4EB2" w14:textId="5B56BE65" w:rsidR="003B0F65" w:rsidRPr="007B5BE6" w:rsidRDefault="003B0F65" w:rsidP="00B32A77">
            <w:pPr>
              <w:jc w:val="left"/>
              <w:rPr>
                <w:sz w:val="20"/>
                <w:szCs w:val="20"/>
              </w:rPr>
            </w:pPr>
            <w:r w:rsidRPr="007B5BE6">
              <w:rPr>
                <w:sz w:val="20"/>
                <w:szCs w:val="20"/>
              </w:rPr>
              <w:t>Provides a complaint mechanism to the Disability Commissioner</w:t>
            </w:r>
            <w:r w:rsidR="00235C55" w:rsidRPr="007B5BE6">
              <w:rPr>
                <w:sz w:val="20"/>
                <w:szCs w:val="20"/>
              </w:rPr>
              <w:t>.</w:t>
            </w:r>
          </w:p>
          <w:p w14:paraId="2916B564" w14:textId="2E9C30C8" w:rsidR="003B0F65" w:rsidRPr="007B5BE6" w:rsidRDefault="003B0F65" w:rsidP="00B32A77">
            <w:pPr>
              <w:jc w:val="left"/>
              <w:rPr>
                <w:sz w:val="20"/>
                <w:szCs w:val="20"/>
              </w:rPr>
            </w:pPr>
            <w:r w:rsidRPr="007B5BE6">
              <w:rPr>
                <w:sz w:val="20"/>
                <w:szCs w:val="20"/>
              </w:rPr>
              <w:t xml:space="preserve">Powers of the Disability Commissioner include safeguarding mechanisms that address violence against, and the abuse, neglect, coercion and exploitation of people with disability, receiving reports and </w:t>
            </w:r>
            <w:proofErr w:type="gramStart"/>
            <w:r w:rsidRPr="007B5BE6">
              <w:rPr>
                <w:sz w:val="20"/>
                <w:szCs w:val="20"/>
              </w:rPr>
              <w:t>taking action</w:t>
            </w:r>
            <w:proofErr w:type="gramEnd"/>
            <w:r w:rsidRPr="007B5BE6">
              <w:rPr>
                <w:sz w:val="20"/>
                <w:szCs w:val="20"/>
              </w:rPr>
              <w:t xml:space="preserve"> in relation to allegations by referral or conducting investigations</w:t>
            </w:r>
            <w:r w:rsidR="00235C55" w:rsidRPr="007B5BE6">
              <w:rPr>
                <w:sz w:val="20"/>
                <w:szCs w:val="20"/>
              </w:rPr>
              <w:t>.</w:t>
            </w:r>
            <w:r w:rsidRPr="007B5BE6">
              <w:rPr>
                <w:sz w:val="20"/>
                <w:szCs w:val="20"/>
              </w:rPr>
              <w:t xml:space="preserve"> </w:t>
            </w:r>
          </w:p>
        </w:tc>
        <w:tc>
          <w:tcPr>
            <w:tcW w:w="3497" w:type="dxa"/>
          </w:tcPr>
          <w:p w14:paraId="6739960B" w14:textId="0AFA4C64" w:rsidR="003B0F65" w:rsidRPr="007B5BE6" w:rsidRDefault="003B0F65" w:rsidP="00B32A77">
            <w:pPr>
              <w:jc w:val="left"/>
              <w:rPr>
                <w:sz w:val="20"/>
                <w:szCs w:val="20"/>
              </w:rPr>
            </w:pPr>
            <w:r w:rsidRPr="007B5BE6">
              <w:rPr>
                <w:sz w:val="20"/>
                <w:szCs w:val="20"/>
              </w:rPr>
              <w:t>No specific considerations regarding older people</w:t>
            </w:r>
            <w:r w:rsidR="00235C55" w:rsidRPr="007B5BE6">
              <w:rPr>
                <w:sz w:val="20"/>
                <w:szCs w:val="20"/>
              </w:rPr>
              <w:t>.</w:t>
            </w:r>
          </w:p>
          <w:p w14:paraId="273E003C" w14:textId="762A4378" w:rsidR="003B0F65" w:rsidRPr="007B5BE6" w:rsidRDefault="003B0F65" w:rsidP="00B32A77">
            <w:pPr>
              <w:jc w:val="left"/>
              <w:rPr>
                <w:sz w:val="20"/>
                <w:szCs w:val="20"/>
              </w:rPr>
            </w:pPr>
            <w:r w:rsidRPr="007B5BE6">
              <w:rPr>
                <w:sz w:val="20"/>
                <w:szCs w:val="20"/>
              </w:rPr>
              <w:t>People with disability, which includes older people (no age limit)</w:t>
            </w:r>
            <w:r w:rsidR="00235C55" w:rsidRPr="007B5BE6">
              <w:rPr>
                <w:sz w:val="20"/>
                <w:szCs w:val="20"/>
              </w:rPr>
              <w:t>.</w:t>
            </w:r>
          </w:p>
          <w:p w14:paraId="109BC847" w14:textId="6ED91D1B" w:rsidR="003B0F65" w:rsidRPr="007B5BE6" w:rsidRDefault="003B0F65" w:rsidP="00B32A77">
            <w:pPr>
              <w:jc w:val="left"/>
              <w:rPr>
                <w:sz w:val="20"/>
                <w:szCs w:val="20"/>
              </w:rPr>
            </w:pPr>
            <w:r w:rsidRPr="007B5BE6">
              <w:rPr>
                <w:sz w:val="20"/>
                <w:szCs w:val="20"/>
              </w:rPr>
              <w:t>Complaints about disability services</w:t>
            </w:r>
            <w:r w:rsidR="00235C55" w:rsidRPr="007B5BE6">
              <w:rPr>
                <w:sz w:val="20"/>
                <w:szCs w:val="20"/>
              </w:rPr>
              <w:t>.</w:t>
            </w:r>
          </w:p>
          <w:p w14:paraId="435F1466" w14:textId="0C8FD7F3" w:rsidR="003B0F65" w:rsidRPr="007B5BE6" w:rsidRDefault="003B0F65" w:rsidP="00B32A77">
            <w:pPr>
              <w:jc w:val="left"/>
              <w:rPr>
                <w:sz w:val="20"/>
                <w:szCs w:val="20"/>
              </w:rPr>
            </w:pPr>
            <w:r w:rsidRPr="007B5BE6">
              <w:rPr>
                <w:sz w:val="20"/>
                <w:szCs w:val="20"/>
              </w:rPr>
              <w:t>Allegations of violence, and abuse, neglect, coercion and exploitation</w:t>
            </w:r>
            <w:r w:rsidR="008E49F4" w:rsidRPr="007B5BE6">
              <w:rPr>
                <w:sz w:val="20"/>
                <w:szCs w:val="20"/>
              </w:rPr>
              <w:t>.</w:t>
            </w:r>
          </w:p>
        </w:tc>
      </w:tr>
      <w:tr w:rsidR="007600CA" w:rsidRPr="007B5BE6" w14:paraId="43E82F6F" w14:textId="77777777" w:rsidTr="00A63771">
        <w:tc>
          <w:tcPr>
            <w:tcW w:w="1418" w:type="dxa"/>
          </w:tcPr>
          <w:p w14:paraId="24EC9038" w14:textId="77777777" w:rsidR="003B0F65" w:rsidRPr="007B5BE6" w:rsidRDefault="003B0F65" w:rsidP="00B32A77">
            <w:pPr>
              <w:jc w:val="left"/>
              <w:rPr>
                <w:sz w:val="20"/>
                <w:szCs w:val="20"/>
              </w:rPr>
            </w:pPr>
            <w:r w:rsidRPr="007B5BE6">
              <w:rPr>
                <w:sz w:val="20"/>
                <w:szCs w:val="20"/>
              </w:rPr>
              <w:t xml:space="preserve">Complaints about health services </w:t>
            </w:r>
          </w:p>
        </w:tc>
        <w:tc>
          <w:tcPr>
            <w:tcW w:w="1559" w:type="dxa"/>
          </w:tcPr>
          <w:p w14:paraId="22657921" w14:textId="77777777" w:rsidR="003B0F65" w:rsidRPr="007B5BE6" w:rsidRDefault="003B0F65" w:rsidP="00B32A77">
            <w:pPr>
              <w:jc w:val="left"/>
              <w:rPr>
                <w:sz w:val="20"/>
                <w:szCs w:val="20"/>
              </w:rPr>
            </w:pPr>
            <w:r w:rsidRPr="007B5BE6">
              <w:rPr>
                <w:i/>
                <w:iCs/>
                <w:sz w:val="20"/>
                <w:szCs w:val="20"/>
              </w:rPr>
              <w:t>Health Complaints Act 1995</w:t>
            </w:r>
            <w:r w:rsidRPr="007B5BE6">
              <w:rPr>
                <w:sz w:val="20"/>
                <w:szCs w:val="20"/>
              </w:rPr>
              <w:t xml:space="preserve"> (Tas)</w:t>
            </w:r>
          </w:p>
        </w:tc>
        <w:tc>
          <w:tcPr>
            <w:tcW w:w="2552" w:type="dxa"/>
          </w:tcPr>
          <w:p w14:paraId="29E4B717" w14:textId="145E6244" w:rsidR="003B0F65" w:rsidRPr="007B5BE6" w:rsidRDefault="00394654" w:rsidP="00B32A77">
            <w:pPr>
              <w:jc w:val="left"/>
              <w:rPr>
                <w:sz w:val="20"/>
                <w:szCs w:val="20"/>
              </w:rPr>
            </w:pPr>
            <w:r w:rsidRPr="007B5BE6">
              <w:rPr>
                <w:sz w:val="20"/>
                <w:szCs w:val="20"/>
              </w:rPr>
              <w:t xml:space="preserve">Provides a complaint mechanism to the </w:t>
            </w:r>
            <w:r w:rsidR="003B0F65" w:rsidRPr="007B5BE6">
              <w:rPr>
                <w:sz w:val="20"/>
                <w:szCs w:val="20"/>
              </w:rPr>
              <w:t>Health Services Commissioner</w:t>
            </w:r>
            <w:r w:rsidRPr="007B5BE6">
              <w:rPr>
                <w:sz w:val="20"/>
                <w:szCs w:val="20"/>
              </w:rPr>
              <w:t>.</w:t>
            </w:r>
          </w:p>
          <w:p w14:paraId="4650A780" w14:textId="3DB9AEFF" w:rsidR="003B0F65" w:rsidRPr="007B5BE6" w:rsidRDefault="003B0F65" w:rsidP="00B32A77">
            <w:pPr>
              <w:jc w:val="left"/>
              <w:rPr>
                <w:sz w:val="20"/>
                <w:szCs w:val="20"/>
              </w:rPr>
            </w:pPr>
            <w:r w:rsidRPr="007B5BE6">
              <w:rPr>
                <w:sz w:val="20"/>
                <w:szCs w:val="20"/>
              </w:rPr>
              <w:t xml:space="preserve">Powers of the Health Services Commissioner include receiving complaints about the provision of healthcare services and </w:t>
            </w:r>
            <w:proofErr w:type="gramStart"/>
            <w:r w:rsidRPr="007B5BE6">
              <w:rPr>
                <w:sz w:val="20"/>
                <w:szCs w:val="20"/>
              </w:rPr>
              <w:t>taking action</w:t>
            </w:r>
            <w:proofErr w:type="gramEnd"/>
            <w:r w:rsidRPr="007B5BE6">
              <w:rPr>
                <w:sz w:val="20"/>
                <w:szCs w:val="20"/>
              </w:rPr>
              <w:t xml:space="preserve"> by referral or investigation</w:t>
            </w:r>
            <w:r w:rsidR="00394654" w:rsidRPr="007B5BE6">
              <w:rPr>
                <w:sz w:val="20"/>
                <w:szCs w:val="20"/>
              </w:rPr>
              <w:t>.</w:t>
            </w:r>
            <w:r w:rsidRPr="007B5BE6">
              <w:rPr>
                <w:sz w:val="20"/>
                <w:szCs w:val="20"/>
              </w:rPr>
              <w:t xml:space="preserve"> </w:t>
            </w:r>
          </w:p>
        </w:tc>
        <w:tc>
          <w:tcPr>
            <w:tcW w:w="3497" w:type="dxa"/>
          </w:tcPr>
          <w:p w14:paraId="1F36B18B" w14:textId="110613BA" w:rsidR="003B0F65" w:rsidRPr="007B5BE6" w:rsidRDefault="003B0F65" w:rsidP="00B32A77">
            <w:pPr>
              <w:jc w:val="left"/>
              <w:rPr>
                <w:sz w:val="20"/>
                <w:szCs w:val="20"/>
              </w:rPr>
            </w:pPr>
            <w:r w:rsidRPr="007B5BE6">
              <w:rPr>
                <w:sz w:val="20"/>
                <w:szCs w:val="20"/>
              </w:rPr>
              <w:t>No specific considerations regarding older people</w:t>
            </w:r>
            <w:r w:rsidR="00394654" w:rsidRPr="007B5BE6">
              <w:rPr>
                <w:sz w:val="20"/>
                <w:szCs w:val="20"/>
              </w:rPr>
              <w:t>.</w:t>
            </w:r>
          </w:p>
          <w:p w14:paraId="1045E562" w14:textId="0BE4C90F" w:rsidR="003B0F65" w:rsidRPr="007B5BE6" w:rsidRDefault="003B0F65" w:rsidP="00B32A77">
            <w:pPr>
              <w:jc w:val="left"/>
              <w:rPr>
                <w:sz w:val="20"/>
                <w:szCs w:val="20"/>
              </w:rPr>
            </w:pPr>
            <w:r w:rsidRPr="007B5BE6">
              <w:rPr>
                <w:sz w:val="20"/>
                <w:szCs w:val="20"/>
              </w:rPr>
              <w:t>Any person accessing health services</w:t>
            </w:r>
            <w:r w:rsidR="00394654" w:rsidRPr="007B5BE6">
              <w:rPr>
                <w:sz w:val="20"/>
                <w:szCs w:val="20"/>
              </w:rPr>
              <w:t>.</w:t>
            </w:r>
            <w:r w:rsidRPr="007B5BE6">
              <w:rPr>
                <w:sz w:val="20"/>
                <w:szCs w:val="20"/>
              </w:rPr>
              <w:t xml:space="preserve"> </w:t>
            </w:r>
          </w:p>
          <w:p w14:paraId="647DA9CE" w14:textId="3B4CEA62" w:rsidR="003B0F65" w:rsidRPr="007B5BE6" w:rsidRDefault="003B0F65" w:rsidP="00B32A77">
            <w:pPr>
              <w:jc w:val="left"/>
              <w:rPr>
                <w:sz w:val="20"/>
                <w:szCs w:val="20"/>
              </w:rPr>
            </w:pPr>
            <w:r w:rsidRPr="007B5BE6">
              <w:rPr>
                <w:sz w:val="20"/>
                <w:szCs w:val="20"/>
              </w:rPr>
              <w:t>Complaints about health services</w:t>
            </w:r>
            <w:r w:rsidR="00394654" w:rsidRPr="007B5BE6">
              <w:rPr>
                <w:sz w:val="20"/>
                <w:szCs w:val="20"/>
              </w:rPr>
              <w:t>.</w:t>
            </w:r>
            <w:r w:rsidRPr="007B5BE6">
              <w:rPr>
                <w:sz w:val="20"/>
                <w:szCs w:val="20"/>
              </w:rPr>
              <w:t xml:space="preserve"> </w:t>
            </w:r>
          </w:p>
        </w:tc>
      </w:tr>
      <w:tr w:rsidR="007600CA" w:rsidRPr="007B5BE6" w14:paraId="1F441440" w14:textId="77777777" w:rsidTr="00A63771">
        <w:tc>
          <w:tcPr>
            <w:tcW w:w="1418" w:type="dxa"/>
          </w:tcPr>
          <w:p w14:paraId="3D7088DF" w14:textId="77777777" w:rsidR="003B0F65" w:rsidRPr="007B5BE6" w:rsidRDefault="003B0F65" w:rsidP="00B32A77">
            <w:pPr>
              <w:jc w:val="left"/>
              <w:rPr>
                <w:sz w:val="20"/>
                <w:szCs w:val="20"/>
              </w:rPr>
            </w:pPr>
            <w:r w:rsidRPr="007B5BE6">
              <w:rPr>
                <w:sz w:val="20"/>
                <w:szCs w:val="20"/>
              </w:rPr>
              <w:t xml:space="preserve">Complaints about discrimination </w:t>
            </w:r>
          </w:p>
        </w:tc>
        <w:tc>
          <w:tcPr>
            <w:tcW w:w="1559" w:type="dxa"/>
          </w:tcPr>
          <w:p w14:paraId="213F9ACC" w14:textId="77777777" w:rsidR="003B0F65" w:rsidRPr="007B5BE6" w:rsidRDefault="003B0F65" w:rsidP="00B32A77">
            <w:pPr>
              <w:jc w:val="left"/>
              <w:rPr>
                <w:sz w:val="20"/>
                <w:szCs w:val="20"/>
              </w:rPr>
            </w:pPr>
            <w:r w:rsidRPr="007B5BE6">
              <w:rPr>
                <w:i/>
                <w:iCs/>
                <w:sz w:val="20"/>
                <w:szCs w:val="20"/>
              </w:rPr>
              <w:t>Anti-Discrimination Act 1998</w:t>
            </w:r>
            <w:r w:rsidRPr="007B5BE6">
              <w:rPr>
                <w:sz w:val="20"/>
                <w:szCs w:val="20"/>
              </w:rPr>
              <w:t xml:space="preserve"> (Tas)</w:t>
            </w:r>
          </w:p>
        </w:tc>
        <w:tc>
          <w:tcPr>
            <w:tcW w:w="2552" w:type="dxa"/>
          </w:tcPr>
          <w:p w14:paraId="20223809" w14:textId="64BAF97E" w:rsidR="003B0F65" w:rsidRPr="007B5BE6" w:rsidRDefault="00394654" w:rsidP="00B32A77">
            <w:pPr>
              <w:jc w:val="left"/>
              <w:rPr>
                <w:sz w:val="20"/>
                <w:szCs w:val="20"/>
              </w:rPr>
            </w:pPr>
            <w:r w:rsidRPr="007B5BE6">
              <w:rPr>
                <w:sz w:val="20"/>
                <w:szCs w:val="20"/>
              </w:rPr>
              <w:t xml:space="preserve">Provides a complaint mechanism to the </w:t>
            </w:r>
            <w:r w:rsidR="00991EDF" w:rsidRPr="00991EDF">
              <w:rPr>
                <w:sz w:val="20"/>
                <w:szCs w:val="20"/>
              </w:rPr>
              <w:t>Anti-Discrimination</w:t>
            </w:r>
            <w:r w:rsidR="003B0F65" w:rsidRPr="007B5BE6">
              <w:rPr>
                <w:sz w:val="20"/>
                <w:szCs w:val="20"/>
              </w:rPr>
              <w:t xml:space="preserve"> Commissioner</w:t>
            </w:r>
            <w:r w:rsidRPr="007B5BE6">
              <w:rPr>
                <w:sz w:val="20"/>
                <w:szCs w:val="20"/>
              </w:rPr>
              <w:t>.</w:t>
            </w:r>
            <w:r w:rsidR="003B0F65" w:rsidRPr="007B5BE6">
              <w:rPr>
                <w:sz w:val="20"/>
                <w:szCs w:val="20"/>
              </w:rPr>
              <w:t xml:space="preserve"> </w:t>
            </w:r>
          </w:p>
          <w:p w14:paraId="5BCC8663" w14:textId="4B969F40" w:rsidR="003B0F65" w:rsidRPr="007B5BE6" w:rsidRDefault="003B0F65" w:rsidP="00B32A77">
            <w:pPr>
              <w:jc w:val="left"/>
              <w:rPr>
                <w:sz w:val="20"/>
                <w:szCs w:val="20"/>
              </w:rPr>
            </w:pPr>
            <w:r w:rsidRPr="007B5BE6">
              <w:rPr>
                <w:sz w:val="20"/>
                <w:szCs w:val="20"/>
              </w:rPr>
              <w:t xml:space="preserve">Powers of the </w:t>
            </w:r>
            <w:r w:rsidR="00991EDF" w:rsidRPr="00991EDF">
              <w:rPr>
                <w:sz w:val="20"/>
                <w:szCs w:val="20"/>
              </w:rPr>
              <w:t>Anti-Discrimination</w:t>
            </w:r>
            <w:r w:rsidRPr="007B5BE6">
              <w:rPr>
                <w:sz w:val="20"/>
                <w:szCs w:val="20"/>
              </w:rPr>
              <w:t xml:space="preserve"> Commissioner include receiving complaints about discrimination and investigating and resolving complaints</w:t>
            </w:r>
            <w:r w:rsidR="00394654" w:rsidRPr="007B5BE6">
              <w:rPr>
                <w:sz w:val="20"/>
                <w:szCs w:val="20"/>
              </w:rPr>
              <w:t>.</w:t>
            </w:r>
            <w:r w:rsidRPr="007B5BE6">
              <w:rPr>
                <w:sz w:val="20"/>
                <w:szCs w:val="20"/>
              </w:rPr>
              <w:t xml:space="preserve"> </w:t>
            </w:r>
          </w:p>
          <w:p w14:paraId="504C6AFE" w14:textId="77777777" w:rsidR="003B0F65" w:rsidRPr="007B5BE6" w:rsidRDefault="003B0F65" w:rsidP="00B32A77">
            <w:pPr>
              <w:jc w:val="left"/>
              <w:rPr>
                <w:sz w:val="20"/>
                <w:szCs w:val="20"/>
              </w:rPr>
            </w:pPr>
          </w:p>
        </w:tc>
        <w:tc>
          <w:tcPr>
            <w:tcW w:w="3497" w:type="dxa"/>
          </w:tcPr>
          <w:p w14:paraId="1EB162C0" w14:textId="1D8F3DD7" w:rsidR="003B0F65" w:rsidRPr="007B5BE6" w:rsidRDefault="003B0F65" w:rsidP="00B32A77">
            <w:pPr>
              <w:jc w:val="left"/>
              <w:rPr>
                <w:sz w:val="20"/>
                <w:szCs w:val="20"/>
              </w:rPr>
            </w:pPr>
            <w:r w:rsidRPr="007B5BE6">
              <w:rPr>
                <w:sz w:val="20"/>
                <w:szCs w:val="20"/>
              </w:rPr>
              <w:t>No specific considerations regarding older people</w:t>
            </w:r>
            <w:r w:rsidR="00394654" w:rsidRPr="007B5BE6">
              <w:rPr>
                <w:sz w:val="20"/>
                <w:szCs w:val="20"/>
              </w:rPr>
              <w:t>.</w:t>
            </w:r>
          </w:p>
          <w:p w14:paraId="16261660" w14:textId="070E1CA2" w:rsidR="003B0F65" w:rsidRPr="007B5BE6" w:rsidRDefault="003B0F65" w:rsidP="00B32A77">
            <w:pPr>
              <w:jc w:val="left"/>
              <w:rPr>
                <w:sz w:val="20"/>
                <w:szCs w:val="20"/>
              </w:rPr>
            </w:pPr>
            <w:r w:rsidRPr="007B5BE6">
              <w:rPr>
                <w:sz w:val="20"/>
                <w:szCs w:val="20"/>
              </w:rPr>
              <w:t>Any person</w:t>
            </w:r>
            <w:r w:rsidR="00394654" w:rsidRPr="007B5BE6">
              <w:rPr>
                <w:sz w:val="20"/>
                <w:szCs w:val="20"/>
              </w:rPr>
              <w:t>.</w:t>
            </w:r>
            <w:r w:rsidRPr="007B5BE6">
              <w:rPr>
                <w:sz w:val="20"/>
                <w:szCs w:val="20"/>
              </w:rPr>
              <w:t xml:space="preserve"> </w:t>
            </w:r>
          </w:p>
          <w:p w14:paraId="4E35244F" w14:textId="055C4917" w:rsidR="003B0F65" w:rsidRPr="007B5BE6" w:rsidRDefault="003B0F65" w:rsidP="00B32A77">
            <w:pPr>
              <w:jc w:val="left"/>
              <w:rPr>
                <w:sz w:val="20"/>
                <w:szCs w:val="20"/>
              </w:rPr>
            </w:pPr>
            <w:r w:rsidRPr="007B5BE6">
              <w:rPr>
                <w:sz w:val="20"/>
                <w:szCs w:val="20"/>
              </w:rPr>
              <w:t>Discrimination or prohibited conduct based on specified attributes (including age</w:t>
            </w:r>
            <w:r w:rsidR="00394654" w:rsidRPr="007B5BE6">
              <w:rPr>
                <w:sz w:val="20"/>
                <w:szCs w:val="20"/>
              </w:rPr>
              <w:t xml:space="preserve">)—limited </w:t>
            </w:r>
            <w:r w:rsidRPr="007B5BE6">
              <w:rPr>
                <w:sz w:val="20"/>
                <w:szCs w:val="20"/>
              </w:rPr>
              <w:t>to specific areas of activity (not in family of personal contexts)</w:t>
            </w:r>
            <w:r w:rsidR="00394654" w:rsidRPr="007B5BE6">
              <w:rPr>
                <w:sz w:val="20"/>
                <w:szCs w:val="20"/>
              </w:rPr>
              <w:t>.</w:t>
            </w:r>
          </w:p>
          <w:p w14:paraId="67BED6D2" w14:textId="4BB32F4E" w:rsidR="003B0F65" w:rsidRPr="007B5BE6" w:rsidRDefault="003B0F65" w:rsidP="00B32A77">
            <w:pPr>
              <w:jc w:val="left"/>
              <w:rPr>
                <w:sz w:val="20"/>
                <w:szCs w:val="20"/>
              </w:rPr>
            </w:pPr>
            <w:r w:rsidRPr="007B5BE6">
              <w:rPr>
                <w:sz w:val="20"/>
                <w:szCs w:val="20"/>
              </w:rPr>
              <w:t>Sexual harassment</w:t>
            </w:r>
            <w:r w:rsidR="00394654" w:rsidRPr="007B5BE6">
              <w:rPr>
                <w:sz w:val="20"/>
                <w:szCs w:val="20"/>
              </w:rPr>
              <w:t>.</w:t>
            </w:r>
            <w:r w:rsidRPr="007B5BE6">
              <w:rPr>
                <w:sz w:val="20"/>
                <w:szCs w:val="20"/>
              </w:rPr>
              <w:t xml:space="preserve"> </w:t>
            </w:r>
          </w:p>
        </w:tc>
      </w:tr>
    </w:tbl>
    <w:p w14:paraId="11C9AC8D" w14:textId="77777777" w:rsidR="003B0F65" w:rsidRPr="007B5BE6" w:rsidRDefault="003B0F65" w:rsidP="003B0F65"/>
    <w:p w14:paraId="73EC2949" w14:textId="77777777" w:rsidR="00361B10" w:rsidRPr="007B5BE6" w:rsidRDefault="00361B10">
      <w:pPr>
        <w:spacing w:after="200" w:line="276" w:lineRule="auto"/>
        <w:jc w:val="left"/>
        <w:rPr>
          <w:b/>
          <w:bCs/>
          <w:sz w:val="32"/>
          <w:szCs w:val="36"/>
        </w:rPr>
      </w:pPr>
      <w:r w:rsidRPr="007B5BE6">
        <w:br w:type="page"/>
      </w:r>
    </w:p>
    <w:p w14:paraId="00ED53C6" w14:textId="5BF57DE9" w:rsidR="003B0F65" w:rsidRPr="007B5BE6" w:rsidRDefault="003B0F65" w:rsidP="009E2BFD">
      <w:pPr>
        <w:pStyle w:val="Headingunnumbered"/>
        <w:spacing w:before="360"/>
      </w:pPr>
      <w:bookmarkStart w:id="49" w:name="_Toc212561744"/>
      <w:r w:rsidRPr="007B5BE6">
        <w:lastRenderedPageBreak/>
        <w:t>Criminal law</w:t>
      </w:r>
      <w:bookmarkEnd w:id="49"/>
    </w:p>
    <w:p w14:paraId="2BB38F66" w14:textId="627393A7" w:rsidR="003B0F65" w:rsidRPr="007B5BE6" w:rsidRDefault="007048AE" w:rsidP="003B0F65">
      <w:pPr>
        <w:pStyle w:val="NormalNumberedTextTLRI"/>
      </w:pPr>
      <w:r w:rsidRPr="007B5BE6">
        <w:rPr>
          <w:szCs w:val="22"/>
        </w:rPr>
        <w:t xml:space="preserve">The </w:t>
      </w:r>
      <w:r w:rsidRPr="007B5BE6">
        <w:rPr>
          <w:b/>
          <w:bCs/>
          <w:szCs w:val="22"/>
        </w:rPr>
        <w:t>c</w:t>
      </w:r>
      <w:r w:rsidR="003B0F65" w:rsidRPr="007B5BE6">
        <w:rPr>
          <w:b/>
          <w:bCs/>
          <w:szCs w:val="22"/>
        </w:rPr>
        <w:t xml:space="preserve">riminal </w:t>
      </w:r>
      <w:r w:rsidRPr="007B5BE6">
        <w:rPr>
          <w:b/>
          <w:bCs/>
          <w:szCs w:val="22"/>
        </w:rPr>
        <w:t>law</w:t>
      </w:r>
      <w:r w:rsidR="003B0F65" w:rsidRPr="007B5BE6">
        <w:rPr>
          <w:szCs w:val="22"/>
        </w:rPr>
        <w:t xml:space="preserve"> provide</w:t>
      </w:r>
      <w:r w:rsidRPr="007B5BE6">
        <w:rPr>
          <w:szCs w:val="22"/>
        </w:rPr>
        <w:t>s</w:t>
      </w:r>
      <w:r w:rsidR="003B0F65" w:rsidRPr="007B5BE6">
        <w:rPr>
          <w:szCs w:val="22"/>
        </w:rPr>
        <w:t xml:space="preserve"> an important response mechanism by providing Tasmania Police with power</w:t>
      </w:r>
      <w:r w:rsidR="003B3E6D" w:rsidRPr="007B5BE6">
        <w:rPr>
          <w:szCs w:val="22"/>
        </w:rPr>
        <w:t>s</w:t>
      </w:r>
      <w:r w:rsidR="003B0F65" w:rsidRPr="007B5BE6">
        <w:rPr>
          <w:szCs w:val="22"/>
        </w:rPr>
        <w:t xml:space="preserve"> to respond to </w:t>
      </w:r>
      <w:r w:rsidR="004B3E31" w:rsidRPr="007B5BE6">
        <w:rPr>
          <w:szCs w:val="22"/>
        </w:rPr>
        <w:t xml:space="preserve">certain </w:t>
      </w:r>
      <w:r w:rsidR="003B0F65" w:rsidRPr="007B5BE6">
        <w:rPr>
          <w:szCs w:val="22"/>
        </w:rPr>
        <w:t xml:space="preserve">forms of abusive behaviour </w:t>
      </w:r>
      <w:r w:rsidR="00D03180" w:rsidRPr="007B5BE6">
        <w:rPr>
          <w:szCs w:val="22"/>
        </w:rPr>
        <w:t xml:space="preserve">that are </w:t>
      </w:r>
      <w:r w:rsidR="003B0F65" w:rsidRPr="007B5BE6">
        <w:rPr>
          <w:szCs w:val="22"/>
        </w:rPr>
        <w:t>experienced by older Tasmanians</w:t>
      </w:r>
      <w:r w:rsidR="007E002D" w:rsidRPr="007B5BE6">
        <w:rPr>
          <w:szCs w:val="22"/>
        </w:rPr>
        <w:t>, where the behaviour</w:t>
      </w:r>
      <w:r w:rsidR="000273C6" w:rsidRPr="007B5BE6">
        <w:rPr>
          <w:szCs w:val="22"/>
        </w:rPr>
        <w:t xml:space="preserve"> in question</w:t>
      </w:r>
      <w:r w:rsidR="007E002D" w:rsidRPr="007B5BE6">
        <w:rPr>
          <w:szCs w:val="22"/>
        </w:rPr>
        <w:t xml:space="preserve"> </w:t>
      </w:r>
      <w:r w:rsidR="000273C6" w:rsidRPr="007B5BE6">
        <w:rPr>
          <w:szCs w:val="22"/>
        </w:rPr>
        <w:t xml:space="preserve">comes within an offence under the criminal law. </w:t>
      </w:r>
      <w:r w:rsidR="007E002D" w:rsidRPr="007B5BE6">
        <w:rPr>
          <w:szCs w:val="22"/>
        </w:rPr>
        <w:t xml:space="preserve">If so, this </w:t>
      </w:r>
      <w:r w:rsidR="003B0F65" w:rsidRPr="007B5BE6">
        <w:rPr>
          <w:szCs w:val="22"/>
        </w:rPr>
        <w:t xml:space="preserve">can result in a person being arrested </w:t>
      </w:r>
      <w:r w:rsidR="00F7151F" w:rsidRPr="007B5BE6">
        <w:rPr>
          <w:szCs w:val="22"/>
        </w:rPr>
        <w:t xml:space="preserve">by police </w:t>
      </w:r>
      <w:r w:rsidR="003B0F65" w:rsidRPr="007B5BE6">
        <w:rPr>
          <w:szCs w:val="22"/>
        </w:rPr>
        <w:t>and ultimately being charged with</w:t>
      </w:r>
      <w:r w:rsidR="007E002D" w:rsidRPr="007B5BE6">
        <w:rPr>
          <w:szCs w:val="22"/>
        </w:rPr>
        <w:t>, and prosecuted for,</w:t>
      </w:r>
      <w:r w:rsidR="003B0F65" w:rsidRPr="007B5BE6">
        <w:rPr>
          <w:szCs w:val="22"/>
        </w:rPr>
        <w:t xml:space="preserve"> a criminal offence. </w:t>
      </w:r>
      <w:r w:rsidR="003B0F65" w:rsidRPr="007B5BE6">
        <w:t>However, there is little specialisation or considerations regarding older people and the contexts in which they experience abuse.</w:t>
      </w:r>
      <w:r w:rsidR="003B2418" w:rsidRPr="007B5BE6">
        <w:t xml:space="preserve"> </w:t>
      </w:r>
      <w:r w:rsidR="00542CE4" w:rsidRPr="007B5BE6">
        <w:t>No offences specifically refer to criminal behaviour that is committed against an older person (</w:t>
      </w:r>
      <w:r w:rsidR="003B2418" w:rsidRPr="007B5BE6">
        <w:t xml:space="preserve">that is, </w:t>
      </w:r>
      <w:r w:rsidR="00542CE4" w:rsidRPr="007B5BE6">
        <w:t xml:space="preserve">a person over the age of 65 years or over the age of 50 </w:t>
      </w:r>
      <w:r w:rsidR="003B2418" w:rsidRPr="007B5BE6">
        <w:t xml:space="preserve">years </w:t>
      </w:r>
      <w:r w:rsidR="00542CE4" w:rsidRPr="007B5BE6">
        <w:t>for Aboriginal people)</w:t>
      </w:r>
      <w:r w:rsidR="00BE47BA" w:rsidRPr="007B5BE6">
        <w:t>, n</w:t>
      </w:r>
      <w:r w:rsidR="00542CE4" w:rsidRPr="007B5BE6">
        <w:t xml:space="preserve">or </w:t>
      </w:r>
      <w:r w:rsidR="00BE47BA" w:rsidRPr="007B5BE6">
        <w:t xml:space="preserve">do they </w:t>
      </w:r>
      <w:r w:rsidR="00542CE4" w:rsidRPr="007B5BE6">
        <w:t>otherwise directly target circumstances in which older Tasmanians may be abused</w:t>
      </w:r>
      <w:r w:rsidR="00BE47BA" w:rsidRPr="007B5BE6">
        <w:t>,</w:t>
      </w:r>
      <w:r w:rsidR="00542CE4" w:rsidRPr="007B5BE6">
        <w:t xml:space="preserve"> or treat the older age of </w:t>
      </w:r>
      <w:r w:rsidR="009C4A99" w:rsidRPr="007B5BE6">
        <w:t>a</w:t>
      </w:r>
      <w:r w:rsidR="00542CE4" w:rsidRPr="007B5BE6">
        <w:t xml:space="preserve"> victim as a circumstance of aggravation.</w:t>
      </w:r>
    </w:p>
    <w:p w14:paraId="229105F0" w14:textId="1FBD7988" w:rsidR="003B0F65" w:rsidRPr="007B5BE6" w:rsidRDefault="0073431D" w:rsidP="003B0F65">
      <w:pPr>
        <w:pStyle w:val="NormalNumberedTextTLRI"/>
      </w:pPr>
      <w:r w:rsidRPr="007B5BE6">
        <w:rPr>
          <w:szCs w:val="22"/>
        </w:rPr>
        <w:t>Criminal o</w:t>
      </w:r>
      <w:r w:rsidR="003B0F65" w:rsidRPr="007B5BE6">
        <w:rPr>
          <w:szCs w:val="22"/>
        </w:rPr>
        <w:t>ffences are set out in various Acts</w:t>
      </w:r>
      <w:r w:rsidR="00855DF0" w:rsidRPr="007B5BE6">
        <w:rPr>
          <w:szCs w:val="22"/>
        </w:rPr>
        <w:t xml:space="preserve">. This includes </w:t>
      </w:r>
      <w:r w:rsidR="003B0F65" w:rsidRPr="007B5BE6">
        <w:rPr>
          <w:szCs w:val="22"/>
        </w:rPr>
        <w:t xml:space="preserve">the </w:t>
      </w:r>
      <w:r w:rsidR="003B0F65" w:rsidRPr="007B5BE6">
        <w:rPr>
          <w:i/>
          <w:iCs/>
          <w:szCs w:val="22"/>
        </w:rPr>
        <w:t>Police Offences Act 1935</w:t>
      </w:r>
      <w:r w:rsidR="003B0F65" w:rsidRPr="007B5BE6">
        <w:rPr>
          <w:szCs w:val="22"/>
        </w:rPr>
        <w:t xml:space="preserve"> (Tas) and </w:t>
      </w:r>
      <w:r w:rsidR="003B0F65" w:rsidRPr="007B5BE6">
        <w:rPr>
          <w:i/>
          <w:iCs/>
          <w:szCs w:val="22"/>
        </w:rPr>
        <w:t>Criminal Code Act 1924</w:t>
      </w:r>
      <w:r w:rsidR="003B0F65" w:rsidRPr="007B5BE6">
        <w:rPr>
          <w:szCs w:val="22"/>
        </w:rPr>
        <w:t xml:space="preserve"> (Tas)</w:t>
      </w:r>
      <w:r w:rsidR="00855DF0" w:rsidRPr="007B5BE6">
        <w:rPr>
          <w:szCs w:val="22"/>
        </w:rPr>
        <w:t xml:space="preserve">, as well as other </w:t>
      </w:r>
      <w:r w:rsidR="003B0F65" w:rsidRPr="007B5BE6">
        <w:rPr>
          <w:szCs w:val="22"/>
        </w:rPr>
        <w:t>legislation that appl</w:t>
      </w:r>
      <w:r w:rsidR="00855DF0" w:rsidRPr="007B5BE6">
        <w:rPr>
          <w:szCs w:val="22"/>
        </w:rPr>
        <w:t xml:space="preserve">ies in specific </w:t>
      </w:r>
      <w:r w:rsidR="003B0F65" w:rsidRPr="007B5BE6">
        <w:rPr>
          <w:szCs w:val="22"/>
        </w:rPr>
        <w:t>circumstance</w:t>
      </w:r>
      <w:r w:rsidR="00636BF8" w:rsidRPr="007B5BE6">
        <w:rPr>
          <w:szCs w:val="22"/>
        </w:rPr>
        <w:t xml:space="preserve">s—for example </w:t>
      </w:r>
      <w:r w:rsidR="003B0F65" w:rsidRPr="007B5BE6">
        <w:rPr>
          <w:szCs w:val="22"/>
        </w:rPr>
        <w:t xml:space="preserve">where abuse of an older person meets the definition of family violence, or when an older person has impaired decision-making ability and </w:t>
      </w:r>
      <w:r w:rsidR="001C58A3" w:rsidRPr="007B5BE6">
        <w:rPr>
          <w:szCs w:val="22"/>
        </w:rPr>
        <w:t>is</w:t>
      </w:r>
      <w:r w:rsidR="003B0F65" w:rsidRPr="007B5BE6">
        <w:rPr>
          <w:szCs w:val="22"/>
        </w:rPr>
        <w:t xml:space="preserve"> subject to safeguards under legal arrangements for decision</w:t>
      </w:r>
      <w:r w:rsidR="00877588" w:rsidRPr="007B5BE6">
        <w:rPr>
          <w:szCs w:val="22"/>
        </w:rPr>
        <w:t xml:space="preserve"> </w:t>
      </w:r>
      <w:r w:rsidR="003B0F65" w:rsidRPr="007B5BE6">
        <w:rPr>
          <w:szCs w:val="22"/>
        </w:rPr>
        <w:t>making.</w:t>
      </w:r>
      <w:r w:rsidR="0065582D" w:rsidRPr="007B5BE6">
        <w:rPr>
          <w:rStyle w:val="FootnoteReference"/>
          <w:szCs w:val="22"/>
        </w:rPr>
        <w:footnoteReference w:id="242"/>
      </w:r>
      <w:r w:rsidR="0020243C" w:rsidRPr="007B5BE6">
        <w:rPr>
          <w:rFonts w:eastAsia="Aptos"/>
          <w:szCs w:val="24"/>
        </w:rPr>
        <w:t xml:space="preserve"> Particularly relevant are </w:t>
      </w:r>
      <w:r w:rsidR="00F93C3A" w:rsidRPr="007B5BE6">
        <w:rPr>
          <w:rFonts w:eastAsia="Aptos"/>
          <w:szCs w:val="24"/>
        </w:rPr>
        <w:t>sections 144, 152 and 177 of t</w:t>
      </w:r>
      <w:r w:rsidR="0020243C" w:rsidRPr="007B5BE6">
        <w:rPr>
          <w:rFonts w:eastAsia="Aptos"/>
          <w:szCs w:val="24"/>
        </w:rPr>
        <w:t xml:space="preserve">he </w:t>
      </w:r>
      <w:r w:rsidR="0020243C" w:rsidRPr="007B5BE6">
        <w:rPr>
          <w:rFonts w:eastAsia="Aptos"/>
          <w:i/>
          <w:iCs/>
          <w:szCs w:val="24"/>
        </w:rPr>
        <w:t>Criminal Code</w:t>
      </w:r>
      <w:r w:rsidR="0020243C" w:rsidRPr="007B5BE6">
        <w:rPr>
          <w:rFonts w:eastAsia="Aptos"/>
          <w:szCs w:val="24"/>
        </w:rPr>
        <w:t xml:space="preserve"> </w:t>
      </w:r>
      <w:r w:rsidR="001C58A3" w:rsidRPr="007B5BE6">
        <w:rPr>
          <w:i/>
          <w:iCs/>
          <w:szCs w:val="22"/>
        </w:rPr>
        <w:t>Act 1924</w:t>
      </w:r>
      <w:r w:rsidR="001C58A3" w:rsidRPr="007B5BE6">
        <w:rPr>
          <w:szCs w:val="22"/>
        </w:rPr>
        <w:t xml:space="preserve"> (Tas)</w:t>
      </w:r>
      <w:r w:rsidR="0020243C" w:rsidRPr="007B5BE6">
        <w:rPr>
          <w:rFonts w:eastAsia="Aptos"/>
          <w:szCs w:val="24"/>
        </w:rPr>
        <w:t xml:space="preserve"> </w:t>
      </w:r>
      <w:r w:rsidR="00427DD4" w:rsidRPr="007B5BE6">
        <w:rPr>
          <w:rFonts w:eastAsia="Aptos"/>
          <w:szCs w:val="24"/>
        </w:rPr>
        <w:t xml:space="preserve">that impose a </w:t>
      </w:r>
      <w:r w:rsidR="0020243C" w:rsidRPr="007B5BE6">
        <w:rPr>
          <w:rFonts w:eastAsia="Aptos"/>
          <w:szCs w:val="24"/>
        </w:rPr>
        <w:t>duty to provide the necessaries of life where a person has charge of another who is unable ‘by reason of age, sickness, unsoundness of mind, detention or any other cause to withdraw from such charge’</w:t>
      </w:r>
      <w:r w:rsidR="000E5414" w:rsidRPr="007B5BE6">
        <w:rPr>
          <w:rFonts w:eastAsia="Aptos"/>
          <w:szCs w:val="24"/>
        </w:rPr>
        <w:t>,</w:t>
      </w:r>
      <w:r w:rsidR="0020243C" w:rsidRPr="007B5BE6">
        <w:rPr>
          <w:rFonts w:eastAsia="Aptos"/>
          <w:szCs w:val="24"/>
        </w:rPr>
        <w:t xml:space="preserve"> and </w:t>
      </w:r>
      <w:r w:rsidR="000E5414" w:rsidRPr="007B5BE6">
        <w:rPr>
          <w:rFonts w:eastAsia="Aptos"/>
          <w:szCs w:val="24"/>
        </w:rPr>
        <w:t>make it</w:t>
      </w:r>
      <w:r w:rsidR="0020243C" w:rsidRPr="007B5BE6">
        <w:rPr>
          <w:rFonts w:eastAsia="Aptos"/>
          <w:szCs w:val="24"/>
        </w:rPr>
        <w:t xml:space="preserve"> an offence to fail to do so.</w:t>
      </w:r>
      <w:r w:rsidR="0065582D" w:rsidRPr="007B5BE6">
        <w:rPr>
          <w:rStyle w:val="FootnoteReference"/>
          <w:rFonts w:eastAsia="Aptos"/>
          <w:szCs w:val="24"/>
        </w:rPr>
        <w:footnoteReference w:id="243"/>
      </w:r>
      <w:r w:rsidR="0020243C" w:rsidRPr="007B5BE6">
        <w:rPr>
          <w:rFonts w:eastAsia="Aptos"/>
          <w:szCs w:val="24"/>
        </w:rPr>
        <w:t xml:space="preserve">  </w:t>
      </w:r>
      <w:r w:rsidR="00F93C3A" w:rsidRPr="007B5BE6">
        <w:rPr>
          <w:rFonts w:eastAsia="Aptos"/>
          <w:szCs w:val="24"/>
        </w:rPr>
        <w:t>Further, u</w:t>
      </w:r>
      <w:r w:rsidR="0020243C" w:rsidRPr="007B5BE6">
        <w:rPr>
          <w:rFonts w:eastAsia="Aptos"/>
          <w:szCs w:val="24"/>
        </w:rPr>
        <w:t>nder s</w:t>
      </w:r>
      <w:r w:rsidR="000E5414" w:rsidRPr="007B5BE6">
        <w:rPr>
          <w:rFonts w:eastAsia="Aptos"/>
          <w:szCs w:val="24"/>
        </w:rPr>
        <w:t>ection</w:t>
      </w:r>
      <w:r w:rsidR="0020243C" w:rsidRPr="007B5BE6">
        <w:rPr>
          <w:rFonts w:eastAsia="Aptos"/>
          <w:szCs w:val="24"/>
        </w:rPr>
        <w:t xml:space="preserve"> 178 it is an offence for any person over the age of 14 years who has the custody, care, or control of a child under the age of 14 years to wilfully ill-treat, neglect, abandon, or expose such child, or cause such child to be ill-treated, neglected, abandoned, or exposed ‘in a manner likely to cause such child unnecessary suffering or injury to health’.</w:t>
      </w:r>
      <w:r w:rsidR="0065582D" w:rsidRPr="007B5BE6">
        <w:rPr>
          <w:rStyle w:val="FootnoteReference"/>
          <w:rFonts w:eastAsia="Aptos"/>
          <w:szCs w:val="24"/>
        </w:rPr>
        <w:footnoteReference w:id="244"/>
      </w:r>
      <w:r w:rsidR="0020243C" w:rsidRPr="007B5BE6">
        <w:rPr>
          <w:rFonts w:eastAsia="Aptos"/>
          <w:szCs w:val="24"/>
        </w:rPr>
        <w:t xml:space="preserve"> </w:t>
      </w:r>
      <w:r w:rsidR="00697EDC" w:rsidRPr="007B5BE6">
        <w:rPr>
          <w:rFonts w:eastAsia="Aptos"/>
          <w:szCs w:val="24"/>
        </w:rPr>
        <w:t>There are also offences of theft and fraud</w:t>
      </w:r>
      <w:r w:rsidR="00E6231D" w:rsidRPr="007B5BE6">
        <w:rPr>
          <w:rFonts w:eastAsia="Aptos"/>
          <w:szCs w:val="24"/>
        </w:rPr>
        <w:t xml:space="preserve"> under the </w:t>
      </w:r>
      <w:r w:rsidR="00E6231D" w:rsidRPr="007B5BE6">
        <w:rPr>
          <w:rFonts w:eastAsia="Aptos"/>
          <w:i/>
          <w:iCs/>
          <w:szCs w:val="24"/>
        </w:rPr>
        <w:t>Criminal Code</w:t>
      </w:r>
      <w:r w:rsidR="00E6231D" w:rsidRPr="007B5BE6">
        <w:rPr>
          <w:rFonts w:eastAsia="Aptos"/>
          <w:szCs w:val="24"/>
        </w:rPr>
        <w:t xml:space="preserve"> </w:t>
      </w:r>
      <w:r w:rsidR="00E6231D" w:rsidRPr="007B5BE6">
        <w:rPr>
          <w:i/>
          <w:iCs/>
          <w:szCs w:val="22"/>
        </w:rPr>
        <w:t>Act 1924</w:t>
      </w:r>
      <w:r w:rsidR="00E6231D" w:rsidRPr="007B5BE6">
        <w:rPr>
          <w:szCs w:val="22"/>
        </w:rPr>
        <w:t xml:space="preserve"> (Tas)</w:t>
      </w:r>
      <w:r w:rsidR="00697EDC" w:rsidRPr="007B5BE6">
        <w:rPr>
          <w:rFonts w:eastAsia="Aptos"/>
          <w:szCs w:val="24"/>
        </w:rPr>
        <w:t xml:space="preserve">. </w:t>
      </w:r>
      <w:r w:rsidR="004E172C" w:rsidRPr="007B5BE6">
        <w:rPr>
          <w:rFonts w:eastAsia="Aptos"/>
          <w:szCs w:val="24"/>
        </w:rPr>
        <w:t>In relation to financial abuse, t</w:t>
      </w:r>
      <w:r w:rsidR="00E87556" w:rsidRPr="007B5BE6">
        <w:rPr>
          <w:rFonts w:eastAsia="Aptos"/>
          <w:szCs w:val="24"/>
        </w:rPr>
        <w:t>here are</w:t>
      </w:r>
      <w:r w:rsidR="008500D1" w:rsidRPr="007B5BE6">
        <w:rPr>
          <w:rFonts w:eastAsia="Aptos"/>
          <w:szCs w:val="24"/>
        </w:rPr>
        <w:t xml:space="preserve"> also</w:t>
      </w:r>
      <w:r w:rsidR="00E87556" w:rsidRPr="007B5BE6">
        <w:rPr>
          <w:rFonts w:eastAsia="Aptos"/>
          <w:szCs w:val="24"/>
        </w:rPr>
        <w:t xml:space="preserve"> </w:t>
      </w:r>
      <w:r w:rsidR="00697EDC" w:rsidRPr="007B5BE6">
        <w:rPr>
          <w:rFonts w:eastAsia="Aptos"/>
          <w:szCs w:val="24"/>
        </w:rPr>
        <w:t xml:space="preserve">some </w:t>
      </w:r>
      <w:r w:rsidR="008500D1" w:rsidRPr="007B5BE6">
        <w:rPr>
          <w:rFonts w:eastAsia="Aptos"/>
          <w:szCs w:val="24"/>
        </w:rPr>
        <w:t xml:space="preserve">limited </w:t>
      </w:r>
      <w:r w:rsidR="00E87556" w:rsidRPr="007B5BE6">
        <w:rPr>
          <w:rFonts w:eastAsia="Aptos"/>
          <w:szCs w:val="24"/>
        </w:rPr>
        <w:t>offences under the</w:t>
      </w:r>
      <w:r w:rsidR="00E87556" w:rsidRPr="007B5BE6">
        <w:rPr>
          <w:szCs w:val="22"/>
        </w:rPr>
        <w:t xml:space="preserve"> </w:t>
      </w:r>
      <w:r w:rsidR="00AD30B8" w:rsidRPr="007B5BE6">
        <w:rPr>
          <w:i/>
          <w:iCs/>
          <w:szCs w:val="22"/>
        </w:rPr>
        <w:t>Powers of Attorney Act</w:t>
      </w:r>
      <w:r w:rsidR="005604F2" w:rsidRPr="007B5BE6">
        <w:rPr>
          <w:i/>
          <w:iCs/>
          <w:szCs w:val="22"/>
        </w:rPr>
        <w:t xml:space="preserve"> 2000 </w:t>
      </w:r>
      <w:r w:rsidR="005604F2" w:rsidRPr="007B5BE6">
        <w:rPr>
          <w:szCs w:val="22"/>
        </w:rPr>
        <w:t>(Tas)</w:t>
      </w:r>
      <w:r w:rsidR="00697EDC" w:rsidRPr="007B5BE6">
        <w:rPr>
          <w:szCs w:val="22"/>
        </w:rPr>
        <w:t xml:space="preserve"> relating to </w:t>
      </w:r>
      <w:r w:rsidR="00802410" w:rsidRPr="007B5BE6">
        <w:rPr>
          <w:szCs w:val="22"/>
        </w:rPr>
        <w:t xml:space="preserve">conduct under an enduring power of attorney, and limited offences under </w:t>
      </w:r>
      <w:r w:rsidR="007F2CD3" w:rsidRPr="007B5BE6">
        <w:rPr>
          <w:szCs w:val="22"/>
        </w:rPr>
        <w:t xml:space="preserve">the </w:t>
      </w:r>
      <w:r w:rsidR="007F2CD3" w:rsidRPr="007B5BE6">
        <w:rPr>
          <w:i/>
          <w:iCs/>
          <w:szCs w:val="22"/>
        </w:rPr>
        <w:t xml:space="preserve">Guardianship and Administration Act 1995 </w:t>
      </w:r>
      <w:r w:rsidR="007F2CD3" w:rsidRPr="007B5BE6">
        <w:rPr>
          <w:szCs w:val="22"/>
        </w:rPr>
        <w:t>(Tas) relating to conduct under an administration order</w:t>
      </w:r>
      <w:r w:rsidR="00FC68DA" w:rsidRPr="007B5BE6">
        <w:rPr>
          <w:szCs w:val="22"/>
        </w:rPr>
        <w:t>.</w:t>
      </w:r>
      <w:r w:rsidR="0065582D" w:rsidRPr="007B5BE6">
        <w:rPr>
          <w:rStyle w:val="FootnoteReference"/>
          <w:szCs w:val="22"/>
        </w:rPr>
        <w:footnoteReference w:id="245"/>
      </w:r>
      <w:r w:rsidR="00E35EDF" w:rsidRPr="007B5BE6">
        <w:rPr>
          <w:szCs w:val="22"/>
        </w:rPr>
        <w:t xml:space="preserve"> </w:t>
      </w:r>
      <w:r w:rsidR="008500D1" w:rsidRPr="007B5BE6">
        <w:rPr>
          <w:szCs w:val="22"/>
        </w:rPr>
        <w:t xml:space="preserve">The </w:t>
      </w:r>
      <w:r w:rsidR="008500D1" w:rsidRPr="007B5BE6">
        <w:rPr>
          <w:i/>
          <w:iCs/>
          <w:szCs w:val="22"/>
        </w:rPr>
        <w:t xml:space="preserve">Guardianship and </w:t>
      </w:r>
      <w:r w:rsidR="001E6BC0" w:rsidRPr="007B5BE6">
        <w:rPr>
          <w:i/>
          <w:iCs/>
          <w:szCs w:val="22"/>
        </w:rPr>
        <w:t>Administration</w:t>
      </w:r>
      <w:r w:rsidR="008500D1" w:rsidRPr="007B5BE6">
        <w:rPr>
          <w:i/>
          <w:iCs/>
          <w:szCs w:val="22"/>
        </w:rPr>
        <w:t xml:space="preserve"> Act 1995 </w:t>
      </w:r>
      <w:r w:rsidR="008500D1" w:rsidRPr="007B5BE6">
        <w:rPr>
          <w:szCs w:val="22"/>
        </w:rPr>
        <w:t xml:space="preserve">(Tas) also </w:t>
      </w:r>
      <w:r w:rsidR="0056340D" w:rsidRPr="007B5BE6">
        <w:rPr>
          <w:szCs w:val="22"/>
        </w:rPr>
        <w:t xml:space="preserve">creates offences in relation </w:t>
      </w:r>
      <w:r w:rsidR="00505BC1" w:rsidRPr="007B5BE6">
        <w:rPr>
          <w:szCs w:val="22"/>
        </w:rPr>
        <w:t xml:space="preserve">to a conduct by </w:t>
      </w:r>
      <w:r w:rsidR="001E6BC0" w:rsidRPr="007B5BE6">
        <w:rPr>
          <w:szCs w:val="22"/>
        </w:rPr>
        <w:t>a guardian.</w:t>
      </w:r>
      <w:r w:rsidR="003B0F65" w:rsidRPr="007B5BE6">
        <w:rPr>
          <w:rStyle w:val="FootnoteReference"/>
          <w:szCs w:val="22"/>
        </w:rPr>
        <w:footnoteReference w:id="246"/>
      </w:r>
      <w:r w:rsidR="003B0F65" w:rsidRPr="007B5BE6">
        <w:rPr>
          <w:szCs w:val="22"/>
        </w:rPr>
        <w:t xml:space="preserve"> </w:t>
      </w:r>
      <w:r w:rsidR="003B0F65" w:rsidRPr="007B5BE6">
        <w:t>Upon prosecution of</w:t>
      </w:r>
      <w:r w:rsidR="003E318C" w:rsidRPr="007B5BE6">
        <w:t xml:space="preserve"> a criminal</w:t>
      </w:r>
      <w:r w:rsidR="003B0F65" w:rsidRPr="007B5BE6">
        <w:t xml:space="preserve"> offence, if the person is found guilty or enters a plea of guilty, they are sentenced by a court</w:t>
      </w:r>
      <w:r w:rsidR="00820DB1" w:rsidRPr="007B5BE6">
        <w:rPr>
          <w:rStyle w:val="FootnoteReference"/>
        </w:rPr>
        <w:footnoteReference w:id="247"/>
      </w:r>
      <w:r w:rsidR="003B0F65" w:rsidRPr="007B5BE6">
        <w:t xml:space="preserve"> under the </w:t>
      </w:r>
      <w:r w:rsidR="003B0F65" w:rsidRPr="007B5BE6">
        <w:rPr>
          <w:i/>
          <w:iCs/>
        </w:rPr>
        <w:t xml:space="preserve">Sentencing Act 1997 </w:t>
      </w:r>
      <w:r w:rsidR="003B0F65" w:rsidRPr="007B5BE6">
        <w:t>(Tas).</w:t>
      </w:r>
      <w:r w:rsidR="00820DB1" w:rsidRPr="007B5BE6">
        <w:rPr>
          <w:rStyle w:val="FootnoteReference"/>
        </w:rPr>
        <w:footnoteReference w:id="248"/>
      </w:r>
      <w:r w:rsidR="003B0F65" w:rsidRPr="007B5BE6">
        <w:t xml:space="preserve"> The standard of proof for guilt of a criminal offence is ‘beyond reasonable doubt’. </w:t>
      </w:r>
    </w:p>
    <w:p w14:paraId="73F5A581" w14:textId="77777777" w:rsidR="00361B10" w:rsidRPr="007B5BE6" w:rsidRDefault="00361B10">
      <w:pPr>
        <w:spacing w:after="200" w:line="276" w:lineRule="auto"/>
        <w:jc w:val="left"/>
        <w:rPr>
          <w:b/>
          <w:bCs/>
          <w:sz w:val="32"/>
          <w:szCs w:val="36"/>
        </w:rPr>
      </w:pPr>
      <w:r w:rsidRPr="007B5BE6">
        <w:br w:type="page"/>
      </w:r>
    </w:p>
    <w:p w14:paraId="309D8AEA" w14:textId="45F8C6F6" w:rsidR="003B0F65" w:rsidRPr="007B5BE6" w:rsidRDefault="003B0F65" w:rsidP="009E2BFD">
      <w:pPr>
        <w:pStyle w:val="Headingunnumbered"/>
        <w:spacing w:before="360"/>
      </w:pPr>
      <w:bookmarkStart w:id="50" w:name="_Toc212561745"/>
      <w:r w:rsidRPr="007B5BE6">
        <w:lastRenderedPageBreak/>
        <w:t>Coronial law</w:t>
      </w:r>
      <w:bookmarkEnd w:id="50"/>
      <w:r w:rsidRPr="007B5BE6">
        <w:t xml:space="preserve"> </w:t>
      </w:r>
    </w:p>
    <w:p w14:paraId="26E6F01D" w14:textId="06163E9F" w:rsidR="003B0F65" w:rsidRPr="007B5BE6" w:rsidRDefault="00E02482" w:rsidP="003B0F65">
      <w:pPr>
        <w:pStyle w:val="NormalNumberedTextTLRI"/>
      </w:pPr>
      <w:r w:rsidRPr="007B5BE6">
        <w:t>I</w:t>
      </w:r>
      <w:r w:rsidR="003B0F65" w:rsidRPr="007B5BE6">
        <w:t xml:space="preserve">nvestigations and inquests </w:t>
      </w:r>
      <w:r w:rsidRPr="007B5BE6">
        <w:t xml:space="preserve">under </w:t>
      </w:r>
      <w:r w:rsidRPr="007B5BE6">
        <w:rPr>
          <w:b/>
          <w:bCs/>
        </w:rPr>
        <w:t>coronial law</w:t>
      </w:r>
      <w:r w:rsidRPr="007B5BE6">
        <w:t xml:space="preserve"> </w:t>
      </w:r>
      <w:r w:rsidR="003B0F65" w:rsidRPr="007B5BE6">
        <w:t xml:space="preserve">are another important part of the legal response to the abuse of older Tasmanians. Where </w:t>
      </w:r>
      <w:r w:rsidR="002B7857" w:rsidRPr="007B5BE6">
        <w:t>the</w:t>
      </w:r>
      <w:r w:rsidR="003B0F65" w:rsidRPr="007B5BE6">
        <w:t xml:space="preserve"> death of an older person is within the scope of the </w:t>
      </w:r>
      <w:r w:rsidR="003B0F65" w:rsidRPr="007B5BE6">
        <w:rPr>
          <w:i/>
          <w:iCs/>
        </w:rPr>
        <w:t xml:space="preserve">Coroners Act 1995 </w:t>
      </w:r>
      <w:r w:rsidR="003B0F65" w:rsidRPr="007B5BE6">
        <w:t>(Tas), investigations and inquests</w:t>
      </w:r>
      <w:r w:rsidR="003B0F65" w:rsidRPr="007B5BE6" w:rsidDel="008C0B15">
        <w:t xml:space="preserve"> </w:t>
      </w:r>
      <w:r w:rsidR="003B0F65" w:rsidRPr="007B5BE6">
        <w:t>may provide an opportunity to investigate the circumstances of that death. A coroner can investigate a ‘reportable death’, which is not limited to older people</w:t>
      </w:r>
      <w:r w:rsidR="0011200F" w:rsidRPr="007B5BE6">
        <w:t xml:space="preserve">. By way of example, a ‘reportable </w:t>
      </w:r>
      <w:r w:rsidR="003B0F65" w:rsidRPr="007B5BE6">
        <w:t>death</w:t>
      </w:r>
      <w:r w:rsidR="0011200F" w:rsidRPr="007B5BE6">
        <w:t xml:space="preserve">’ includes </w:t>
      </w:r>
      <w:r w:rsidR="009C6FC1" w:rsidRPr="007B5BE6">
        <w:t>a death</w:t>
      </w:r>
      <w:r w:rsidR="003B0F65" w:rsidRPr="007B5BE6">
        <w:t xml:space="preserve"> of any person that is </w:t>
      </w:r>
      <w:r w:rsidR="00AE4969" w:rsidRPr="007B5BE6">
        <w:t xml:space="preserve">either </w:t>
      </w:r>
      <w:r w:rsidR="003B0F65" w:rsidRPr="007B5BE6">
        <w:t>unexpected</w:t>
      </w:r>
      <w:r w:rsidR="009B1DD0" w:rsidRPr="007B5BE6">
        <w:t>,</w:t>
      </w:r>
      <w:r w:rsidR="003B0F65" w:rsidRPr="007B5BE6">
        <w:t xml:space="preserve"> due to unnatural causes</w:t>
      </w:r>
      <w:r w:rsidR="009B1DD0" w:rsidRPr="007B5BE6">
        <w:t>,</w:t>
      </w:r>
      <w:r w:rsidR="003B0F65" w:rsidRPr="007B5BE6">
        <w:t xml:space="preserve"> violent</w:t>
      </w:r>
      <w:r w:rsidR="009B1DD0" w:rsidRPr="007B5BE6">
        <w:t xml:space="preserve"> or </w:t>
      </w:r>
      <w:r w:rsidR="003B0F65" w:rsidRPr="007B5BE6">
        <w:t>caused by an accident or injury</w:t>
      </w:r>
      <w:r w:rsidR="009B1DD0" w:rsidRPr="007B5BE6">
        <w:t>,</w:t>
      </w:r>
      <w:r w:rsidR="003B0F65" w:rsidRPr="007B5BE6">
        <w:t xml:space="preserve"> or where the cause of death is unknown.</w:t>
      </w:r>
      <w:r w:rsidR="00820DB1" w:rsidRPr="007B5BE6">
        <w:rPr>
          <w:rStyle w:val="FootnoteReference"/>
        </w:rPr>
        <w:footnoteReference w:id="249"/>
      </w:r>
      <w:r w:rsidR="003B0F65" w:rsidRPr="007B5BE6">
        <w:t xml:space="preserve"> A coroner who has jurisdiction to investigate a death must</w:t>
      </w:r>
      <w:r w:rsidR="000E5E59" w:rsidRPr="007B5BE6">
        <w:t>, in some circumstances,</w:t>
      </w:r>
      <w:r w:rsidR="003B0F65" w:rsidRPr="007B5BE6">
        <w:t xml:space="preserve"> also hold an inquest into the death.</w:t>
      </w:r>
      <w:r w:rsidR="00820DB1" w:rsidRPr="007B5BE6">
        <w:rPr>
          <w:rStyle w:val="FootnoteReference"/>
        </w:rPr>
        <w:footnoteReference w:id="250"/>
      </w:r>
      <w:r w:rsidR="003B0F65" w:rsidRPr="007B5BE6">
        <w:t xml:space="preserve"> </w:t>
      </w:r>
      <w:r w:rsidR="00F12519" w:rsidRPr="007B5BE6">
        <w:t>Examples of</w:t>
      </w:r>
      <w:r w:rsidR="00912D40" w:rsidRPr="007B5BE6">
        <w:t xml:space="preserve"> relevant</w:t>
      </w:r>
      <w:r w:rsidR="003B0F65" w:rsidRPr="007B5BE6">
        <w:t xml:space="preserve"> circumstances in which the death of an older person may</w:t>
      </w:r>
      <w:r w:rsidR="00666D48" w:rsidRPr="007B5BE6">
        <w:t xml:space="preserve"> come under a coroner’s jurisdiction (</w:t>
      </w:r>
      <w:r w:rsidR="003B0F65" w:rsidRPr="007B5BE6">
        <w:t>be</w:t>
      </w:r>
      <w:r w:rsidR="00666D48" w:rsidRPr="007B5BE6">
        <w:t>ing</w:t>
      </w:r>
      <w:r w:rsidR="003B0F65" w:rsidRPr="007B5BE6">
        <w:t xml:space="preserve"> a reportable death</w:t>
      </w:r>
      <w:r w:rsidR="00666D48" w:rsidRPr="007B5BE6">
        <w:t xml:space="preserve">) </w:t>
      </w:r>
      <w:r w:rsidR="009C6FC1" w:rsidRPr="007B5BE6">
        <w:t>and subject to an inquest,</w:t>
      </w:r>
      <w:r w:rsidR="003B0F65" w:rsidRPr="007B5BE6">
        <w:t xml:space="preserve"> </w:t>
      </w:r>
      <w:r w:rsidR="00F12519" w:rsidRPr="007B5BE6">
        <w:t>include</w:t>
      </w:r>
      <w:r w:rsidR="00C03923" w:rsidRPr="007B5BE6">
        <w:t xml:space="preserve"> </w:t>
      </w:r>
      <w:r w:rsidR="003B0F65" w:rsidRPr="007B5BE6">
        <w:t>a suspected homicide</w:t>
      </w:r>
      <w:r w:rsidR="00912D40" w:rsidRPr="007B5BE6">
        <w:t xml:space="preserve"> of an older person</w:t>
      </w:r>
      <w:r w:rsidR="003B0F65" w:rsidRPr="007B5BE6">
        <w:t xml:space="preserve">, or </w:t>
      </w:r>
      <w:r w:rsidR="00F87731" w:rsidRPr="007B5BE6">
        <w:t xml:space="preserve">where the </w:t>
      </w:r>
      <w:r w:rsidR="00912D40" w:rsidRPr="007B5BE6">
        <w:t xml:space="preserve">older </w:t>
      </w:r>
      <w:r w:rsidR="003B0F65" w:rsidRPr="007B5BE6">
        <w:t xml:space="preserve">person </w:t>
      </w:r>
      <w:r w:rsidR="007C2F2A" w:rsidRPr="007B5BE6">
        <w:t>was</w:t>
      </w:r>
      <w:r w:rsidR="003B0F65" w:rsidRPr="007B5BE6">
        <w:t xml:space="preserve"> in care immediately before death.</w:t>
      </w:r>
      <w:r w:rsidR="00A62790" w:rsidRPr="007B5BE6">
        <w:rPr>
          <w:rStyle w:val="FootnoteReference"/>
        </w:rPr>
        <w:footnoteReference w:id="251"/>
      </w:r>
      <w:r w:rsidR="003B0F65" w:rsidRPr="007B5BE6">
        <w:t xml:space="preserve"> </w:t>
      </w:r>
    </w:p>
    <w:p w14:paraId="7E41A56E" w14:textId="1150733F" w:rsidR="00FF1AD5" w:rsidRPr="007B5BE6" w:rsidRDefault="003B0F65" w:rsidP="003B0F65">
      <w:pPr>
        <w:pStyle w:val="NormalNumberedTextTLRI"/>
      </w:pPr>
      <w:r w:rsidRPr="007B5BE6">
        <w:t>A coronial inquest is an inquiry that is ‘neither criminal nor civil in nature’.</w:t>
      </w:r>
      <w:r w:rsidR="00A62790" w:rsidRPr="007B5BE6">
        <w:rPr>
          <w:rStyle w:val="FootnoteReference"/>
        </w:rPr>
        <w:footnoteReference w:id="252"/>
      </w:r>
      <w:r w:rsidRPr="007B5BE6">
        <w:t xml:space="preserve"> It is concerned with fact-finding on the ‘balance of probabilities’</w:t>
      </w:r>
      <w:r w:rsidR="00BD636F" w:rsidRPr="007B5BE6">
        <w:rPr>
          <w:rStyle w:val="FootnoteReference"/>
        </w:rPr>
        <w:footnoteReference w:id="253"/>
      </w:r>
      <w:r w:rsidRPr="007B5BE6">
        <w:t xml:space="preserve"> </w:t>
      </w:r>
      <w:r w:rsidR="00351761" w:rsidRPr="007B5BE6">
        <w:t xml:space="preserve">and </w:t>
      </w:r>
      <w:r w:rsidRPr="007B5BE6">
        <w:t>determining the circumstances of a death</w:t>
      </w:r>
      <w:r w:rsidR="00351761" w:rsidRPr="007B5BE6">
        <w:t>.</w:t>
      </w:r>
      <w:r w:rsidR="00BD636F" w:rsidRPr="007B5BE6">
        <w:rPr>
          <w:rStyle w:val="FootnoteReference"/>
        </w:rPr>
        <w:footnoteReference w:id="254"/>
      </w:r>
      <w:r w:rsidRPr="007B5BE6">
        <w:t xml:space="preserve"> </w:t>
      </w:r>
      <w:r w:rsidR="00D41352" w:rsidRPr="007B5BE6">
        <w:t>There</w:t>
      </w:r>
      <w:r w:rsidR="0008367E" w:rsidRPr="007B5BE6">
        <w:t xml:space="preserve"> is </w:t>
      </w:r>
      <w:r w:rsidR="00F54DBB" w:rsidRPr="007B5BE6">
        <w:t>a requirement that</w:t>
      </w:r>
      <w:r w:rsidR="00D12211" w:rsidRPr="007B5BE6">
        <w:t xml:space="preserve"> a coroner</w:t>
      </w:r>
      <w:r w:rsidR="00F96323" w:rsidRPr="007B5BE6">
        <w:t>, whenever appropriate,</w:t>
      </w:r>
      <w:r w:rsidR="00D12211" w:rsidRPr="007B5BE6">
        <w:t xml:space="preserve"> </w:t>
      </w:r>
      <w:r w:rsidR="00F54DBB" w:rsidRPr="007B5BE6">
        <w:t>make</w:t>
      </w:r>
      <w:r w:rsidR="0008367E" w:rsidRPr="007B5BE6">
        <w:t xml:space="preserve"> </w:t>
      </w:r>
      <w:r w:rsidRPr="007B5BE6">
        <w:t>recommendations</w:t>
      </w:r>
      <w:r w:rsidR="00F96323" w:rsidRPr="007B5BE6">
        <w:t xml:space="preserve"> about ways of preventing further </w:t>
      </w:r>
      <w:r w:rsidRPr="007B5BE6">
        <w:t>deaths</w:t>
      </w:r>
      <w:r w:rsidR="00A749CB" w:rsidRPr="007B5BE6">
        <w:rPr>
          <w:szCs w:val="22"/>
        </w:rPr>
        <w:t xml:space="preserve"> and on any other matter a coroner considers appropriate.</w:t>
      </w:r>
      <w:r w:rsidR="00BD636F" w:rsidRPr="007B5BE6">
        <w:rPr>
          <w:rStyle w:val="FootnoteReference"/>
          <w:szCs w:val="22"/>
        </w:rPr>
        <w:footnoteReference w:id="255"/>
      </w:r>
      <w:r w:rsidR="00A749CB" w:rsidRPr="007B5BE6">
        <w:rPr>
          <w:szCs w:val="22"/>
        </w:rPr>
        <w:t xml:space="preserve"> </w:t>
      </w:r>
      <w:r w:rsidR="00D41352" w:rsidRPr="007B5BE6">
        <w:t xml:space="preserve">Further, </w:t>
      </w:r>
      <w:r w:rsidR="00A749CB" w:rsidRPr="007B5BE6">
        <w:t>a</w:t>
      </w:r>
      <w:r w:rsidR="00D12211" w:rsidRPr="007B5BE6">
        <w:rPr>
          <w:szCs w:val="22"/>
        </w:rPr>
        <w:t xml:space="preserve"> coroner</w:t>
      </w:r>
      <w:r w:rsidRPr="007B5BE6">
        <w:rPr>
          <w:szCs w:val="22"/>
        </w:rPr>
        <w:t xml:space="preserve"> ‘may comment on any matter connected with the death including public health or safety or the administration of justice’.</w:t>
      </w:r>
      <w:r w:rsidR="00BD636F" w:rsidRPr="007B5BE6">
        <w:rPr>
          <w:rStyle w:val="FootnoteReference"/>
          <w:szCs w:val="22"/>
        </w:rPr>
        <w:footnoteReference w:id="256"/>
      </w:r>
      <w:r w:rsidRPr="007B5BE6">
        <w:rPr>
          <w:szCs w:val="22"/>
        </w:rPr>
        <w:t xml:space="preserve"> </w:t>
      </w:r>
      <w:r w:rsidR="00E3489E" w:rsidRPr="007B5BE6">
        <w:t>Under s</w:t>
      </w:r>
      <w:r w:rsidR="00777FE1" w:rsidRPr="007B5BE6">
        <w:t>ection</w:t>
      </w:r>
      <w:r w:rsidR="00E3489E" w:rsidRPr="007B5BE6">
        <w:t xml:space="preserve"> 25(4) of the </w:t>
      </w:r>
      <w:r w:rsidR="00E3489E" w:rsidRPr="007B5BE6">
        <w:rPr>
          <w:i/>
        </w:rPr>
        <w:t>Coroners Act</w:t>
      </w:r>
      <w:r w:rsidR="00E3489E" w:rsidRPr="007B5BE6">
        <w:t xml:space="preserve"> </w:t>
      </w:r>
      <w:r w:rsidR="00E3489E" w:rsidRPr="007B5BE6">
        <w:rPr>
          <w:i/>
          <w:iCs/>
        </w:rPr>
        <w:t>1995</w:t>
      </w:r>
      <w:r w:rsidR="00E3489E" w:rsidRPr="007B5BE6">
        <w:t xml:space="preserve"> (Tas), an inquest that is resumed after the conclusion of criminal proceedings, ‘must not contain any finding which is inconsistent with the determination of the matter’ in criminal proceedings.</w:t>
      </w:r>
      <w:r w:rsidR="00BD636F" w:rsidRPr="007B5BE6">
        <w:rPr>
          <w:rStyle w:val="FootnoteReference"/>
        </w:rPr>
        <w:footnoteReference w:id="257"/>
      </w:r>
      <w:r w:rsidR="00E3489E" w:rsidRPr="007B5BE6">
        <w:t xml:space="preserve"> Further, a coroner is prohibited from including in a finding or comment ‘any statement that a person may be guilty of an offence’.</w:t>
      </w:r>
      <w:r w:rsidR="00BD636F" w:rsidRPr="007B5BE6">
        <w:rPr>
          <w:rStyle w:val="FootnoteReference"/>
        </w:rPr>
        <w:footnoteReference w:id="258"/>
      </w:r>
      <w:r w:rsidR="00E3489E" w:rsidRPr="007B5BE6">
        <w:t xml:space="preserve"> </w:t>
      </w:r>
    </w:p>
    <w:p w14:paraId="0496541B" w14:textId="6733B93A" w:rsidR="003B0F65" w:rsidRPr="007B5BE6" w:rsidRDefault="003B0F65" w:rsidP="003B0F65">
      <w:pPr>
        <w:pStyle w:val="NormalNumberedTextTLRI"/>
      </w:pPr>
      <w:r w:rsidRPr="007B5BE6">
        <w:t xml:space="preserve">The coronial process is therefore fundamentally different to the criminal law, as the criminal law process is concerned with determining if an individual </w:t>
      </w:r>
      <w:r w:rsidR="00EF107D" w:rsidRPr="007B5BE6">
        <w:t xml:space="preserve">in a particular case </w:t>
      </w:r>
      <w:r w:rsidRPr="007B5BE6">
        <w:t>is guilty beyond ‘reasonable doubt’ of the offence with which they are charged and imposing sentence on the person in the individual case before the court.</w:t>
      </w:r>
      <w:r w:rsidR="00BD636F" w:rsidRPr="007B5BE6">
        <w:rPr>
          <w:rStyle w:val="FootnoteReference"/>
        </w:rPr>
        <w:footnoteReference w:id="259"/>
      </w:r>
      <w:r w:rsidRPr="007B5BE6">
        <w:t xml:space="preserve"> </w:t>
      </w:r>
      <w:r w:rsidR="005875C6" w:rsidRPr="007B5BE6">
        <w:t>In comparison,</w:t>
      </w:r>
      <w:r w:rsidR="00376462" w:rsidRPr="007B5BE6">
        <w:t xml:space="preserve"> a</w:t>
      </w:r>
      <w:r w:rsidR="00E175DA" w:rsidRPr="007B5BE6">
        <w:t xml:space="preserve"> coronial</w:t>
      </w:r>
      <w:r w:rsidR="00376462" w:rsidRPr="007B5BE6">
        <w:t xml:space="preserve"> investigation and/or inquest </w:t>
      </w:r>
      <w:r w:rsidR="005875C6" w:rsidRPr="007B5BE6">
        <w:t xml:space="preserve">into </w:t>
      </w:r>
      <w:r w:rsidR="00B809A8" w:rsidRPr="007B5BE6">
        <w:t>a</w:t>
      </w:r>
      <w:r w:rsidR="005875C6" w:rsidRPr="007B5BE6">
        <w:t xml:space="preserve"> </w:t>
      </w:r>
      <w:r w:rsidR="00E175DA" w:rsidRPr="007B5BE6">
        <w:t>reportable death</w:t>
      </w:r>
      <w:r w:rsidR="005875C6" w:rsidRPr="007B5BE6">
        <w:t xml:space="preserve"> </w:t>
      </w:r>
      <w:r w:rsidR="00376462" w:rsidRPr="007B5BE6">
        <w:t>may provide an opportunity for a coroner to make findings regarding th</w:t>
      </w:r>
      <w:r w:rsidR="007B7B7C" w:rsidRPr="007B5BE6">
        <w:t xml:space="preserve">e death in </w:t>
      </w:r>
      <w:r w:rsidR="00654337" w:rsidRPr="007B5BE6">
        <w:t>a</w:t>
      </w:r>
      <w:r w:rsidR="00411212" w:rsidRPr="007B5BE6">
        <w:t xml:space="preserve"> particular</w:t>
      </w:r>
      <w:r w:rsidR="00376462" w:rsidRPr="007B5BE6">
        <w:t xml:space="preserve"> </w:t>
      </w:r>
      <w:r w:rsidR="00654337" w:rsidRPr="007B5BE6">
        <w:t xml:space="preserve">case </w:t>
      </w:r>
      <w:r w:rsidR="00376462" w:rsidRPr="007B5BE6">
        <w:t>and recommendations focused on the prevention of future deaths</w:t>
      </w:r>
      <w:r w:rsidR="0086455C" w:rsidRPr="007B5BE6">
        <w:t>.</w:t>
      </w:r>
    </w:p>
    <w:p w14:paraId="16253730" w14:textId="5DE5D781" w:rsidR="003B0F65" w:rsidRPr="007B5BE6" w:rsidRDefault="000A0B81" w:rsidP="009E2BFD">
      <w:pPr>
        <w:pStyle w:val="Headingunnumbered"/>
        <w:spacing w:before="360"/>
      </w:pPr>
      <w:bookmarkStart w:id="51" w:name="_Toc212561746"/>
      <w:r w:rsidRPr="007B5BE6">
        <w:lastRenderedPageBreak/>
        <w:t>F</w:t>
      </w:r>
      <w:r w:rsidR="003B0F65" w:rsidRPr="007B5BE6">
        <w:t>amily violence laws</w:t>
      </w:r>
      <w:r w:rsidRPr="007B5BE6">
        <w:t xml:space="preserve"> (civil and criminal)</w:t>
      </w:r>
      <w:bookmarkEnd w:id="51"/>
    </w:p>
    <w:p w14:paraId="2CC2DE14" w14:textId="6148C4E9" w:rsidR="003B0F65" w:rsidRPr="007B5BE6" w:rsidRDefault="000A0B81" w:rsidP="003B0F65">
      <w:pPr>
        <w:pStyle w:val="NormalNumberedTextTLRI"/>
      </w:pPr>
      <w:r w:rsidRPr="007B5BE6">
        <w:rPr>
          <w:b/>
          <w:bCs/>
        </w:rPr>
        <w:t>F</w:t>
      </w:r>
      <w:r w:rsidR="003B0F65" w:rsidRPr="007B5BE6">
        <w:rPr>
          <w:b/>
          <w:bCs/>
        </w:rPr>
        <w:t>amily violence laws</w:t>
      </w:r>
      <w:r w:rsidR="003B0F65" w:rsidRPr="007B5BE6">
        <w:t xml:space="preserve"> in Tasmania, comprising the </w:t>
      </w:r>
      <w:r w:rsidR="003B0F65" w:rsidRPr="007B5BE6">
        <w:rPr>
          <w:i/>
          <w:iCs/>
        </w:rPr>
        <w:t>Family Violence Act 2004</w:t>
      </w:r>
      <w:r w:rsidR="003B0F65" w:rsidRPr="007B5BE6">
        <w:t xml:space="preserve"> (Tas) and the Safe at Home framework, combine both criminal and civil provisions to form part of the current legal framework that may apply in response to abuse of older </w:t>
      </w:r>
      <w:r w:rsidR="000914AE" w:rsidRPr="007B5BE6">
        <w:t>Tasmanians</w:t>
      </w:r>
      <w:r w:rsidR="003B0F65" w:rsidRPr="007B5BE6">
        <w:t>. However, the availability of this response is confined to where an older person is experiencing abuse in the context of a current or former ‘significant’ intimate partner relationship.</w:t>
      </w:r>
      <w:r w:rsidR="00706F67" w:rsidRPr="007B5BE6">
        <w:t xml:space="preserve"> The specific (and narrow) scope of the definition means that violence against older Tasmanians perpetrated by other family members (such as children, grandchildren, siblings or carers)</w:t>
      </w:r>
      <w:r w:rsidR="00E803CD" w:rsidRPr="007B5BE6">
        <w:t>,</w:t>
      </w:r>
      <w:r w:rsidR="00706F67" w:rsidRPr="007B5BE6">
        <w:t xml:space="preserve"> or violence in the context of other relationships</w:t>
      </w:r>
      <w:r w:rsidR="00E803CD" w:rsidRPr="007B5BE6">
        <w:t>,</w:t>
      </w:r>
      <w:r w:rsidR="00706F67" w:rsidRPr="007B5BE6">
        <w:t xml:space="preserve"> is not covered by the </w:t>
      </w:r>
      <w:r w:rsidR="00706F67" w:rsidRPr="007B5BE6">
        <w:rPr>
          <w:i/>
          <w:iCs/>
        </w:rPr>
        <w:t>Family Violence Act 2004</w:t>
      </w:r>
      <w:r w:rsidR="00706F67" w:rsidRPr="007B5BE6">
        <w:t xml:space="preserve"> (Tas).</w:t>
      </w:r>
      <w:r w:rsidR="00706F67" w:rsidRPr="007B5BE6">
        <w:rPr>
          <w:rStyle w:val="FootnoteReference"/>
        </w:rPr>
        <w:t xml:space="preserve"> </w:t>
      </w:r>
      <w:r w:rsidR="003B0F65" w:rsidRPr="007B5BE6">
        <w:t xml:space="preserve"> The </w:t>
      </w:r>
      <w:r w:rsidR="003B0F65" w:rsidRPr="007B5BE6">
        <w:rPr>
          <w:i/>
          <w:iCs/>
        </w:rPr>
        <w:t>Family Violence Act 2004</w:t>
      </w:r>
      <w:r w:rsidR="003B0F65" w:rsidRPr="007B5BE6">
        <w:t xml:space="preserve"> (Tas):</w:t>
      </w:r>
    </w:p>
    <w:p w14:paraId="4ACE78D9" w14:textId="34274BA0" w:rsidR="003B0F65" w:rsidRPr="007B5BE6" w:rsidRDefault="003B0F65" w:rsidP="003B0F65">
      <w:pPr>
        <w:pStyle w:val="DotPointTLRI"/>
      </w:pPr>
      <w:r w:rsidRPr="007B5BE6">
        <w:t>defines the scope of family violence</w:t>
      </w:r>
      <w:r w:rsidR="008C385D" w:rsidRPr="007B5BE6">
        <w:t>:</w:t>
      </w:r>
      <w:r w:rsidRPr="007B5BE6">
        <w:t xml:space="preserve"> including defining conduct that is ‘family violence’</w:t>
      </w:r>
      <w:r w:rsidR="008C385D" w:rsidRPr="007B5BE6">
        <w:t>,</w:t>
      </w:r>
      <w:r w:rsidR="00A201AA" w:rsidRPr="007B5BE6">
        <w:rPr>
          <w:rStyle w:val="FootnoteReference"/>
        </w:rPr>
        <w:footnoteReference w:id="260"/>
      </w:r>
      <w:r w:rsidRPr="007B5BE6">
        <w:t xml:space="preserve"> and specif</w:t>
      </w:r>
      <w:r w:rsidR="00C62ADF" w:rsidRPr="007B5BE6">
        <w:t>ying the</w:t>
      </w:r>
      <w:r w:rsidRPr="007B5BE6">
        <w:t xml:space="preserve"> ‘family relationship’ in which family violence can occur</w:t>
      </w:r>
      <w:r w:rsidR="00B74D82" w:rsidRPr="007B5BE6">
        <w:t xml:space="preserve"> as being limited</w:t>
      </w:r>
      <w:r w:rsidRPr="007B5BE6">
        <w:t xml:space="preserve"> </w:t>
      </w:r>
      <w:r w:rsidR="004B400E" w:rsidRPr="007B5BE6">
        <w:t xml:space="preserve">to </w:t>
      </w:r>
      <w:r w:rsidRPr="007B5BE6">
        <w:t>current or former intimate partners (marriage or ‘significant relationship’);</w:t>
      </w:r>
      <w:r w:rsidR="00A82AB6" w:rsidRPr="007B5BE6">
        <w:rPr>
          <w:rStyle w:val="FootnoteReference"/>
        </w:rPr>
        <w:footnoteReference w:id="261"/>
      </w:r>
      <w:r w:rsidRPr="007B5BE6">
        <w:t xml:space="preserve"> </w:t>
      </w:r>
    </w:p>
    <w:p w14:paraId="6DFEFB47" w14:textId="59FF497B" w:rsidR="003B0F65" w:rsidRPr="007B5BE6" w:rsidRDefault="003B0F65" w:rsidP="003B0F65">
      <w:pPr>
        <w:pStyle w:val="DotPointTLRI"/>
      </w:pPr>
      <w:r w:rsidRPr="007B5BE6">
        <w:t>sets out powers for civil protection orders</w:t>
      </w:r>
      <w:r w:rsidR="008C385D" w:rsidRPr="007B5BE6">
        <w:t xml:space="preserve">: </w:t>
      </w:r>
      <w:r w:rsidRPr="007B5BE6">
        <w:t>Tasmania Police to issue police family violence orders for up to 12 months</w:t>
      </w:r>
      <w:r w:rsidR="005967C7" w:rsidRPr="007B5BE6">
        <w:t>,</w:t>
      </w:r>
      <w:r w:rsidR="00A82AB6" w:rsidRPr="007B5BE6">
        <w:rPr>
          <w:rStyle w:val="FootnoteReference"/>
        </w:rPr>
        <w:footnoteReference w:id="262"/>
      </w:r>
      <w:r w:rsidRPr="007B5BE6">
        <w:t xml:space="preserve"> and Tasmanian Courts to make family violence orders</w:t>
      </w:r>
      <w:r w:rsidR="005967C7" w:rsidRPr="007B5BE6">
        <w:t xml:space="preserve"> (</w:t>
      </w:r>
      <w:r w:rsidRPr="007B5BE6">
        <w:t>for any period considered necessary by the court to ensure safety and interests of protected person</w:t>
      </w:r>
      <w:r w:rsidR="005967C7" w:rsidRPr="007B5BE6">
        <w:t>)</w:t>
      </w:r>
      <w:r w:rsidR="00A82AB6" w:rsidRPr="007B5BE6">
        <w:rPr>
          <w:rStyle w:val="FootnoteReference"/>
        </w:rPr>
        <w:footnoteReference w:id="263"/>
      </w:r>
      <w:r w:rsidRPr="007B5BE6">
        <w:t xml:space="preserve"> and </w:t>
      </w:r>
      <w:r w:rsidR="004B400E" w:rsidRPr="007B5BE6">
        <w:t xml:space="preserve">to make </w:t>
      </w:r>
      <w:r w:rsidRPr="007B5BE6">
        <w:t>interim family violence orders;</w:t>
      </w:r>
      <w:r w:rsidR="00A82AB6" w:rsidRPr="007B5BE6">
        <w:rPr>
          <w:rStyle w:val="FootnoteReference"/>
        </w:rPr>
        <w:footnoteReference w:id="264"/>
      </w:r>
    </w:p>
    <w:p w14:paraId="69FABE3D" w14:textId="511518BC" w:rsidR="003B0F65" w:rsidRPr="007B5BE6" w:rsidRDefault="003B0F65" w:rsidP="003B0F65">
      <w:pPr>
        <w:pStyle w:val="DotPointTLRI"/>
      </w:pPr>
      <w:r w:rsidRPr="007B5BE6">
        <w:t>creates criminal ‘family violence’ offences</w:t>
      </w:r>
      <w:r w:rsidR="008C385D" w:rsidRPr="007B5BE6">
        <w:t>:</w:t>
      </w:r>
      <w:r w:rsidRPr="007B5BE6">
        <w:t xml:space="preserve"> including any offence that constitutes family violence,</w:t>
      </w:r>
      <w:r w:rsidR="00A82AB6" w:rsidRPr="007B5BE6">
        <w:rPr>
          <w:rStyle w:val="FootnoteReference"/>
        </w:rPr>
        <w:footnoteReference w:id="265"/>
      </w:r>
      <w:r w:rsidRPr="007B5BE6">
        <w:t xml:space="preserve"> specific offences of economic abuse and emotional abuse</w:t>
      </w:r>
      <w:r w:rsidR="00A82AB6" w:rsidRPr="007B5BE6">
        <w:rPr>
          <w:rStyle w:val="FootnoteReference"/>
        </w:rPr>
        <w:footnoteReference w:id="266"/>
      </w:r>
      <w:r w:rsidRPr="007B5BE6">
        <w:t xml:space="preserve"> and intimidation</w:t>
      </w:r>
      <w:r w:rsidR="005967C7" w:rsidRPr="007B5BE6">
        <w:t>,</w:t>
      </w:r>
      <w:r w:rsidRPr="007B5BE6">
        <w:t xml:space="preserve"> and contravention of civil family violence orders.</w:t>
      </w:r>
      <w:r w:rsidR="00A82AB6" w:rsidRPr="007B5BE6">
        <w:rPr>
          <w:rStyle w:val="FootnoteReference"/>
        </w:rPr>
        <w:footnoteReference w:id="267"/>
      </w:r>
    </w:p>
    <w:p w14:paraId="53611648" w14:textId="69077DF9" w:rsidR="003B0F65" w:rsidRPr="007B5BE6" w:rsidRDefault="003B0F65" w:rsidP="003B0F65">
      <w:pPr>
        <w:pStyle w:val="NormalNumberedTextTLRI"/>
      </w:pPr>
      <w:r w:rsidRPr="007B5BE6">
        <w:lastRenderedPageBreak/>
        <w:t xml:space="preserve">The </w:t>
      </w:r>
      <w:r w:rsidRPr="007B5BE6">
        <w:rPr>
          <w:i/>
          <w:iCs/>
        </w:rPr>
        <w:t>Family Violence Act 2004</w:t>
      </w:r>
      <w:r w:rsidRPr="007B5BE6">
        <w:t xml:space="preserve"> (Tas) is a key component of the Safe at Home framework. The framework also involves a multi-disciplinary approach to the management of family violence cases overseen by the Safe at Home Coordination Unit in the Department of Justice and 12 business units across five partner agencies working together.</w:t>
      </w:r>
      <w:r w:rsidR="00287C43" w:rsidRPr="007B5BE6">
        <w:rPr>
          <w:rStyle w:val="FootnoteReference"/>
        </w:rPr>
        <w:footnoteReference w:id="268"/>
      </w:r>
      <w:r w:rsidRPr="007B5BE6">
        <w:t xml:space="preserve"> Combining these elements, Safe at Home comprises Tasmanian Government’s integrated criminal justice response to family violence that:</w:t>
      </w:r>
    </w:p>
    <w:p w14:paraId="4EA0A61E" w14:textId="55615FA5" w:rsidR="003B0F65" w:rsidRPr="007B5BE6" w:rsidRDefault="003B0F65" w:rsidP="00276EBE">
      <w:pPr>
        <w:pStyle w:val="Indentedquote"/>
        <w:rPr>
          <w:sz w:val="20"/>
          <w:szCs w:val="20"/>
        </w:rPr>
      </w:pPr>
      <w:r w:rsidRPr="007B5BE6">
        <w:rPr>
          <w:sz w:val="20"/>
          <w:szCs w:val="20"/>
        </w:rPr>
        <w:t>involves a range of services working together to address the risk of and safety needs of victim</w:t>
      </w:r>
      <w:r w:rsidR="0076552C" w:rsidRPr="007B5BE6">
        <w:rPr>
          <w:sz w:val="20"/>
          <w:szCs w:val="20"/>
        </w:rPr>
        <w:t xml:space="preserve">-survivors and their </w:t>
      </w:r>
      <w:r w:rsidRPr="007B5BE6">
        <w:rPr>
          <w:sz w:val="20"/>
          <w:szCs w:val="20"/>
        </w:rPr>
        <w:t>children</w:t>
      </w:r>
      <w:r w:rsidR="00AF317B" w:rsidRPr="007B5BE6">
        <w:rPr>
          <w:sz w:val="20"/>
          <w:szCs w:val="20"/>
        </w:rPr>
        <w:t>, while</w:t>
      </w:r>
      <w:r w:rsidRPr="007B5BE6">
        <w:rPr>
          <w:sz w:val="20"/>
          <w:szCs w:val="20"/>
        </w:rPr>
        <w:t xml:space="preserve"> holding perpetrators </w:t>
      </w:r>
      <w:r w:rsidR="00AF317B" w:rsidRPr="007B5BE6">
        <w:rPr>
          <w:sz w:val="20"/>
          <w:szCs w:val="20"/>
        </w:rPr>
        <w:t xml:space="preserve">of family violence </w:t>
      </w:r>
      <w:r w:rsidRPr="007B5BE6">
        <w:rPr>
          <w:sz w:val="20"/>
          <w:szCs w:val="20"/>
        </w:rPr>
        <w:t xml:space="preserve">accountable </w:t>
      </w:r>
      <w:r w:rsidR="00AF317B" w:rsidRPr="007B5BE6">
        <w:rPr>
          <w:sz w:val="20"/>
          <w:szCs w:val="20"/>
        </w:rPr>
        <w:t xml:space="preserve">for their behaviour </w:t>
      </w:r>
      <w:r w:rsidRPr="007B5BE6">
        <w:rPr>
          <w:sz w:val="20"/>
          <w:szCs w:val="20"/>
        </w:rPr>
        <w:t>… [and] utilises a pro-intervention policy to address family violence, complemented by a human services approach to support recovery and change.</w:t>
      </w:r>
      <w:r w:rsidR="00C94B6F" w:rsidRPr="007B5BE6">
        <w:rPr>
          <w:rStyle w:val="FootnoteReference"/>
          <w:sz w:val="20"/>
          <w:szCs w:val="20"/>
        </w:rPr>
        <w:footnoteReference w:id="269"/>
      </w:r>
    </w:p>
    <w:p w14:paraId="04119E33" w14:textId="7D20B8A2" w:rsidR="003B0F65" w:rsidRPr="007B5BE6" w:rsidRDefault="003B0F65" w:rsidP="003B0F65">
      <w:pPr>
        <w:pStyle w:val="NormalNumberedTextTLRI"/>
      </w:pPr>
      <w:r w:rsidRPr="007B5BE6">
        <w:t xml:space="preserve">Both the Safe at Home framework and the </w:t>
      </w:r>
      <w:r w:rsidRPr="007B5BE6">
        <w:rPr>
          <w:i/>
          <w:iCs/>
        </w:rPr>
        <w:t xml:space="preserve">Family Violence Act 2004 </w:t>
      </w:r>
      <w:r w:rsidRPr="007B5BE6">
        <w:t xml:space="preserve">(Tas) implement a pro-arrest, pro-charge, pro-prosecution response to family violence in Tasmania. In </w:t>
      </w:r>
      <w:r w:rsidR="005079ED" w:rsidRPr="007B5BE6">
        <w:t xml:space="preserve">the </w:t>
      </w:r>
      <w:r w:rsidRPr="007B5BE6">
        <w:t>administration of the Act,</w:t>
      </w:r>
      <w:r w:rsidRPr="007B5BE6">
        <w:rPr>
          <w:i/>
          <w:iCs/>
        </w:rPr>
        <w:t xml:space="preserve"> </w:t>
      </w:r>
      <w:r w:rsidR="005079ED" w:rsidRPr="007B5BE6">
        <w:t>‘</w:t>
      </w:r>
      <w:r w:rsidRPr="007B5BE6">
        <w:t>the safety, psychological wellbeing and interests of people affected by family violence are the paramount considerations’.</w:t>
      </w:r>
      <w:r w:rsidR="00322656" w:rsidRPr="007B5BE6">
        <w:rPr>
          <w:rStyle w:val="FootnoteReference"/>
        </w:rPr>
        <w:footnoteReference w:id="270"/>
      </w:r>
      <w:r w:rsidRPr="007B5BE6">
        <w:t xml:space="preserve"> Since its introduction in 2004, the Tasmanian Government’s </w:t>
      </w:r>
      <w:r w:rsidR="006D1717" w:rsidRPr="007B5BE6">
        <w:t xml:space="preserve">integrated criminal justice </w:t>
      </w:r>
      <w:r w:rsidRPr="007B5BE6">
        <w:t xml:space="preserve">response to family violence (encapsulated in Safe at Home and the </w:t>
      </w:r>
      <w:r w:rsidRPr="007B5BE6">
        <w:rPr>
          <w:i/>
          <w:iCs/>
        </w:rPr>
        <w:t xml:space="preserve">Family Violence Act 2004 </w:t>
      </w:r>
      <w:r w:rsidRPr="007B5BE6">
        <w:t>(Tas)) has undergone numerous reviews</w:t>
      </w:r>
      <w:r w:rsidR="00322656" w:rsidRPr="007B5BE6">
        <w:rPr>
          <w:rStyle w:val="FootnoteReference"/>
        </w:rPr>
        <w:footnoteReference w:id="271"/>
      </w:r>
      <w:r w:rsidRPr="007B5BE6">
        <w:t xml:space="preserve"> and been progressed through the development of numerous state-level </w:t>
      </w:r>
      <w:r w:rsidR="00A82978" w:rsidRPr="007B5BE6">
        <w:t>A</w:t>
      </w:r>
      <w:r w:rsidRPr="007B5BE6">
        <w:t xml:space="preserve">ction </w:t>
      </w:r>
      <w:r w:rsidR="00A82978" w:rsidRPr="007B5BE6">
        <w:t>P</w:t>
      </w:r>
      <w:r w:rsidRPr="007B5BE6">
        <w:t>lans,</w:t>
      </w:r>
      <w:r w:rsidR="00F816C4" w:rsidRPr="007B5BE6">
        <w:rPr>
          <w:rStyle w:val="FootnoteReference"/>
        </w:rPr>
        <w:footnoteReference w:id="272"/>
      </w:r>
      <w:r w:rsidRPr="007B5BE6">
        <w:t xml:space="preserve"> linked to National Plans aimed at reducing and ending violence against women and children.</w:t>
      </w:r>
      <w:r w:rsidR="007A4CE8" w:rsidRPr="007B5BE6">
        <w:rPr>
          <w:rStyle w:val="FootnoteReference"/>
        </w:rPr>
        <w:footnoteReference w:id="273"/>
      </w:r>
      <w:r w:rsidRPr="007B5BE6">
        <w:t xml:space="preserve"> </w:t>
      </w:r>
    </w:p>
    <w:p w14:paraId="41500C33" w14:textId="77777777" w:rsidR="00361B10" w:rsidRPr="007B5BE6" w:rsidRDefault="00361B10">
      <w:pPr>
        <w:spacing w:after="200" w:line="276" w:lineRule="auto"/>
        <w:jc w:val="left"/>
        <w:rPr>
          <w:b/>
          <w:bCs/>
          <w:sz w:val="32"/>
          <w:szCs w:val="36"/>
        </w:rPr>
      </w:pPr>
      <w:r w:rsidRPr="007B5BE6">
        <w:br w:type="page"/>
      </w:r>
    </w:p>
    <w:p w14:paraId="32EEC114" w14:textId="31DB3369" w:rsidR="003B0F65" w:rsidRPr="007B5BE6" w:rsidRDefault="003B0F65" w:rsidP="009E2BFD">
      <w:pPr>
        <w:pStyle w:val="Headingunnumbered"/>
        <w:spacing w:before="360"/>
      </w:pPr>
      <w:bookmarkStart w:id="52" w:name="_Toc212561747"/>
      <w:r w:rsidRPr="007B5BE6">
        <w:lastRenderedPageBreak/>
        <w:t>Civil restraint orders</w:t>
      </w:r>
      <w:bookmarkEnd w:id="52"/>
    </w:p>
    <w:p w14:paraId="0C71D8BC" w14:textId="20153176" w:rsidR="003B0F65" w:rsidRPr="007B5BE6" w:rsidRDefault="003B0F65" w:rsidP="003B0F65">
      <w:pPr>
        <w:pStyle w:val="NormalNumberedTextTLRI"/>
      </w:pPr>
      <w:r w:rsidRPr="007B5BE6">
        <w:rPr>
          <w:b/>
          <w:bCs/>
        </w:rPr>
        <w:t xml:space="preserve">Restraint orders </w:t>
      </w:r>
      <w:r w:rsidRPr="007B5BE6">
        <w:t xml:space="preserve">are a second category of civil protection orders (in addition to family violence orders) that may apply in response to abuse of older </w:t>
      </w:r>
      <w:r w:rsidR="000914AE" w:rsidRPr="007B5BE6">
        <w:t>Tasmanians</w:t>
      </w:r>
      <w:r w:rsidRPr="007B5BE6">
        <w:t>. While the family violence response is confined to where an older person is experiencing</w:t>
      </w:r>
      <w:r w:rsidR="00E44875" w:rsidRPr="007B5BE6">
        <w:t xml:space="preserve"> specific</w:t>
      </w:r>
      <w:r w:rsidRPr="007B5BE6">
        <w:t xml:space="preserve"> forms of abuse</w:t>
      </w:r>
      <w:r w:rsidR="000107CE" w:rsidRPr="007B5BE6">
        <w:t>,</w:t>
      </w:r>
      <w:r w:rsidRPr="007B5BE6">
        <w:t xml:space="preserve"> in the context of a current or former ‘significant’ intimate partner relationship, there are no such constraints on relationships between people for the restraint order response. </w:t>
      </w:r>
      <w:r w:rsidR="00012CD3" w:rsidRPr="007B5BE6">
        <w:t xml:space="preserve">Like a family violence order (which requires the court to be satisfied that </w:t>
      </w:r>
      <w:r w:rsidR="000107CE" w:rsidRPr="007B5BE6">
        <w:t xml:space="preserve">a </w:t>
      </w:r>
      <w:r w:rsidR="00012CD3" w:rsidRPr="007B5BE6">
        <w:t>person has committed family violence and may again commit family violence), the circumstances in which restraint orders can be made require the behaviour to have already occurred and for it to being likely to occur again.</w:t>
      </w:r>
      <w:r w:rsidR="006028A0" w:rsidRPr="007B5BE6">
        <w:t xml:space="preserve"> Therefore, both kinds of orders aim to prevent the re-occurrence or continuation of the behaviour in question. Although there is no equivalent</w:t>
      </w:r>
      <w:r w:rsidR="00CD452B" w:rsidRPr="007B5BE6">
        <w:t xml:space="preserve"> of a police family violence order</w:t>
      </w:r>
      <w:r w:rsidR="006028A0" w:rsidRPr="007B5BE6">
        <w:t xml:space="preserve"> in the </w:t>
      </w:r>
      <w:r w:rsidR="006028A0" w:rsidRPr="007B5BE6">
        <w:rPr>
          <w:i/>
          <w:iCs/>
        </w:rPr>
        <w:t xml:space="preserve">Justices Act 1959 </w:t>
      </w:r>
      <w:r w:rsidR="006028A0" w:rsidRPr="007B5BE6">
        <w:t>(Tas), there is a power for a court to make an interim restraint order without being satisfied that the basis for a restraint order has been established.</w:t>
      </w:r>
      <w:r w:rsidR="003E5D79" w:rsidRPr="007B5BE6">
        <w:rPr>
          <w:rStyle w:val="FootnoteReference"/>
        </w:rPr>
        <w:footnoteReference w:id="274"/>
      </w:r>
    </w:p>
    <w:p w14:paraId="06946E2E" w14:textId="33B42E2E" w:rsidR="003B0F65" w:rsidRPr="007B5BE6" w:rsidRDefault="003B0F65" w:rsidP="003B0F65">
      <w:pPr>
        <w:pStyle w:val="NormalNumberedTextTLRI"/>
      </w:pPr>
      <w:r w:rsidRPr="007B5BE6">
        <w:t xml:space="preserve">The </w:t>
      </w:r>
      <w:r w:rsidRPr="007B5BE6">
        <w:rPr>
          <w:i/>
          <w:iCs/>
        </w:rPr>
        <w:t>Justices Act 1959</w:t>
      </w:r>
      <w:r w:rsidRPr="007B5BE6">
        <w:t xml:space="preserve"> (Tas) allows for </w:t>
      </w:r>
      <w:r w:rsidR="00EF5E8F" w:rsidRPr="007B5BE6">
        <w:t xml:space="preserve">an </w:t>
      </w:r>
      <w:r w:rsidRPr="007B5BE6">
        <w:t>application to</w:t>
      </w:r>
      <w:r w:rsidR="00EF5E8F" w:rsidRPr="007B5BE6">
        <w:t xml:space="preserve"> be made to</w:t>
      </w:r>
      <w:r w:rsidRPr="007B5BE6">
        <w:t xml:space="preserve"> a court</w:t>
      </w:r>
      <w:r w:rsidR="003E5D79" w:rsidRPr="007B5BE6">
        <w:rPr>
          <w:rStyle w:val="FootnoteReference"/>
        </w:rPr>
        <w:footnoteReference w:id="275"/>
      </w:r>
      <w:r w:rsidRPr="007B5BE6">
        <w:t xml:space="preserve"> and the power of a court to grant ‘restraint orders’, for any period considered necessary to protect the protected person.</w:t>
      </w:r>
      <w:r w:rsidR="003E5D79" w:rsidRPr="007B5BE6">
        <w:rPr>
          <w:rStyle w:val="FootnoteReference"/>
        </w:rPr>
        <w:footnoteReference w:id="276"/>
      </w:r>
      <w:r w:rsidRPr="007B5BE6">
        <w:t xml:space="preserve"> These orders impose restraints on a person that are </w:t>
      </w:r>
      <w:r w:rsidR="00112115" w:rsidRPr="007B5BE6">
        <w:t>‘</w:t>
      </w:r>
      <w:r w:rsidRPr="007B5BE6">
        <w:t>necessary or desirable to prevent that person from acting</w:t>
      </w:r>
      <w:r w:rsidR="00AF608C" w:rsidRPr="007B5BE6">
        <w:t>’</w:t>
      </w:r>
      <w:r w:rsidRPr="007B5BE6">
        <w:t xml:space="preserve"> in certain way, including:</w:t>
      </w:r>
    </w:p>
    <w:p w14:paraId="075391F0" w14:textId="77777777" w:rsidR="003B0F65" w:rsidRPr="007B5BE6" w:rsidRDefault="003B0F65" w:rsidP="003B0F65">
      <w:pPr>
        <w:pStyle w:val="DotPointTLRI"/>
      </w:pPr>
      <w:r w:rsidRPr="007B5BE6">
        <w:t>behaviour causing injury to people or property damage where it is likely to occur again;</w:t>
      </w:r>
    </w:p>
    <w:p w14:paraId="2C1252A5" w14:textId="77777777" w:rsidR="003B0F65" w:rsidRPr="007B5BE6" w:rsidRDefault="003B0F65" w:rsidP="003B0F65">
      <w:pPr>
        <w:pStyle w:val="DotPointTLRI"/>
      </w:pPr>
      <w:r w:rsidRPr="007B5BE6">
        <w:t>threats to injure or damage property, which are likely to be carried out;</w:t>
      </w:r>
    </w:p>
    <w:p w14:paraId="55F94F18" w14:textId="77777777" w:rsidR="003B0F65" w:rsidRPr="007B5BE6" w:rsidRDefault="003B0F65" w:rsidP="003B0F65">
      <w:pPr>
        <w:pStyle w:val="DotPointTLRI"/>
      </w:pPr>
      <w:r w:rsidRPr="007B5BE6">
        <w:t xml:space="preserve">provocative or offensive behaviour, which is likely to lead to a breach of the peace; and </w:t>
      </w:r>
    </w:p>
    <w:p w14:paraId="585C2CAD" w14:textId="36295514" w:rsidR="003B0F65" w:rsidRPr="007B5BE6" w:rsidRDefault="003B0F65" w:rsidP="003B0F65">
      <w:pPr>
        <w:pStyle w:val="DotPointTLRI"/>
      </w:pPr>
      <w:r w:rsidRPr="007B5BE6">
        <w:t>stalking of specified people.</w:t>
      </w:r>
      <w:r w:rsidR="003E5D79" w:rsidRPr="007B5BE6">
        <w:rPr>
          <w:rStyle w:val="FootnoteReference"/>
        </w:rPr>
        <w:footnoteReference w:id="277"/>
      </w:r>
      <w:r w:rsidRPr="007B5BE6">
        <w:t xml:space="preserve"> </w:t>
      </w:r>
    </w:p>
    <w:p w14:paraId="632AC455" w14:textId="73D00276" w:rsidR="003B0F65" w:rsidRPr="007B5BE6" w:rsidRDefault="003B0F65" w:rsidP="003B0F65">
      <w:pPr>
        <w:pStyle w:val="NormalNumberedTextTLRI"/>
      </w:pPr>
      <w:r w:rsidRPr="007B5BE6">
        <w:t xml:space="preserve">As with the </w:t>
      </w:r>
      <w:r w:rsidRPr="007B5BE6">
        <w:rPr>
          <w:i/>
          <w:iCs/>
        </w:rPr>
        <w:t>Family Violence Act</w:t>
      </w:r>
      <w:r w:rsidR="00BA7A56" w:rsidRPr="007B5BE6">
        <w:rPr>
          <w:i/>
          <w:iCs/>
        </w:rPr>
        <w:t xml:space="preserve"> 2004 </w:t>
      </w:r>
      <w:r w:rsidR="00BA7A56" w:rsidRPr="007B5BE6">
        <w:t>(Tas)</w:t>
      </w:r>
      <w:r w:rsidRPr="007B5BE6">
        <w:rPr>
          <w:i/>
          <w:iCs/>
        </w:rPr>
        <w:t xml:space="preserve">, </w:t>
      </w:r>
      <w:r w:rsidRPr="007B5BE6">
        <w:t>where the safety, psychological wellbeing and interests of people affected by family violence is a paramount consideration, the protection and welfare of the person for whose benefit the restraint order is sought is also of ‘paramount importance’ in the decision to make a restraint order</w:t>
      </w:r>
      <w:r w:rsidR="003E5D79" w:rsidRPr="007B5BE6">
        <w:rPr>
          <w:rStyle w:val="FootnoteReference"/>
        </w:rPr>
        <w:footnoteReference w:id="278"/>
      </w:r>
      <w:r w:rsidRPr="007B5BE6">
        <w:t xml:space="preserve"> and in any other included orders.</w:t>
      </w:r>
      <w:r w:rsidR="003E5D79" w:rsidRPr="007B5BE6">
        <w:rPr>
          <w:rStyle w:val="FootnoteReference"/>
        </w:rPr>
        <w:footnoteReference w:id="279"/>
      </w:r>
      <w:r w:rsidRPr="007B5BE6">
        <w:t xml:space="preserve"> Several </w:t>
      </w:r>
      <w:r w:rsidR="00013E75" w:rsidRPr="007B5BE6">
        <w:t xml:space="preserve">of the </w:t>
      </w:r>
      <w:r w:rsidRPr="007B5BE6">
        <w:t>legislative factors</w:t>
      </w:r>
      <w:r w:rsidR="00013E75" w:rsidRPr="007B5BE6">
        <w:t>,</w:t>
      </w:r>
      <w:r w:rsidRPr="007B5BE6">
        <w:t xml:space="preserve"> required to be considered by courts in the decision to make a restraint order and decision to include any additional orders</w:t>
      </w:r>
      <w:r w:rsidR="00013E75" w:rsidRPr="007B5BE6">
        <w:t>,</w:t>
      </w:r>
      <w:r w:rsidRPr="007B5BE6">
        <w:t xml:space="preserve"> reflect a recognition that there may be </w:t>
      </w:r>
      <w:r w:rsidR="009922F8" w:rsidRPr="007B5BE6">
        <w:t xml:space="preserve">a </w:t>
      </w:r>
      <w:r w:rsidRPr="007B5BE6">
        <w:t>family relationship between the protected person and the restrained person.</w:t>
      </w:r>
      <w:r w:rsidR="003E5D79" w:rsidRPr="007B5BE6">
        <w:rPr>
          <w:rStyle w:val="FootnoteReference"/>
        </w:rPr>
        <w:footnoteReference w:id="280"/>
      </w:r>
      <w:r w:rsidRPr="007B5BE6">
        <w:t xml:space="preserve">  </w:t>
      </w:r>
    </w:p>
    <w:p w14:paraId="5188B339" w14:textId="77777777" w:rsidR="00361B10" w:rsidRPr="007B5BE6" w:rsidRDefault="00361B10">
      <w:pPr>
        <w:spacing w:after="200" w:line="276" w:lineRule="auto"/>
        <w:jc w:val="left"/>
        <w:rPr>
          <w:b/>
          <w:bCs/>
          <w:sz w:val="32"/>
          <w:szCs w:val="36"/>
        </w:rPr>
      </w:pPr>
      <w:r w:rsidRPr="007B5BE6">
        <w:br w:type="page"/>
      </w:r>
    </w:p>
    <w:p w14:paraId="7ABAE8C3" w14:textId="36F0DE30" w:rsidR="003B0F65" w:rsidRPr="007B5BE6" w:rsidRDefault="003B0F65" w:rsidP="009E2BFD">
      <w:pPr>
        <w:pStyle w:val="Headingunnumbered"/>
        <w:spacing w:before="360"/>
      </w:pPr>
      <w:bookmarkStart w:id="53" w:name="_Toc212561748"/>
      <w:r w:rsidRPr="007B5BE6">
        <w:lastRenderedPageBreak/>
        <w:t xml:space="preserve">Legislative frameworks governing </w:t>
      </w:r>
      <w:r w:rsidR="00750DF6" w:rsidRPr="007B5BE6">
        <w:t xml:space="preserve">financial, </w:t>
      </w:r>
      <w:r w:rsidR="00412816" w:rsidRPr="007B5BE6">
        <w:t xml:space="preserve">medical, </w:t>
      </w:r>
      <w:r w:rsidR="00750DF6" w:rsidRPr="007B5BE6">
        <w:t xml:space="preserve">personal and lifestyle </w:t>
      </w:r>
      <w:r w:rsidRPr="007B5BE6">
        <w:t>decision</w:t>
      </w:r>
      <w:r w:rsidR="00877588" w:rsidRPr="007B5BE6">
        <w:t xml:space="preserve"> </w:t>
      </w:r>
      <w:r w:rsidRPr="007B5BE6">
        <w:t>making</w:t>
      </w:r>
      <w:r w:rsidR="00C72F79" w:rsidRPr="007B5BE6">
        <w:t>,</w:t>
      </w:r>
      <w:r w:rsidRPr="007B5BE6">
        <w:t xml:space="preserve"> </w:t>
      </w:r>
      <w:r w:rsidR="00A10351" w:rsidRPr="007B5BE6">
        <w:t>and end-of-life decisions</w:t>
      </w:r>
      <w:bookmarkEnd w:id="53"/>
    </w:p>
    <w:p w14:paraId="6F8072A7" w14:textId="7BF60F4A" w:rsidR="003B0F65" w:rsidRPr="007B5BE6" w:rsidRDefault="00A10351" w:rsidP="003B0F65">
      <w:pPr>
        <w:pStyle w:val="NormalNumberedTextTLRI"/>
      </w:pPr>
      <w:r w:rsidRPr="007B5BE6">
        <w:rPr>
          <w:b/>
          <w:bCs/>
        </w:rPr>
        <w:t>Legislative frameworks</w:t>
      </w:r>
      <w:r w:rsidR="00D12BD0" w:rsidRPr="007B5BE6">
        <w:rPr>
          <w:b/>
          <w:bCs/>
        </w:rPr>
        <w:t xml:space="preserve"> governing financial, medical, personal and lifestyle decision</w:t>
      </w:r>
      <w:r w:rsidR="00877588" w:rsidRPr="007B5BE6">
        <w:rPr>
          <w:b/>
          <w:bCs/>
        </w:rPr>
        <w:t xml:space="preserve"> </w:t>
      </w:r>
      <w:r w:rsidR="00D12BD0" w:rsidRPr="007B5BE6">
        <w:rPr>
          <w:b/>
          <w:bCs/>
        </w:rPr>
        <w:t>making and end-of-life decisions</w:t>
      </w:r>
      <w:r w:rsidR="00D12BD0" w:rsidRPr="007B5BE6">
        <w:t xml:space="preserve"> </w:t>
      </w:r>
      <w:r w:rsidR="00042041" w:rsidRPr="007B5BE6">
        <w:t>comprise</w:t>
      </w:r>
      <w:r w:rsidRPr="007B5BE6">
        <w:t xml:space="preserve"> Tasmanian law</w:t>
      </w:r>
      <w:r w:rsidR="00042041" w:rsidRPr="007B5BE6">
        <w:t>s</w:t>
      </w:r>
      <w:r w:rsidRPr="007B5BE6">
        <w:t xml:space="preserve"> </w:t>
      </w:r>
      <w:r w:rsidR="00D345FA" w:rsidRPr="007B5BE6">
        <w:t>establish</w:t>
      </w:r>
      <w:r w:rsidR="00AA27B2" w:rsidRPr="007B5BE6">
        <w:t xml:space="preserve">ed to </w:t>
      </w:r>
      <w:r w:rsidR="00D12BD0" w:rsidRPr="007B5BE6">
        <w:t xml:space="preserve">protect and uphold the rights of </w:t>
      </w:r>
      <w:proofErr w:type="gramStart"/>
      <w:r w:rsidR="00592620" w:rsidRPr="007B5BE6">
        <w:t>people</w:t>
      </w:r>
      <w:r w:rsidR="003054BE" w:rsidRPr="007B5BE6">
        <w:t>,</w:t>
      </w:r>
      <w:r w:rsidR="00D12BD0" w:rsidRPr="007B5BE6">
        <w:t xml:space="preserve"> and</w:t>
      </w:r>
      <w:proofErr w:type="gramEnd"/>
      <w:r w:rsidR="00D12BD0" w:rsidRPr="007B5BE6">
        <w:t xml:space="preserve"> provide safeguards against abuse that can be perpetrated </w:t>
      </w:r>
      <w:r w:rsidR="005C4D95" w:rsidRPr="007B5BE6">
        <w:t xml:space="preserve">against them, </w:t>
      </w:r>
      <w:r w:rsidR="00D12BD0" w:rsidRPr="007B5BE6">
        <w:t xml:space="preserve">in these </w:t>
      </w:r>
      <w:r w:rsidR="00AA27B2" w:rsidRPr="007B5BE6">
        <w:t>areas of decision</w:t>
      </w:r>
      <w:r w:rsidR="00877588" w:rsidRPr="007B5BE6">
        <w:t xml:space="preserve"> </w:t>
      </w:r>
      <w:r w:rsidR="00247308" w:rsidRPr="007B5BE6">
        <w:t>making</w:t>
      </w:r>
      <w:r w:rsidR="00D12BD0" w:rsidRPr="007B5BE6">
        <w:t xml:space="preserve">. </w:t>
      </w:r>
      <w:r w:rsidR="003B0F65" w:rsidRPr="007B5BE6">
        <w:t>Importantly,</w:t>
      </w:r>
      <w:r w:rsidR="00D12BD0" w:rsidRPr="007B5BE6">
        <w:t xml:space="preserve"> </w:t>
      </w:r>
      <w:r w:rsidR="00177B93" w:rsidRPr="007B5BE6">
        <w:t>the</w:t>
      </w:r>
      <w:r w:rsidR="003D1A9D" w:rsidRPr="007B5BE6">
        <w:t>se</w:t>
      </w:r>
      <w:r w:rsidR="007617C7" w:rsidRPr="007B5BE6">
        <w:t xml:space="preserve"> legislative frameworks</w:t>
      </w:r>
      <w:r w:rsidR="003B0F65" w:rsidRPr="007B5BE6">
        <w:t xml:space="preserve"> </w:t>
      </w:r>
      <w:r w:rsidR="00B462CE" w:rsidRPr="007B5BE6">
        <w:t xml:space="preserve">that provide protections and safeguards </w:t>
      </w:r>
      <w:r w:rsidR="003B0F65" w:rsidRPr="007B5BE6">
        <w:t xml:space="preserve">are only applicable as a response to </w:t>
      </w:r>
      <w:r w:rsidR="00EE2252" w:rsidRPr="007B5BE6">
        <w:t xml:space="preserve">abusive </w:t>
      </w:r>
      <w:r w:rsidR="003B0F65" w:rsidRPr="007B5BE6">
        <w:t xml:space="preserve">behaviour against </w:t>
      </w:r>
      <w:r w:rsidR="003B0F65" w:rsidRPr="007B5BE6">
        <w:rPr>
          <w:i/>
          <w:iCs/>
        </w:rPr>
        <w:t>some</w:t>
      </w:r>
      <w:r w:rsidR="003B0F65" w:rsidRPr="007B5BE6">
        <w:t xml:space="preserve"> older </w:t>
      </w:r>
      <w:r w:rsidR="00453801" w:rsidRPr="007B5BE6">
        <w:t>Tasmanians</w:t>
      </w:r>
      <w:r w:rsidR="00E25567" w:rsidRPr="007B5BE6">
        <w:t xml:space="preserve">, </w:t>
      </w:r>
      <w:r w:rsidR="00EE2252" w:rsidRPr="007B5BE6">
        <w:t xml:space="preserve">namely older </w:t>
      </w:r>
      <w:r w:rsidR="00453801" w:rsidRPr="007B5BE6">
        <w:t xml:space="preserve">Tasmanians </w:t>
      </w:r>
      <w:r w:rsidR="00EE2252" w:rsidRPr="007B5BE6">
        <w:t>who</w:t>
      </w:r>
      <w:r w:rsidR="003D1A9D" w:rsidRPr="007B5BE6">
        <w:t xml:space="preserve">se </w:t>
      </w:r>
      <w:r w:rsidR="003B0F65" w:rsidRPr="007B5BE6">
        <w:t>circumstances</w:t>
      </w:r>
      <w:r w:rsidR="00CE14E7" w:rsidRPr="007B5BE6">
        <w:t xml:space="preserve"> come within the</w:t>
      </w:r>
      <w:r w:rsidR="003B0F65" w:rsidRPr="007B5BE6">
        <w:t xml:space="preserve"> specific focus of each framework.</w:t>
      </w:r>
      <w:r w:rsidR="00453801" w:rsidRPr="007B5BE6">
        <w:t xml:space="preserve"> However, while these frameworks are intended to provide appropriate safeguards against abuse in these areas</w:t>
      </w:r>
      <w:r w:rsidR="00D82DBD" w:rsidRPr="007B5BE6">
        <w:t xml:space="preserve"> of decision</w:t>
      </w:r>
      <w:r w:rsidR="00877588" w:rsidRPr="007B5BE6">
        <w:t xml:space="preserve"> </w:t>
      </w:r>
      <w:r w:rsidR="00D82DBD" w:rsidRPr="007B5BE6">
        <w:t>making</w:t>
      </w:r>
      <w:r w:rsidR="00453801" w:rsidRPr="007B5BE6">
        <w:t>, the arrangements they may make available can create a means for perpetrating abuse against people who are subject to these laws, including older Tasmanians.</w:t>
      </w:r>
      <w:r w:rsidR="003B0F65" w:rsidRPr="007B5BE6">
        <w:t xml:space="preserve">  </w:t>
      </w:r>
    </w:p>
    <w:p w14:paraId="2DBB6D93" w14:textId="39250CFB" w:rsidR="003B0F65" w:rsidRPr="007B5BE6" w:rsidRDefault="00CE14E7" w:rsidP="003B0F65">
      <w:pPr>
        <w:pStyle w:val="NormalNumberedTextTLRI"/>
      </w:pPr>
      <w:r w:rsidRPr="007B5BE6">
        <w:t>L</w:t>
      </w:r>
      <w:r w:rsidR="003B0F65" w:rsidRPr="007B5BE6">
        <w:t xml:space="preserve">egislative frameworks </w:t>
      </w:r>
      <w:r w:rsidRPr="007B5BE6">
        <w:t xml:space="preserve">exist </w:t>
      </w:r>
      <w:r w:rsidR="003B0F65" w:rsidRPr="007B5BE6">
        <w:t xml:space="preserve">to </w:t>
      </w:r>
      <w:r w:rsidR="00556E26" w:rsidRPr="007B5BE6">
        <w:t>enable</w:t>
      </w:r>
      <w:r w:rsidR="003B0F65" w:rsidRPr="007B5BE6">
        <w:t xml:space="preserve"> </w:t>
      </w:r>
      <w:r w:rsidR="00556E26" w:rsidRPr="007B5BE6">
        <w:t xml:space="preserve">the making of </w:t>
      </w:r>
      <w:r w:rsidR="003B0F65" w:rsidRPr="007B5BE6">
        <w:t>formal legal arrangement</w:t>
      </w:r>
      <w:r w:rsidR="00556E26" w:rsidRPr="007B5BE6">
        <w:t xml:space="preserve">s </w:t>
      </w:r>
      <w:r w:rsidR="003B0F65" w:rsidRPr="007B5BE6">
        <w:t xml:space="preserve">that allow a person to be appointed to make certain decisions </w:t>
      </w:r>
      <w:r w:rsidR="00556E26" w:rsidRPr="007B5BE6">
        <w:t xml:space="preserve">on behalf of </w:t>
      </w:r>
      <w:r w:rsidR="003B0F65" w:rsidRPr="007B5BE6">
        <w:t xml:space="preserve">another person with impaired decision-making ability. These include: </w:t>
      </w:r>
    </w:p>
    <w:p w14:paraId="0A677274" w14:textId="5D6FC383" w:rsidR="003B0F65" w:rsidRPr="007B5BE6" w:rsidRDefault="003B0F65" w:rsidP="003B0F65">
      <w:pPr>
        <w:pStyle w:val="DotPointTLRI"/>
      </w:pPr>
      <w:r w:rsidRPr="007B5BE6">
        <w:rPr>
          <w:b/>
        </w:rPr>
        <w:t>financial decision</w:t>
      </w:r>
      <w:r w:rsidR="00877588" w:rsidRPr="007B5BE6">
        <w:rPr>
          <w:b/>
        </w:rPr>
        <w:t xml:space="preserve"> </w:t>
      </w:r>
      <w:r w:rsidRPr="007B5BE6">
        <w:rPr>
          <w:b/>
        </w:rPr>
        <w:t>making</w:t>
      </w:r>
      <w:r w:rsidRPr="007B5BE6">
        <w:t xml:space="preserve">, including enduring powers of attorney, general powers of attorney and administration orders (regulated in Tasmania under the </w:t>
      </w:r>
      <w:r w:rsidRPr="007B5BE6">
        <w:rPr>
          <w:i/>
          <w:iCs/>
        </w:rPr>
        <w:t>Powers of Attorney Act 2000</w:t>
      </w:r>
      <w:r w:rsidRPr="007B5BE6">
        <w:t xml:space="preserve"> (Tas) for powers of attorney</w:t>
      </w:r>
      <w:r w:rsidR="00400B19" w:rsidRPr="007B5BE6">
        <w:t>,</w:t>
      </w:r>
      <w:r w:rsidRPr="007B5BE6">
        <w:t xml:space="preserve"> and the </w:t>
      </w:r>
      <w:r w:rsidRPr="007B5BE6">
        <w:rPr>
          <w:i/>
          <w:iCs/>
        </w:rPr>
        <w:t>Guardianship and Administration Act 1995</w:t>
      </w:r>
      <w:r w:rsidRPr="007B5BE6">
        <w:t xml:space="preserve"> (Tas) for administration orders); and </w:t>
      </w:r>
    </w:p>
    <w:p w14:paraId="3D9E7BA5" w14:textId="23AC59A0" w:rsidR="003B0F65" w:rsidRPr="007B5BE6" w:rsidRDefault="003B0F65" w:rsidP="003B0F65">
      <w:pPr>
        <w:pStyle w:val="DotPointTLRI"/>
      </w:pPr>
      <w:r w:rsidRPr="007B5BE6">
        <w:rPr>
          <w:b/>
        </w:rPr>
        <w:t>medical, personal and lifestyle decision</w:t>
      </w:r>
      <w:r w:rsidR="00877588" w:rsidRPr="007B5BE6">
        <w:rPr>
          <w:b/>
        </w:rPr>
        <w:t xml:space="preserve"> </w:t>
      </w:r>
      <w:r w:rsidRPr="007B5BE6">
        <w:rPr>
          <w:b/>
        </w:rPr>
        <w:t>making</w:t>
      </w:r>
      <w:r w:rsidRPr="007B5BE6">
        <w:rPr>
          <w:bCs/>
        </w:rPr>
        <w:t>,</w:t>
      </w:r>
      <w:r w:rsidRPr="007B5BE6">
        <w:t xml:space="preserve"> including guardianship, enduring guardianship and advance care directives (regulated in Tasmania under the </w:t>
      </w:r>
      <w:r w:rsidRPr="007B5BE6">
        <w:rPr>
          <w:i/>
          <w:iCs/>
        </w:rPr>
        <w:t>Guardianship and Administration Ac 1995</w:t>
      </w:r>
      <w:r w:rsidRPr="007B5BE6">
        <w:t xml:space="preserve"> (Tas)).</w:t>
      </w:r>
    </w:p>
    <w:p w14:paraId="2D08483D" w14:textId="25F70B38" w:rsidR="003B0F65" w:rsidRPr="007B5BE6" w:rsidRDefault="00400B19" w:rsidP="003B0F65">
      <w:pPr>
        <w:pStyle w:val="NormalNumberedTextTLRI"/>
      </w:pPr>
      <w:r w:rsidRPr="007B5BE6">
        <w:t>A</w:t>
      </w:r>
      <w:r w:rsidR="003B0F65" w:rsidRPr="007B5BE6">
        <w:t xml:space="preserve"> legislative framework</w:t>
      </w:r>
      <w:r w:rsidRPr="007B5BE6">
        <w:t xml:space="preserve"> also exists</w:t>
      </w:r>
      <w:r w:rsidR="003B0F65" w:rsidRPr="007B5BE6">
        <w:t xml:space="preserve"> for regulating </w:t>
      </w:r>
      <w:r w:rsidR="003B0F65" w:rsidRPr="007B5BE6">
        <w:rPr>
          <w:b/>
          <w:bCs/>
        </w:rPr>
        <w:t>end-of-life decisions</w:t>
      </w:r>
      <w:r w:rsidR="003B0F65" w:rsidRPr="007B5BE6">
        <w:t xml:space="preserve"> and the process of voluntary assisted dying under the </w:t>
      </w:r>
      <w:r w:rsidR="003B0F65" w:rsidRPr="007B5BE6">
        <w:rPr>
          <w:i/>
          <w:iCs/>
        </w:rPr>
        <w:t>End-of-Life Choices (Voluntary Assisted Dying) Act 2021</w:t>
      </w:r>
      <w:r w:rsidR="003B0F65" w:rsidRPr="007B5BE6">
        <w:t xml:space="preserve"> (Tas). </w:t>
      </w:r>
    </w:p>
    <w:p w14:paraId="31C8167D" w14:textId="77777777" w:rsidR="003B0F65" w:rsidRPr="007B5BE6" w:rsidRDefault="003B0F65" w:rsidP="009E2BFD">
      <w:pPr>
        <w:pStyle w:val="Sub-HeadingTLRI"/>
        <w:spacing w:before="360"/>
      </w:pPr>
      <w:bookmarkStart w:id="54" w:name="_Toc212561749"/>
      <w:r w:rsidRPr="007B5BE6">
        <w:t>Protections for older people with impaired decision-making ability: financial</w:t>
      </w:r>
      <w:bookmarkEnd w:id="54"/>
    </w:p>
    <w:p w14:paraId="64139A71" w14:textId="18DD2FC6" w:rsidR="003B0F65" w:rsidRPr="007B5BE6" w:rsidRDefault="003B0F65" w:rsidP="003B0F65">
      <w:pPr>
        <w:pStyle w:val="NormalNumberedTextTLRI"/>
      </w:pPr>
      <w:r w:rsidRPr="007B5BE6">
        <w:t xml:space="preserve">General and enduring powers of attorney are instruments under the </w:t>
      </w:r>
      <w:r w:rsidRPr="007B5BE6">
        <w:rPr>
          <w:i/>
          <w:iCs/>
        </w:rPr>
        <w:t xml:space="preserve">Powers of Attorney Act 2000 </w:t>
      </w:r>
      <w:r w:rsidRPr="007B5BE6">
        <w:t>(Tas) that allow an appointed person to make financial decisions on behalf of another person. Enduring powers of attorney are particularly relevant in the context of financial abuse of older people</w:t>
      </w:r>
      <w:r w:rsidR="006126F1" w:rsidRPr="007B5BE6">
        <w:t>.</w:t>
      </w:r>
      <w:r w:rsidR="00950EF8" w:rsidRPr="007B5BE6">
        <w:rPr>
          <w:rStyle w:val="FootnoteReference"/>
        </w:rPr>
        <w:footnoteReference w:id="281"/>
      </w:r>
      <w:r w:rsidRPr="007B5BE6">
        <w:t xml:space="preserve"> </w:t>
      </w:r>
      <w:r w:rsidR="006126F1" w:rsidRPr="007B5BE6">
        <w:t xml:space="preserve">Enduring powers of attorney </w:t>
      </w:r>
      <w:r w:rsidRPr="007B5BE6">
        <w:t>involve a person (the principal or donor) appointing another perso</w:t>
      </w:r>
      <w:r w:rsidR="003D7A71" w:rsidRPr="007B5BE6">
        <w:t>n—e</w:t>
      </w:r>
      <w:r w:rsidRPr="007B5BE6">
        <w:t>ither an individual(s) or a ‘legal person’ such as the Public Truste</w:t>
      </w:r>
      <w:r w:rsidR="003D7A71" w:rsidRPr="007B5BE6">
        <w:t>e—a</w:t>
      </w:r>
      <w:r w:rsidRPr="007B5BE6">
        <w:t>s their attorney (the appointee or attorney) to make financial decisions on their behalf</w:t>
      </w:r>
      <w:r w:rsidR="007A3B30" w:rsidRPr="007B5BE6">
        <w:t xml:space="preserve">, </w:t>
      </w:r>
      <w:r w:rsidRPr="007B5BE6">
        <w:t>if the ‘principal lose[s] decision-making capacity in the future’.</w:t>
      </w:r>
      <w:r w:rsidR="00950EF8" w:rsidRPr="007B5BE6">
        <w:rPr>
          <w:rStyle w:val="FootnoteReference"/>
        </w:rPr>
        <w:footnoteReference w:id="282"/>
      </w:r>
      <w:r w:rsidRPr="007B5BE6">
        <w:t xml:space="preserve"> Enduring powers of attorney are intended to promote the best interests of the principal by allowing them to make the choice as to who will make such financial decisions on their behalf in the future</w:t>
      </w:r>
      <w:r w:rsidR="008578EB" w:rsidRPr="007B5BE6">
        <w:t>.</w:t>
      </w:r>
      <w:r w:rsidR="00950EF8" w:rsidRPr="007B5BE6">
        <w:rPr>
          <w:rStyle w:val="FootnoteReference"/>
        </w:rPr>
        <w:footnoteReference w:id="283"/>
      </w:r>
      <w:r w:rsidRPr="007B5BE6">
        <w:t xml:space="preserve"> </w:t>
      </w:r>
      <w:r w:rsidR="008578EB" w:rsidRPr="007B5BE6">
        <w:t>I</w:t>
      </w:r>
      <w:r w:rsidRPr="007B5BE6">
        <w:t>n this way, enduring powers of attorney are intended to safeguard or provide protection from financial abuse.</w:t>
      </w:r>
    </w:p>
    <w:p w14:paraId="5F18C381" w14:textId="579E954D" w:rsidR="003B0F65" w:rsidRPr="007B5BE6" w:rsidRDefault="003B0F65" w:rsidP="003B0F65">
      <w:pPr>
        <w:pStyle w:val="NormalNumberedTextTLRI"/>
      </w:pPr>
      <w:r w:rsidRPr="007B5BE6">
        <w:t xml:space="preserve">The </w:t>
      </w:r>
      <w:r w:rsidRPr="007B5BE6">
        <w:rPr>
          <w:i/>
        </w:rPr>
        <w:t>Powers of Attorney Act 2000</w:t>
      </w:r>
      <w:r w:rsidRPr="007B5BE6">
        <w:t xml:space="preserve"> (Tas) sets out the statutory obligations of an attorney as the ‘trustee’ of the property of the donor and requires the </w:t>
      </w:r>
      <w:r w:rsidR="006C0BDA" w:rsidRPr="007B5BE6">
        <w:t xml:space="preserve">attorney </w:t>
      </w:r>
      <w:r w:rsidRPr="007B5BE6">
        <w:t xml:space="preserve">to exercise their powers to protect the interests of the donor. If an attorney fails to do this, then the attorney is liable to compensate the donor </w:t>
      </w:r>
      <w:r w:rsidRPr="007B5BE6">
        <w:lastRenderedPageBreak/>
        <w:t>for any loss occasioned.</w:t>
      </w:r>
      <w:r w:rsidR="00950EF8" w:rsidRPr="007B5BE6">
        <w:rPr>
          <w:rStyle w:val="FootnoteReference"/>
        </w:rPr>
        <w:footnoteReference w:id="284"/>
      </w:r>
      <w:r w:rsidRPr="007B5BE6">
        <w:t xml:space="preserve"> Further, an attorney must keep any property of the donor separate from the property of the donor, and it is an offence not to do so.</w:t>
      </w:r>
      <w:r w:rsidR="00950EF8" w:rsidRPr="007B5BE6">
        <w:rPr>
          <w:rStyle w:val="FootnoteReference"/>
        </w:rPr>
        <w:footnoteReference w:id="285"/>
      </w:r>
      <w:r w:rsidRPr="007B5BE6">
        <w:t xml:space="preserve"> It is also an offence not to keep accurate records of all dealings and transactions made as the attorney.</w:t>
      </w:r>
      <w:r w:rsidR="00950EF8" w:rsidRPr="007B5BE6">
        <w:rPr>
          <w:rStyle w:val="FootnoteReference"/>
        </w:rPr>
        <w:footnoteReference w:id="286"/>
      </w:r>
      <w:r w:rsidRPr="007B5BE6">
        <w:t xml:space="preserve"> Other statutory duties relate to conflicts of interest.</w:t>
      </w:r>
      <w:r w:rsidR="00950EF8" w:rsidRPr="007B5BE6">
        <w:rPr>
          <w:rStyle w:val="FootnoteReference"/>
        </w:rPr>
        <w:footnoteReference w:id="287"/>
      </w:r>
      <w:r w:rsidRPr="007B5BE6">
        <w:t xml:space="preserve"> There are other offences created under the </w:t>
      </w:r>
      <w:r w:rsidRPr="007B5BE6">
        <w:rPr>
          <w:i/>
          <w:iCs/>
        </w:rPr>
        <w:t>Powers of Attorney Act 2000</w:t>
      </w:r>
      <w:r w:rsidRPr="007B5BE6">
        <w:t xml:space="preserve"> (Tas).</w:t>
      </w:r>
      <w:r w:rsidR="00950EF8" w:rsidRPr="007B5BE6">
        <w:rPr>
          <w:rStyle w:val="FootnoteReference"/>
        </w:rPr>
        <w:footnoteReference w:id="288"/>
      </w:r>
      <w:r w:rsidRPr="007B5BE6">
        <w:t xml:space="preserve"> These offences do not include dishonestly inducing the donor to make a power of attorney, although under the Act, the Tasmanian Civil and Administrative Tribunal (</w:t>
      </w:r>
      <w:r w:rsidR="007D0825" w:rsidRPr="007B5BE6">
        <w:t>‘</w:t>
      </w:r>
      <w:r w:rsidRPr="007B5BE6">
        <w:t>TASCAT</w:t>
      </w:r>
      <w:r w:rsidR="007D0825" w:rsidRPr="007B5BE6">
        <w:t>’</w:t>
      </w:r>
      <w:r w:rsidRPr="007B5BE6">
        <w:t>) can review the enduring power of attorney and can order that it is invalid</w:t>
      </w:r>
      <w:r w:rsidR="003E63E4" w:rsidRPr="007B5BE6">
        <w:t xml:space="preserve"> because</w:t>
      </w:r>
      <w:r w:rsidRPr="007B5BE6">
        <w:t xml:space="preserve"> the ‘donor was induced to make it by dishonesty or undue influence or invalid for another reason’.</w:t>
      </w:r>
      <w:r w:rsidR="00950EF8" w:rsidRPr="007B5BE6">
        <w:rPr>
          <w:rStyle w:val="FootnoteReference"/>
        </w:rPr>
        <w:footnoteReference w:id="289"/>
      </w:r>
      <w:r w:rsidRPr="007B5BE6">
        <w:t xml:space="preserve"> </w:t>
      </w:r>
    </w:p>
    <w:p w14:paraId="54111FA0" w14:textId="695EE5A0" w:rsidR="003B0F65" w:rsidRPr="007B5BE6" w:rsidRDefault="003B0F65" w:rsidP="003B0F65">
      <w:pPr>
        <w:pStyle w:val="NormalNumberedTextTLRI"/>
      </w:pPr>
      <w:r w:rsidRPr="007B5BE6">
        <w:t>In addition, a person without legal capacity (and who does not have an enduring power of attorney) may be subject to an administration order. Administration orders are decisions that appoint a person, or a body</w:t>
      </w:r>
      <w:r w:rsidR="00EB1BDD" w:rsidRPr="007B5BE6">
        <w:t xml:space="preserve"> (</w:t>
      </w:r>
      <w:r w:rsidRPr="007B5BE6">
        <w:t>such as the Public Trustee or the Public Guardian</w:t>
      </w:r>
      <w:r w:rsidR="00EB1BDD" w:rsidRPr="007B5BE6">
        <w:t>)</w:t>
      </w:r>
      <w:r w:rsidRPr="007B5BE6">
        <w:t xml:space="preserve"> as an administrator, meaning that they help a person to manage their finances. The legal framework for financial decision-making </w:t>
      </w:r>
      <w:r w:rsidR="00C00269" w:rsidRPr="007B5BE6">
        <w:t xml:space="preserve">arrangements </w:t>
      </w:r>
      <w:r w:rsidRPr="007B5BE6">
        <w:t>under administration orders is provided by the</w:t>
      </w:r>
      <w:r w:rsidRPr="007B5BE6">
        <w:rPr>
          <w:i/>
          <w:iCs/>
        </w:rPr>
        <w:t xml:space="preserve"> Guardianship and Administration Act 1995</w:t>
      </w:r>
      <w:r w:rsidRPr="007B5BE6">
        <w:t xml:space="preserve"> (Tas). TASACT determines applications for administration</w:t>
      </w:r>
      <w:r w:rsidR="00FA6E4C" w:rsidRPr="007B5BE6">
        <w:rPr>
          <w:rStyle w:val="FootnoteReference"/>
        </w:rPr>
        <w:footnoteReference w:id="290"/>
      </w:r>
      <w:r w:rsidRPr="007B5BE6">
        <w:t xml:space="preserve"> and has the power to review orders.</w:t>
      </w:r>
      <w:r w:rsidR="00FA6E4C" w:rsidRPr="007B5BE6">
        <w:rPr>
          <w:rStyle w:val="FootnoteReference"/>
        </w:rPr>
        <w:footnoteReference w:id="291"/>
      </w:r>
      <w:r w:rsidRPr="007B5BE6">
        <w:t xml:space="preserve"> There are also powers for the administrator to seek permission or advice from TASCAT in relation to the exercise of powers</w:t>
      </w:r>
      <w:r w:rsidR="000D11DA" w:rsidRPr="007B5BE6">
        <w:t xml:space="preserve"> under an administration order</w:t>
      </w:r>
      <w:r w:rsidRPr="007B5BE6">
        <w:t>.</w:t>
      </w:r>
      <w:r w:rsidR="00FA6E4C" w:rsidRPr="007B5BE6">
        <w:rPr>
          <w:rStyle w:val="FootnoteReference"/>
        </w:rPr>
        <w:footnoteReference w:id="292"/>
      </w:r>
      <w:r w:rsidRPr="007B5BE6">
        <w:t xml:space="preserve"> Under the Act, an administrator has </w:t>
      </w:r>
      <w:r w:rsidR="006C7D22" w:rsidRPr="007B5BE6">
        <w:t xml:space="preserve">obligations for </w:t>
      </w:r>
      <w:r w:rsidRPr="007B5BE6">
        <w:t>record keeping and reporting to TASCAT, with penalties attached for non-compliance.</w:t>
      </w:r>
      <w:r w:rsidR="00FA6E4C" w:rsidRPr="007B5BE6">
        <w:rPr>
          <w:rStyle w:val="FootnoteReference"/>
        </w:rPr>
        <w:footnoteReference w:id="293"/>
      </w:r>
      <w:r w:rsidRPr="007B5BE6">
        <w:t xml:space="preserve"> </w:t>
      </w:r>
    </w:p>
    <w:p w14:paraId="2FF72F51" w14:textId="77777777" w:rsidR="003B0F65" w:rsidRPr="007B5BE6" w:rsidRDefault="003B0F65" w:rsidP="009E2BFD">
      <w:pPr>
        <w:pStyle w:val="Sub-HeadingTLRI"/>
        <w:spacing w:before="360"/>
      </w:pPr>
      <w:bookmarkStart w:id="55" w:name="_Toc212561750"/>
      <w:r w:rsidRPr="007B5BE6">
        <w:t>Protections for older people with impaired decision-making ability: medical, personal and lifestyle</w:t>
      </w:r>
      <w:bookmarkEnd w:id="55"/>
    </w:p>
    <w:p w14:paraId="38DF095F" w14:textId="3FDCBAD7" w:rsidR="003B0F65" w:rsidRPr="007B5BE6" w:rsidRDefault="003B0F65" w:rsidP="003B0F65">
      <w:pPr>
        <w:pStyle w:val="NormalNumberedTextTLRI"/>
      </w:pPr>
      <w:r w:rsidRPr="007B5BE6">
        <w:t xml:space="preserve">Guardianship, enduring guardianship and advance care directives are instruments under the </w:t>
      </w:r>
      <w:r w:rsidRPr="007B5BE6">
        <w:rPr>
          <w:i/>
          <w:iCs/>
        </w:rPr>
        <w:t>Guardianship and Administration Act 1995</w:t>
      </w:r>
      <w:r w:rsidRPr="007B5BE6">
        <w:t xml:space="preserve"> (Tas) that allow an appointed person to make personal, medical or lifestyle decisions on behalf of another person. Enduring guardianship orders are particularly relevant in the context of abuse of older people, including physical, emotional or psychological abuse, or neglect. They involve the appointment of another person either an individual(s) or a ‘legal person’</w:t>
      </w:r>
      <w:r w:rsidR="001E2784" w:rsidRPr="007B5BE6">
        <w:t>,</w:t>
      </w:r>
      <w:r w:rsidRPr="007B5BE6">
        <w:t xml:space="preserve"> such as the Public Guardian</w:t>
      </w:r>
      <w:r w:rsidR="001E2784" w:rsidRPr="007B5BE6">
        <w:t>,</w:t>
      </w:r>
      <w:r w:rsidRPr="007B5BE6">
        <w:t xml:space="preserve"> as </w:t>
      </w:r>
      <w:r w:rsidR="001E2784" w:rsidRPr="007B5BE6">
        <w:t xml:space="preserve">a </w:t>
      </w:r>
      <w:r w:rsidRPr="007B5BE6">
        <w:t>guardian to make decisions on behalf of a</w:t>
      </w:r>
      <w:r w:rsidR="001E2784" w:rsidRPr="007B5BE6">
        <w:t>nother</w:t>
      </w:r>
      <w:r w:rsidRPr="007B5BE6">
        <w:t xml:space="preserve"> person (the ‘represented person’) if they lose decision-making </w:t>
      </w:r>
      <w:r w:rsidR="003460A9" w:rsidRPr="007B5BE6">
        <w:t xml:space="preserve">ability </w:t>
      </w:r>
      <w:r w:rsidRPr="007B5BE6">
        <w:t>in the future. Advance care directives are instruments a person can make to set out their wishes in relation to future health decisions</w:t>
      </w:r>
      <w:r w:rsidR="00E0263A" w:rsidRPr="007B5BE6">
        <w:t xml:space="preserve">, which </w:t>
      </w:r>
      <w:r w:rsidRPr="007B5BE6">
        <w:t xml:space="preserve">can used by an enduring guardian </w:t>
      </w:r>
      <w:r w:rsidR="00AA152B" w:rsidRPr="007B5BE6">
        <w:t xml:space="preserve">when </w:t>
      </w:r>
      <w:r w:rsidRPr="007B5BE6">
        <w:t xml:space="preserve">making decisions on their behalf </w:t>
      </w:r>
      <w:r w:rsidR="00AA152B" w:rsidRPr="007B5BE6">
        <w:t xml:space="preserve">if </w:t>
      </w:r>
      <w:r w:rsidRPr="007B5BE6">
        <w:t xml:space="preserve">they no longer have decision-making </w:t>
      </w:r>
      <w:r w:rsidR="003460A9" w:rsidRPr="007B5BE6">
        <w:t>ability</w:t>
      </w:r>
      <w:r w:rsidRPr="007B5BE6">
        <w:t>. Like enduring powers of attorney, enduring guardianship</w:t>
      </w:r>
      <w:r w:rsidR="002E3C28" w:rsidRPr="007B5BE6">
        <w:t xml:space="preserve"> orders</w:t>
      </w:r>
      <w:r w:rsidRPr="007B5BE6">
        <w:t xml:space="preserve"> are intended to protect and promote the rights and dignity of people who have ‘impaired decision-making ability,’</w:t>
      </w:r>
      <w:r w:rsidR="00FA6E4C" w:rsidRPr="007B5BE6">
        <w:rPr>
          <w:rStyle w:val="FootnoteReference"/>
        </w:rPr>
        <w:footnoteReference w:id="294"/>
      </w:r>
      <w:r w:rsidRPr="007B5BE6">
        <w:t xml:space="preserve"> and safeguard against abuse of any person who has</w:t>
      </w:r>
      <w:r w:rsidR="002E3C28" w:rsidRPr="007B5BE6">
        <w:t>,</w:t>
      </w:r>
      <w:r w:rsidRPr="007B5BE6">
        <w:t xml:space="preserve"> or may </w:t>
      </w:r>
      <w:proofErr w:type="gramStart"/>
      <w:r w:rsidRPr="007B5BE6">
        <w:t>be in need of</w:t>
      </w:r>
      <w:proofErr w:type="gramEnd"/>
      <w:r w:rsidR="002E3C28" w:rsidRPr="007B5BE6">
        <w:t>,</w:t>
      </w:r>
      <w:r w:rsidRPr="007B5BE6">
        <w:t xml:space="preserve"> a guardian.</w:t>
      </w:r>
    </w:p>
    <w:p w14:paraId="5F775E45" w14:textId="3FB496EE" w:rsidR="003B0F65" w:rsidRPr="007B5BE6" w:rsidRDefault="003B0F65" w:rsidP="003B0F65">
      <w:pPr>
        <w:pStyle w:val="NormalNumberedTextTLRI"/>
      </w:pPr>
      <w:r w:rsidRPr="007B5BE6">
        <w:t xml:space="preserve">The </w:t>
      </w:r>
      <w:r w:rsidRPr="007B5BE6">
        <w:rPr>
          <w:i/>
          <w:iCs/>
        </w:rPr>
        <w:t>Guardianship and Administration Act 1995</w:t>
      </w:r>
      <w:r w:rsidRPr="007B5BE6">
        <w:t xml:space="preserve"> (Tas) </w:t>
      </w:r>
      <w:proofErr w:type="gramStart"/>
      <w:r w:rsidRPr="007B5BE6">
        <w:t>sets</w:t>
      </w:r>
      <w:proofErr w:type="gramEnd"/>
      <w:r w:rsidRPr="007B5BE6">
        <w:t xml:space="preserve"> out the legislative framework for the appointment of enduring (and general) guardians and their statutory obligations. If a person has not appointed an enduring guardian, and due to impaired decision-making ability does not have capacity to do so, TASCAT considers applications</w:t>
      </w:r>
      <w:r w:rsidR="002E3C28" w:rsidRPr="007B5BE6">
        <w:t xml:space="preserve">, </w:t>
      </w:r>
      <w:r w:rsidRPr="007B5BE6">
        <w:t>and mak</w:t>
      </w:r>
      <w:r w:rsidR="002E3C28" w:rsidRPr="007B5BE6">
        <w:t>es</w:t>
      </w:r>
      <w:r w:rsidRPr="007B5BE6">
        <w:t xml:space="preserve"> order</w:t>
      </w:r>
      <w:r w:rsidR="002E3C28" w:rsidRPr="007B5BE6">
        <w:t>s,</w:t>
      </w:r>
      <w:r w:rsidRPr="007B5BE6">
        <w:t xml:space="preserve"> for guardianship. This includes appointing a person nominated in </w:t>
      </w:r>
      <w:r w:rsidR="002E3C28" w:rsidRPr="007B5BE6">
        <w:t>an</w:t>
      </w:r>
      <w:r w:rsidRPr="007B5BE6">
        <w:t xml:space="preserve"> application as a guardian or</w:t>
      </w:r>
      <w:r w:rsidR="002E3C28" w:rsidRPr="007B5BE6">
        <w:t>,</w:t>
      </w:r>
      <w:r w:rsidRPr="007B5BE6">
        <w:t xml:space="preserve"> if there</w:t>
      </w:r>
      <w:r w:rsidR="002E3C28" w:rsidRPr="007B5BE6">
        <w:t xml:space="preserve"> is</w:t>
      </w:r>
      <w:r w:rsidRPr="007B5BE6">
        <w:t xml:space="preserve"> no other suitable person, appointment </w:t>
      </w:r>
      <w:r w:rsidRPr="007B5BE6">
        <w:lastRenderedPageBreak/>
        <w:t>of the Public Guardian as guardian.</w:t>
      </w:r>
      <w:r w:rsidR="00FA6E4C" w:rsidRPr="007B5BE6">
        <w:rPr>
          <w:rStyle w:val="FootnoteReference"/>
        </w:rPr>
        <w:footnoteReference w:id="295"/>
      </w:r>
      <w:r w:rsidRPr="007B5BE6">
        <w:t xml:space="preserve"> TASCAT can also refer matters to the Public Guardian in the Guardianship stream of TASCAT</w:t>
      </w:r>
      <w:r w:rsidR="00322AD2" w:rsidRPr="007B5BE6">
        <w:t xml:space="preserve"> for</w:t>
      </w:r>
      <w:r w:rsidRPr="007B5BE6">
        <w:t xml:space="preserve"> the Public Guardian to investigate.</w:t>
      </w:r>
      <w:r w:rsidR="00FA6E4C" w:rsidRPr="007B5BE6">
        <w:rPr>
          <w:rStyle w:val="FootnoteReference"/>
        </w:rPr>
        <w:footnoteReference w:id="296"/>
      </w:r>
      <w:r w:rsidRPr="007B5BE6">
        <w:t xml:space="preserve"> </w:t>
      </w:r>
    </w:p>
    <w:p w14:paraId="29762DA1" w14:textId="23D376B1" w:rsidR="00480657" w:rsidRPr="007B5BE6" w:rsidRDefault="00B415E1" w:rsidP="00B415E1">
      <w:pPr>
        <w:pStyle w:val="NormalNumberedTextTLRI"/>
      </w:pPr>
      <w:r w:rsidRPr="007B5BE6">
        <w:t xml:space="preserve">Reforms to the </w:t>
      </w:r>
      <w:r w:rsidRPr="007B5BE6">
        <w:rPr>
          <w:i/>
          <w:iCs/>
        </w:rPr>
        <w:t>Guardianship and Administration Act 1995</w:t>
      </w:r>
      <w:r w:rsidRPr="007B5BE6">
        <w:t xml:space="preserve"> (Tas</w:t>
      </w:r>
      <w:r w:rsidR="00322AD2" w:rsidRPr="007B5BE6">
        <w:t>)</w:t>
      </w:r>
      <w:r w:rsidR="001D37F5" w:rsidRPr="007B5BE6">
        <w:t xml:space="preserve"> are currently under way. These reforms </w:t>
      </w:r>
      <w:r w:rsidR="00D65F62" w:rsidRPr="007B5BE6">
        <w:t xml:space="preserve">have been </w:t>
      </w:r>
      <w:r w:rsidR="00322AD2" w:rsidRPr="007B5BE6">
        <w:t xml:space="preserve">informed </w:t>
      </w:r>
      <w:r w:rsidRPr="007B5BE6">
        <w:t xml:space="preserve">by the TLRI’s 2018 Final Report </w:t>
      </w:r>
      <w:r w:rsidRPr="007B5BE6">
        <w:rPr>
          <w:i/>
          <w:iCs/>
        </w:rPr>
        <w:t>Review of the Guardianship and Administration Act 1995</w:t>
      </w:r>
      <w:r w:rsidR="007F43E0" w:rsidRPr="007B5BE6">
        <w:t xml:space="preserve"> (Tas)</w:t>
      </w:r>
      <w:r w:rsidR="001D37F5" w:rsidRPr="007B5BE6">
        <w:t xml:space="preserve">, as well as </w:t>
      </w:r>
      <w:r w:rsidR="00D65F62" w:rsidRPr="007B5BE6">
        <w:t>other recent reviews.</w:t>
      </w:r>
      <w:r w:rsidR="00F476D6" w:rsidRPr="007B5BE6">
        <w:rPr>
          <w:rStyle w:val="FootnoteReference"/>
        </w:rPr>
        <w:footnoteReference w:id="297"/>
      </w:r>
      <w:r w:rsidR="00D65F62" w:rsidRPr="007B5BE6">
        <w:t xml:space="preserve"> </w:t>
      </w:r>
      <w:r w:rsidR="000E5D03" w:rsidRPr="007B5BE6">
        <w:t xml:space="preserve">The </w:t>
      </w:r>
      <w:r w:rsidRPr="007B5BE6">
        <w:t xml:space="preserve">key </w:t>
      </w:r>
      <w:r w:rsidR="000E5D03" w:rsidRPr="007B5BE6">
        <w:t xml:space="preserve">areas of </w:t>
      </w:r>
      <w:r w:rsidRPr="007B5BE6">
        <w:t>reform to</w:t>
      </w:r>
      <w:r w:rsidR="00480657" w:rsidRPr="007B5BE6">
        <w:t xml:space="preserve"> the </w:t>
      </w:r>
      <w:r w:rsidR="00480657" w:rsidRPr="007B5BE6">
        <w:rPr>
          <w:i/>
          <w:iCs/>
        </w:rPr>
        <w:t>Guardianship and Administration Act 1995</w:t>
      </w:r>
      <w:r w:rsidR="00480657" w:rsidRPr="007B5BE6">
        <w:t xml:space="preserve"> (Tas)</w:t>
      </w:r>
      <w:r w:rsidR="000E5D03" w:rsidRPr="007B5BE6">
        <w:t xml:space="preserve"> recognise</w:t>
      </w:r>
      <w:r w:rsidR="00A625F8" w:rsidRPr="007B5BE6">
        <w:t xml:space="preserve"> the following principles</w:t>
      </w:r>
      <w:r w:rsidR="00480657" w:rsidRPr="007B5BE6">
        <w:t>:</w:t>
      </w:r>
    </w:p>
    <w:p w14:paraId="35C13009" w14:textId="0CD23DE4" w:rsidR="00480657" w:rsidRPr="007B5BE6" w:rsidRDefault="00480657" w:rsidP="00480657">
      <w:pPr>
        <w:pStyle w:val="DotPointTLRI"/>
      </w:pPr>
      <w:r w:rsidRPr="007B5BE6">
        <w:t>respect and promot</w:t>
      </w:r>
      <w:r w:rsidR="00BE6E9C" w:rsidRPr="007B5BE6">
        <w:t>e</w:t>
      </w:r>
      <w:r w:rsidRPr="007B5BE6">
        <w:t xml:space="preserve"> decision-making ability, support the capacity of people with impaired decision</w:t>
      </w:r>
      <w:r w:rsidR="003460A9" w:rsidRPr="007B5BE6">
        <w:t xml:space="preserve"> </w:t>
      </w:r>
      <w:r w:rsidRPr="007B5BE6">
        <w:t>making to make decisions, and respect the views, wishes and preferences of people subject to the Act and us</w:t>
      </w:r>
      <w:r w:rsidR="00BE6E9C" w:rsidRPr="007B5BE6">
        <w:t>e</w:t>
      </w:r>
      <w:r w:rsidRPr="007B5BE6">
        <w:t xml:space="preserve"> this to inform decisions;</w:t>
      </w:r>
    </w:p>
    <w:p w14:paraId="4F5CAC19" w14:textId="7CF983C7" w:rsidR="00480657" w:rsidRPr="007B5BE6" w:rsidRDefault="00480657" w:rsidP="00480657">
      <w:pPr>
        <w:pStyle w:val="DotPointTLRI"/>
      </w:pPr>
      <w:r w:rsidRPr="007B5BE6">
        <w:t xml:space="preserve">adopt means that are least restrictive of a person’s freedom of decision and action; and </w:t>
      </w:r>
    </w:p>
    <w:p w14:paraId="31432B53" w14:textId="05AC1CFC" w:rsidR="00480657" w:rsidRPr="007B5BE6" w:rsidRDefault="00480657" w:rsidP="00480657">
      <w:pPr>
        <w:pStyle w:val="DotPointTLRI"/>
      </w:pPr>
      <w:r w:rsidRPr="007B5BE6">
        <w:t>promot</w:t>
      </w:r>
      <w:r w:rsidR="002F6A60" w:rsidRPr="007B5BE6">
        <w:t>e</w:t>
      </w:r>
      <w:r w:rsidRPr="007B5BE6">
        <w:t xml:space="preserve"> personal and social wellbeing and recognise the role of people who support those with impaired decision-making capacity.</w:t>
      </w:r>
      <w:r w:rsidR="00433BFF" w:rsidRPr="007B5BE6">
        <w:rPr>
          <w:rStyle w:val="FootnoteReference"/>
        </w:rPr>
        <w:footnoteReference w:id="298"/>
      </w:r>
      <w:r w:rsidRPr="007B5BE6">
        <w:t xml:space="preserve">  </w:t>
      </w:r>
    </w:p>
    <w:p w14:paraId="78E1ECBC" w14:textId="6E684A1D" w:rsidR="00480657" w:rsidRPr="007B5BE6" w:rsidRDefault="00480657" w:rsidP="00480657">
      <w:pPr>
        <w:pStyle w:val="NormalNumberedTextTLRI"/>
      </w:pPr>
      <w:r w:rsidRPr="007B5BE6">
        <w:t>Changes to the functions and powers of the Public Guardian (in addition to its role as acting as a guardian when appointed)</w:t>
      </w:r>
      <w:r w:rsidR="00B57E3C" w:rsidRPr="007B5BE6">
        <w:rPr>
          <w:rStyle w:val="FootnoteReference"/>
        </w:rPr>
        <w:footnoteReference w:id="299"/>
      </w:r>
      <w:r w:rsidR="00E34C4B" w:rsidRPr="007B5BE6">
        <w:t xml:space="preserve"> </w:t>
      </w:r>
      <w:r w:rsidR="00A625F8" w:rsidRPr="007B5BE6">
        <w:t>have been</w:t>
      </w:r>
      <w:r w:rsidRPr="007B5BE6">
        <w:t xml:space="preserve"> add</w:t>
      </w:r>
      <w:r w:rsidR="002F6A60" w:rsidRPr="007B5BE6">
        <w:t>ed</w:t>
      </w:r>
      <w:r w:rsidRPr="007B5BE6">
        <w:t xml:space="preserve"> to existing safeguarding mechanisms under </w:t>
      </w:r>
      <w:r w:rsidRPr="007B5BE6">
        <w:rPr>
          <w:i/>
          <w:iCs/>
        </w:rPr>
        <w:t>Guardianship and Administration Act 1995</w:t>
      </w:r>
      <w:r w:rsidRPr="007B5BE6">
        <w:t xml:space="preserve"> (Tas)</w:t>
      </w:r>
      <w:r w:rsidR="00A074EF" w:rsidRPr="007B5BE6">
        <w:t>.</w:t>
      </w:r>
      <w:r w:rsidR="00B57E3C" w:rsidRPr="007B5BE6">
        <w:rPr>
          <w:rStyle w:val="FootnoteReference"/>
        </w:rPr>
        <w:footnoteReference w:id="300"/>
      </w:r>
      <w:r w:rsidRPr="007B5BE6">
        <w:t xml:space="preserve"> They include assisting in </w:t>
      </w:r>
      <w:r w:rsidR="005219CB" w:rsidRPr="007B5BE6">
        <w:t xml:space="preserve">the </w:t>
      </w:r>
      <w:r w:rsidRPr="007B5BE6">
        <w:t xml:space="preserve">resolution of disputes where </w:t>
      </w:r>
      <w:r w:rsidR="005219CB" w:rsidRPr="007B5BE6">
        <w:t xml:space="preserve">there is </w:t>
      </w:r>
      <w:r w:rsidRPr="007B5BE6">
        <w:t>conflict in actions</w:t>
      </w:r>
      <w:r w:rsidR="005219CB" w:rsidRPr="007B5BE6">
        <w:t>,</w:t>
      </w:r>
      <w:r w:rsidRPr="007B5BE6">
        <w:t xml:space="preserve"> or proposed actions</w:t>
      </w:r>
      <w:r w:rsidR="005219CB" w:rsidRPr="007B5BE6">
        <w:t>,</w:t>
      </w:r>
      <w:r w:rsidRPr="007B5BE6">
        <w:t xml:space="preserve"> of guardian or administrator</w:t>
      </w:r>
      <w:r w:rsidR="005219CB" w:rsidRPr="007B5BE6">
        <w:t>,</w:t>
      </w:r>
      <w:r w:rsidR="00B57E3C" w:rsidRPr="007B5BE6">
        <w:rPr>
          <w:rStyle w:val="FootnoteReference"/>
        </w:rPr>
        <w:footnoteReference w:id="301"/>
      </w:r>
      <w:r w:rsidRPr="007B5BE6">
        <w:t xml:space="preserve"> and establishing </w:t>
      </w:r>
      <w:r w:rsidR="005219CB" w:rsidRPr="007B5BE6">
        <w:t xml:space="preserve">a </w:t>
      </w:r>
      <w:r w:rsidRPr="007B5BE6">
        <w:t xml:space="preserve">complaints handling process where </w:t>
      </w:r>
      <w:r w:rsidR="005219CB" w:rsidRPr="007B5BE6">
        <w:t xml:space="preserve">the </w:t>
      </w:r>
      <w:r w:rsidRPr="007B5BE6">
        <w:t>Public Guardian is appointed as a guardian.</w:t>
      </w:r>
      <w:r w:rsidR="00B57E3C" w:rsidRPr="007B5BE6">
        <w:rPr>
          <w:rStyle w:val="FootnoteReference"/>
        </w:rPr>
        <w:footnoteReference w:id="302"/>
      </w:r>
      <w:r w:rsidRPr="007B5BE6">
        <w:t xml:space="preserve"> The Public Guardian also has an investigation role. </w:t>
      </w:r>
    </w:p>
    <w:p w14:paraId="0E43E37B" w14:textId="05E39A79" w:rsidR="00480657" w:rsidRPr="007B5BE6" w:rsidRDefault="00480657" w:rsidP="00480657">
      <w:pPr>
        <w:pStyle w:val="DotPointTLRI"/>
      </w:pPr>
      <w:r w:rsidRPr="007B5BE6">
        <w:t xml:space="preserve">It </w:t>
      </w:r>
      <w:r w:rsidRPr="007B5BE6">
        <w:rPr>
          <w:i/>
          <w:iCs/>
        </w:rPr>
        <w:t>may</w:t>
      </w:r>
      <w:r w:rsidRPr="007B5BE6">
        <w:t xml:space="preserve"> investigate complaints or allegations concerning the actions of a person acting</w:t>
      </w:r>
      <w:r w:rsidR="00E34C4B" w:rsidRPr="007B5BE6">
        <w:t>,</w:t>
      </w:r>
      <w:r w:rsidRPr="007B5BE6">
        <w:t xml:space="preserve"> or purporting to act</w:t>
      </w:r>
      <w:r w:rsidR="00E34C4B" w:rsidRPr="007B5BE6">
        <w:t>,</w:t>
      </w:r>
      <w:r w:rsidRPr="007B5BE6">
        <w:t xml:space="preserve"> as a guardian, an administrator or an enduring power of attorney.</w:t>
      </w:r>
    </w:p>
    <w:p w14:paraId="5D7AB0D6" w14:textId="14B54324" w:rsidR="00480657" w:rsidRPr="007B5BE6" w:rsidRDefault="00480657" w:rsidP="00480657">
      <w:pPr>
        <w:pStyle w:val="DotPointTLRI"/>
      </w:pPr>
      <w:r w:rsidRPr="007B5BE6">
        <w:t xml:space="preserve">It </w:t>
      </w:r>
      <w:r w:rsidRPr="007B5BE6">
        <w:rPr>
          <w:i/>
          <w:iCs/>
        </w:rPr>
        <w:t>may</w:t>
      </w:r>
      <w:r w:rsidRPr="007B5BE6">
        <w:t xml:space="preserve"> investigate of its own motion, or following a complaint or allegation, any matter relating to action taken</w:t>
      </w:r>
      <w:r w:rsidR="00E34C4B" w:rsidRPr="007B5BE6">
        <w:t>,</w:t>
      </w:r>
      <w:r w:rsidRPr="007B5BE6">
        <w:t xml:space="preserve"> or proposed to be taken</w:t>
      </w:r>
      <w:r w:rsidR="00E34C4B" w:rsidRPr="007B5BE6">
        <w:t>,</w:t>
      </w:r>
      <w:r w:rsidRPr="007B5BE6">
        <w:t xml:space="preserve"> in relation to an advance care directive. </w:t>
      </w:r>
    </w:p>
    <w:p w14:paraId="46DEE2B3" w14:textId="19A896D4" w:rsidR="00480657" w:rsidRPr="007B5BE6" w:rsidRDefault="00480657" w:rsidP="00480657">
      <w:pPr>
        <w:pStyle w:val="DotPointTLRI"/>
      </w:pPr>
      <w:r w:rsidRPr="007B5BE6">
        <w:t xml:space="preserve">It </w:t>
      </w:r>
      <w:r w:rsidRPr="007B5BE6">
        <w:rPr>
          <w:i/>
          <w:iCs/>
        </w:rPr>
        <w:t>must</w:t>
      </w:r>
      <w:r w:rsidRPr="007B5BE6">
        <w:t xml:space="preserve"> investigate and report to TASCAT on any matter requested by TASCAT in Guardianship proceedings.</w:t>
      </w:r>
      <w:r w:rsidR="00B57E3C" w:rsidRPr="007B5BE6">
        <w:rPr>
          <w:rStyle w:val="FootnoteReference"/>
        </w:rPr>
        <w:footnoteReference w:id="303"/>
      </w:r>
    </w:p>
    <w:p w14:paraId="6FABC883" w14:textId="598D278B" w:rsidR="00480657" w:rsidRPr="007B5BE6" w:rsidRDefault="00480657" w:rsidP="00480657">
      <w:pPr>
        <w:pStyle w:val="NormalNumberedTextTLRI"/>
      </w:pPr>
      <w:r w:rsidRPr="007B5BE6">
        <w:t xml:space="preserve">The reforms also enhance numerous coercive powers that apply </w:t>
      </w:r>
      <w:r w:rsidR="0026069A" w:rsidRPr="007B5BE6">
        <w:t>when</w:t>
      </w:r>
      <w:r w:rsidRPr="007B5BE6">
        <w:t xml:space="preserve"> a person ‘appears to be need of a guardian’ (changed from a ‘person with disability’). TASCAT may empower the Public Guardian </w:t>
      </w:r>
      <w:r w:rsidR="00B15C75" w:rsidRPr="007B5BE6">
        <w:t>(</w:t>
      </w:r>
      <w:r w:rsidRPr="007B5BE6">
        <w:t>or other specified person</w:t>
      </w:r>
      <w:r w:rsidR="00B15C75" w:rsidRPr="007B5BE6">
        <w:t>)</w:t>
      </w:r>
      <w:r w:rsidRPr="007B5BE6">
        <w:t xml:space="preserve"> </w:t>
      </w:r>
      <w:r w:rsidR="0026069A" w:rsidRPr="007B5BE6">
        <w:t xml:space="preserve">to </w:t>
      </w:r>
      <w:r w:rsidRPr="007B5BE6">
        <w:t>visit</w:t>
      </w:r>
      <w:r w:rsidR="0026069A" w:rsidRPr="007B5BE6">
        <w:t>,</w:t>
      </w:r>
      <w:r w:rsidRPr="007B5BE6">
        <w:t xml:space="preserve"> </w:t>
      </w:r>
      <w:r w:rsidR="0026069A" w:rsidRPr="007B5BE6">
        <w:t>accompanied by</w:t>
      </w:r>
      <w:r w:rsidRPr="007B5BE6">
        <w:t xml:space="preserve"> </w:t>
      </w:r>
      <w:r w:rsidR="000478D1" w:rsidRPr="007B5BE6">
        <w:t xml:space="preserve">a </w:t>
      </w:r>
      <w:r w:rsidRPr="007B5BE6">
        <w:t>police</w:t>
      </w:r>
      <w:r w:rsidR="000478D1" w:rsidRPr="007B5BE6">
        <w:t xml:space="preserve"> officer</w:t>
      </w:r>
      <w:r w:rsidR="0026069A" w:rsidRPr="007B5BE6">
        <w:t>,</w:t>
      </w:r>
      <w:r w:rsidRPr="007B5BE6">
        <w:t xml:space="preserve"> a person who appears to</w:t>
      </w:r>
      <w:r w:rsidR="0026069A" w:rsidRPr="007B5BE6">
        <w:t xml:space="preserve"> be in</w:t>
      </w:r>
      <w:r w:rsidRPr="007B5BE6">
        <w:t xml:space="preserve"> need a guardian </w:t>
      </w:r>
      <w:r w:rsidR="00D416F0" w:rsidRPr="007B5BE6">
        <w:t>wh</w:t>
      </w:r>
      <w:r w:rsidR="00B15C75" w:rsidRPr="007B5BE6">
        <w:t>en that person</w:t>
      </w:r>
      <w:r w:rsidR="00D416F0" w:rsidRPr="007B5BE6">
        <w:t xml:space="preserve"> </w:t>
      </w:r>
      <w:r w:rsidRPr="007B5BE6">
        <w:t>is being unlawfully detained against their will</w:t>
      </w:r>
      <w:r w:rsidR="00602C76" w:rsidRPr="007B5BE6">
        <w:t>,</w:t>
      </w:r>
      <w:r w:rsidRPr="007B5BE6">
        <w:t xml:space="preserve"> or is likely to suffer </w:t>
      </w:r>
      <w:r w:rsidR="00D6359D" w:rsidRPr="007B5BE6">
        <w:t>‘</w:t>
      </w:r>
      <w:r w:rsidRPr="007B5BE6">
        <w:t>damage</w:t>
      </w:r>
      <w:r w:rsidR="00D6359D" w:rsidRPr="007B5BE6">
        <w:t>’</w:t>
      </w:r>
      <w:r w:rsidRPr="007B5BE6">
        <w:t xml:space="preserve"> to</w:t>
      </w:r>
      <w:r w:rsidR="0026069A" w:rsidRPr="007B5BE6">
        <w:t xml:space="preserve"> their</w:t>
      </w:r>
      <w:r w:rsidRPr="007B5BE6">
        <w:t xml:space="preserve"> physical, emotional or mental health or wellbeing unless immediate action is taken. </w:t>
      </w:r>
      <w:r w:rsidR="000478D1" w:rsidRPr="007B5BE6">
        <w:t>A p</w:t>
      </w:r>
      <w:r w:rsidRPr="007B5BE6">
        <w:t xml:space="preserve">olice </w:t>
      </w:r>
      <w:r w:rsidR="000478D1" w:rsidRPr="007B5BE6">
        <w:t xml:space="preserve">officer, acting under any such orders, </w:t>
      </w:r>
      <w:r w:rsidRPr="007B5BE6">
        <w:t xml:space="preserve">may use reasonable force to enter </w:t>
      </w:r>
      <w:r w:rsidR="00D241AF" w:rsidRPr="007B5BE6">
        <w:t xml:space="preserve">a </w:t>
      </w:r>
      <w:r w:rsidRPr="007B5BE6">
        <w:t xml:space="preserve">premises. </w:t>
      </w:r>
      <w:r w:rsidRPr="007B5BE6">
        <w:lastRenderedPageBreak/>
        <w:t xml:space="preserve">Further, TASCAT may on </w:t>
      </w:r>
      <w:r w:rsidR="003E4B34" w:rsidRPr="007B5BE6">
        <w:t xml:space="preserve">the </w:t>
      </w:r>
      <w:r w:rsidRPr="007B5BE6">
        <w:t>basis of any report following this, order that the person be taken to and cared for at a specified place.</w:t>
      </w:r>
      <w:r w:rsidR="00B57E3C" w:rsidRPr="007B5BE6">
        <w:rPr>
          <w:rStyle w:val="FootnoteReference"/>
        </w:rPr>
        <w:footnoteReference w:id="304"/>
      </w:r>
      <w:r w:rsidR="00F27BE5" w:rsidRPr="007B5BE6">
        <w:t xml:space="preserve"> </w:t>
      </w:r>
      <w:r w:rsidRPr="007B5BE6">
        <w:t>A police officer</w:t>
      </w:r>
      <w:r w:rsidR="00D241AF" w:rsidRPr="007B5BE6">
        <w:t>,</w:t>
      </w:r>
      <w:r w:rsidRPr="007B5BE6">
        <w:t xml:space="preserve"> accompanied by person nominated by the Public Guardian</w:t>
      </w:r>
      <w:r w:rsidR="00D241AF" w:rsidRPr="007B5BE6">
        <w:t>,</w:t>
      </w:r>
      <w:r w:rsidRPr="007B5BE6">
        <w:t xml:space="preserve"> also has the power to remove a person to a place of safety </w:t>
      </w:r>
      <w:r w:rsidR="00BA5247" w:rsidRPr="007B5BE6">
        <w:t xml:space="preserve">if it appears to the officer that there is </w:t>
      </w:r>
      <w:r w:rsidRPr="007B5BE6">
        <w:t xml:space="preserve">reasonable cause to suspect that </w:t>
      </w:r>
      <w:r w:rsidR="00BA5247" w:rsidRPr="007B5BE6">
        <w:t xml:space="preserve">a </w:t>
      </w:r>
      <w:r w:rsidRPr="007B5BE6">
        <w:t xml:space="preserve">person </w:t>
      </w:r>
      <w:r w:rsidR="00BA5247" w:rsidRPr="007B5BE6">
        <w:t xml:space="preserve">who appears to be </w:t>
      </w:r>
      <w:r w:rsidRPr="007B5BE6">
        <w:t>in need of a guardian has been</w:t>
      </w:r>
      <w:r w:rsidR="00BA5247" w:rsidRPr="007B5BE6">
        <w:t>,</w:t>
      </w:r>
      <w:r w:rsidRPr="007B5BE6">
        <w:t xml:space="preserve"> or is being</w:t>
      </w:r>
      <w:r w:rsidR="00BA5247" w:rsidRPr="007B5BE6">
        <w:t>,</w:t>
      </w:r>
      <w:r w:rsidRPr="007B5BE6">
        <w:t xml:space="preserve"> ill-treated, neglected or unlawfully detained against their will</w:t>
      </w:r>
      <w:r w:rsidR="00BA5247" w:rsidRPr="007B5BE6">
        <w:t>,</w:t>
      </w:r>
      <w:r w:rsidRPr="007B5BE6">
        <w:t xml:space="preserve"> or is likely to suffer</w:t>
      </w:r>
      <w:r w:rsidR="00BA5247" w:rsidRPr="007B5BE6">
        <w:t xml:space="preserve"> </w:t>
      </w:r>
      <w:r w:rsidR="00D6359D" w:rsidRPr="007B5BE6">
        <w:t>‘</w:t>
      </w:r>
      <w:r w:rsidR="00BA5247" w:rsidRPr="007B5BE6">
        <w:t>serious</w:t>
      </w:r>
      <w:r w:rsidRPr="007B5BE6">
        <w:t xml:space="preserve"> damage</w:t>
      </w:r>
      <w:r w:rsidR="00D6359D" w:rsidRPr="007B5BE6">
        <w:t>’</w:t>
      </w:r>
      <w:r w:rsidRPr="007B5BE6">
        <w:t xml:space="preserve"> to </w:t>
      </w:r>
      <w:r w:rsidR="00BA5247" w:rsidRPr="007B5BE6">
        <w:t xml:space="preserve">their </w:t>
      </w:r>
      <w:r w:rsidRPr="007B5BE6">
        <w:t>physical, emotional or mental health or wellbeing unless immediate action is taken.</w:t>
      </w:r>
      <w:r w:rsidR="00B57E3C" w:rsidRPr="007B5BE6">
        <w:rPr>
          <w:rStyle w:val="FootnoteReference"/>
        </w:rPr>
        <w:footnoteReference w:id="305"/>
      </w:r>
    </w:p>
    <w:p w14:paraId="4E723068" w14:textId="3375D95F" w:rsidR="00480657" w:rsidRPr="007B5BE6" w:rsidRDefault="00480657" w:rsidP="002F6A60">
      <w:pPr>
        <w:pStyle w:val="NormalNumberedTextTLRI"/>
      </w:pPr>
      <w:r w:rsidRPr="007B5BE6">
        <w:t>The Act also creates criminal offences</w:t>
      </w:r>
      <w:r w:rsidR="006C4050" w:rsidRPr="007B5BE6">
        <w:t xml:space="preserve">, including </w:t>
      </w:r>
      <w:r w:rsidRPr="007B5BE6">
        <w:t>delay</w:t>
      </w:r>
      <w:r w:rsidR="00E40CE4" w:rsidRPr="007B5BE6">
        <w:t>ing</w:t>
      </w:r>
      <w:r w:rsidRPr="007B5BE6">
        <w:t xml:space="preserve"> or obstruct</w:t>
      </w:r>
      <w:r w:rsidR="00E40CE4" w:rsidRPr="007B5BE6">
        <w:t>ing</w:t>
      </w:r>
      <w:r w:rsidR="00EE2AB7" w:rsidRPr="007B5BE6">
        <w:t xml:space="preserve"> </w:t>
      </w:r>
      <w:r w:rsidRPr="007B5BE6">
        <w:t>any person exercising urgent power</w:t>
      </w:r>
      <w:r w:rsidR="00EE2AB7" w:rsidRPr="007B5BE6">
        <w:t>s</w:t>
      </w:r>
      <w:r w:rsidRPr="007B5BE6">
        <w:t xml:space="preserve"> in case of unlawful detention of </w:t>
      </w:r>
      <w:r w:rsidR="00EE2AB7" w:rsidRPr="007B5BE6">
        <w:t xml:space="preserve">a </w:t>
      </w:r>
      <w:r w:rsidRPr="007B5BE6">
        <w:t>person</w:t>
      </w:r>
      <w:r w:rsidR="00EE2AB7" w:rsidRPr="007B5BE6">
        <w:t xml:space="preserve"> who </w:t>
      </w:r>
      <w:proofErr w:type="gramStart"/>
      <w:r w:rsidR="00EE2AB7" w:rsidRPr="007B5BE6">
        <w:t>is</w:t>
      </w:r>
      <w:r w:rsidRPr="007B5BE6">
        <w:t xml:space="preserve"> in need of</w:t>
      </w:r>
      <w:proofErr w:type="gramEnd"/>
      <w:r w:rsidRPr="007B5BE6">
        <w:t xml:space="preserve"> </w:t>
      </w:r>
      <w:r w:rsidR="00EE2AB7" w:rsidRPr="007B5BE6">
        <w:t xml:space="preserve">a </w:t>
      </w:r>
      <w:r w:rsidRPr="007B5BE6">
        <w:t>guardian</w:t>
      </w:r>
      <w:r w:rsidR="00B57E3C" w:rsidRPr="007B5BE6">
        <w:rPr>
          <w:rStyle w:val="FootnoteReference"/>
        </w:rPr>
        <w:footnoteReference w:id="306"/>
      </w:r>
      <w:r w:rsidRPr="007B5BE6">
        <w:t xml:space="preserve"> </w:t>
      </w:r>
      <w:r w:rsidR="006C4050" w:rsidRPr="007B5BE6">
        <w:t xml:space="preserve">and </w:t>
      </w:r>
      <w:r w:rsidRPr="007B5BE6">
        <w:t xml:space="preserve">contravention by a guardian of a direction given by TASCAT </w:t>
      </w:r>
      <w:r w:rsidR="00E40CE4" w:rsidRPr="007B5BE6">
        <w:t>in response to a</w:t>
      </w:r>
      <w:r w:rsidR="00BC74CA" w:rsidRPr="007B5BE6">
        <w:t xml:space="preserve"> guardian</w:t>
      </w:r>
      <w:r w:rsidR="00E40CE4" w:rsidRPr="007B5BE6">
        <w:t xml:space="preserve">’s application </w:t>
      </w:r>
      <w:r w:rsidRPr="007B5BE6">
        <w:t>for advice or direction</w:t>
      </w:r>
      <w:r w:rsidR="006C4050" w:rsidRPr="007B5BE6">
        <w:t>. It is also an offence to</w:t>
      </w:r>
      <w:r w:rsidRPr="007B5BE6">
        <w:t xml:space="preserve"> disclos</w:t>
      </w:r>
      <w:r w:rsidR="006C4050" w:rsidRPr="007B5BE6">
        <w:t>e</w:t>
      </w:r>
      <w:r w:rsidRPr="007B5BE6">
        <w:t xml:space="preserve"> protected information in contravention of confidentiality provisions.</w:t>
      </w:r>
      <w:r w:rsidR="00B57E3C" w:rsidRPr="007B5BE6">
        <w:rPr>
          <w:rStyle w:val="FootnoteReference"/>
        </w:rPr>
        <w:footnoteReference w:id="307"/>
      </w:r>
      <w:r w:rsidRPr="007B5BE6">
        <w:t xml:space="preserve"> </w:t>
      </w:r>
    </w:p>
    <w:p w14:paraId="01687854" w14:textId="77777777" w:rsidR="003B0F65" w:rsidRPr="007B5BE6" w:rsidRDefault="003B0F65" w:rsidP="009E2BFD">
      <w:pPr>
        <w:pStyle w:val="Sub-HeadingTLRI"/>
        <w:spacing w:before="360"/>
      </w:pPr>
      <w:bookmarkStart w:id="56" w:name="_Toc212561751"/>
      <w:r w:rsidRPr="007B5BE6">
        <w:t>Protections for older people making end-of-life decisions</w:t>
      </w:r>
      <w:bookmarkEnd w:id="56"/>
      <w:r w:rsidRPr="007B5BE6">
        <w:t xml:space="preserve"> </w:t>
      </w:r>
    </w:p>
    <w:p w14:paraId="76AE8C44" w14:textId="51DE0A3A" w:rsidR="003B0F65" w:rsidRPr="007B5BE6" w:rsidRDefault="003B0F65" w:rsidP="00E41600">
      <w:pPr>
        <w:pStyle w:val="NormalNumberedTextTLRI"/>
      </w:pPr>
      <w:r w:rsidRPr="007B5BE6">
        <w:t xml:space="preserve">Tasmanian law allows for a person </w:t>
      </w:r>
      <w:r w:rsidR="00BB4846" w:rsidRPr="007B5BE6">
        <w:t>with</w:t>
      </w:r>
      <w:r w:rsidRPr="007B5BE6">
        <w:t xml:space="preserve"> a terminal medical condition to choose a process, </w:t>
      </w:r>
      <w:r w:rsidR="00BB4846" w:rsidRPr="007B5BE6">
        <w:t xml:space="preserve">through which </w:t>
      </w:r>
      <w:r w:rsidRPr="007B5BE6">
        <w:t>they can legally access a substance to end their life, with support and assistance from registered health practitioners. This legal framework for decision</w:t>
      </w:r>
      <w:r w:rsidR="003460A9" w:rsidRPr="007B5BE6">
        <w:t xml:space="preserve"> </w:t>
      </w:r>
      <w:r w:rsidRPr="007B5BE6">
        <w:t>making</w:t>
      </w:r>
      <w:r w:rsidR="00F00943" w:rsidRPr="007B5BE6">
        <w:t xml:space="preserve"> is</w:t>
      </w:r>
      <w:r w:rsidRPr="007B5BE6">
        <w:t xml:space="preserve"> provided by the </w:t>
      </w:r>
      <w:r w:rsidRPr="007B5BE6">
        <w:rPr>
          <w:i/>
          <w:iCs/>
        </w:rPr>
        <w:t>End-of-Life Choices (Voluntary Assisted Dying) Act 2021</w:t>
      </w:r>
      <w:r w:rsidRPr="007B5BE6">
        <w:t xml:space="preserve"> (Tas)</w:t>
      </w:r>
      <w:r w:rsidR="00F00943" w:rsidRPr="007B5BE6">
        <w:t xml:space="preserve">. The Act also </w:t>
      </w:r>
      <w:r w:rsidRPr="007B5BE6">
        <w:t xml:space="preserve">creates a scheme of offences designed to safeguard against misuse of the legislative framework, which could cover </w:t>
      </w:r>
      <w:r w:rsidR="007163D3" w:rsidRPr="007B5BE6">
        <w:t xml:space="preserve">some of the </w:t>
      </w:r>
      <w:r w:rsidRPr="007B5BE6">
        <w:t xml:space="preserve">circumstances that could </w:t>
      </w:r>
      <w:r w:rsidR="0047439B" w:rsidRPr="007B5BE6">
        <w:t xml:space="preserve">give rise to </w:t>
      </w:r>
      <w:r w:rsidRPr="007B5BE6">
        <w:t>abuse of an older person.</w:t>
      </w:r>
      <w:r w:rsidR="00CA4D31" w:rsidRPr="007B5BE6">
        <w:rPr>
          <w:rStyle w:val="FootnoteReference"/>
        </w:rPr>
        <w:footnoteReference w:id="308"/>
      </w:r>
      <w:r w:rsidRPr="007B5BE6">
        <w:t xml:space="preserve"> </w:t>
      </w:r>
    </w:p>
    <w:p w14:paraId="39D23683" w14:textId="2A48474E" w:rsidR="00F41A54" w:rsidRPr="007B5BE6" w:rsidRDefault="003B0F65" w:rsidP="00F971CE">
      <w:pPr>
        <w:pStyle w:val="NormalNumberedTextTLRI"/>
      </w:pPr>
      <w:r w:rsidRPr="007B5BE6">
        <w:t>The Act also establishes a Voluntary Assisted Dying Commission, which has a wide range of functions, includ</w:t>
      </w:r>
      <w:r w:rsidR="00B956F2" w:rsidRPr="007B5BE6">
        <w:t>ing</w:t>
      </w:r>
      <w:r w:rsidRPr="007B5BE6">
        <w:t xml:space="preserve"> monitoring the operation of the Act and compliance with it.</w:t>
      </w:r>
      <w:r w:rsidR="00CA4D31" w:rsidRPr="007B5BE6">
        <w:rPr>
          <w:rStyle w:val="FootnoteReference"/>
        </w:rPr>
        <w:footnoteReference w:id="309"/>
      </w:r>
      <w:r w:rsidRPr="007B5BE6">
        <w:t xml:space="preserve"> A person who suspects contravention of the Act may notify the Commission, which may (but is not required to) investigate the matter</w:t>
      </w:r>
      <w:r w:rsidR="00B956F2" w:rsidRPr="007B5BE6">
        <w:t>,</w:t>
      </w:r>
      <w:r w:rsidRPr="007B5BE6">
        <w:t xml:space="preserve"> or refer it to other persons the Commission thinks fit. The Commission may also issue a notice to a person</w:t>
      </w:r>
      <w:r w:rsidR="00B956F2" w:rsidRPr="007B5BE6">
        <w:t>,</w:t>
      </w:r>
      <w:r w:rsidRPr="007B5BE6">
        <w:t xml:space="preserve"> requiring</w:t>
      </w:r>
      <w:r w:rsidR="00B956F2" w:rsidRPr="007B5BE6">
        <w:t xml:space="preserve"> them to provide</w:t>
      </w:r>
      <w:r w:rsidRPr="007B5BE6">
        <w:t xml:space="preserve"> information</w:t>
      </w:r>
      <w:r w:rsidR="00B956F2" w:rsidRPr="007B5BE6">
        <w:t xml:space="preserve"> to the Commission</w:t>
      </w:r>
      <w:r w:rsidRPr="007B5BE6">
        <w:t xml:space="preserve">, </w:t>
      </w:r>
      <w:r w:rsidR="00DC60CC" w:rsidRPr="007B5BE6">
        <w:t>with</w:t>
      </w:r>
      <w:r w:rsidRPr="007B5BE6">
        <w:t xml:space="preserve"> fine</w:t>
      </w:r>
      <w:r w:rsidR="00DC60CC" w:rsidRPr="007B5BE6">
        <w:t xml:space="preserve">s that may be imposed for failure to </w:t>
      </w:r>
      <w:r w:rsidRPr="007B5BE6">
        <w:t>comply.</w:t>
      </w:r>
      <w:r w:rsidR="00CA4D31" w:rsidRPr="007B5BE6">
        <w:rPr>
          <w:rStyle w:val="FootnoteReference"/>
        </w:rPr>
        <w:footnoteReference w:id="310"/>
      </w:r>
    </w:p>
    <w:p w14:paraId="606B0CDC" w14:textId="3B675CBE" w:rsidR="003B0F65" w:rsidRPr="007B5BE6" w:rsidRDefault="003B0F65" w:rsidP="009E2BFD">
      <w:pPr>
        <w:pStyle w:val="Headingunnumbered"/>
        <w:spacing w:before="360"/>
      </w:pPr>
      <w:bookmarkStart w:id="57" w:name="_Toc212561752"/>
      <w:r w:rsidRPr="007B5BE6">
        <w:t>Civil common law and equity</w:t>
      </w:r>
      <w:bookmarkEnd w:id="57"/>
      <w:r w:rsidRPr="007B5BE6">
        <w:t xml:space="preserve"> </w:t>
      </w:r>
    </w:p>
    <w:p w14:paraId="05D94837" w14:textId="2E281769" w:rsidR="003B0F65" w:rsidRPr="007B5BE6" w:rsidRDefault="003B0F65" w:rsidP="003B0F65">
      <w:pPr>
        <w:pStyle w:val="NormalNumberedTextTLRI"/>
        <w:rPr>
          <w:b/>
          <w:bCs/>
        </w:rPr>
      </w:pPr>
      <w:r w:rsidRPr="007B5BE6">
        <w:t xml:space="preserve">There are non-legislative civil legal avenues that may apply as a response to financial abuse of older </w:t>
      </w:r>
      <w:r w:rsidR="00D82DBD" w:rsidRPr="007B5BE6">
        <w:t>Tasmanians</w:t>
      </w:r>
      <w:r w:rsidRPr="007B5BE6">
        <w:t xml:space="preserve">. </w:t>
      </w:r>
      <w:r w:rsidRPr="007B5BE6">
        <w:rPr>
          <w:b/>
          <w:bCs/>
        </w:rPr>
        <w:t>Common law and equity</w:t>
      </w:r>
      <w:r w:rsidRPr="007B5BE6">
        <w:t xml:space="preserve"> provide causes of action (generally arising under equitable principles) that may apply in a range of contexts; however, this is heavily dependent on the nature of </w:t>
      </w:r>
      <w:r w:rsidR="0078481C" w:rsidRPr="007B5BE6">
        <w:t xml:space="preserve">and circumstances of </w:t>
      </w:r>
      <w:r w:rsidRPr="007B5BE6">
        <w:t xml:space="preserve">the matter and therefore would not provide a response to all cases </w:t>
      </w:r>
      <w:r w:rsidR="00CE674C" w:rsidRPr="007B5BE6">
        <w:t>of</w:t>
      </w:r>
      <w:r w:rsidRPr="007B5BE6">
        <w:t xml:space="preserve"> financial abuse </w:t>
      </w:r>
      <w:r w:rsidR="00CE674C" w:rsidRPr="007B5BE6">
        <w:t xml:space="preserve">that may be </w:t>
      </w:r>
      <w:r w:rsidRPr="007B5BE6">
        <w:t xml:space="preserve">experienced by older people. </w:t>
      </w:r>
    </w:p>
    <w:p w14:paraId="7BB415DB" w14:textId="1B83CD28" w:rsidR="003B0F65" w:rsidRPr="007B5BE6" w:rsidRDefault="003B0F65" w:rsidP="003B0F65">
      <w:pPr>
        <w:pStyle w:val="NormalNumberedTextTLRI"/>
        <w:rPr>
          <w:b/>
          <w:bCs/>
        </w:rPr>
      </w:pPr>
      <w:r w:rsidRPr="007B5BE6">
        <w:lastRenderedPageBreak/>
        <w:t xml:space="preserve">In property or financial matters, abuse </w:t>
      </w:r>
      <w:r w:rsidR="001E1CE3" w:rsidRPr="007B5BE6">
        <w:t xml:space="preserve">of an older person </w:t>
      </w:r>
      <w:r w:rsidR="0047439B" w:rsidRPr="007B5BE6">
        <w:t xml:space="preserve">can </w:t>
      </w:r>
      <w:r w:rsidR="0059001E" w:rsidRPr="007B5BE6">
        <w:t>comprise</w:t>
      </w:r>
      <w:r w:rsidRPr="007B5BE6">
        <w:t xml:space="preserve"> an adult child inappropriately dealing with their parent’s home or other </w:t>
      </w:r>
      <w:proofErr w:type="gramStart"/>
      <w:r w:rsidRPr="007B5BE6">
        <w:t>finances, or</w:t>
      </w:r>
      <w:proofErr w:type="gramEnd"/>
      <w:r w:rsidRPr="007B5BE6">
        <w:t xml:space="preserve"> </w:t>
      </w:r>
      <w:proofErr w:type="gramStart"/>
      <w:r w:rsidR="001E1CE3" w:rsidRPr="007B5BE6">
        <w:t>making arrangements</w:t>
      </w:r>
      <w:proofErr w:type="gramEnd"/>
      <w:r w:rsidR="001E1CE3" w:rsidRPr="007B5BE6">
        <w:t xml:space="preserve"> for their parent to provide </w:t>
      </w:r>
      <w:r w:rsidRPr="007B5BE6">
        <w:t xml:space="preserve">a guarantee for </w:t>
      </w:r>
      <w:r w:rsidR="00B65847" w:rsidRPr="007B5BE6">
        <w:t>a</w:t>
      </w:r>
      <w:r w:rsidRPr="007B5BE6">
        <w:t xml:space="preserve"> loan</w:t>
      </w:r>
      <w:r w:rsidR="00B65847" w:rsidRPr="007B5BE6">
        <w:t xml:space="preserve"> </w:t>
      </w:r>
      <w:r w:rsidR="00A0022D" w:rsidRPr="007B5BE6">
        <w:t>(for the adult child)</w:t>
      </w:r>
      <w:r w:rsidRPr="007B5BE6">
        <w:t>. In such circumstances, the following cause</w:t>
      </w:r>
      <w:r w:rsidR="00E60285" w:rsidRPr="007B5BE6">
        <w:t>s</w:t>
      </w:r>
      <w:r w:rsidRPr="007B5BE6">
        <w:t xml:space="preserve"> of action may be relevant:</w:t>
      </w:r>
    </w:p>
    <w:p w14:paraId="46B77562" w14:textId="4704BD15" w:rsidR="003B0F65" w:rsidRPr="007B5BE6" w:rsidRDefault="003B0F65" w:rsidP="003B0F65">
      <w:pPr>
        <w:pStyle w:val="DotPointTLRI"/>
        <w:rPr>
          <w:b/>
          <w:bCs/>
        </w:rPr>
      </w:pPr>
      <w:r w:rsidRPr="007B5BE6">
        <w:rPr>
          <w:b/>
        </w:rPr>
        <w:t>Unconscionable conduct</w:t>
      </w:r>
      <w:r w:rsidRPr="007B5BE6">
        <w:t>: when parties have entered into an agreement and the older person is suffering from a special disadvantage</w:t>
      </w:r>
      <w:r w:rsidR="00CA4D31" w:rsidRPr="007B5BE6">
        <w:rPr>
          <w:rStyle w:val="FootnoteReference"/>
        </w:rPr>
        <w:footnoteReference w:id="311"/>
      </w:r>
      <w:r w:rsidRPr="007B5BE6">
        <w:t xml:space="preserve"> and the other party takes advantage of that, there can be grounds to set the transaction aside for unconscionable conduct.</w:t>
      </w:r>
      <w:r w:rsidR="00CA4D31" w:rsidRPr="007B5BE6">
        <w:rPr>
          <w:rStyle w:val="FootnoteReference"/>
        </w:rPr>
        <w:footnoteReference w:id="312"/>
      </w:r>
    </w:p>
    <w:p w14:paraId="071F1024" w14:textId="36AA6DB1" w:rsidR="003B0F65" w:rsidRPr="007B5BE6" w:rsidRDefault="003B0F65" w:rsidP="003B0F65">
      <w:pPr>
        <w:pStyle w:val="DotPointTLRI"/>
        <w:rPr>
          <w:b/>
          <w:bCs/>
        </w:rPr>
      </w:pPr>
      <w:r w:rsidRPr="007B5BE6">
        <w:rPr>
          <w:b/>
        </w:rPr>
        <w:t>Undue influence</w:t>
      </w:r>
      <w:r w:rsidRPr="007B5BE6">
        <w:t xml:space="preserve">: when parties have entered an agreement and </w:t>
      </w:r>
      <w:r w:rsidR="001F0315" w:rsidRPr="007B5BE6">
        <w:t xml:space="preserve">the older person’s </w:t>
      </w:r>
      <w:r w:rsidRPr="007B5BE6">
        <w:t>consent to the agreement was the result of undue influence by the other party</w:t>
      </w:r>
      <w:r w:rsidR="00192B39" w:rsidRPr="007B5BE6">
        <w:t xml:space="preserve"> over the older person</w:t>
      </w:r>
      <w:r w:rsidRPr="007B5BE6">
        <w:t>, this can also be grounds to set the transaction aside. There is no presumption of undue influence for adult children over their parents.</w:t>
      </w:r>
      <w:r w:rsidR="009C0161" w:rsidRPr="007B5BE6">
        <w:rPr>
          <w:rStyle w:val="FootnoteReference"/>
        </w:rPr>
        <w:footnoteReference w:id="313"/>
      </w:r>
      <w:r w:rsidRPr="007B5BE6">
        <w:t xml:space="preserve"> However, undue influence may arise from the circumstances of a particular case, which requires ‘proof that a relationship of trust and confidence existed, and the parties entered into a transaction, which was manifestly disadvantageous to the other person’.</w:t>
      </w:r>
      <w:r w:rsidR="00685C34" w:rsidRPr="007B5BE6">
        <w:rPr>
          <w:rStyle w:val="FootnoteReference"/>
        </w:rPr>
        <w:footnoteReference w:id="314"/>
      </w:r>
    </w:p>
    <w:p w14:paraId="141F9C4A" w14:textId="06AC59F7" w:rsidR="003B0F65" w:rsidRPr="007B5BE6" w:rsidRDefault="003B0F65" w:rsidP="003B0F65">
      <w:pPr>
        <w:pStyle w:val="NormalNumberedTextTLRI"/>
      </w:pPr>
      <w:r w:rsidRPr="007B5BE6">
        <w:t xml:space="preserve">If any of these civil causes of action are available to an older person, these may be pursued </w:t>
      </w:r>
      <w:r w:rsidR="00FB7024" w:rsidRPr="007B5BE6">
        <w:t xml:space="preserve">by the older person </w:t>
      </w:r>
      <w:r w:rsidRPr="007B5BE6">
        <w:t xml:space="preserve">seeking legal advice </w:t>
      </w:r>
      <w:r w:rsidR="00652F06" w:rsidRPr="007B5BE6">
        <w:t xml:space="preserve">on whether they can </w:t>
      </w:r>
      <w:r w:rsidRPr="007B5BE6">
        <w:t>bring a claim against th</w:t>
      </w:r>
      <w:r w:rsidR="002C5650" w:rsidRPr="007B5BE6">
        <w:t>e other</w:t>
      </w:r>
      <w:r w:rsidR="0089458B" w:rsidRPr="007B5BE6">
        <w:t xml:space="preserve"> </w:t>
      </w:r>
      <w:r w:rsidR="002C5650" w:rsidRPr="007B5BE6">
        <w:t xml:space="preserve">party </w:t>
      </w:r>
      <w:r w:rsidR="000612C7" w:rsidRPr="007B5BE6">
        <w:t>to an agreement</w:t>
      </w:r>
      <w:r w:rsidRPr="007B5BE6">
        <w:t xml:space="preserve"> (often a member of their own family or a friend). This can result in the initiation of civil proceedings in the Supreme Court of Tasmania, which may include costs associated with legal representation and any cost orders </w:t>
      </w:r>
      <w:r w:rsidR="00D86A4F" w:rsidRPr="007B5BE6">
        <w:t xml:space="preserve">the court makes </w:t>
      </w:r>
      <w:r w:rsidRPr="007B5BE6">
        <w:t>in determining disputes</w:t>
      </w:r>
      <w:r w:rsidRPr="007B5BE6" w:rsidDel="003A4FAC">
        <w:t>.</w:t>
      </w:r>
      <w:r w:rsidRPr="007B5BE6">
        <w:t xml:space="preserve"> </w:t>
      </w:r>
    </w:p>
    <w:p w14:paraId="1BBB8738" w14:textId="77777777" w:rsidR="003B0F65" w:rsidRPr="007B5BE6" w:rsidRDefault="003B0F65" w:rsidP="009E2BFD">
      <w:pPr>
        <w:pStyle w:val="Headingunnumbered"/>
        <w:spacing w:before="360"/>
      </w:pPr>
      <w:bookmarkStart w:id="58" w:name="_Toc212561753"/>
      <w:r w:rsidRPr="007B5BE6">
        <w:t>Legislative frameworks for complaints</w:t>
      </w:r>
      <w:bookmarkEnd w:id="58"/>
    </w:p>
    <w:p w14:paraId="043F3C00" w14:textId="40469410" w:rsidR="003B0F65" w:rsidRPr="007B5BE6" w:rsidRDefault="003B0F65" w:rsidP="003B0F65">
      <w:pPr>
        <w:pStyle w:val="NormalNumberedTextTLRI"/>
      </w:pPr>
      <w:r w:rsidRPr="007B5BE6">
        <w:t xml:space="preserve">There are also broader </w:t>
      </w:r>
      <w:r w:rsidRPr="007B5BE6">
        <w:rPr>
          <w:b/>
          <w:bCs/>
        </w:rPr>
        <w:t xml:space="preserve">legislative frameworks </w:t>
      </w:r>
      <w:r w:rsidR="00FA1F65" w:rsidRPr="007B5BE6">
        <w:rPr>
          <w:b/>
          <w:bCs/>
        </w:rPr>
        <w:t>for complaints</w:t>
      </w:r>
      <w:r w:rsidR="00FA1F65" w:rsidRPr="007B5BE6">
        <w:t xml:space="preserve"> </w:t>
      </w:r>
      <w:r w:rsidRPr="007B5BE6">
        <w:t xml:space="preserve">under Tasmanian law that may provide an avenue in relation to behaviour that constitutes abuse of an older </w:t>
      </w:r>
      <w:r w:rsidR="00D82DBD" w:rsidRPr="007B5BE6">
        <w:t>Tasmanians</w:t>
      </w:r>
      <w:r w:rsidRPr="007B5BE6">
        <w:t>. Each framework establishes a different process for making complaints to an independent Commissioner who is empowered to receive, investigate and respond in different ways to complaints as follows:</w:t>
      </w:r>
    </w:p>
    <w:p w14:paraId="08ED7883" w14:textId="5CCC05C2" w:rsidR="003B0F65" w:rsidRPr="007B5BE6" w:rsidRDefault="003B0F65" w:rsidP="003B0F65">
      <w:pPr>
        <w:pStyle w:val="DotPointTLRI"/>
      </w:pPr>
      <w:r w:rsidRPr="007B5BE6">
        <w:t>Disability Commissioner</w:t>
      </w:r>
      <w:r w:rsidR="00E96BE1" w:rsidRPr="007B5BE6">
        <w:t>,</w:t>
      </w:r>
      <w:r w:rsidRPr="007B5BE6">
        <w:t xml:space="preserve"> about provision of disability services and abuse of people with disability;</w:t>
      </w:r>
    </w:p>
    <w:p w14:paraId="1934E906" w14:textId="2B721BCB" w:rsidR="003B0F65" w:rsidRPr="007B5BE6" w:rsidRDefault="003B0F65" w:rsidP="003B0F65">
      <w:pPr>
        <w:pStyle w:val="DotPointTLRI"/>
      </w:pPr>
      <w:r w:rsidRPr="007B5BE6">
        <w:t>Health Complaints Commissioner</w:t>
      </w:r>
      <w:r w:rsidR="00E96BE1" w:rsidRPr="007B5BE6">
        <w:t>,</w:t>
      </w:r>
      <w:r w:rsidRPr="007B5BE6">
        <w:t xml:space="preserve"> about provision of health services; and </w:t>
      </w:r>
    </w:p>
    <w:p w14:paraId="1DDC3DD5" w14:textId="66174021" w:rsidR="003B0F65" w:rsidRPr="007B5BE6" w:rsidRDefault="00991EDF" w:rsidP="003B0F65">
      <w:pPr>
        <w:pStyle w:val="DotPointTLRI"/>
      </w:pPr>
      <w:r w:rsidRPr="00991EDF">
        <w:t>Anti-Discrimination</w:t>
      </w:r>
      <w:r>
        <w:t xml:space="preserve"> </w:t>
      </w:r>
      <w:r w:rsidR="003B0F65" w:rsidRPr="007B5BE6">
        <w:t>Commissioner</w:t>
      </w:r>
      <w:r w:rsidR="00E96BE1" w:rsidRPr="007B5BE6">
        <w:t>,</w:t>
      </w:r>
      <w:r w:rsidR="003B0F65" w:rsidRPr="007B5BE6">
        <w:t xml:space="preserve"> about discrimination based on specified attributes, including age, in particular areas of activity. </w:t>
      </w:r>
    </w:p>
    <w:p w14:paraId="253CE621" w14:textId="6EAB024D" w:rsidR="003B0F65" w:rsidRPr="007B5BE6" w:rsidRDefault="003B0F65" w:rsidP="003B0F65">
      <w:pPr>
        <w:pStyle w:val="NormalNumberedTextTLRI"/>
      </w:pPr>
      <w:r w:rsidRPr="007B5BE6">
        <w:lastRenderedPageBreak/>
        <w:t xml:space="preserve">These complaint mechanisms are not of broad application for all older people. Each legislative framework provides a </w:t>
      </w:r>
      <w:r w:rsidR="00F21BCB" w:rsidRPr="007B5BE6">
        <w:t xml:space="preserve">potential legal </w:t>
      </w:r>
      <w:r w:rsidRPr="007B5BE6">
        <w:t>response only in circumstances where the abuse</w:t>
      </w:r>
      <w:r w:rsidR="001E3429" w:rsidRPr="007B5BE6">
        <w:t>,</w:t>
      </w:r>
      <w:r w:rsidRPr="007B5BE6">
        <w:t xml:space="preserve"> or suspected abuse</w:t>
      </w:r>
      <w:r w:rsidR="001E3429" w:rsidRPr="007B5BE6">
        <w:t>,</w:t>
      </w:r>
      <w:r w:rsidRPr="007B5BE6">
        <w:t xml:space="preserve"> meets the relevant criteria for making a complaint under the legislation. Further, there are limits on the outcomes that can be achieved u</w:t>
      </w:r>
      <w:r w:rsidR="00E96BE1" w:rsidRPr="007B5BE6">
        <w:t>nder</w:t>
      </w:r>
      <w:r w:rsidRPr="007B5BE6">
        <w:t xml:space="preserve"> these complaint mechanisms. </w:t>
      </w:r>
    </w:p>
    <w:p w14:paraId="2C5539FC" w14:textId="5812426A" w:rsidR="003B0F65" w:rsidRPr="007B5BE6" w:rsidRDefault="003B0F65" w:rsidP="009E2BFD">
      <w:pPr>
        <w:pStyle w:val="Sub-HeadingTLRI"/>
        <w:spacing w:before="360"/>
      </w:pPr>
      <w:bookmarkStart w:id="59" w:name="_Toc212561754"/>
      <w:r w:rsidRPr="007B5BE6">
        <w:t>Disability Commissioner: disability services and abuse of people with disability</w:t>
      </w:r>
      <w:bookmarkEnd w:id="59"/>
    </w:p>
    <w:p w14:paraId="051BAB02" w14:textId="15E98873" w:rsidR="007A6FD2" w:rsidRPr="007B5BE6" w:rsidRDefault="0025267A" w:rsidP="007A6FD2">
      <w:pPr>
        <w:pStyle w:val="NormalNumberedTextTLRI"/>
      </w:pPr>
      <w:r w:rsidRPr="007B5BE6">
        <w:t>Establishment of a Disability Commissioner is an important legislative development in Tasmania</w:t>
      </w:r>
      <w:r w:rsidR="007C2046" w:rsidRPr="007B5BE6">
        <w:t xml:space="preserve">, </w:t>
      </w:r>
      <w:r w:rsidRPr="007B5BE6">
        <w:t>provid</w:t>
      </w:r>
      <w:r w:rsidR="007C2046" w:rsidRPr="007B5BE6">
        <w:t>ing</w:t>
      </w:r>
      <w:r w:rsidRPr="007B5BE6">
        <w:t xml:space="preserve"> a mechanism for safeguarding against abuse that can be experienced by older people</w:t>
      </w:r>
      <w:r w:rsidR="00DD05AE" w:rsidRPr="007B5BE6">
        <w:t xml:space="preserve">; however, this is limited to </w:t>
      </w:r>
      <w:r w:rsidRPr="007B5BE6">
        <w:t xml:space="preserve">older people </w:t>
      </w:r>
      <w:r w:rsidR="00DD05AE" w:rsidRPr="007B5BE6">
        <w:t>with</w:t>
      </w:r>
      <w:r w:rsidRPr="007B5BE6">
        <w:t xml:space="preserve"> disability. </w:t>
      </w:r>
      <w:r w:rsidR="000F7BFE" w:rsidRPr="007B5BE6">
        <w:t>A Disability Commissioner has been appointed,</w:t>
      </w:r>
      <w:r w:rsidR="00685C34" w:rsidRPr="007B5BE6">
        <w:rPr>
          <w:rStyle w:val="FootnoteReference"/>
        </w:rPr>
        <w:footnoteReference w:id="315"/>
      </w:r>
      <w:r w:rsidR="000F7BFE" w:rsidRPr="007B5BE6">
        <w:t xml:space="preserve"> as part of a new legislative framework created by the</w:t>
      </w:r>
      <w:r w:rsidR="000F7BFE" w:rsidRPr="007B5BE6">
        <w:rPr>
          <w:i/>
          <w:iCs/>
        </w:rPr>
        <w:t xml:space="preserve"> Disability Rights, Inclusion and Safeguarding Act 2024</w:t>
      </w:r>
      <w:r w:rsidR="000F7BFE" w:rsidRPr="007B5BE6">
        <w:t xml:space="preserve"> (Tas), which commenced operation on 1 July 2025. The Commissioner replaced the Interim Disability Commissioner</w:t>
      </w:r>
      <w:r w:rsidR="003C2535" w:rsidRPr="007B5BE6">
        <w:t>,</w:t>
      </w:r>
      <w:r w:rsidR="000F7BFE" w:rsidRPr="007B5BE6">
        <w:t xml:space="preserve"> who had been appointed to undertake work to inform the development of the role of Disability Commissioner, including its functions and powers.</w:t>
      </w:r>
      <w:r w:rsidR="00685C34" w:rsidRPr="007B5BE6">
        <w:rPr>
          <w:rStyle w:val="FootnoteReference"/>
        </w:rPr>
        <w:footnoteReference w:id="316"/>
      </w:r>
      <w:r w:rsidR="000F7BFE" w:rsidRPr="007B5BE6">
        <w:t xml:space="preserve"> </w:t>
      </w:r>
      <w:r w:rsidR="007A6FD2" w:rsidRPr="007B5BE6">
        <w:t xml:space="preserve">The safeguarding functions of the Disability Commissioner under the </w:t>
      </w:r>
      <w:r w:rsidR="007A6FD2" w:rsidRPr="007B5BE6">
        <w:rPr>
          <w:i/>
          <w:iCs/>
        </w:rPr>
        <w:t>Disability Rights, Inclusion and Safeguarding Act 2024</w:t>
      </w:r>
      <w:r w:rsidR="007A6FD2" w:rsidRPr="007B5BE6">
        <w:t xml:space="preserve"> (Tas) include to:</w:t>
      </w:r>
    </w:p>
    <w:p w14:paraId="117C128B" w14:textId="77777777" w:rsidR="007A6FD2" w:rsidRPr="007B5BE6" w:rsidRDefault="007A6FD2" w:rsidP="007A6FD2">
      <w:pPr>
        <w:pStyle w:val="DotPointTLRI"/>
      </w:pPr>
      <w:r w:rsidRPr="007B5BE6">
        <w:t xml:space="preserve">establish and monitor safeguarding mechanisms that address violence against, and the abuse, neglect, coercion and exploitation of, people with disability; and </w:t>
      </w:r>
    </w:p>
    <w:p w14:paraId="76964453" w14:textId="27A26FFA" w:rsidR="000F7BFE" w:rsidRPr="007B5BE6" w:rsidRDefault="007A6FD2" w:rsidP="00624A53">
      <w:pPr>
        <w:pStyle w:val="DotPointTLRI"/>
      </w:pPr>
      <w:proofErr w:type="gramStart"/>
      <w:r w:rsidRPr="007B5BE6">
        <w:t>take action</w:t>
      </w:r>
      <w:proofErr w:type="gramEnd"/>
      <w:r w:rsidRPr="007B5BE6">
        <w:t xml:space="preserve">, where appropriate, in relation to allegations of violence against, or the abuse, neglect, coercion, or exploitation of, people with disability, whether </w:t>
      </w:r>
      <w:proofErr w:type="gramStart"/>
      <w:r w:rsidRPr="007B5BE6">
        <w:t>on the basis of</w:t>
      </w:r>
      <w:proofErr w:type="gramEnd"/>
      <w:r w:rsidRPr="007B5BE6">
        <w:t xml:space="preserve"> a report made to the Commissioner or on the Commissioner’s own initiative, including by referring matters to appropriate persons or bodies and by conducting investigations.</w:t>
      </w:r>
      <w:r w:rsidR="00685C34" w:rsidRPr="007B5BE6">
        <w:rPr>
          <w:rStyle w:val="FootnoteReference"/>
        </w:rPr>
        <w:footnoteReference w:id="317"/>
      </w:r>
    </w:p>
    <w:p w14:paraId="47E2B29F" w14:textId="6E6CCB57" w:rsidR="00095F2B" w:rsidRPr="007B5BE6" w:rsidRDefault="00095F2B" w:rsidP="00095F2B">
      <w:pPr>
        <w:pStyle w:val="NormalNumberedTextTLRI"/>
      </w:pPr>
      <w:r w:rsidRPr="007B5BE6">
        <w:t>In cases where a person with disability (including an older person with disability) experiences abuse or neglect, the Act allows for a person to make a report concerning any matter relating to advancing and safeguarding the rights of people with disability.</w:t>
      </w:r>
      <w:r w:rsidR="00685C34" w:rsidRPr="007B5BE6">
        <w:rPr>
          <w:rStyle w:val="FootnoteReference"/>
        </w:rPr>
        <w:footnoteReference w:id="318"/>
      </w:r>
      <w:r w:rsidRPr="007B5BE6">
        <w:t xml:space="preserve"> This includes reports:</w:t>
      </w:r>
    </w:p>
    <w:p w14:paraId="5EEB50A1" w14:textId="4EAF978A" w:rsidR="00095F2B" w:rsidRPr="007B5BE6" w:rsidRDefault="00095F2B" w:rsidP="00095F2B">
      <w:pPr>
        <w:pStyle w:val="DotPointTLRI"/>
      </w:pPr>
      <w:r w:rsidRPr="007B5BE6">
        <w:t>about matters relating to a person with disability if there are reasonable grounds to believe that the person with disability is subject to</w:t>
      </w:r>
      <w:r w:rsidR="004B39EB" w:rsidRPr="007B5BE6">
        <w:t>,</w:t>
      </w:r>
      <w:r w:rsidRPr="007B5BE6">
        <w:t xml:space="preserve"> or at risk of</w:t>
      </w:r>
      <w:r w:rsidR="004B39EB" w:rsidRPr="007B5BE6">
        <w:t>,</w:t>
      </w:r>
      <w:r w:rsidRPr="007B5BE6">
        <w:t xml:space="preserve"> violence, abuse, neglect, coercion or exploitation; and</w:t>
      </w:r>
    </w:p>
    <w:p w14:paraId="04812CA6" w14:textId="403A9C81" w:rsidR="00095F2B" w:rsidRPr="007B5BE6" w:rsidRDefault="00095F2B" w:rsidP="00095F2B">
      <w:pPr>
        <w:pStyle w:val="DotPointTLRI"/>
      </w:pPr>
      <w:r w:rsidRPr="007B5BE6">
        <w:t>circumstances that the person has reasonable grounds to believe will result in violence against, or abuse, neglect, coercion or exploitation of</w:t>
      </w:r>
      <w:r w:rsidR="000F14E0" w:rsidRPr="007B5BE6">
        <w:t>,</w:t>
      </w:r>
      <w:r w:rsidRPr="007B5BE6">
        <w:t xml:space="preserve"> a person with disability.</w:t>
      </w:r>
      <w:r w:rsidR="00685C34" w:rsidRPr="007B5BE6">
        <w:rPr>
          <w:rStyle w:val="FootnoteReference"/>
        </w:rPr>
        <w:footnoteReference w:id="319"/>
      </w:r>
    </w:p>
    <w:p w14:paraId="670DA4AD" w14:textId="74392D92" w:rsidR="001E3D75" w:rsidRPr="007B5BE6" w:rsidRDefault="001E3D75" w:rsidP="001E3D75">
      <w:pPr>
        <w:pStyle w:val="NormalNumberedTextTLRI"/>
      </w:pPr>
      <w:r w:rsidRPr="007B5BE6">
        <w:t>After receiving a report, the Commissioner has a discretion in how to respond, either investigating, making a referral to another person or body under s</w:t>
      </w:r>
      <w:r w:rsidR="00D762D2" w:rsidRPr="007B5BE6">
        <w:t>ection</w:t>
      </w:r>
      <w:r w:rsidRPr="007B5BE6">
        <w:t xml:space="preserve"> 38 of the Act or declining to act.</w:t>
      </w:r>
      <w:r w:rsidR="00685C34" w:rsidRPr="007B5BE6">
        <w:rPr>
          <w:rStyle w:val="FootnoteReference"/>
        </w:rPr>
        <w:footnoteReference w:id="320"/>
      </w:r>
      <w:r w:rsidRPr="007B5BE6">
        <w:t xml:space="preserve"> Following a report, the Commissioner can also make preliminary inquiries for the purpose of deciding how to deal with a report and</w:t>
      </w:r>
      <w:r w:rsidR="00FA033D" w:rsidRPr="007B5BE6">
        <w:t>,</w:t>
      </w:r>
      <w:r w:rsidRPr="007B5BE6">
        <w:t xml:space="preserve"> as part of this</w:t>
      </w:r>
      <w:r w:rsidR="00FA033D" w:rsidRPr="007B5BE6">
        <w:t>,</w:t>
      </w:r>
      <w:r w:rsidRPr="007B5BE6">
        <w:t xml:space="preserve"> may request further information from the person </w:t>
      </w:r>
      <w:r w:rsidRPr="007B5BE6">
        <w:lastRenderedPageBreak/>
        <w:t xml:space="preserve">who has made the report. </w:t>
      </w:r>
      <w:r w:rsidR="00E51DA7" w:rsidRPr="007B5BE6">
        <w:t>To</w:t>
      </w:r>
      <w:r w:rsidRPr="007B5BE6">
        <w:t xml:space="preserve"> investigate a report of violence, abuse, neglect, coercion or exploitation of a person with disability, the Commissioner must obtain the consent of the person</w:t>
      </w:r>
      <w:r w:rsidR="00FA033D" w:rsidRPr="007B5BE6">
        <w:t xml:space="preserve">. This is </w:t>
      </w:r>
      <w:r w:rsidRPr="007B5BE6">
        <w:t>subject to three exceptions</w:t>
      </w:r>
      <w:r w:rsidR="00FA033D" w:rsidRPr="007B5BE6">
        <w:t xml:space="preserve">, </w:t>
      </w:r>
      <w:r w:rsidRPr="007B5BE6">
        <w:t>which are whe</w:t>
      </w:r>
      <w:r w:rsidR="00FA033D" w:rsidRPr="007B5BE6">
        <w:t>n</w:t>
      </w:r>
      <w:r w:rsidRPr="007B5BE6">
        <w:t xml:space="preserve"> the Commissioner is of the opinion that:</w:t>
      </w:r>
    </w:p>
    <w:p w14:paraId="11737CD9" w14:textId="38E219BC" w:rsidR="001E3D75" w:rsidRPr="007B5BE6" w:rsidRDefault="00DB1ECE" w:rsidP="001E3D75">
      <w:pPr>
        <w:pStyle w:val="DotPointTLRI"/>
      </w:pPr>
      <w:r w:rsidRPr="007B5BE6">
        <w:t xml:space="preserve">the person is </w:t>
      </w:r>
      <w:r w:rsidR="001E3D75" w:rsidRPr="007B5BE6">
        <w:t>incapable of giving consent, despite having been given appropriate supports for this purpose</w:t>
      </w:r>
      <w:r w:rsidR="003F4FBB" w:rsidRPr="007B5BE6">
        <w:t>;</w:t>
      </w:r>
    </w:p>
    <w:p w14:paraId="16894CA1" w14:textId="1B23B08C" w:rsidR="001E3D75" w:rsidRPr="007B5BE6" w:rsidRDefault="001E3D75" w:rsidP="001E3D75">
      <w:pPr>
        <w:pStyle w:val="DotPointTLRI"/>
      </w:pPr>
      <w:r w:rsidRPr="007B5BE6">
        <w:t xml:space="preserve">it is not necessary </w:t>
      </w:r>
      <w:r w:rsidR="003F4FBB" w:rsidRPr="007B5BE6">
        <w:t xml:space="preserve">to obtain consent </w:t>
      </w:r>
      <w:r w:rsidRPr="007B5BE6">
        <w:t>due to the seriousness of the allegation or the risk to personal safety</w:t>
      </w:r>
      <w:r w:rsidR="003F4FBB" w:rsidRPr="007B5BE6">
        <w:t xml:space="preserve"> of the person;</w:t>
      </w:r>
      <w:r w:rsidRPr="007B5BE6">
        <w:t xml:space="preserve"> or</w:t>
      </w:r>
    </w:p>
    <w:p w14:paraId="2C4D6E04" w14:textId="04B8645A" w:rsidR="001E3D75" w:rsidRPr="007B5BE6" w:rsidRDefault="001E3D75" w:rsidP="001E3D75">
      <w:pPr>
        <w:pStyle w:val="DotPointTLRI"/>
      </w:pPr>
      <w:r w:rsidRPr="007B5BE6">
        <w:t xml:space="preserve">any other circumstances prescribed </w:t>
      </w:r>
      <w:r w:rsidR="003F4FBB" w:rsidRPr="007B5BE6">
        <w:t xml:space="preserve">by the </w:t>
      </w:r>
      <w:r w:rsidRPr="007B5BE6">
        <w:t>regulations exist.</w:t>
      </w:r>
      <w:r w:rsidR="00EA5E32" w:rsidRPr="007B5BE6">
        <w:rPr>
          <w:rStyle w:val="FootnoteReference"/>
        </w:rPr>
        <w:footnoteReference w:id="321"/>
      </w:r>
    </w:p>
    <w:p w14:paraId="6A78FDBF" w14:textId="2D149A5C" w:rsidR="00E33D35" w:rsidRPr="007B5BE6" w:rsidRDefault="00E33D35" w:rsidP="00E33D35">
      <w:r w:rsidRPr="007B5BE6">
        <w:t xml:space="preserve">The Commissioner has wide-ranging powers, including a power </w:t>
      </w:r>
      <w:r w:rsidR="00960769" w:rsidRPr="007B5BE6">
        <w:t xml:space="preserve">to </w:t>
      </w:r>
      <w:r w:rsidRPr="007B5BE6">
        <w:t xml:space="preserve">do all things necessary or convenient in connection with the performance of the functions of the role and exercise of </w:t>
      </w:r>
      <w:r w:rsidR="00960769" w:rsidRPr="007B5BE6">
        <w:t xml:space="preserve">its </w:t>
      </w:r>
      <w:r w:rsidRPr="007B5BE6">
        <w:t>powers.</w:t>
      </w:r>
      <w:r w:rsidR="00EA5E32" w:rsidRPr="007B5BE6">
        <w:rPr>
          <w:rStyle w:val="FootnoteReference"/>
        </w:rPr>
        <w:footnoteReference w:id="322"/>
      </w:r>
    </w:p>
    <w:p w14:paraId="022DDCF8" w14:textId="4B2C0237" w:rsidR="000F7BFE" w:rsidRPr="007B5BE6" w:rsidRDefault="001E3D75" w:rsidP="005F3B3D">
      <w:pPr>
        <w:pStyle w:val="NormalNumberedTextTLRI"/>
      </w:pPr>
      <w:r w:rsidRPr="007B5BE6">
        <w:t xml:space="preserve">As well as having the discretion to </w:t>
      </w:r>
      <w:proofErr w:type="gramStart"/>
      <w:r w:rsidRPr="007B5BE6">
        <w:t>conduct an investigation</w:t>
      </w:r>
      <w:proofErr w:type="gramEnd"/>
      <w:r w:rsidRPr="007B5BE6">
        <w:t xml:space="preserve"> of a report, the Commissioner is subject to mandatory requirements to refer reports or matters to other agencies or bodies in certain circumstances. </w:t>
      </w:r>
      <w:r w:rsidR="003E3443" w:rsidRPr="007B5BE6">
        <w:t>This includes a power under</w:t>
      </w:r>
      <w:r w:rsidRPr="007B5BE6">
        <w:t xml:space="preserve"> s</w:t>
      </w:r>
      <w:r w:rsidR="00700C50" w:rsidRPr="007B5BE6">
        <w:t>ection</w:t>
      </w:r>
      <w:r w:rsidRPr="007B5BE6">
        <w:t xml:space="preserve"> 38(2) of the Act for mandatory referral to </w:t>
      </w:r>
      <w:r w:rsidR="00263D3C" w:rsidRPr="007B5BE6">
        <w:t xml:space="preserve">the </w:t>
      </w:r>
      <w:r w:rsidRPr="007B5BE6">
        <w:t>Commissioner of Police or the Director of Public Prosecutions if the report or investigation may provide evidence of the commission of a criminal offence.</w:t>
      </w:r>
      <w:r w:rsidR="00EA5E32" w:rsidRPr="007B5BE6">
        <w:rPr>
          <w:rStyle w:val="FootnoteReference"/>
        </w:rPr>
        <w:footnoteReference w:id="323"/>
      </w:r>
      <w:r w:rsidRPr="007B5BE6">
        <w:t xml:space="preserve"> However, the Commissioner must refuse to conduct an investigation if the matter that is the subject of investigation is the subject of, or would prejudice, any criminal proceedings or criminal investigations.</w:t>
      </w:r>
      <w:r w:rsidR="00EA5E32" w:rsidRPr="007B5BE6">
        <w:rPr>
          <w:rStyle w:val="FootnoteReference"/>
        </w:rPr>
        <w:footnoteReference w:id="324"/>
      </w:r>
      <w:r w:rsidRPr="007B5BE6">
        <w:t xml:space="preserve"> </w:t>
      </w:r>
      <w:r w:rsidR="00095F2B" w:rsidRPr="007B5BE6">
        <w:t xml:space="preserve">There are also provisions </w:t>
      </w:r>
      <w:r w:rsidR="00930872" w:rsidRPr="007B5BE6">
        <w:t xml:space="preserve">set out in the Act </w:t>
      </w:r>
      <w:r w:rsidR="00263D3C" w:rsidRPr="007B5BE6">
        <w:t>for</w:t>
      </w:r>
      <w:r w:rsidR="00095F2B" w:rsidRPr="007B5BE6">
        <w:t xml:space="preserve"> other referrals </w:t>
      </w:r>
      <w:r w:rsidR="00E33D35" w:rsidRPr="007B5BE6">
        <w:t>to relevant bodies.</w:t>
      </w:r>
      <w:r w:rsidR="00EA5E32" w:rsidRPr="007B5BE6">
        <w:rPr>
          <w:rStyle w:val="FootnoteReference"/>
        </w:rPr>
        <w:footnoteReference w:id="325"/>
      </w:r>
      <w:r w:rsidR="00E33D35" w:rsidRPr="007B5BE6">
        <w:t xml:space="preserve"> </w:t>
      </w:r>
    </w:p>
    <w:p w14:paraId="2CA164F4" w14:textId="08DD868F" w:rsidR="003B0F65" w:rsidRPr="007B5BE6" w:rsidRDefault="005C6783" w:rsidP="003B0F65">
      <w:pPr>
        <w:pStyle w:val="NormalNumberedTextTLRI"/>
      </w:pPr>
      <w:r w:rsidRPr="007B5BE6">
        <w:t>The</w:t>
      </w:r>
      <w:r w:rsidR="003B0F65" w:rsidRPr="007B5BE6">
        <w:t xml:space="preserve"> </w:t>
      </w:r>
      <w:r w:rsidR="003B0F65" w:rsidRPr="007B5BE6">
        <w:rPr>
          <w:i/>
          <w:iCs/>
        </w:rPr>
        <w:t>Disability Rights, Inclusion</w:t>
      </w:r>
      <w:r w:rsidR="003B0F65" w:rsidRPr="007B5BE6">
        <w:rPr>
          <w:i/>
        </w:rPr>
        <w:t xml:space="preserve"> and </w:t>
      </w:r>
      <w:r w:rsidR="003B0F65" w:rsidRPr="007B5BE6">
        <w:rPr>
          <w:i/>
          <w:iCs/>
        </w:rPr>
        <w:t>Safeguarding Act 2024</w:t>
      </w:r>
      <w:r w:rsidR="003B0F65" w:rsidRPr="007B5BE6">
        <w:t xml:space="preserve"> (Tas) </w:t>
      </w:r>
      <w:r w:rsidR="000B356D" w:rsidRPr="007B5BE6">
        <w:t xml:space="preserve">was </w:t>
      </w:r>
      <w:r w:rsidR="005609D9" w:rsidRPr="007B5BE6">
        <w:t xml:space="preserve">developed as a response to the </w:t>
      </w:r>
      <w:r w:rsidR="005A76F4" w:rsidRPr="007B5BE6">
        <w:rPr>
          <w:i/>
          <w:iCs/>
        </w:rPr>
        <w:t>Royal Commission into Violence, Abuse, Neglect and Exploitation of People with Disability</w:t>
      </w:r>
      <w:r w:rsidR="007F446A" w:rsidRPr="007B5BE6">
        <w:t>, and follo</w:t>
      </w:r>
      <w:r w:rsidR="001902C7" w:rsidRPr="007B5BE6">
        <w:t>ws a Tasmanian review of the</w:t>
      </w:r>
      <w:r w:rsidR="007F446A" w:rsidRPr="007B5BE6">
        <w:t xml:space="preserve"> </w:t>
      </w:r>
      <w:r w:rsidR="00632D4C" w:rsidRPr="007B5BE6">
        <w:rPr>
          <w:i/>
          <w:iCs/>
        </w:rPr>
        <w:t>Disability Services Act 2011</w:t>
      </w:r>
      <w:r w:rsidR="00632D4C" w:rsidRPr="007B5BE6">
        <w:t xml:space="preserve"> (Tas)</w:t>
      </w:r>
      <w:r w:rsidR="00140243" w:rsidRPr="007B5BE6">
        <w:t>.</w:t>
      </w:r>
      <w:r w:rsidR="00EA5E32" w:rsidRPr="007B5BE6">
        <w:rPr>
          <w:rStyle w:val="FootnoteReference"/>
        </w:rPr>
        <w:footnoteReference w:id="326"/>
      </w:r>
      <w:r w:rsidR="00632D4C" w:rsidRPr="007B5BE6">
        <w:t xml:space="preserve"> </w:t>
      </w:r>
      <w:r w:rsidR="00140243" w:rsidRPr="007B5BE6">
        <w:t>It</w:t>
      </w:r>
      <w:r w:rsidR="00632D4C" w:rsidRPr="007B5BE6">
        <w:t xml:space="preserve"> </w:t>
      </w:r>
      <w:r w:rsidR="003B0F65" w:rsidRPr="007B5BE6">
        <w:t xml:space="preserve">has a strong emphasis on rights and inclusion, </w:t>
      </w:r>
      <w:r w:rsidR="006F325E" w:rsidRPr="007B5BE6">
        <w:t xml:space="preserve">reflected in </w:t>
      </w:r>
      <w:r w:rsidR="003B0F65" w:rsidRPr="007B5BE6">
        <w:t>its aim to ‘advance and safeguard the rights of people with disability and … the full and effective inclusion of all people with disability’.</w:t>
      </w:r>
      <w:r w:rsidR="00EA5E32" w:rsidRPr="007B5BE6">
        <w:rPr>
          <w:rStyle w:val="FootnoteReference"/>
        </w:rPr>
        <w:footnoteReference w:id="327"/>
      </w:r>
      <w:r w:rsidR="003B0F65" w:rsidRPr="007B5BE6">
        <w:t xml:space="preserve"> It specifies principles, reflect</w:t>
      </w:r>
      <w:r w:rsidR="004733BE" w:rsidRPr="007B5BE6">
        <w:t>ing</w:t>
      </w:r>
      <w:r w:rsidR="003B0F65" w:rsidRPr="007B5BE6">
        <w:t xml:space="preserve"> the </w:t>
      </w:r>
      <w:r w:rsidR="003B0F65" w:rsidRPr="007B5BE6">
        <w:rPr>
          <w:i/>
          <w:iCs/>
        </w:rPr>
        <w:t>United Nations Convention on the Rights of Persons with Disabilities</w:t>
      </w:r>
      <w:r w:rsidR="003B0F65" w:rsidRPr="007B5BE6">
        <w:t>, that are to be observed in the operation, administration and enforcement of the Act, including that people with disability ‘have the same right as other members of Australian society to live free from violence, abuse, neglect, coercion and exploitation’.</w:t>
      </w:r>
      <w:r w:rsidR="00EA5E32" w:rsidRPr="007B5BE6">
        <w:rPr>
          <w:rStyle w:val="FootnoteReference"/>
        </w:rPr>
        <w:footnoteReference w:id="328"/>
      </w:r>
      <w:r w:rsidR="003B0F65" w:rsidRPr="007B5BE6">
        <w:t xml:space="preserve"> </w:t>
      </w:r>
      <w:r w:rsidR="00BA62A6" w:rsidRPr="007B5BE6">
        <w:t xml:space="preserve">Under the Act, disability is defined </w:t>
      </w:r>
      <w:r w:rsidR="000438A7" w:rsidRPr="007B5BE6">
        <w:t>to include ‘long-term physical, mental, cognitive, intellectual or sensory impairments which in interaction with various barriers may hinder the person’s full and effective participation in society on an equal basis with others’.</w:t>
      </w:r>
      <w:r w:rsidR="00EA5E32" w:rsidRPr="007B5BE6">
        <w:rPr>
          <w:rStyle w:val="FootnoteReference"/>
        </w:rPr>
        <w:footnoteReference w:id="329"/>
      </w:r>
      <w:r w:rsidR="00D635FE" w:rsidRPr="007B5BE6">
        <w:t xml:space="preserve"> </w:t>
      </w:r>
      <w:r w:rsidR="003B0F65" w:rsidRPr="007B5BE6">
        <w:t xml:space="preserve">The </w:t>
      </w:r>
      <w:r w:rsidR="001A062F" w:rsidRPr="007B5BE6">
        <w:t>Act also broadens the definition</w:t>
      </w:r>
      <w:r w:rsidR="003B0F65" w:rsidRPr="007B5BE6">
        <w:t xml:space="preserve"> of disability </w:t>
      </w:r>
      <w:r w:rsidR="001A062F" w:rsidRPr="007B5BE6">
        <w:t xml:space="preserve">by </w:t>
      </w:r>
      <w:r w:rsidR="00D635FE" w:rsidRPr="007B5BE6">
        <w:t>remov</w:t>
      </w:r>
      <w:r w:rsidR="001A062F" w:rsidRPr="007B5BE6">
        <w:t>ing</w:t>
      </w:r>
      <w:r w:rsidR="003B0F65" w:rsidRPr="007B5BE6">
        <w:t xml:space="preserve"> the </w:t>
      </w:r>
      <w:r w:rsidR="0029006B" w:rsidRPr="007B5BE6">
        <w:t xml:space="preserve">distinction that had previously existed that distinguished between </w:t>
      </w:r>
      <w:r w:rsidR="00E2791A" w:rsidRPr="007B5BE6">
        <w:t xml:space="preserve">a </w:t>
      </w:r>
      <w:r w:rsidR="0029006B" w:rsidRPr="007B5BE6">
        <w:t>disabili</w:t>
      </w:r>
      <w:r w:rsidR="00E2791A" w:rsidRPr="007B5BE6">
        <w:t>ty</w:t>
      </w:r>
      <w:r w:rsidR="0029006B" w:rsidRPr="007B5BE6">
        <w:t xml:space="preserve"> acquired before the age of 65 years</w:t>
      </w:r>
      <w:r w:rsidR="005C0A3B" w:rsidRPr="007B5BE6">
        <w:t xml:space="preserve"> (in which case</w:t>
      </w:r>
      <w:r w:rsidR="0029006B" w:rsidRPr="007B5BE6">
        <w:t xml:space="preserve"> the disability framework would apply</w:t>
      </w:r>
      <w:r w:rsidR="005C0A3B" w:rsidRPr="007B5BE6">
        <w:t>),</w:t>
      </w:r>
      <w:r w:rsidR="0029006B" w:rsidRPr="007B5BE6">
        <w:t xml:space="preserve"> and </w:t>
      </w:r>
      <w:r w:rsidR="00E2791A" w:rsidRPr="007B5BE6">
        <w:t xml:space="preserve">a </w:t>
      </w:r>
      <w:r w:rsidR="0029006B" w:rsidRPr="007B5BE6">
        <w:t>disabilit</w:t>
      </w:r>
      <w:r w:rsidR="00E2791A" w:rsidRPr="007B5BE6">
        <w:t>y</w:t>
      </w:r>
      <w:r w:rsidR="0029006B" w:rsidRPr="007B5BE6">
        <w:t xml:space="preserve"> acquired after 65 years</w:t>
      </w:r>
      <w:r w:rsidR="005C0A3B" w:rsidRPr="007B5BE6">
        <w:t xml:space="preserve"> (in which case </w:t>
      </w:r>
      <w:r w:rsidR="0029006B" w:rsidRPr="007B5BE6">
        <w:t>the disability framework would not apply</w:t>
      </w:r>
      <w:r w:rsidR="005C0A3B" w:rsidRPr="007B5BE6">
        <w:t>)</w:t>
      </w:r>
      <w:r w:rsidR="0029006B" w:rsidRPr="007B5BE6">
        <w:t xml:space="preserve">. </w:t>
      </w:r>
      <w:r w:rsidR="007421F1" w:rsidRPr="007B5BE6">
        <w:t>T</w:t>
      </w:r>
      <w:r w:rsidR="0029006B" w:rsidRPr="007B5BE6">
        <w:t xml:space="preserve">he </w:t>
      </w:r>
      <w:r w:rsidR="0029006B" w:rsidRPr="007B5BE6">
        <w:rPr>
          <w:i/>
          <w:iCs/>
        </w:rPr>
        <w:t>Disability Rights, Inclusion</w:t>
      </w:r>
      <w:r w:rsidR="0029006B" w:rsidRPr="007B5BE6">
        <w:rPr>
          <w:i/>
        </w:rPr>
        <w:t xml:space="preserve"> and </w:t>
      </w:r>
      <w:r w:rsidR="0029006B" w:rsidRPr="007B5BE6">
        <w:rPr>
          <w:i/>
          <w:iCs/>
        </w:rPr>
        <w:t>Safeguarding Act 2024</w:t>
      </w:r>
      <w:r w:rsidR="0029006B" w:rsidRPr="007B5BE6">
        <w:t xml:space="preserve"> (Tas) </w:t>
      </w:r>
      <w:r w:rsidR="00D635FE" w:rsidRPr="007B5BE6">
        <w:t>applies regardless of when the disability was acquired.</w:t>
      </w:r>
    </w:p>
    <w:p w14:paraId="68569B24" w14:textId="77777777" w:rsidR="003B0F65" w:rsidRPr="007B5BE6" w:rsidRDefault="003B0F65" w:rsidP="009E2BFD">
      <w:pPr>
        <w:pStyle w:val="Sub-HeadingTLRI"/>
        <w:spacing w:before="360"/>
      </w:pPr>
      <w:bookmarkStart w:id="60" w:name="_Toc212561755"/>
      <w:r w:rsidRPr="007B5BE6">
        <w:lastRenderedPageBreak/>
        <w:t>Health Complaints Commissioner: health services</w:t>
      </w:r>
      <w:bookmarkEnd w:id="60"/>
    </w:p>
    <w:p w14:paraId="5D8A9B2E" w14:textId="44D9186B" w:rsidR="003B0F65" w:rsidRPr="007B5BE6" w:rsidRDefault="003B0F65" w:rsidP="003B0F65">
      <w:pPr>
        <w:pStyle w:val="NormalNumberedTextTLRI"/>
      </w:pPr>
      <w:r w:rsidRPr="007B5BE6">
        <w:t xml:space="preserve">In Tasmania, under the </w:t>
      </w:r>
      <w:r w:rsidRPr="007B5BE6">
        <w:rPr>
          <w:i/>
          <w:iCs/>
        </w:rPr>
        <w:t>Health Complaints Act 1995</w:t>
      </w:r>
      <w:r w:rsidRPr="007B5BE6">
        <w:t xml:space="preserve"> (Tas), </w:t>
      </w:r>
      <w:r w:rsidR="00991406" w:rsidRPr="007B5BE6">
        <w:t xml:space="preserve">a person </w:t>
      </w:r>
      <w:r w:rsidRPr="007B5BE6">
        <w:t xml:space="preserve">may make </w:t>
      </w:r>
      <w:r w:rsidR="00991406" w:rsidRPr="007B5BE6">
        <w:t xml:space="preserve">a </w:t>
      </w:r>
      <w:r w:rsidRPr="007B5BE6">
        <w:t>complaint about the provision of health services by health service providers</w:t>
      </w:r>
      <w:r w:rsidR="000D5DE5" w:rsidRPr="007B5BE6">
        <w:t xml:space="preserve">, which may </w:t>
      </w:r>
      <w:r w:rsidR="00A4088E" w:rsidRPr="007B5BE6">
        <w:t>cover circumstances in which an older person experiences abuse</w:t>
      </w:r>
      <w:r w:rsidRPr="007B5BE6">
        <w:t xml:space="preserve">. A wide range of services are recognised for the purpose of the Act and covered by a </w:t>
      </w:r>
      <w:r w:rsidRPr="007B5BE6">
        <w:rPr>
          <w:i/>
          <w:iCs/>
        </w:rPr>
        <w:t>Tasmanian Charter of Health Rights and Responsibilities</w:t>
      </w:r>
      <w:r w:rsidRPr="007B5BE6">
        <w:t>, which sets out six Charter rights.</w:t>
      </w:r>
      <w:r w:rsidR="000D1554" w:rsidRPr="007B5BE6">
        <w:rPr>
          <w:rStyle w:val="FootnoteReference"/>
        </w:rPr>
        <w:footnoteReference w:id="330"/>
      </w:r>
      <w:r w:rsidRPr="007B5BE6">
        <w:t xml:space="preserve"> </w:t>
      </w:r>
    </w:p>
    <w:p w14:paraId="0DA0A0DE" w14:textId="57138AF9" w:rsidR="003B0F65" w:rsidRPr="007B5BE6" w:rsidRDefault="00B401A4" w:rsidP="00516BFF">
      <w:pPr>
        <w:pStyle w:val="NormalNumberedTextTLRI"/>
      </w:pPr>
      <w:r w:rsidRPr="007B5BE6">
        <w:t>The most relevant</w:t>
      </w:r>
      <w:r w:rsidR="003B0F65" w:rsidRPr="007B5BE6">
        <w:t xml:space="preserve"> protective mechanism</w:t>
      </w:r>
      <w:r w:rsidRPr="007B5BE6">
        <w:t>s</w:t>
      </w:r>
      <w:r w:rsidR="003B0F65" w:rsidRPr="007B5BE6">
        <w:t xml:space="preserve"> for preventing abuse of older Tasmanians</w:t>
      </w:r>
      <w:r w:rsidRPr="007B5BE6">
        <w:t xml:space="preserve"> are:</w:t>
      </w:r>
      <w:r w:rsidR="003B0F65" w:rsidRPr="007B5BE6">
        <w:t xml:space="preserve"> Right 1</w:t>
      </w:r>
      <w:r w:rsidR="00E47F65" w:rsidRPr="007B5BE6">
        <w:t>:</w:t>
      </w:r>
      <w:r w:rsidR="003B0F65" w:rsidRPr="007B5BE6">
        <w:t xml:space="preserve"> ‘Active Participation in Health Care’</w:t>
      </w:r>
      <w:r w:rsidRPr="007B5BE6">
        <w:t>;</w:t>
      </w:r>
      <w:r w:rsidR="003B0F65" w:rsidRPr="007B5BE6">
        <w:t xml:space="preserve"> and Right 2</w:t>
      </w:r>
      <w:r w:rsidR="00625782" w:rsidRPr="007B5BE6">
        <w:t>:</w:t>
      </w:r>
      <w:r w:rsidR="003B0F65" w:rsidRPr="007B5BE6">
        <w:t xml:space="preserve"> ‘Individualised service that is free from discrimination’</w:t>
      </w:r>
      <w:r w:rsidRPr="007B5BE6">
        <w:t>.</w:t>
      </w:r>
      <w:r w:rsidR="003B0F65" w:rsidRPr="007B5BE6">
        <w:t xml:space="preserve"> </w:t>
      </w:r>
      <w:r w:rsidRPr="007B5BE6">
        <w:t xml:space="preserve">Both </w:t>
      </w:r>
      <w:r w:rsidR="003B0F65" w:rsidRPr="007B5BE6">
        <w:t>relate to behaviour that could constitute forms of abuse of older people.</w:t>
      </w:r>
      <w:r w:rsidR="00500ACD" w:rsidRPr="007B5BE6">
        <w:rPr>
          <w:rStyle w:val="FootnoteReference"/>
        </w:rPr>
        <w:footnoteReference w:id="331"/>
      </w:r>
      <w:r w:rsidR="003B0F65" w:rsidRPr="007B5BE6">
        <w:t xml:space="preserve"> </w:t>
      </w:r>
      <w:r w:rsidR="006C44B5" w:rsidRPr="007B5BE6">
        <w:t xml:space="preserve">The most relevant </w:t>
      </w:r>
      <w:r w:rsidR="003B0F65" w:rsidRPr="007B5BE6">
        <w:t>protective mechanism for responding to the abuse of older Tasmanians</w:t>
      </w:r>
      <w:r w:rsidR="006C44B5" w:rsidRPr="007B5BE6">
        <w:t xml:space="preserve"> is</w:t>
      </w:r>
      <w:r w:rsidR="003B0F65" w:rsidRPr="007B5BE6">
        <w:t xml:space="preserve"> Right 4</w:t>
      </w:r>
      <w:r w:rsidR="00357356" w:rsidRPr="007B5BE6">
        <w:t xml:space="preserve">, which </w:t>
      </w:r>
      <w:r w:rsidR="003B0F65" w:rsidRPr="007B5BE6">
        <w:t xml:space="preserve">provides a right to complain, including to be informed about complaint procedures and to have </w:t>
      </w:r>
      <w:r w:rsidR="00397E85" w:rsidRPr="007B5BE6">
        <w:t xml:space="preserve">a </w:t>
      </w:r>
      <w:r w:rsidR="003B0F65" w:rsidRPr="007B5BE6">
        <w:t xml:space="preserve">complaint dealt with promptly, fairly and without any adverse effect or discrimination </w:t>
      </w:r>
      <w:r w:rsidR="00B1321E" w:rsidRPr="007B5BE6">
        <w:t xml:space="preserve">due to </w:t>
      </w:r>
      <w:r w:rsidR="003B0F65" w:rsidRPr="007B5BE6">
        <w:t>having made a complaint.</w:t>
      </w:r>
      <w:r w:rsidR="00500ACD" w:rsidRPr="007B5BE6">
        <w:rPr>
          <w:rStyle w:val="FootnoteReference"/>
        </w:rPr>
        <w:footnoteReference w:id="332"/>
      </w:r>
    </w:p>
    <w:p w14:paraId="7A19AF88" w14:textId="3C5C517A" w:rsidR="003B0F65" w:rsidRPr="007B5BE6" w:rsidRDefault="003B0F65" w:rsidP="00516BFF">
      <w:pPr>
        <w:pStyle w:val="NormalNumberedTextTLRI"/>
        <w:rPr>
          <w:b/>
          <w:i/>
        </w:rPr>
      </w:pPr>
      <w:r w:rsidRPr="007B5BE6">
        <w:t xml:space="preserve">The Health Complaints Commissioner is the relevant authority for receiving and investigating complaints about the provision of healthcare services under the </w:t>
      </w:r>
      <w:r w:rsidRPr="007B5BE6">
        <w:rPr>
          <w:i/>
          <w:iCs/>
        </w:rPr>
        <w:t>Health Complaints Act 1995</w:t>
      </w:r>
      <w:r w:rsidRPr="007B5BE6">
        <w:t xml:space="preserve"> (Tas).</w:t>
      </w:r>
      <w:r w:rsidR="00500ACD" w:rsidRPr="007B5BE6">
        <w:rPr>
          <w:rStyle w:val="FootnoteReference"/>
        </w:rPr>
        <w:footnoteReference w:id="333"/>
      </w:r>
      <w:r w:rsidRPr="007B5BE6">
        <w:t xml:space="preserve"> The Health Complaints Commissioner has wide-ranging powers in investigating complaints,</w:t>
      </w:r>
      <w:r w:rsidR="00500ACD" w:rsidRPr="007B5BE6">
        <w:rPr>
          <w:rStyle w:val="FootnoteReference"/>
        </w:rPr>
        <w:footnoteReference w:id="334"/>
      </w:r>
      <w:r w:rsidRPr="007B5BE6">
        <w:t xml:space="preserve"> including using and obtaining information, examining witnesses, entering premises and keeping documents or other seized items, and preparing a report of findings at the conclusion of the investigation.</w:t>
      </w:r>
      <w:r w:rsidR="00500ACD" w:rsidRPr="007B5BE6">
        <w:rPr>
          <w:rStyle w:val="FootnoteReference"/>
        </w:rPr>
        <w:footnoteReference w:id="335"/>
      </w:r>
      <w:r w:rsidRPr="007B5BE6">
        <w:t xml:space="preserve">  Following an investigation, if the Health Complaints Commissioner considers </w:t>
      </w:r>
      <w:r w:rsidR="009C5DD2" w:rsidRPr="007B5BE6">
        <w:t>a</w:t>
      </w:r>
      <w:r w:rsidRPr="007B5BE6">
        <w:t xml:space="preserve"> complaint is justified</w:t>
      </w:r>
      <w:r w:rsidR="008F65BB" w:rsidRPr="007B5BE6">
        <w:t>,</w:t>
      </w:r>
      <w:r w:rsidRPr="007B5BE6">
        <w:t xml:space="preserve"> but appears incapable of being resolved, he or she can provide</w:t>
      </w:r>
      <w:r w:rsidR="003E38A7" w:rsidRPr="007B5BE6">
        <w:t>,</w:t>
      </w:r>
      <w:r w:rsidRPr="007B5BE6">
        <w:t xml:space="preserve"> to the health service providers</w:t>
      </w:r>
      <w:r w:rsidR="003E38A7" w:rsidRPr="007B5BE6">
        <w:t>,</w:t>
      </w:r>
      <w:r w:rsidRPr="007B5BE6">
        <w:t xml:space="preserve"> a notice of recommended action that </w:t>
      </w:r>
      <w:r w:rsidR="003E38A7" w:rsidRPr="007B5BE6">
        <w:t>should</w:t>
      </w:r>
      <w:r w:rsidRPr="007B5BE6">
        <w:t xml:space="preserve"> be taken to remedy unresolved grievances.</w:t>
      </w:r>
      <w:r w:rsidR="00500ACD" w:rsidRPr="007B5BE6">
        <w:rPr>
          <w:rStyle w:val="FootnoteReference"/>
        </w:rPr>
        <w:footnoteReference w:id="336"/>
      </w:r>
      <w:r w:rsidRPr="007B5BE6">
        <w:t xml:space="preserve"> Other powers, which can be exercised at any time during an investigation, include the Commissioner enforcing compliance with any prescribed codes of conduct for health workers under the relevant regulations</w:t>
      </w:r>
      <w:r w:rsidR="00680298" w:rsidRPr="007B5BE6">
        <w:t>,</w:t>
      </w:r>
      <w:r w:rsidRPr="007B5BE6">
        <w:t xml:space="preserve"> and making interim prohibition orders or prohibition orders that prohibit a health worker from providing all</w:t>
      </w:r>
      <w:r w:rsidR="00680298" w:rsidRPr="007B5BE6">
        <w:t>,</w:t>
      </w:r>
      <w:r w:rsidRPr="007B5BE6">
        <w:t xml:space="preserve"> or part of</w:t>
      </w:r>
      <w:r w:rsidR="00680298" w:rsidRPr="007B5BE6">
        <w:t>,</w:t>
      </w:r>
      <w:r w:rsidRPr="007B5BE6">
        <w:t xml:space="preserve"> the health services under investigation.</w:t>
      </w:r>
      <w:r w:rsidR="00500ACD" w:rsidRPr="007B5BE6">
        <w:rPr>
          <w:rStyle w:val="FootnoteReference"/>
        </w:rPr>
        <w:footnoteReference w:id="337"/>
      </w:r>
      <w:r w:rsidRPr="007B5BE6">
        <w:t xml:space="preserve">  </w:t>
      </w:r>
    </w:p>
    <w:p w14:paraId="466FE613" w14:textId="747EECAB" w:rsidR="003B0F65" w:rsidRPr="007B5BE6" w:rsidRDefault="00991EDF" w:rsidP="009E2BFD">
      <w:pPr>
        <w:pStyle w:val="Sub-HeadingTLRI"/>
        <w:spacing w:before="360"/>
      </w:pPr>
      <w:bookmarkStart w:id="61" w:name="_Toc212561756"/>
      <w:r w:rsidRPr="00991EDF">
        <w:lastRenderedPageBreak/>
        <w:t xml:space="preserve">Anti-Discrimination </w:t>
      </w:r>
      <w:r w:rsidR="003B0F65" w:rsidRPr="007B5BE6">
        <w:t>Commissioner: discrimination and other prohibited conduct</w:t>
      </w:r>
      <w:bookmarkEnd w:id="61"/>
      <w:r w:rsidR="003B0F65" w:rsidRPr="007B5BE6">
        <w:t xml:space="preserve"> </w:t>
      </w:r>
    </w:p>
    <w:p w14:paraId="465D6871" w14:textId="7140CADE" w:rsidR="003B0F65" w:rsidRPr="007B5BE6" w:rsidRDefault="003B0F65" w:rsidP="001F29AD">
      <w:pPr>
        <w:pStyle w:val="NormalNumberedTextTLRI"/>
      </w:pPr>
      <w:r w:rsidRPr="007B5BE6">
        <w:t xml:space="preserve">  Abuse of </w:t>
      </w:r>
      <w:r w:rsidR="00D20C1F" w:rsidRPr="007B5BE6">
        <w:t xml:space="preserve">an </w:t>
      </w:r>
      <w:r w:rsidRPr="007B5BE6">
        <w:t xml:space="preserve">older </w:t>
      </w:r>
      <w:r w:rsidR="00D20C1F" w:rsidRPr="007B5BE6">
        <w:t xml:space="preserve">person </w:t>
      </w:r>
      <w:r w:rsidRPr="007B5BE6">
        <w:t xml:space="preserve">may potentially </w:t>
      </w:r>
      <w:r w:rsidR="002E3FCB" w:rsidRPr="007B5BE6">
        <w:t>provide a basis for</w:t>
      </w:r>
      <w:r w:rsidRPr="007B5BE6">
        <w:t xml:space="preserve"> </w:t>
      </w:r>
      <w:r w:rsidR="002E3FCB" w:rsidRPr="007B5BE6">
        <w:t xml:space="preserve">making </w:t>
      </w:r>
      <w:r w:rsidRPr="007B5BE6">
        <w:t xml:space="preserve">a complaint to the </w:t>
      </w:r>
      <w:r w:rsidR="00991EDF">
        <w:t>Anti-Discrimination</w:t>
      </w:r>
      <w:r w:rsidRPr="007B5BE6">
        <w:t xml:space="preserve"> Commissioner under the </w:t>
      </w:r>
      <w:r w:rsidRPr="007B5BE6">
        <w:rPr>
          <w:i/>
          <w:iCs/>
        </w:rPr>
        <w:t>Anti-Discrimination Act 1998</w:t>
      </w:r>
      <w:r w:rsidRPr="007B5BE6">
        <w:t xml:space="preserve"> (Tas)</w:t>
      </w:r>
      <w:r w:rsidR="001F3F74" w:rsidRPr="007B5BE6">
        <w:t>,</w:t>
      </w:r>
      <w:r w:rsidRPr="007B5BE6">
        <w:t xml:space="preserve"> if it amounts to discrimination or prohibited conduct on the basis of certain attributes, which includes age, as well as gender, disability and race.</w:t>
      </w:r>
      <w:r w:rsidR="00AE1658" w:rsidRPr="007B5BE6">
        <w:rPr>
          <w:rStyle w:val="FootnoteReference"/>
        </w:rPr>
        <w:footnoteReference w:id="338"/>
      </w:r>
      <w:r w:rsidRPr="007B5BE6">
        <w:t xml:space="preserve"> </w:t>
      </w:r>
      <w:r w:rsidR="00346D82" w:rsidRPr="007B5BE6">
        <w:t xml:space="preserve">However, </w:t>
      </w:r>
      <w:r w:rsidR="00D20C1F" w:rsidRPr="007B5BE6">
        <w:t>th</w:t>
      </w:r>
      <w:r w:rsidR="00CD4C0D" w:rsidRPr="007B5BE6">
        <w:t xml:space="preserve">e basis for a potential </w:t>
      </w:r>
      <w:r w:rsidR="00D20C1F" w:rsidRPr="007B5BE6">
        <w:t xml:space="preserve">complaint </w:t>
      </w:r>
      <w:r w:rsidR="00346D82" w:rsidRPr="007B5BE6">
        <w:t>only applies in specific contexts</w:t>
      </w:r>
      <w:r w:rsidR="00B1113C" w:rsidRPr="007B5BE6">
        <w:t xml:space="preserve">, and does not apply to conduct </w:t>
      </w:r>
      <w:r w:rsidR="005C3F7F" w:rsidRPr="007B5BE6">
        <w:t xml:space="preserve">by </w:t>
      </w:r>
      <w:r w:rsidR="00B1113C" w:rsidRPr="007B5BE6">
        <w:t>family members</w:t>
      </w:r>
      <w:r w:rsidR="005C3F7F" w:rsidRPr="007B5BE6">
        <w:t xml:space="preserve"> or</w:t>
      </w:r>
      <w:r w:rsidR="00B1113C" w:rsidRPr="007B5BE6">
        <w:t xml:space="preserve"> others in close </w:t>
      </w:r>
      <w:r w:rsidR="005C3F7F" w:rsidRPr="007B5BE6">
        <w:t xml:space="preserve">personal </w:t>
      </w:r>
      <w:r w:rsidR="00B1113C" w:rsidRPr="007B5BE6">
        <w:t>relationship</w:t>
      </w:r>
      <w:r w:rsidR="001F3F74" w:rsidRPr="007B5BE6">
        <w:t>s</w:t>
      </w:r>
      <w:r w:rsidR="00B1113C" w:rsidRPr="007B5BE6">
        <w:t xml:space="preserve"> with the older person.</w:t>
      </w:r>
      <w:r w:rsidR="00AE1658" w:rsidRPr="007B5BE6">
        <w:rPr>
          <w:rStyle w:val="FootnoteReference"/>
        </w:rPr>
        <w:footnoteReference w:id="339"/>
      </w:r>
      <w:r w:rsidR="00B1113C" w:rsidRPr="007B5BE6">
        <w:t xml:space="preserve"> </w:t>
      </w:r>
    </w:p>
    <w:p w14:paraId="2C0EE0AD" w14:textId="02B3EA42" w:rsidR="003B0F65" w:rsidRPr="007B5BE6" w:rsidRDefault="003B0F65" w:rsidP="003B0F65">
      <w:pPr>
        <w:pStyle w:val="NormalNumberedTextTLRI"/>
      </w:pPr>
      <w:r w:rsidRPr="007B5BE6">
        <w:t xml:space="preserve">While the scope of the </w:t>
      </w:r>
      <w:r w:rsidR="00991EDF">
        <w:t>Anti-Discrimination</w:t>
      </w:r>
      <w:r w:rsidR="00991EDF" w:rsidRPr="007B5BE6">
        <w:t xml:space="preserve"> </w:t>
      </w:r>
      <w:r w:rsidRPr="007B5BE6">
        <w:t>Commissioner’s role</w:t>
      </w:r>
      <w:r w:rsidR="00CD4C0D" w:rsidRPr="007B5BE6">
        <w:t xml:space="preserve"> regarding</w:t>
      </w:r>
      <w:r w:rsidRPr="007B5BE6">
        <w:t xml:space="preserve"> the abuse of older people may be limited, there are circumstances where the Commissioner has investigated reports of discrimination, abuse or neglect in residential aged care facilities. This occurred during </w:t>
      </w:r>
      <w:r w:rsidR="00F54B34" w:rsidRPr="007B5BE6">
        <w:t xml:space="preserve">the </w:t>
      </w:r>
      <w:r w:rsidRPr="007B5BE6">
        <w:t xml:space="preserve">COVID-19 </w:t>
      </w:r>
      <w:r w:rsidR="00F54B34" w:rsidRPr="007B5BE6">
        <w:t xml:space="preserve">pandemic </w:t>
      </w:r>
      <w:r w:rsidRPr="007B5BE6">
        <w:t xml:space="preserve">in response to concerns </w:t>
      </w:r>
      <w:r w:rsidR="00F54B34" w:rsidRPr="007B5BE6">
        <w:t>of an</w:t>
      </w:r>
      <w:r w:rsidRPr="007B5BE6">
        <w:t xml:space="preserve"> increased risk of abuse and neglect </w:t>
      </w:r>
      <w:r w:rsidR="000D5DE5" w:rsidRPr="007B5BE6">
        <w:t>for</w:t>
      </w:r>
      <w:r w:rsidRPr="007B5BE6">
        <w:t xml:space="preserve"> older people residing in these facilities due to lockdown restrictions.</w:t>
      </w:r>
      <w:r w:rsidR="00545BB7" w:rsidRPr="007B5BE6">
        <w:rPr>
          <w:rStyle w:val="FootnoteReference"/>
        </w:rPr>
        <w:footnoteReference w:id="340"/>
      </w:r>
    </w:p>
    <w:p w14:paraId="51CE1CF2" w14:textId="77777777" w:rsidR="003B0F65" w:rsidRPr="007B5BE6" w:rsidRDefault="003B0F65" w:rsidP="009E2BFD">
      <w:pPr>
        <w:pStyle w:val="Headingunnumbered"/>
        <w:spacing w:before="360"/>
      </w:pPr>
      <w:bookmarkStart w:id="62" w:name="_Toc212561757"/>
      <w:r w:rsidRPr="007B5BE6">
        <w:t>Commonwealth laws</w:t>
      </w:r>
      <w:bookmarkEnd w:id="62"/>
    </w:p>
    <w:p w14:paraId="6B39506B" w14:textId="64D6BDCF" w:rsidR="003B0F65" w:rsidRPr="007B5BE6" w:rsidRDefault="003B0F65" w:rsidP="003B0F65">
      <w:pPr>
        <w:pStyle w:val="NormalNumberedTextTLRI"/>
      </w:pPr>
      <w:r w:rsidRPr="007B5BE6">
        <w:t xml:space="preserve">Commonwealth laws also form part of </w:t>
      </w:r>
      <w:r w:rsidR="002C024E" w:rsidRPr="007B5BE6">
        <w:t xml:space="preserve">the </w:t>
      </w:r>
      <w:r w:rsidRPr="007B5BE6">
        <w:t xml:space="preserve">current legal framework for responding to the abuse of older Tasmanians. </w:t>
      </w:r>
      <w:r w:rsidR="00A4088E" w:rsidRPr="007B5BE6">
        <w:t xml:space="preserve">As the </w:t>
      </w:r>
      <w:r w:rsidRPr="007B5BE6">
        <w:t>focus of this Research Paper is on the need for reform of Tasmanian laws,</w:t>
      </w:r>
      <w:r w:rsidR="00BF42B7" w:rsidRPr="007B5BE6">
        <w:t xml:space="preserve"> </w:t>
      </w:r>
      <w:r w:rsidRPr="007B5BE6">
        <w:t xml:space="preserve">the Commonwealth position is relevant only in so far as it </w:t>
      </w:r>
      <w:r w:rsidR="00A4088E" w:rsidRPr="007B5BE6">
        <w:t>indicates whe</w:t>
      </w:r>
      <w:r w:rsidR="008C006D" w:rsidRPr="007B5BE6">
        <w:t>ther</w:t>
      </w:r>
      <w:r w:rsidR="00A4088E" w:rsidRPr="007B5BE6">
        <w:t xml:space="preserve"> </w:t>
      </w:r>
      <w:r w:rsidRPr="007B5BE6">
        <w:t xml:space="preserve">gaps exist in Tasmanian law. </w:t>
      </w:r>
      <w:r w:rsidR="005639E2" w:rsidRPr="007B5BE6">
        <w:t>For this reason,</w:t>
      </w:r>
      <w:r w:rsidR="00A4088E" w:rsidRPr="007B5BE6">
        <w:t xml:space="preserve"> </w:t>
      </w:r>
      <w:r w:rsidR="002C514A" w:rsidRPr="007B5BE6">
        <w:t xml:space="preserve">only </w:t>
      </w:r>
      <w:proofErr w:type="gramStart"/>
      <w:r w:rsidR="002C514A" w:rsidRPr="007B5BE6">
        <w:t>a brief summary</w:t>
      </w:r>
      <w:proofErr w:type="gramEnd"/>
      <w:r w:rsidR="002C514A" w:rsidRPr="007B5BE6">
        <w:t xml:space="preserve"> </w:t>
      </w:r>
      <w:r w:rsidR="00185EFF" w:rsidRPr="007B5BE6">
        <w:t xml:space="preserve">is provided </w:t>
      </w:r>
      <w:r w:rsidR="002C514A" w:rsidRPr="007B5BE6">
        <w:t>of three areas of</w:t>
      </w:r>
      <w:r w:rsidRPr="007B5BE6">
        <w:t xml:space="preserve"> Commonwealth laws </w:t>
      </w:r>
      <w:r w:rsidR="00185EFF" w:rsidRPr="007B5BE6">
        <w:t xml:space="preserve">relating to </w:t>
      </w:r>
      <w:r w:rsidRPr="007B5BE6">
        <w:t xml:space="preserve">aged care, carers and financial abuse. </w:t>
      </w:r>
    </w:p>
    <w:p w14:paraId="10CF1747" w14:textId="77777777" w:rsidR="003B0F65" w:rsidRPr="007B5BE6" w:rsidRDefault="003B0F65" w:rsidP="009E2BFD">
      <w:pPr>
        <w:pStyle w:val="Sub-HeadingTLRI"/>
        <w:spacing w:before="360"/>
      </w:pPr>
      <w:bookmarkStart w:id="63" w:name="_Toc212561758"/>
      <w:r w:rsidRPr="007B5BE6">
        <w:t>Aged Care</w:t>
      </w:r>
      <w:bookmarkEnd w:id="63"/>
    </w:p>
    <w:p w14:paraId="73BCC2C0" w14:textId="77A1634F" w:rsidR="003B0F65" w:rsidRPr="007B5BE6" w:rsidRDefault="002C1212" w:rsidP="003B0F65">
      <w:pPr>
        <w:pStyle w:val="NormalNumberedTextTLRI"/>
      </w:pPr>
      <w:r w:rsidRPr="007B5BE6">
        <w:t>Prior to 1 July 2025, t</w:t>
      </w:r>
      <w:r w:rsidR="003B0F65" w:rsidRPr="007B5BE6">
        <w:t xml:space="preserve">he legislative regime governing the care of older people in </w:t>
      </w:r>
      <w:r w:rsidR="00DA585F" w:rsidRPr="007B5BE6">
        <w:t xml:space="preserve">Commonwealth aged care services (including </w:t>
      </w:r>
      <w:r w:rsidR="007D7CD0" w:rsidRPr="007B5BE6">
        <w:t xml:space="preserve">funded </w:t>
      </w:r>
      <w:r w:rsidR="003B0F65" w:rsidRPr="007B5BE6">
        <w:t xml:space="preserve">aged care </w:t>
      </w:r>
      <w:r w:rsidR="007D7CD0" w:rsidRPr="007B5BE6">
        <w:t xml:space="preserve">facilities or home services </w:t>
      </w:r>
      <w:r w:rsidR="00DA585F" w:rsidRPr="007B5BE6">
        <w:t xml:space="preserve">under aged care packages) </w:t>
      </w:r>
      <w:r w:rsidR="00F95337" w:rsidRPr="007B5BE6">
        <w:t>was</w:t>
      </w:r>
      <w:r w:rsidR="003B0F65" w:rsidRPr="007B5BE6">
        <w:t xml:space="preserve"> the </w:t>
      </w:r>
      <w:r w:rsidR="003B0F65" w:rsidRPr="007B5BE6">
        <w:rPr>
          <w:i/>
          <w:iCs/>
        </w:rPr>
        <w:t>Aged Care Act 1997</w:t>
      </w:r>
      <w:r w:rsidR="003B0F65" w:rsidRPr="007B5BE6">
        <w:t xml:space="preserve"> (Cth)</w:t>
      </w:r>
      <w:r w:rsidR="007D7CD0" w:rsidRPr="007B5BE6">
        <w:t>. This Act c</w:t>
      </w:r>
      <w:r w:rsidR="003B0F65" w:rsidRPr="007B5BE6">
        <w:t>ontain</w:t>
      </w:r>
      <w:r w:rsidRPr="007B5BE6">
        <w:t>ed</w:t>
      </w:r>
      <w:r w:rsidR="003B0F65" w:rsidRPr="007B5BE6">
        <w:t xml:space="preserve"> numerous provisions aimed at safeguarding against abusive behaviour directed at people receiving </w:t>
      </w:r>
      <w:r w:rsidRPr="007B5BE6">
        <w:t>Commonwealth</w:t>
      </w:r>
      <w:r w:rsidR="00447CC9" w:rsidRPr="007B5BE6">
        <w:t>-</w:t>
      </w:r>
      <w:r w:rsidRPr="007B5BE6">
        <w:t xml:space="preserve">funded </w:t>
      </w:r>
      <w:r w:rsidR="003B0F65" w:rsidRPr="007B5BE6">
        <w:t xml:space="preserve">aged care services, which would </w:t>
      </w:r>
      <w:r w:rsidR="00DA585F" w:rsidRPr="007B5BE6">
        <w:t xml:space="preserve">cover circumstances </w:t>
      </w:r>
      <w:r w:rsidRPr="007B5BE6">
        <w:t xml:space="preserve">in </w:t>
      </w:r>
      <w:r w:rsidR="00DA585F" w:rsidRPr="007B5BE6">
        <w:t>which older</w:t>
      </w:r>
      <w:r w:rsidR="003B0F65" w:rsidRPr="007B5BE6">
        <w:t xml:space="preserve"> Tasmanians</w:t>
      </w:r>
      <w:r w:rsidR="00DA585F" w:rsidRPr="007B5BE6">
        <w:t xml:space="preserve"> can experience abuse</w:t>
      </w:r>
      <w:r w:rsidR="003B0F65" w:rsidRPr="007B5BE6">
        <w:t>. Broadly speaking, they require</w:t>
      </w:r>
      <w:r w:rsidRPr="007B5BE6">
        <w:t>d</w:t>
      </w:r>
      <w:r w:rsidR="003B0F65" w:rsidRPr="007B5BE6">
        <w:t xml:space="preserve"> service providers to report</w:t>
      </w:r>
      <w:r w:rsidR="005A0839" w:rsidRPr="007B5BE6">
        <w:t>,</w:t>
      </w:r>
      <w:r w:rsidR="003B0F65" w:rsidRPr="007B5BE6">
        <w:t xml:space="preserve"> to the Commonwealth Aged Care Quality and Safety Commission</w:t>
      </w:r>
      <w:r w:rsidR="005A0839" w:rsidRPr="007B5BE6">
        <w:t>,</w:t>
      </w:r>
      <w:r w:rsidR="003B0F65" w:rsidRPr="007B5BE6">
        <w:t xml:space="preserve"> any allegations or suspicions of serious physical or sexual abuse where a person is living in a residential aged care facility or receiving home services.</w:t>
      </w:r>
      <w:r w:rsidR="002B5129" w:rsidRPr="007B5BE6">
        <w:rPr>
          <w:rStyle w:val="FootnoteReference"/>
        </w:rPr>
        <w:footnoteReference w:id="341"/>
      </w:r>
      <w:r w:rsidR="003B0F65" w:rsidRPr="007B5BE6">
        <w:t xml:space="preserve"> </w:t>
      </w:r>
    </w:p>
    <w:p w14:paraId="7DECA799" w14:textId="59379E2B" w:rsidR="00FA4D97" w:rsidRPr="007B5BE6" w:rsidRDefault="003B0F65" w:rsidP="00140243">
      <w:pPr>
        <w:pStyle w:val="NormalNumberedTextTLRI"/>
        <w:rPr>
          <w:b/>
          <w:i/>
        </w:rPr>
      </w:pPr>
      <w:r w:rsidRPr="007B5BE6">
        <w:t xml:space="preserve">A new Act, the </w:t>
      </w:r>
      <w:r w:rsidRPr="007B5BE6">
        <w:rPr>
          <w:i/>
          <w:iCs/>
        </w:rPr>
        <w:t>Aged Care Act 2025</w:t>
      </w:r>
      <w:r w:rsidRPr="007B5BE6">
        <w:t xml:space="preserve"> (Cth) commence</w:t>
      </w:r>
      <w:r w:rsidR="005A0839" w:rsidRPr="007B5BE6">
        <w:t>d</w:t>
      </w:r>
      <w:r w:rsidRPr="007B5BE6">
        <w:t xml:space="preserve"> on 1 July 2025, as part of a suite of reforms following the </w:t>
      </w:r>
      <w:r w:rsidRPr="007B5BE6">
        <w:rPr>
          <w:i/>
          <w:iCs/>
        </w:rPr>
        <w:t>Royal Commission into Aged Care Quality and Safety</w:t>
      </w:r>
      <w:r w:rsidRPr="007B5BE6">
        <w:t xml:space="preserve">, which commenced in 2018 and </w:t>
      </w:r>
      <w:r w:rsidR="009D5FBE" w:rsidRPr="007B5BE6">
        <w:t>reported</w:t>
      </w:r>
      <w:r w:rsidRPr="007B5BE6">
        <w:t xml:space="preserve"> in 2021.</w:t>
      </w:r>
      <w:r w:rsidR="00EB0C35" w:rsidRPr="007B5BE6">
        <w:rPr>
          <w:rStyle w:val="FootnoteReference"/>
        </w:rPr>
        <w:footnoteReference w:id="342"/>
      </w:r>
      <w:r w:rsidRPr="007B5BE6">
        <w:t xml:space="preserve"> The new </w:t>
      </w:r>
      <w:r w:rsidRPr="007B5BE6">
        <w:rPr>
          <w:i/>
          <w:iCs/>
        </w:rPr>
        <w:t>Aged Care Act 2025</w:t>
      </w:r>
      <w:r w:rsidRPr="007B5BE6">
        <w:t xml:space="preserve"> (Cth) responds to ‘the issues facing older people, aged care providers, workers, and the broader sector [and] … will put the rights and needs of </w:t>
      </w:r>
      <w:r w:rsidRPr="007B5BE6">
        <w:lastRenderedPageBreak/>
        <w:t>older people at the centre of the aged care system’.</w:t>
      </w:r>
      <w:r w:rsidR="00EB0C35" w:rsidRPr="007B5BE6">
        <w:rPr>
          <w:rStyle w:val="FootnoteReference"/>
        </w:rPr>
        <w:footnoteReference w:id="343"/>
      </w:r>
      <w:r w:rsidRPr="007B5BE6">
        <w:t xml:space="preserve"> The rights-based framework, which is said to be at the heart of the new Act, is focused on the people who are accessing </w:t>
      </w:r>
      <w:r w:rsidR="00355D94" w:rsidRPr="007B5BE6">
        <w:t>Commonwealth</w:t>
      </w:r>
      <w:r w:rsidR="00447CC9" w:rsidRPr="007B5BE6">
        <w:t>-</w:t>
      </w:r>
      <w:r w:rsidRPr="007B5BE6">
        <w:t xml:space="preserve">funded aged care services. Further, it provides a new framework for the regulation of </w:t>
      </w:r>
      <w:r w:rsidR="003E2889" w:rsidRPr="007B5BE6">
        <w:t>Commonwealth</w:t>
      </w:r>
      <w:r w:rsidR="00447CC9" w:rsidRPr="007B5BE6">
        <w:t>-</w:t>
      </w:r>
      <w:r w:rsidR="003E2889" w:rsidRPr="007B5BE6">
        <w:t>funded aged care services</w:t>
      </w:r>
      <w:r w:rsidRPr="007B5BE6">
        <w:t xml:space="preserve">, which encapsulates a more comprehensive set of obligations for </w:t>
      </w:r>
      <w:r w:rsidR="003E2889" w:rsidRPr="007B5BE6">
        <w:t xml:space="preserve">aged care </w:t>
      </w:r>
      <w:r w:rsidRPr="007B5BE6">
        <w:t xml:space="preserve">providers and an updated suite of powers for the Commission in receiving and responding to complaints. </w:t>
      </w:r>
    </w:p>
    <w:p w14:paraId="23977626" w14:textId="1E856126" w:rsidR="003B0F65" w:rsidRPr="007B5BE6" w:rsidRDefault="003B0F65" w:rsidP="009E2BFD">
      <w:pPr>
        <w:pStyle w:val="Sub-HeadingTLRI"/>
        <w:spacing w:before="360"/>
      </w:pPr>
      <w:bookmarkStart w:id="64" w:name="_Toc212561759"/>
      <w:r w:rsidRPr="007B5BE6">
        <w:t>Carers</w:t>
      </w:r>
      <w:bookmarkEnd w:id="64"/>
    </w:p>
    <w:p w14:paraId="049C4B4D" w14:textId="214BA876" w:rsidR="003B0F65" w:rsidRPr="007B5BE6" w:rsidRDefault="003B0F65" w:rsidP="003B0F65">
      <w:pPr>
        <w:pStyle w:val="NormalNumberedTextTLRI"/>
      </w:pPr>
      <w:r w:rsidRPr="007B5BE6">
        <w:t>Older people may rely on the assistance of other</w:t>
      </w:r>
      <w:r w:rsidR="00F953E2" w:rsidRPr="007B5BE6">
        <w:t xml:space="preserve">s for their care needs. Carers are </w:t>
      </w:r>
      <w:r w:rsidRPr="007B5BE6">
        <w:t>often family members, friends or other personal acquaintances, such as neighbours.</w:t>
      </w:r>
      <w:r w:rsidR="00172D94" w:rsidRPr="007B5BE6">
        <w:rPr>
          <w:rStyle w:val="FootnoteReference"/>
        </w:rPr>
        <w:footnoteReference w:id="344"/>
      </w:r>
      <w:r w:rsidRPr="007B5BE6">
        <w:t xml:space="preserve"> </w:t>
      </w:r>
      <w:r w:rsidR="00BA2B28" w:rsidRPr="007B5BE6">
        <w:t>N</w:t>
      </w:r>
      <w:r w:rsidRPr="007B5BE6">
        <w:t xml:space="preserve">ational and Tasmanian law and policy </w:t>
      </w:r>
      <w:r w:rsidR="00BA2B28" w:rsidRPr="007B5BE6">
        <w:t xml:space="preserve">strongly recognise </w:t>
      </w:r>
      <w:r w:rsidRPr="007B5BE6">
        <w:t xml:space="preserve">carers </w:t>
      </w:r>
      <w:r w:rsidR="00BA2B28" w:rsidRPr="007B5BE6">
        <w:t xml:space="preserve">for </w:t>
      </w:r>
      <w:r w:rsidRPr="007B5BE6">
        <w:t>their contribution to the community and their diligence in fulfilling their caring obligations. This is reflected in both Commonwealth and Tasmanian legislation</w:t>
      </w:r>
      <w:r w:rsidR="00931CEC" w:rsidRPr="007B5BE6">
        <w:t xml:space="preserve">, respectively through the </w:t>
      </w:r>
      <w:r w:rsidRPr="007B5BE6">
        <w:rPr>
          <w:i/>
          <w:iCs/>
        </w:rPr>
        <w:t xml:space="preserve">Carer Recognition Act 2010 </w:t>
      </w:r>
      <w:r w:rsidRPr="007B5BE6">
        <w:t xml:space="preserve">(Cth) and </w:t>
      </w:r>
      <w:r w:rsidRPr="007B5BE6">
        <w:rPr>
          <w:i/>
          <w:iCs/>
        </w:rPr>
        <w:t>Carer Recognition Act 2023</w:t>
      </w:r>
      <w:r w:rsidRPr="007B5BE6">
        <w:t xml:space="preserve"> (Tas).</w:t>
      </w:r>
    </w:p>
    <w:p w14:paraId="7B0184FD" w14:textId="5D249078" w:rsidR="003B0F65" w:rsidRPr="007B5BE6" w:rsidRDefault="003B0F65" w:rsidP="003B0F65">
      <w:pPr>
        <w:pStyle w:val="NormalNumberedTextTLRI"/>
      </w:pPr>
      <w:r w:rsidRPr="007B5BE6">
        <w:t xml:space="preserve">A person who </w:t>
      </w:r>
      <w:r w:rsidR="009A62A1" w:rsidRPr="007B5BE6">
        <w:t>cares for</w:t>
      </w:r>
      <w:r w:rsidRPr="007B5BE6">
        <w:t xml:space="preserve"> another person may receive a carer</w:t>
      </w:r>
      <w:r w:rsidR="00457300" w:rsidRPr="007B5BE6">
        <w:t>s</w:t>
      </w:r>
      <w:r w:rsidRPr="007B5BE6">
        <w:t xml:space="preserve"> allowance</w:t>
      </w:r>
      <w:r w:rsidR="00457300" w:rsidRPr="007B5BE6">
        <w:t xml:space="preserve">. The allowance </w:t>
      </w:r>
      <w:r w:rsidRPr="007B5BE6">
        <w:t xml:space="preserve">provides a fortnightly payment </w:t>
      </w:r>
      <w:r w:rsidR="006B5C56" w:rsidRPr="007B5BE6">
        <w:t>as an income supplement</w:t>
      </w:r>
      <w:r w:rsidRPr="007B5BE6">
        <w:t xml:space="preserve"> where someone provides care for another person who is over 16 </w:t>
      </w:r>
      <w:r w:rsidR="006829A2" w:rsidRPr="007B5BE6">
        <w:t>years and</w:t>
      </w:r>
      <w:r w:rsidRPr="007B5BE6">
        <w:t xml:space="preserve"> has a disability</w:t>
      </w:r>
      <w:r w:rsidR="006829A2" w:rsidRPr="007B5BE6">
        <w:t>,</w:t>
      </w:r>
      <w:r w:rsidRPr="007B5BE6">
        <w:t xml:space="preserve"> or medical condition</w:t>
      </w:r>
      <w:r w:rsidR="006829A2" w:rsidRPr="007B5BE6">
        <w:t>,</w:t>
      </w:r>
      <w:r w:rsidRPr="007B5BE6">
        <w:t xml:space="preserve"> that substantially impairs his or her capacity to perform activities of daily living. </w:t>
      </w:r>
      <w:r w:rsidR="00FE4D1F" w:rsidRPr="007B5BE6">
        <w:t xml:space="preserve">There is also </w:t>
      </w:r>
      <w:r w:rsidR="00F67667" w:rsidRPr="007B5BE6">
        <w:t xml:space="preserve">provision for </w:t>
      </w:r>
      <w:r w:rsidR="00FF5065" w:rsidRPr="007B5BE6">
        <w:t>a carer payment</w:t>
      </w:r>
      <w:r w:rsidR="00F67667" w:rsidRPr="007B5BE6">
        <w:t xml:space="preserve">, which is an income replacement </w:t>
      </w:r>
      <w:r w:rsidR="00B867CC" w:rsidRPr="007B5BE6">
        <w:t>payment paid at the pension rate.</w:t>
      </w:r>
      <w:r w:rsidR="00FF5065" w:rsidRPr="007B5BE6">
        <w:t xml:space="preserve"> </w:t>
      </w:r>
      <w:r w:rsidRPr="007B5BE6">
        <w:t xml:space="preserve">The </w:t>
      </w:r>
      <w:r w:rsidR="00BD12A5" w:rsidRPr="007B5BE6">
        <w:rPr>
          <w:i/>
          <w:iCs/>
        </w:rPr>
        <w:t>Social Security Act 1991</w:t>
      </w:r>
      <w:r w:rsidR="00BD12A5" w:rsidRPr="007B5BE6">
        <w:t xml:space="preserve"> (Cth) provides the </w:t>
      </w:r>
      <w:r w:rsidRPr="007B5BE6">
        <w:t xml:space="preserve">legislative framework for eligibility for </w:t>
      </w:r>
      <w:r w:rsidR="00B867CC" w:rsidRPr="007B5BE6">
        <w:t xml:space="preserve">the </w:t>
      </w:r>
      <w:r w:rsidRPr="007B5BE6">
        <w:t xml:space="preserve">carer </w:t>
      </w:r>
      <w:r w:rsidR="00B867CC" w:rsidRPr="007B5BE6">
        <w:t>allowance and</w:t>
      </w:r>
      <w:r w:rsidRPr="007B5BE6">
        <w:t xml:space="preserve"> </w:t>
      </w:r>
      <w:r w:rsidR="009A62A1" w:rsidRPr="007B5BE6">
        <w:t xml:space="preserve">carer </w:t>
      </w:r>
      <w:r w:rsidRPr="007B5BE6">
        <w:t>payment</w:t>
      </w:r>
      <w:r w:rsidR="003A6E2C" w:rsidRPr="007B5BE6">
        <w:t xml:space="preserve">, </w:t>
      </w:r>
      <w:r w:rsidR="00BD12A5" w:rsidRPr="007B5BE6">
        <w:t>as well as for the aged care pension (living allowance) for people over 67 years of age</w:t>
      </w:r>
      <w:r w:rsidRPr="007B5BE6">
        <w:t xml:space="preserve">. </w:t>
      </w:r>
    </w:p>
    <w:p w14:paraId="0457CAB6" w14:textId="77777777" w:rsidR="003B0F65" w:rsidRPr="007B5BE6" w:rsidRDefault="003B0F65" w:rsidP="009E2BFD">
      <w:pPr>
        <w:pStyle w:val="Sub-HeadingTLRI"/>
        <w:spacing w:before="360"/>
      </w:pPr>
      <w:bookmarkStart w:id="65" w:name="_Toc212561760"/>
      <w:r w:rsidRPr="007B5BE6">
        <w:t>Financial abuse</w:t>
      </w:r>
      <w:bookmarkEnd w:id="65"/>
    </w:p>
    <w:p w14:paraId="370851B4" w14:textId="4B21B16F" w:rsidR="003B0F65" w:rsidRPr="007B5BE6" w:rsidRDefault="003B0F65" w:rsidP="003B0F65">
      <w:pPr>
        <w:pStyle w:val="NormalNumberedTextTLRI"/>
      </w:pPr>
      <w:r w:rsidRPr="007B5BE6">
        <w:t>Re</w:t>
      </w:r>
      <w:r w:rsidR="003A6E2C" w:rsidRPr="007B5BE6">
        <w:t xml:space="preserve">garding </w:t>
      </w:r>
      <w:r w:rsidRPr="007B5BE6">
        <w:t xml:space="preserve">financial abuse through fraudulent or unauthorised transactions, licenced banks and financial institutions have responsible lending obligations under the </w:t>
      </w:r>
      <w:r w:rsidRPr="007B5BE6">
        <w:rPr>
          <w:i/>
          <w:iCs/>
        </w:rPr>
        <w:t>National Consumer Credit Protection Act 2009</w:t>
      </w:r>
      <w:r w:rsidRPr="007B5BE6">
        <w:t xml:space="preserve"> (Cth). The</w:t>
      </w:r>
      <w:r w:rsidR="00E07DD3" w:rsidRPr="007B5BE6">
        <w:t xml:space="preserve"> Act’s</w:t>
      </w:r>
      <w:r w:rsidRPr="007B5BE6">
        <w:t xml:space="preserve"> provisions require </w:t>
      </w:r>
      <w:r w:rsidR="000F6841" w:rsidRPr="007B5BE6">
        <w:t xml:space="preserve">that </w:t>
      </w:r>
      <w:r w:rsidRPr="007B5BE6">
        <w:t xml:space="preserve">a credit provider (a bank) </w:t>
      </w:r>
      <w:r w:rsidR="000F6841" w:rsidRPr="007B5BE6">
        <w:t>must</w:t>
      </w:r>
      <w:r w:rsidRPr="007B5BE6">
        <w:t xml:space="preserve"> make preliminary inquiries as to whether </w:t>
      </w:r>
      <w:r w:rsidR="00794160" w:rsidRPr="007B5BE6">
        <w:t>a potential</w:t>
      </w:r>
      <w:r w:rsidRPr="007B5BE6">
        <w:t xml:space="preserve"> loan is ‘unsuitable</w:t>
      </w:r>
      <w:r w:rsidR="00672526" w:rsidRPr="007B5BE6">
        <w:t>’</w:t>
      </w:r>
      <w:r w:rsidRPr="007B5BE6">
        <w:t xml:space="preserve">, meaning </w:t>
      </w:r>
      <w:r w:rsidR="00672526" w:rsidRPr="007B5BE6">
        <w:t xml:space="preserve">it must </w:t>
      </w:r>
      <w:r w:rsidRPr="007B5BE6">
        <w:t>inquir</w:t>
      </w:r>
      <w:r w:rsidR="00672526" w:rsidRPr="007B5BE6">
        <w:t>e</w:t>
      </w:r>
      <w:r w:rsidRPr="007B5BE6">
        <w:t xml:space="preserve"> about the ‘consumer’s requirements and objectives in relation to the credit contract and the consumer’s financial situation’.</w:t>
      </w:r>
      <w:r w:rsidR="00172D94" w:rsidRPr="007B5BE6">
        <w:rPr>
          <w:rStyle w:val="FootnoteReference"/>
        </w:rPr>
        <w:footnoteReference w:id="345"/>
      </w:r>
      <w:r w:rsidRPr="007B5BE6">
        <w:t xml:space="preserve"> If a family home has to be sold to repay the debt incurred by a transaction, it will be regarded as unsuitable. The same obligations apply to brokers operating on behalf of a bank if the bank has been unconscionable in its dealings.</w:t>
      </w:r>
      <w:r w:rsidR="00677876" w:rsidRPr="007B5BE6">
        <w:rPr>
          <w:rStyle w:val="FootnoteReference"/>
        </w:rPr>
        <w:footnoteReference w:id="346"/>
      </w:r>
    </w:p>
    <w:p w14:paraId="553338F6" w14:textId="07ADC000" w:rsidR="003B0F65" w:rsidRPr="007B5BE6" w:rsidRDefault="009732C6" w:rsidP="003B0F65">
      <w:pPr>
        <w:pStyle w:val="NormalNumberedTextTLRI"/>
      </w:pPr>
      <w:r w:rsidRPr="007B5BE6">
        <w:t xml:space="preserve">Addressing </w:t>
      </w:r>
      <w:r w:rsidR="00E75534" w:rsidRPr="007B5BE6">
        <w:t xml:space="preserve">a </w:t>
      </w:r>
      <w:r w:rsidRPr="007B5BE6">
        <w:t xml:space="preserve">growing area of </w:t>
      </w:r>
      <w:r w:rsidR="003B0F65" w:rsidRPr="007B5BE6">
        <w:t>concern</w:t>
      </w:r>
      <w:r w:rsidR="00E75534" w:rsidRPr="007B5BE6">
        <w:t>,</w:t>
      </w:r>
      <w:r w:rsidR="003B0F65" w:rsidRPr="007B5BE6">
        <w:t xml:space="preserve"> regarding financial scams targeting older people, the </w:t>
      </w:r>
      <w:r w:rsidR="003B0F65" w:rsidRPr="007B5BE6">
        <w:rPr>
          <w:iCs/>
        </w:rPr>
        <w:t>Scams Prevention Framework Bill 2025</w:t>
      </w:r>
      <w:r w:rsidR="00D36313" w:rsidRPr="007B5BE6">
        <w:t xml:space="preserve"> (Cth)</w:t>
      </w:r>
      <w:r w:rsidR="003B0F65" w:rsidRPr="007B5BE6">
        <w:t xml:space="preserve"> was passed on 13 February 2025. The Bill amends the </w:t>
      </w:r>
      <w:r w:rsidR="003B0F65" w:rsidRPr="007B5BE6">
        <w:rPr>
          <w:i/>
        </w:rPr>
        <w:t>Competition and Consumer Act 2010</w:t>
      </w:r>
      <w:r w:rsidR="003B0F65" w:rsidRPr="007B5BE6">
        <w:t xml:space="preserve"> (Cth) to establish a scams prevention framework</w:t>
      </w:r>
      <w:r w:rsidR="006A6EC4" w:rsidRPr="007B5BE6">
        <w:t xml:space="preserve">. The framework </w:t>
      </w:r>
      <w:r w:rsidR="003B0F65" w:rsidRPr="007B5BE6">
        <w:t>requires service providers in selected sectors of the economy to take a variety of actions to combat scams relating to, connected with, or using their services.</w:t>
      </w:r>
      <w:r w:rsidR="00831AB7" w:rsidRPr="007B5BE6">
        <w:rPr>
          <w:rStyle w:val="FootnoteReference"/>
        </w:rPr>
        <w:footnoteReference w:id="347"/>
      </w:r>
      <w:r w:rsidR="003B0F65" w:rsidRPr="007B5BE6">
        <w:t xml:space="preserve"> Resources are also available for older people with a focus on identifying and avoiding a range of scams, including those targeting older people online or </w:t>
      </w:r>
      <w:r w:rsidR="0018170E" w:rsidRPr="007B5BE6">
        <w:t>through</w:t>
      </w:r>
      <w:r w:rsidR="003B0F65" w:rsidRPr="007B5BE6">
        <w:t xml:space="preserve"> mobile phone technology.</w:t>
      </w:r>
      <w:r w:rsidR="00094686" w:rsidRPr="007B5BE6">
        <w:rPr>
          <w:rStyle w:val="FootnoteReference"/>
        </w:rPr>
        <w:footnoteReference w:id="348"/>
      </w:r>
    </w:p>
    <w:p w14:paraId="291D15A7" w14:textId="77777777" w:rsidR="003B0F65" w:rsidRPr="007B5BE6" w:rsidRDefault="003B0F65" w:rsidP="00D01B6A">
      <w:pPr>
        <w:pStyle w:val="Headingunnumbered"/>
        <w:spacing w:before="360"/>
      </w:pPr>
      <w:bookmarkStart w:id="66" w:name="_Toc212561761"/>
      <w:r w:rsidRPr="007B5BE6">
        <w:lastRenderedPageBreak/>
        <w:t>Human rights law</w:t>
      </w:r>
      <w:bookmarkEnd w:id="66"/>
      <w:r w:rsidRPr="007B5BE6">
        <w:t xml:space="preserve"> </w:t>
      </w:r>
    </w:p>
    <w:p w14:paraId="5BD46ACD" w14:textId="0746453F" w:rsidR="00747FBA" w:rsidRPr="007B5BE6" w:rsidRDefault="003B0F65" w:rsidP="003B0F65">
      <w:pPr>
        <w:pStyle w:val="NormalNumberedTextTLRI"/>
      </w:pPr>
      <w:r w:rsidRPr="007B5BE6">
        <w:t xml:space="preserve">Human rights law </w:t>
      </w:r>
      <w:r w:rsidR="007A0614" w:rsidRPr="007B5BE6">
        <w:t xml:space="preserve">is </w:t>
      </w:r>
      <w:r w:rsidRPr="007B5BE6">
        <w:t xml:space="preserve">an important part of the broader legal framework regarding the rights of older </w:t>
      </w:r>
      <w:r w:rsidR="0018170E" w:rsidRPr="007B5BE6">
        <w:t xml:space="preserve">people </w:t>
      </w:r>
      <w:r w:rsidRPr="007B5BE6">
        <w:t>and measures for the</w:t>
      </w:r>
      <w:r w:rsidR="00885139" w:rsidRPr="007B5BE6">
        <w:t xml:space="preserve"> </w:t>
      </w:r>
      <w:r w:rsidRPr="007B5BE6">
        <w:t>protection</w:t>
      </w:r>
      <w:r w:rsidR="00885139" w:rsidRPr="007B5BE6">
        <w:t xml:space="preserve"> of these rights</w:t>
      </w:r>
      <w:r w:rsidRPr="007B5BE6">
        <w:t xml:space="preserve"> from abuse. International human rights law</w:t>
      </w:r>
      <w:r w:rsidR="00885139" w:rsidRPr="007B5BE6">
        <w:t>s</w:t>
      </w:r>
      <w:r w:rsidRPr="007B5BE6">
        <w:t>, frameworks and polic</w:t>
      </w:r>
      <w:r w:rsidR="00B923FD" w:rsidRPr="007B5BE6">
        <w:t>ies</w:t>
      </w:r>
      <w:r w:rsidRPr="007B5BE6">
        <w:t xml:space="preserve"> focused on preventing and responding to the abuse of older people </w:t>
      </w:r>
      <w:r w:rsidR="00D1699D" w:rsidRPr="007B5BE6">
        <w:t xml:space="preserve">therefore are important to consider as </w:t>
      </w:r>
      <w:r w:rsidRPr="007B5BE6">
        <w:t xml:space="preserve">part of </w:t>
      </w:r>
      <w:r w:rsidR="00D1699D" w:rsidRPr="007B5BE6">
        <w:t xml:space="preserve">available </w:t>
      </w:r>
      <w:r w:rsidRPr="007B5BE6">
        <w:t xml:space="preserve">responses to abuse of older Tasmanians. </w:t>
      </w:r>
      <w:r w:rsidR="00CC4671" w:rsidRPr="007B5BE6">
        <w:t>As  noted at [2.2.1], t</w:t>
      </w:r>
      <w:r w:rsidRPr="007B5BE6">
        <w:t>he United Nations agency, the World Health Organi</w:t>
      </w:r>
      <w:r w:rsidR="00E835CC" w:rsidRPr="007B5BE6">
        <w:t>z</w:t>
      </w:r>
      <w:r w:rsidRPr="007B5BE6">
        <w:t>ation (</w:t>
      </w:r>
      <w:r w:rsidR="00D1699D" w:rsidRPr="007B5BE6">
        <w:t>‘</w:t>
      </w:r>
      <w:r w:rsidRPr="007B5BE6">
        <w:t>WHO</w:t>
      </w:r>
      <w:r w:rsidR="00D1699D" w:rsidRPr="007B5BE6">
        <w:t>’</w:t>
      </w:r>
      <w:r w:rsidRPr="007B5BE6">
        <w:t xml:space="preserve">)’s definition of ‘elder abuse’ is instrumental in the Tasmanian context, as in other jurisdictions, in </w:t>
      </w:r>
      <w:r w:rsidR="00376EF5" w:rsidRPr="007B5BE6">
        <w:t>pol</w:t>
      </w:r>
      <w:r w:rsidR="00364CD0" w:rsidRPr="007B5BE6">
        <w:t xml:space="preserve">icy frameworks </w:t>
      </w:r>
      <w:r w:rsidRPr="007B5BE6">
        <w:t>describing and explaining the abuse of older people.</w:t>
      </w:r>
      <w:r w:rsidR="00AD5EE9" w:rsidRPr="007B5BE6">
        <w:rPr>
          <w:rStyle w:val="FootnoteReference"/>
        </w:rPr>
        <w:footnoteReference w:id="349"/>
      </w:r>
      <w:r w:rsidRPr="007B5BE6">
        <w:t xml:space="preserve"> The Guiding Principles in the current Tasmanian Government’s strategy were drawn from the </w:t>
      </w:r>
      <w:r w:rsidRPr="007B5BE6">
        <w:rPr>
          <w:i/>
          <w:iCs/>
        </w:rPr>
        <w:t>United Nations Principles for Older Persons</w:t>
      </w:r>
      <w:r w:rsidRPr="007B5BE6">
        <w:t>, which were adopted by the U</w:t>
      </w:r>
      <w:r w:rsidR="00E90765" w:rsidRPr="007B5BE6">
        <w:t xml:space="preserve">nited Nations </w:t>
      </w:r>
      <w:r w:rsidRPr="007B5BE6">
        <w:t>General Assembly on 16 December 199</w:t>
      </w:r>
      <w:r w:rsidR="00C57C2F" w:rsidRPr="007B5BE6">
        <w:t>1</w:t>
      </w:r>
      <w:r w:rsidRPr="007B5BE6">
        <w:t xml:space="preserve"> (see Table </w:t>
      </w:r>
      <w:r w:rsidR="00631FC2" w:rsidRPr="007B5BE6">
        <w:t>D.1</w:t>
      </w:r>
      <w:r w:rsidRPr="007B5BE6">
        <w:t xml:space="preserve"> in </w:t>
      </w:r>
      <w:r w:rsidRPr="007B5BE6">
        <w:rPr>
          <w:b/>
          <w:bCs/>
        </w:rPr>
        <w:t xml:space="preserve">Appendix </w:t>
      </w:r>
      <w:r w:rsidR="00631FC2" w:rsidRPr="007B5BE6">
        <w:rPr>
          <w:b/>
          <w:bCs/>
        </w:rPr>
        <w:t>D</w:t>
      </w:r>
      <w:r w:rsidRPr="007B5BE6">
        <w:t>).</w:t>
      </w:r>
      <w:r w:rsidR="00AD5EE9" w:rsidRPr="007B5BE6">
        <w:rPr>
          <w:rStyle w:val="FootnoteReference"/>
        </w:rPr>
        <w:footnoteReference w:id="350"/>
      </w:r>
      <w:r w:rsidRPr="007B5BE6">
        <w:t xml:space="preserve"> </w:t>
      </w:r>
      <w:r w:rsidR="003A7793" w:rsidRPr="007B5BE6">
        <w:t xml:space="preserve">In addition, the </w:t>
      </w:r>
      <w:r w:rsidR="00E175DC" w:rsidRPr="007B5BE6">
        <w:t xml:space="preserve">Tasmanian National </w:t>
      </w:r>
      <w:r w:rsidR="00B5685B" w:rsidRPr="007B5BE6">
        <w:t>Preventive</w:t>
      </w:r>
      <w:r w:rsidR="00E175DC" w:rsidRPr="007B5BE6">
        <w:t xml:space="preserve"> Mechanism (</w:t>
      </w:r>
      <w:r w:rsidR="00760C66" w:rsidRPr="007B5BE6">
        <w:t>‘</w:t>
      </w:r>
      <w:r w:rsidR="00E175DC" w:rsidRPr="007B5BE6">
        <w:t>NPM</w:t>
      </w:r>
      <w:r w:rsidR="00760C66" w:rsidRPr="007B5BE6">
        <w:t>’</w:t>
      </w:r>
      <w:r w:rsidR="00E175DC" w:rsidRPr="007B5BE6">
        <w:t>) has bee</w:t>
      </w:r>
      <w:r w:rsidR="00861F2B" w:rsidRPr="007B5BE6">
        <w:t>n established as an in</w:t>
      </w:r>
      <w:r w:rsidR="005C67A4" w:rsidRPr="007B5BE6">
        <w:t xml:space="preserve">dependent statutory body under the </w:t>
      </w:r>
      <w:r w:rsidR="003E00B5" w:rsidRPr="007B5BE6">
        <w:rPr>
          <w:i/>
          <w:iCs/>
        </w:rPr>
        <w:t>OPCAT Implementation Act 2021</w:t>
      </w:r>
      <w:r w:rsidR="003E00B5" w:rsidRPr="007B5BE6">
        <w:t xml:space="preserve"> (Tas), which enables the Optional Protocol to the </w:t>
      </w:r>
      <w:r w:rsidR="003E00B5" w:rsidRPr="007B5BE6">
        <w:rPr>
          <w:i/>
          <w:iCs/>
        </w:rPr>
        <w:t>United Nations</w:t>
      </w:r>
      <w:r w:rsidR="003E00B5" w:rsidRPr="007B5BE6">
        <w:t xml:space="preserve"> </w:t>
      </w:r>
      <w:r w:rsidR="003E00B5" w:rsidRPr="007B5BE6">
        <w:rPr>
          <w:i/>
          <w:iCs/>
        </w:rPr>
        <w:t>Convention Against Torture and Other Cruel, Inhuman or Degrading Treatment or Punishment</w:t>
      </w:r>
      <w:r w:rsidR="003E00B5" w:rsidRPr="007B5BE6">
        <w:t xml:space="preserve"> to be given effect within Tasmania.</w:t>
      </w:r>
      <w:r w:rsidR="003E00B5" w:rsidRPr="007B5BE6">
        <w:rPr>
          <w:rStyle w:val="FootnoteReference"/>
        </w:rPr>
        <w:footnoteReference w:id="351"/>
      </w:r>
      <w:r w:rsidR="003E00B5" w:rsidRPr="007B5BE6">
        <w:t xml:space="preserve"> Th</w:t>
      </w:r>
      <w:r w:rsidR="00EA3AEB" w:rsidRPr="007B5BE6">
        <w:t>e NPM</w:t>
      </w:r>
      <w:r w:rsidR="003E00B5" w:rsidRPr="007B5BE6">
        <w:t xml:space="preserve"> is a safeguarding mechanism aimed at preventing the </w:t>
      </w:r>
      <w:r w:rsidR="0048530F" w:rsidRPr="007B5BE6">
        <w:t xml:space="preserve">mistreatment </w:t>
      </w:r>
      <w:r w:rsidR="003E00B5" w:rsidRPr="007B5BE6">
        <w:t>of people deprived of their lib</w:t>
      </w:r>
      <w:r w:rsidR="0017042D" w:rsidRPr="007B5BE6">
        <w:t>e</w:t>
      </w:r>
      <w:r w:rsidR="003E00B5" w:rsidRPr="007B5BE6">
        <w:t>r</w:t>
      </w:r>
      <w:r w:rsidR="0017042D" w:rsidRPr="007B5BE6">
        <w:t>t</w:t>
      </w:r>
      <w:r w:rsidR="003E00B5" w:rsidRPr="007B5BE6">
        <w:t>y</w:t>
      </w:r>
      <w:r w:rsidR="00C965C3" w:rsidRPr="007B5BE6">
        <w:t>. The NPM</w:t>
      </w:r>
      <w:r w:rsidR="0048530F" w:rsidRPr="007B5BE6">
        <w:t xml:space="preserve"> has </w:t>
      </w:r>
      <w:r w:rsidR="00F560DE" w:rsidRPr="007B5BE6">
        <w:t>developed expectations and indicators on how it expects people deprived of their liberty</w:t>
      </w:r>
      <w:r w:rsidR="00190C8E" w:rsidRPr="007B5BE6">
        <w:t xml:space="preserve"> to</w:t>
      </w:r>
      <w:r w:rsidR="00017EF5" w:rsidRPr="007B5BE6">
        <w:t xml:space="preserve"> </w:t>
      </w:r>
      <w:r w:rsidR="00F560DE" w:rsidRPr="007B5BE6">
        <w:t>be treated in a range of settings</w:t>
      </w:r>
      <w:r w:rsidR="00C965C3" w:rsidRPr="007B5BE6">
        <w:t>,</w:t>
      </w:r>
      <w:r w:rsidR="00F560DE" w:rsidRPr="007B5BE6">
        <w:t xml:space="preserve"> including</w:t>
      </w:r>
      <w:r w:rsidR="00BF7131" w:rsidRPr="007B5BE6">
        <w:t xml:space="preserve"> health and social care settings </w:t>
      </w:r>
      <w:r w:rsidR="00EF7DCD" w:rsidRPr="007B5BE6">
        <w:t>(</w:t>
      </w:r>
      <w:r w:rsidR="00BF7131" w:rsidRPr="007B5BE6">
        <w:t xml:space="preserve">such as </w:t>
      </w:r>
      <w:r w:rsidR="00EF7DCD" w:rsidRPr="007B5BE6">
        <w:t xml:space="preserve">aged residential care and </w:t>
      </w:r>
      <w:r w:rsidR="00BF7131" w:rsidRPr="007B5BE6">
        <w:t>disability support accommodation</w:t>
      </w:r>
      <w:r w:rsidR="00EF7DCD" w:rsidRPr="007B5BE6">
        <w:t>)</w:t>
      </w:r>
      <w:r w:rsidR="00BF7131" w:rsidRPr="007B5BE6">
        <w:t>.</w:t>
      </w:r>
      <w:r w:rsidR="00BF7131" w:rsidRPr="007B5BE6">
        <w:rPr>
          <w:rStyle w:val="FootnoteReference"/>
        </w:rPr>
        <w:footnoteReference w:id="352"/>
      </w:r>
      <w:r w:rsidR="001363E8" w:rsidRPr="007B5BE6">
        <w:t xml:space="preserve"> </w:t>
      </w:r>
      <w:r w:rsidR="00A448E1" w:rsidRPr="007B5BE6">
        <w:t>It</w:t>
      </w:r>
      <w:r w:rsidR="00F57930" w:rsidRPr="007B5BE6">
        <w:t xml:space="preserve">s ‘primary function </w:t>
      </w:r>
      <w:r w:rsidR="00022CB7" w:rsidRPr="007B5BE6">
        <w:t xml:space="preserve">is undertaking </w:t>
      </w:r>
      <w:r w:rsidR="002554FE" w:rsidRPr="007B5BE6">
        <w:t>preventive</w:t>
      </w:r>
      <w:r w:rsidR="00022CB7" w:rsidRPr="007B5BE6">
        <w:t xml:space="preserve"> monitoring of places of </w:t>
      </w:r>
      <w:r w:rsidR="002554FE" w:rsidRPr="007B5BE6">
        <w:t>detention’.</w:t>
      </w:r>
      <w:r w:rsidR="002554FE" w:rsidRPr="007B5BE6">
        <w:rPr>
          <w:rStyle w:val="FootnoteReference"/>
        </w:rPr>
        <w:footnoteReference w:id="353"/>
      </w:r>
      <w:r w:rsidR="00F57930" w:rsidRPr="007B5BE6">
        <w:t xml:space="preserve"> </w:t>
      </w:r>
      <w:r w:rsidR="001363E8" w:rsidRPr="007B5BE6">
        <w:t xml:space="preserve">The NPM </w:t>
      </w:r>
      <w:r w:rsidR="0058304F" w:rsidRPr="007B5BE6">
        <w:t xml:space="preserve">has released two reports that </w:t>
      </w:r>
      <w:r w:rsidR="0030562E" w:rsidRPr="007B5BE6">
        <w:t xml:space="preserve">outline </w:t>
      </w:r>
      <w:r w:rsidR="008509C5" w:rsidRPr="007B5BE6">
        <w:t>its implementation planning,</w:t>
      </w:r>
      <w:r w:rsidR="008509C5" w:rsidRPr="007B5BE6">
        <w:rPr>
          <w:rStyle w:val="FootnoteReference"/>
        </w:rPr>
        <w:footnoteReference w:id="354"/>
      </w:r>
      <w:r w:rsidR="001141FD" w:rsidRPr="007B5BE6">
        <w:t xml:space="preserve">and has recommended </w:t>
      </w:r>
      <w:r w:rsidR="002173B3" w:rsidRPr="007B5BE6">
        <w:t>that amendments be made</w:t>
      </w:r>
      <w:r w:rsidR="001141FD" w:rsidRPr="007B5BE6">
        <w:t xml:space="preserve"> to the </w:t>
      </w:r>
      <w:r w:rsidR="001141FD" w:rsidRPr="007B5BE6">
        <w:rPr>
          <w:i/>
          <w:iCs/>
        </w:rPr>
        <w:t>OPCAT Implementation Act 2021</w:t>
      </w:r>
      <w:r w:rsidR="001141FD" w:rsidRPr="007B5BE6">
        <w:t xml:space="preserve"> (Tas) to </w:t>
      </w:r>
      <w:r w:rsidR="00D36F18" w:rsidRPr="007B5BE6">
        <w:t>include</w:t>
      </w:r>
      <w:r w:rsidR="005E2A9B" w:rsidRPr="007B5BE6">
        <w:t xml:space="preserve"> a </w:t>
      </w:r>
      <w:r w:rsidR="00D36F18" w:rsidRPr="007B5BE6">
        <w:t>reference</w:t>
      </w:r>
      <w:r w:rsidR="005E2A9B" w:rsidRPr="007B5BE6">
        <w:t xml:space="preserve"> to aged residential care facilities and disability support </w:t>
      </w:r>
      <w:r w:rsidR="00D36F18" w:rsidRPr="007B5BE6">
        <w:t>residences</w:t>
      </w:r>
      <w:r w:rsidR="00891EDA" w:rsidRPr="007B5BE6">
        <w:t>, as well as appropriate re</w:t>
      </w:r>
      <w:r w:rsidR="00D94F67" w:rsidRPr="007B5BE6">
        <w:t xml:space="preserve">sourcing to </w:t>
      </w:r>
      <w:r w:rsidR="00D36F18" w:rsidRPr="007B5BE6">
        <w:t>all</w:t>
      </w:r>
      <w:r w:rsidR="002561EF" w:rsidRPr="007B5BE6">
        <w:t>ow</w:t>
      </w:r>
      <w:r w:rsidR="00D36F18" w:rsidRPr="007B5BE6">
        <w:t xml:space="preserve"> the NPM to exercise its functions in these place</w:t>
      </w:r>
      <w:r w:rsidR="00D74754" w:rsidRPr="007B5BE6">
        <w:t>s.</w:t>
      </w:r>
    </w:p>
    <w:p w14:paraId="45375B50" w14:textId="70A0C9E8" w:rsidR="00EF3C66" w:rsidRPr="007B5BE6" w:rsidRDefault="00E41C49" w:rsidP="00213C96">
      <w:pPr>
        <w:pStyle w:val="NormalNumberedTextTLRI"/>
      </w:pPr>
      <w:r w:rsidRPr="007B5BE6">
        <w:t xml:space="preserve">However, </w:t>
      </w:r>
      <w:r w:rsidR="003B0F65" w:rsidRPr="007B5BE6">
        <w:t>Tasmania does not have a Charter of Human Rights. Issues regarding human rights law in Tasmania have been considered by the TLRI in two projects.</w:t>
      </w:r>
      <w:r w:rsidR="00393F7E" w:rsidRPr="007B5BE6">
        <w:rPr>
          <w:rStyle w:val="FootnoteReference"/>
        </w:rPr>
        <w:footnoteReference w:id="355"/>
      </w:r>
      <w:r w:rsidR="003B0F65" w:rsidRPr="007B5BE6">
        <w:t xml:space="preserve"> Similarly, at the Commonwealth level, there is no federal human rights legislation. </w:t>
      </w:r>
      <w:r w:rsidR="00770D42" w:rsidRPr="007B5BE6">
        <w:t xml:space="preserve">There is a </w:t>
      </w:r>
      <w:r w:rsidR="00860233" w:rsidRPr="007B5BE6">
        <w:t>national</w:t>
      </w:r>
      <w:r w:rsidR="003B0F65" w:rsidRPr="007B5BE6">
        <w:t xml:space="preserve"> ‘Human Rights Framework’</w:t>
      </w:r>
      <w:r w:rsidR="00860233" w:rsidRPr="007B5BE6">
        <w:t>,</w:t>
      </w:r>
      <w:r w:rsidR="003B0F65" w:rsidRPr="007B5BE6">
        <w:t xml:space="preserve"> </w:t>
      </w:r>
      <w:r w:rsidR="00860233" w:rsidRPr="007B5BE6">
        <w:lastRenderedPageBreak/>
        <w:t xml:space="preserve">which </w:t>
      </w:r>
      <w:r w:rsidR="003B0F65" w:rsidRPr="007B5BE6">
        <w:t>was developed in 2010</w:t>
      </w:r>
      <w:r w:rsidR="00E57845" w:rsidRPr="007B5BE6">
        <w:t>. The Human Rights Framework</w:t>
      </w:r>
      <w:r w:rsidR="00860233" w:rsidRPr="007B5BE6">
        <w:t xml:space="preserve"> </w:t>
      </w:r>
      <w:r w:rsidR="003B0F65" w:rsidRPr="007B5BE6">
        <w:t xml:space="preserve">is under </w:t>
      </w:r>
      <w:r w:rsidR="00630AD1" w:rsidRPr="007B5BE6">
        <w:t xml:space="preserve">review by </w:t>
      </w:r>
      <w:r w:rsidR="003B0F65" w:rsidRPr="007B5BE6">
        <w:t xml:space="preserve">a Parliamentary Joint Committee on Human Rights under section 79(c) of the </w:t>
      </w:r>
      <w:r w:rsidR="003B0F65" w:rsidRPr="007B5BE6">
        <w:rPr>
          <w:i/>
          <w:iCs/>
        </w:rPr>
        <w:t>Human Rights (Parliamentary Scrutiny) Act 2011</w:t>
      </w:r>
      <w:r w:rsidR="003B0F65" w:rsidRPr="007B5BE6">
        <w:t xml:space="preserve"> (Cth).</w:t>
      </w:r>
      <w:r w:rsidR="006F5DBC" w:rsidRPr="007B5BE6">
        <w:rPr>
          <w:rStyle w:val="FootnoteReference"/>
        </w:rPr>
        <w:footnoteReference w:id="356"/>
      </w:r>
      <w:r w:rsidR="003B0F65" w:rsidRPr="007B5BE6">
        <w:t xml:space="preserve"> </w:t>
      </w:r>
    </w:p>
    <w:p w14:paraId="23D8A222" w14:textId="13E256FF" w:rsidR="00A414C9" w:rsidRPr="007B5BE6" w:rsidRDefault="001C7C2A" w:rsidP="00744D17">
      <w:pPr>
        <w:pStyle w:val="NumberedHeadingTLRI"/>
      </w:pPr>
      <w:bookmarkStart w:id="67" w:name="_Toc212561762"/>
      <w:r w:rsidRPr="007B5BE6">
        <w:t>Specialist a</w:t>
      </w:r>
      <w:r w:rsidR="00B00042" w:rsidRPr="007B5BE6">
        <w:t>pproach</w:t>
      </w:r>
      <w:r w:rsidR="000A08F9" w:rsidRPr="007B5BE6">
        <w:t xml:space="preserve"> to</w:t>
      </w:r>
      <w:r w:rsidR="00B00042" w:rsidRPr="007B5BE6">
        <w:t xml:space="preserve"> </w:t>
      </w:r>
      <w:r w:rsidR="00E66C16" w:rsidRPr="007B5BE6">
        <w:t xml:space="preserve">addressing </w:t>
      </w:r>
      <w:r w:rsidR="000B59E7" w:rsidRPr="007B5BE6">
        <w:t xml:space="preserve">and responding to </w:t>
      </w:r>
      <w:r w:rsidR="00E66C16" w:rsidRPr="007B5BE6">
        <w:t>the abuse of</w:t>
      </w:r>
      <w:r w:rsidR="005E255E" w:rsidRPr="007B5BE6">
        <w:t xml:space="preserve"> older Tasmanians</w:t>
      </w:r>
      <w:bookmarkEnd w:id="67"/>
      <w:r w:rsidR="00A414C9" w:rsidRPr="007B5BE6">
        <w:t xml:space="preserve"> </w:t>
      </w:r>
    </w:p>
    <w:p w14:paraId="48D0C299" w14:textId="56989D93" w:rsidR="00A414C9" w:rsidRPr="007B5BE6" w:rsidRDefault="00A414C9" w:rsidP="000D7020">
      <w:pPr>
        <w:pStyle w:val="NormalNumberedTextTLRI"/>
      </w:pPr>
      <w:r w:rsidRPr="007B5BE6">
        <w:t xml:space="preserve">In Tasmania, </w:t>
      </w:r>
      <w:r w:rsidR="00AC0426" w:rsidRPr="007B5BE6">
        <w:t>a</w:t>
      </w:r>
      <w:r w:rsidR="006E6588" w:rsidRPr="007B5BE6">
        <w:t xml:space="preserve"> specialist approach with a focus on service delivery </w:t>
      </w:r>
      <w:r w:rsidR="00C63026" w:rsidRPr="007B5BE6">
        <w:t xml:space="preserve">has been the </w:t>
      </w:r>
      <w:r w:rsidR="0060503E" w:rsidRPr="007B5BE6">
        <w:t>domina</w:t>
      </w:r>
      <w:r w:rsidR="00C63026" w:rsidRPr="007B5BE6">
        <w:t>nt</w:t>
      </w:r>
      <w:r w:rsidR="00723F24" w:rsidRPr="007B5BE6">
        <w:t xml:space="preserve"> approach for addressing the abuse of older Tasmanians</w:t>
      </w:r>
      <w:r w:rsidR="003F0994" w:rsidRPr="007B5BE6">
        <w:t xml:space="preserve">, rather than a specialist approach through </w:t>
      </w:r>
      <w:r w:rsidR="007F3889" w:rsidRPr="007B5BE6">
        <w:t>specific law</w:t>
      </w:r>
      <w:r w:rsidR="00BC0623" w:rsidRPr="007B5BE6">
        <w:t>,</w:t>
      </w:r>
      <w:r w:rsidR="003F0994" w:rsidRPr="007B5BE6">
        <w:t xml:space="preserve"> or </w:t>
      </w:r>
      <w:r w:rsidR="00BC0623" w:rsidRPr="007B5BE6">
        <w:t xml:space="preserve">a series of </w:t>
      </w:r>
      <w:r w:rsidR="003F0994" w:rsidRPr="007B5BE6">
        <w:t>law</w:t>
      </w:r>
      <w:r w:rsidR="007F3889" w:rsidRPr="007B5BE6">
        <w:t xml:space="preserve"> reform</w:t>
      </w:r>
      <w:r w:rsidR="005B1D04" w:rsidRPr="007B5BE6">
        <w:t>s</w:t>
      </w:r>
      <w:r w:rsidR="00BC0623" w:rsidRPr="007B5BE6">
        <w:t>,</w:t>
      </w:r>
      <w:r w:rsidR="005B1D04" w:rsidRPr="007B5BE6">
        <w:t xml:space="preserve"> </w:t>
      </w:r>
      <w:r w:rsidR="003F0994" w:rsidRPr="007B5BE6">
        <w:t xml:space="preserve">that are </w:t>
      </w:r>
      <w:r w:rsidR="005B1D04" w:rsidRPr="007B5BE6">
        <w:t>ta</w:t>
      </w:r>
      <w:r w:rsidR="001C7C2A" w:rsidRPr="007B5BE6">
        <w:t>rgeted</w:t>
      </w:r>
      <w:r w:rsidR="005B1D04" w:rsidRPr="007B5BE6">
        <w:t xml:space="preserve"> </w:t>
      </w:r>
      <w:r w:rsidR="003F0994" w:rsidRPr="007B5BE6">
        <w:t>at</w:t>
      </w:r>
      <w:r w:rsidR="00BC0623" w:rsidRPr="007B5BE6">
        <w:t xml:space="preserve"> abuse of older people,</w:t>
      </w:r>
      <w:r w:rsidR="003F0994" w:rsidRPr="007B5BE6">
        <w:t xml:space="preserve"> or </w:t>
      </w:r>
      <w:r w:rsidR="005B1D04" w:rsidRPr="007B5BE6">
        <w:t>focus on older people</w:t>
      </w:r>
      <w:r w:rsidR="001C7C2A" w:rsidRPr="007B5BE6">
        <w:t xml:space="preserve"> as a</w:t>
      </w:r>
      <w:r w:rsidR="00121A5C" w:rsidRPr="007B5BE6">
        <w:t xml:space="preserve"> </w:t>
      </w:r>
      <w:r w:rsidR="00BC0623" w:rsidRPr="007B5BE6">
        <w:t>whole</w:t>
      </w:r>
      <w:r w:rsidR="00723F24" w:rsidRPr="007B5BE6">
        <w:t>.</w:t>
      </w:r>
      <w:r w:rsidR="00D411C5" w:rsidRPr="007B5BE6">
        <w:rPr>
          <w:rStyle w:val="FootnoteReference"/>
        </w:rPr>
        <w:footnoteReference w:id="357"/>
      </w:r>
      <w:r w:rsidR="000D7020" w:rsidRPr="007B5BE6">
        <w:t xml:space="preserve"> This section describes the scope of these services, which are summarised in Table </w:t>
      </w:r>
      <w:r w:rsidR="00A13491" w:rsidRPr="007B5BE6">
        <w:t>3.</w:t>
      </w:r>
      <w:r w:rsidR="00121A5C" w:rsidRPr="007B5BE6">
        <w:t>2</w:t>
      </w:r>
      <w:r w:rsidR="000D7020" w:rsidRPr="007B5BE6">
        <w:t>.</w:t>
      </w:r>
    </w:p>
    <w:p w14:paraId="47099C7F" w14:textId="6AAE3AF6" w:rsidR="009012BB" w:rsidRPr="007B5BE6" w:rsidRDefault="009012BB" w:rsidP="00BB7987">
      <w:pPr>
        <w:spacing w:before="240" w:after="240"/>
        <w:rPr>
          <w:b/>
          <w:bCs/>
        </w:rPr>
      </w:pPr>
      <w:r w:rsidRPr="007B5BE6">
        <w:rPr>
          <w:b/>
          <w:bCs/>
        </w:rPr>
        <w:t xml:space="preserve">Table </w:t>
      </w:r>
      <w:r w:rsidR="00A13491" w:rsidRPr="007B5BE6">
        <w:rPr>
          <w:b/>
          <w:bCs/>
        </w:rPr>
        <w:t>3.</w:t>
      </w:r>
      <w:r w:rsidR="00121A5C" w:rsidRPr="007B5BE6">
        <w:rPr>
          <w:b/>
          <w:bCs/>
        </w:rPr>
        <w:t>2</w:t>
      </w:r>
      <w:r w:rsidR="00A13491" w:rsidRPr="007B5BE6">
        <w:rPr>
          <w:b/>
          <w:bCs/>
        </w:rPr>
        <w:t>:</w:t>
      </w:r>
      <w:r w:rsidR="00F857A5" w:rsidRPr="007B5BE6">
        <w:rPr>
          <w:b/>
          <w:bCs/>
        </w:rPr>
        <w:t xml:space="preserve"> </w:t>
      </w:r>
      <w:r w:rsidR="00EC011A" w:rsidRPr="007B5BE6">
        <w:rPr>
          <w:b/>
          <w:bCs/>
        </w:rPr>
        <w:t xml:space="preserve">Specialist services in Tasmania </w:t>
      </w:r>
      <w:r w:rsidR="00883F91" w:rsidRPr="007B5BE6">
        <w:rPr>
          <w:b/>
          <w:bCs/>
        </w:rPr>
        <w:t>for addressing abuse of older Tasmanians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gridCol w:w="3006"/>
      </w:tblGrid>
      <w:tr w:rsidR="009012BB" w:rsidRPr="007B5BE6" w14:paraId="3673AB27" w14:textId="77777777" w:rsidTr="001636E4">
        <w:trPr>
          <w:tblHeader/>
        </w:trPr>
        <w:tc>
          <w:tcPr>
            <w:tcW w:w="3005" w:type="dxa"/>
            <w:tcBorders>
              <w:top w:val="single" w:sz="8" w:space="0" w:color="auto"/>
              <w:bottom w:val="single" w:sz="8" w:space="0" w:color="auto"/>
            </w:tcBorders>
            <w:shd w:val="clear" w:color="auto" w:fill="FFFFFF" w:themeFill="background1"/>
          </w:tcPr>
          <w:p w14:paraId="2B9BCDF0" w14:textId="0610D4D0" w:rsidR="009012BB" w:rsidRPr="007B5BE6" w:rsidRDefault="00511E70" w:rsidP="00F857A5">
            <w:pPr>
              <w:rPr>
                <w:b/>
                <w:bCs/>
                <w:sz w:val="20"/>
                <w:szCs w:val="20"/>
              </w:rPr>
            </w:pPr>
            <w:r w:rsidRPr="007B5BE6">
              <w:rPr>
                <w:b/>
                <w:bCs/>
                <w:sz w:val="20"/>
                <w:szCs w:val="20"/>
              </w:rPr>
              <w:t>Agency/program n</w:t>
            </w:r>
            <w:r w:rsidR="009012BB" w:rsidRPr="007B5BE6">
              <w:rPr>
                <w:b/>
                <w:bCs/>
                <w:sz w:val="20"/>
                <w:szCs w:val="20"/>
              </w:rPr>
              <w:t>ame</w:t>
            </w:r>
          </w:p>
        </w:tc>
        <w:tc>
          <w:tcPr>
            <w:tcW w:w="3005" w:type="dxa"/>
            <w:tcBorders>
              <w:top w:val="single" w:sz="8" w:space="0" w:color="auto"/>
              <w:bottom w:val="single" w:sz="8" w:space="0" w:color="auto"/>
            </w:tcBorders>
            <w:shd w:val="clear" w:color="auto" w:fill="FFFFFF" w:themeFill="background1"/>
          </w:tcPr>
          <w:p w14:paraId="13384A2E" w14:textId="679B9BDE" w:rsidR="009012BB" w:rsidRPr="007B5BE6" w:rsidRDefault="007F4739" w:rsidP="00F857A5">
            <w:pPr>
              <w:rPr>
                <w:b/>
                <w:bCs/>
                <w:sz w:val="20"/>
                <w:szCs w:val="20"/>
              </w:rPr>
            </w:pPr>
            <w:r w:rsidRPr="007B5BE6">
              <w:rPr>
                <w:b/>
                <w:bCs/>
                <w:sz w:val="20"/>
                <w:szCs w:val="20"/>
              </w:rPr>
              <w:t xml:space="preserve">Services </w:t>
            </w:r>
          </w:p>
        </w:tc>
        <w:tc>
          <w:tcPr>
            <w:tcW w:w="3006" w:type="dxa"/>
            <w:tcBorders>
              <w:top w:val="single" w:sz="8" w:space="0" w:color="auto"/>
              <w:bottom w:val="single" w:sz="8" w:space="0" w:color="auto"/>
            </w:tcBorders>
            <w:shd w:val="clear" w:color="auto" w:fill="FFFFFF" w:themeFill="background1"/>
          </w:tcPr>
          <w:p w14:paraId="71827FF4" w14:textId="77EDED2E" w:rsidR="009012BB" w:rsidRPr="007B5BE6" w:rsidRDefault="007F4739" w:rsidP="00F857A5">
            <w:pPr>
              <w:rPr>
                <w:b/>
                <w:bCs/>
                <w:sz w:val="20"/>
                <w:szCs w:val="20"/>
              </w:rPr>
            </w:pPr>
            <w:r w:rsidRPr="007B5BE6">
              <w:rPr>
                <w:b/>
                <w:bCs/>
                <w:sz w:val="20"/>
                <w:szCs w:val="20"/>
              </w:rPr>
              <w:t xml:space="preserve">Funded by </w:t>
            </w:r>
          </w:p>
        </w:tc>
      </w:tr>
      <w:tr w:rsidR="009012BB" w:rsidRPr="007B5BE6" w14:paraId="4B90C384" w14:textId="77777777" w:rsidTr="001636E4">
        <w:tc>
          <w:tcPr>
            <w:tcW w:w="3005" w:type="dxa"/>
            <w:tcBorders>
              <w:top w:val="single" w:sz="8" w:space="0" w:color="auto"/>
            </w:tcBorders>
          </w:tcPr>
          <w:p w14:paraId="0E79C638" w14:textId="0D4FFDCA" w:rsidR="009012BB" w:rsidRPr="007B5BE6" w:rsidRDefault="007F4739" w:rsidP="0004503A">
            <w:pPr>
              <w:jc w:val="left"/>
              <w:rPr>
                <w:sz w:val="20"/>
                <w:szCs w:val="20"/>
              </w:rPr>
            </w:pPr>
            <w:r w:rsidRPr="007B5BE6">
              <w:rPr>
                <w:sz w:val="20"/>
                <w:szCs w:val="20"/>
              </w:rPr>
              <w:t>Tasmanian Elder Abuse Helpline</w:t>
            </w:r>
            <w:r w:rsidR="003234D4" w:rsidRPr="007B5BE6">
              <w:rPr>
                <w:sz w:val="20"/>
                <w:szCs w:val="20"/>
              </w:rPr>
              <w:t xml:space="preserve"> (‘the Helpline’)</w:t>
            </w:r>
            <w:r w:rsidRPr="007B5BE6">
              <w:rPr>
                <w:sz w:val="20"/>
                <w:szCs w:val="20"/>
              </w:rPr>
              <w:t>, operated by Advocacy Tasmania</w:t>
            </w:r>
          </w:p>
        </w:tc>
        <w:tc>
          <w:tcPr>
            <w:tcW w:w="3005" w:type="dxa"/>
            <w:tcBorders>
              <w:top w:val="single" w:sz="8" w:space="0" w:color="auto"/>
            </w:tcBorders>
          </w:tcPr>
          <w:p w14:paraId="70B61E05" w14:textId="23BE277F" w:rsidR="009012BB" w:rsidRPr="007B5BE6" w:rsidRDefault="00511E70" w:rsidP="0004503A">
            <w:pPr>
              <w:jc w:val="left"/>
              <w:rPr>
                <w:sz w:val="20"/>
                <w:szCs w:val="20"/>
              </w:rPr>
            </w:pPr>
            <w:r w:rsidRPr="007B5BE6">
              <w:rPr>
                <w:sz w:val="20"/>
                <w:szCs w:val="20"/>
              </w:rPr>
              <w:t>I</w:t>
            </w:r>
            <w:r w:rsidR="007F4739" w:rsidRPr="007B5BE6">
              <w:rPr>
                <w:sz w:val="20"/>
                <w:szCs w:val="20"/>
              </w:rPr>
              <w:t>nformation and advice referrals</w:t>
            </w:r>
          </w:p>
        </w:tc>
        <w:tc>
          <w:tcPr>
            <w:tcW w:w="3006" w:type="dxa"/>
            <w:tcBorders>
              <w:top w:val="single" w:sz="8" w:space="0" w:color="auto"/>
            </w:tcBorders>
          </w:tcPr>
          <w:p w14:paraId="15AA9131" w14:textId="0AEAA53B" w:rsidR="009012BB" w:rsidRPr="007B5BE6" w:rsidRDefault="007F4739" w:rsidP="0004503A">
            <w:pPr>
              <w:jc w:val="left"/>
              <w:rPr>
                <w:sz w:val="20"/>
                <w:szCs w:val="20"/>
              </w:rPr>
            </w:pPr>
            <w:r w:rsidRPr="007B5BE6">
              <w:rPr>
                <w:sz w:val="20"/>
                <w:szCs w:val="20"/>
              </w:rPr>
              <w:t>Tasmanian Government</w:t>
            </w:r>
          </w:p>
        </w:tc>
      </w:tr>
      <w:tr w:rsidR="009012BB" w:rsidRPr="007B5BE6" w14:paraId="423D8329" w14:textId="77777777" w:rsidTr="00C36293">
        <w:tc>
          <w:tcPr>
            <w:tcW w:w="3005" w:type="dxa"/>
          </w:tcPr>
          <w:p w14:paraId="0BA97A12" w14:textId="1E5F50B6" w:rsidR="009012BB" w:rsidRPr="007B5BE6" w:rsidRDefault="007F4739" w:rsidP="0004503A">
            <w:pPr>
              <w:jc w:val="left"/>
              <w:rPr>
                <w:sz w:val="20"/>
                <w:szCs w:val="20"/>
              </w:rPr>
            </w:pPr>
            <w:r w:rsidRPr="007B5BE6">
              <w:rPr>
                <w:sz w:val="20"/>
                <w:szCs w:val="20"/>
              </w:rPr>
              <w:t>Elder Relationship Service, run by Relationships Australia Tasmania</w:t>
            </w:r>
          </w:p>
        </w:tc>
        <w:tc>
          <w:tcPr>
            <w:tcW w:w="3005" w:type="dxa"/>
          </w:tcPr>
          <w:p w14:paraId="7FBCB337" w14:textId="39C6ACB7" w:rsidR="009012BB" w:rsidRPr="007B5BE6" w:rsidRDefault="00511E70" w:rsidP="0004503A">
            <w:pPr>
              <w:jc w:val="left"/>
              <w:rPr>
                <w:sz w:val="20"/>
                <w:szCs w:val="20"/>
              </w:rPr>
            </w:pPr>
            <w:r w:rsidRPr="007B5BE6">
              <w:rPr>
                <w:sz w:val="20"/>
                <w:szCs w:val="20"/>
              </w:rPr>
              <w:t>C</w:t>
            </w:r>
            <w:r w:rsidR="007F4739" w:rsidRPr="007B5BE6">
              <w:rPr>
                <w:sz w:val="20"/>
                <w:szCs w:val="20"/>
              </w:rPr>
              <w:t>ounselling and mediation</w:t>
            </w:r>
          </w:p>
        </w:tc>
        <w:tc>
          <w:tcPr>
            <w:tcW w:w="3006" w:type="dxa"/>
          </w:tcPr>
          <w:p w14:paraId="05344B68" w14:textId="43359318" w:rsidR="009012BB" w:rsidRPr="007B5BE6" w:rsidRDefault="003A37B0" w:rsidP="0004503A">
            <w:pPr>
              <w:jc w:val="left"/>
              <w:rPr>
                <w:sz w:val="20"/>
                <w:szCs w:val="20"/>
              </w:rPr>
            </w:pPr>
            <w:r w:rsidRPr="007B5BE6">
              <w:rPr>
                <w:sz w:val="20"/>
                <w:szCs w:val="20"/>
              </w:rPr>
              <w:t>Tasmanian Government</w:t>
            </w:r>
          </w:p>
        </w:tc>
      </w:tr>
      <w:tr w:rsidR="009012BB" w:rsidRPr="007B5BE6" w14:paraId="0CE9E57E" w14:textId="77777777" w:rsidTr="00C36293">
        <w:tc>
          <w:tcPr>
            <w:tcW w:w="3005" w:type="dxa"/>
          </w:tcPr>
          <w:p w14:paraId="4CDDA671" w14:textId="1D452BDE" w:rsidR="009012BB" w:rsidRPr="007B5BE6" w:rsidRDefault="007F4739" w:rsidP="0004503A">
            <w:pPr>
              <w:jc w:val="left"/>
              <w:rPr>
                <w:sz w:val="20"/>
                <w:szCs w:val="20"/>
              </w:rPr>
            </w:pPr>
            <w:r w:rsidRPr="007B5BE6">
              <w:rPr>
                <w:sz w:val="20"/>
                <w:szCs w:val="20"/>
              </w:rPr>
              <w:t>Council on the Ageing (</w:t>
            </w:r>
            <w:r w:rsidR="00C952C5" w:rsidRPr="007B5BE6">
              <w:rPr>
                <w:sz w:val="20"/>
                <w:szCs w:val="20"/>
              </w:rPr>
              <w:t>‘</w:t>
            </w:r>
            <w:r w:rsidRPr="007B5BE6">
              <w:rPr>
                <w:sz w:val="20"/>
                <w:szCs w:val="20"/>
              </w:rPr>
              <w:t>COTA</w:t>
            </w:r>
            <w:r w:rsidR="00C952C5" w:rsidRPr="007B5BE6">
              <w:rPr>
                <w:sz w:val="20"/>
                <w:szCs w:val="20"/>
              </w:rPr>
              <w:t>’</w:t>
            </w:r>
            <w:r w:rsidRPr="007B5BE6">
              <w:rPr>
                <w:sz w:val="20"/>
                <w:szCs w:val="20"/>
              </w:rPr>
              <w:t>) Tasmania</w:t>
            </w:r>
          </w:p>
        </w:tc>
        <w:tc>
          <w:tcPr>
            <w:tcW w:w="3005" w:type="dxa"/>
          </w:tcPr>
          <w:p w14:paraId="6E472220" w14:textId="3918DAD1" w:rsidR="009012BB" w:rsidRPr="007B5BE6" w:rsidRDefault="003A37B0" w:rsidP="0004503A">
            <w:pPr>
              <w:jc w:val="left"/>
              <w:rPr>
                <w:sz w:val="20"/>
                <w:szCs w:val="20"/>
              </w:rPr>
            </w:pPr>
            <w:r w:rsidRPr="007B5BE6">
              <w:rPr>
                <w:sz w:val="20"/>
                <w:szCs w:val="20"/>
              </w:rPr>
              <w:t>Awareness</w:t>
            </w:r>
            <w:r w:rsidR="004F204F" w:rsidRPr="007B5BE6">
              <w:rPr>
                <w:sz w:val="20"/>
                <w:szCs w:val="20"/>
              </w:rPr>
              <w:t xml:space="preserve"> </w:t>
            </w:r>
            <w:r w:rsidRPr="007B5BE6">
              <w:rPr>
                <w:sz w:val="20"/>
                <w:szCs w:val="20"/>
              </w:rPr>
              <w:t xml:space="preserve">raising and advocacy </w:t>
            </w:r>
          </w:p>
        </w:tc>
        <w:tc>
          <w:tcPr>
            <w:tcW w:w="3006" w:type="dxa"/>
          </w:tcPr>
          <w:p w14:paraId="39F5271A" w14:textId="45C2EA20" w:rsidR="009012BB" w:rsidRPr="007B5BE6" w:rsidRDefault="003A37B0" w:rsidP="0004503A">
            <w:pPr>
              <w:jc w:val="left"/>
              <w:rPr>
                <w:sz w:val="20"/>
                <w:szCs w:val="20"/>
              </w:rPr>
            </w:pPr>
            <w:r w:rsidRPr="007B5BE6">
              <w:rPr>
                <w:sz w:val="20"/>
                <w:szCs w:val="20"/>
              </w:rPr>
              <w:t>Tasmanian Government</w:t>
            </w:r>
          </w:p>
        </w:tc>
      </w:tr>
      <w:tr w:rsidR="009012BB" w:rsidRPr="007B5BE6" w14:paraId="65FA1BAE" w14:textId="77777777" w:rsidTr="00C36293">
        <w:tc>
          <w:tcPr>
            <w:tcW w:w="3005" w:type="dxa"/>
          </w:tcPr>
          <w:p w14:paraId="0415CC79" w14:textId="6D3BC0C2" w:rsidR="009012BB" w:rsidRPr="007B5BE6" w:rsidRDefault="003A37B0" w:rsidP="0004503A">
            <w:pPr>
              <w:jc w:val="left"/>
              <w:rPr>
                <w:sz w:val="20"/>
                <w:szCs w:val="20"/>
              </w:rPr>
            </w:pPr>
            <w:r w:rsidRPr="007B5BE6">
              <w:rPr>
                <w:sz w:val="20"/>
                <w:szCs w:val="20"/>
              </w:rPr>
              <w:t>Advocacy Tasmania</w:t>
            </w:r>
          </w:p>
        </w:tc>
        <w:tc>
          <w:tcPr>
            <w:tcW w:w="3005" w:type="dxa"/>
          </w:tcPr>
          <w:p w14:paraId="5351EC30" w14:textId="098F498A" w:rsidR="009012BB" w:rsidRPr="007B5BE6" w:rsidRDefault="003B08BA" w:rsidP="0004503A">
            <w:pPr>
              <w:jc w:val="left"/>
              <w:rPr>
                <w:sz w:val="20"/>
                <w:szCs w:val="20"/>
              </w:rPr>
            </w:pPr>
            <w:r w:rsidRPr="007B5BE6">
              <w:rPr>
                <w:sz w:val="20"/>
                <w:szCs w:val="20"/>
              </w:rPr>
              <w:t>Awareness</w:t>
            </w:r>
            <w:r w:rsidR="004F204F" w:rsidRPr="007B5BE6">
              <w:rPr>
                <w:sz w:val="20"/>
                <w:szCs w:val="20"/>
              </w:rPr>
              <w:t xml:space="preserve"> </w:t>
            </w:r>
            <w:r w:rsidRPr="007B5BE6">
              <w:rPr>
                <w:sz w:val="20"/>
                <w:szCs w:val="20"/>
              </w:rPr>
              <w:t>raising and advocacy</w:t>
            </w:r>
          </w:p>
        </w:tc>
        <w:tc>
          <w:tcPr>
            <w:tcW w:w="3006" w:type="dxa"/>
          </w:tcPr>
          <w:p w14:paraId="08DECA0D" w14:textId="619CB6AC" w:rsidR="009012BB" w:rsidRPr="007B5BE6" w:rsidRDefault="003A37B0" w:rsidP="0004503A">
            <w:pPr>
              <w:jc w:val="left"/>
              <w:rPr>
                <w:sz w:val="20"/>
                <w:szCs w:val="20"/>
              </w:rPr>
            </w:pPr>
            <w:r w:rsidRPr="007B5BE6">
              <w:rPr>
                <w:sz w:val="20"/>
                <w:szCs w:val="20"/>
              </w:rPr>
              <w:t>Tasmanian Government</w:t>
            </w:r>
          </w:p>
        </w:tc>
      </w:tr>
      <w:tr w:rsidR="003A37B0" w:rsidRPr="007B5BE6" w14:paraId="0368A26F" w14:textId="77777777" w:rsidTr="00C36293">
        <w:tc>
          <w:tcPr>
            <w:tcW w:w="3005" w:type="dxa"/>
          </w:tcPr>
          <w:p w14:paraId="6C84AFC1" w14:textId="611733D2" w:rsidR="003A37B0" w:rsidRPr="007B5BE6" w:rsidRDefault="003A37B0" w:rsidP="0004503A">
            <w:pPr>
              <w:jc w:val="left"/>
              <w:rPr>
                <w:sz w:val="20"/>
                <w:szCs w:val="20"/>
              </w:rPr>
            </w:pPr>
            <w:r w:rsidRPr="007B5BE6">
              <w:rPr>
                <w:sz w:val="20"/>
                <w:szCs w:val="20"/>
              </w:rPr>
              <w:t>Migrant Resource Centre</w:t>
            </w:r>
          </w:p>
        </w:tc>
        <w:tc>
          <w:tcPr>
            <w:tcW w:w="3005" w:type="dxa"/>
          </w:tcPr>
          <w:p w14:paraId="3957702E" w14:textId="5904DCCB" w:rsidR="003A37B0" w:rsidRPr="007B5BE6" w:rsidRDefault="003A37B0" w:rsidP="0004503A">
            <w:pPr>
              <w:jc w:val="left"/>
              <w:rPr>
                <w:sz w:val="20"/>
                <w:szCs w:val="20"/>
              </w:rPr>
            </w:pPr>
            <w:r w:rsidRPr="007B5BE6">
              <w:rPr>
                <w:sz w:val="20"/>
                <w:szCs w:val="20"/>
              </w:rPr>
              <w:t>Awareness</w:t>
            </w:r>
            <w:r w:rsidR="004F204F" w:rsidRPr="007B5BE6">
              <w:rPr>
                <w:sz w:val="20"/>
                <w:szCs w:val="20"/>
              </w:rPr>
              <w:t xml:space="preserve"> </w:t>
            </w:r>
            <w:r w:rsidRPr="007B5BE6">
              <w:rPr>
                <w:sz w:val="20"/>
                <w:szCs w:val="20"/>
              </w:rPr>
              <w:t>raising and advocacy</w:t>
            </w:r>
          </w:p>
        </w:tc>
        <w:tc>
          <w:tcPr>
            <w:tcW w:w="3006" w:type="dxa"/>
          </w:tcPr>
          <w:p w14:paraId="6A77724B" w14:textId="174B5919" w:rsidR="003A37B0" w:rsidRPr="007B5BE6" w:rsidRDefault="003A37B0" w:rsidP="0004503A">
            <w:pPr>
              <w:jc w:val="left"/>
              <w:rPr>
                <w:sz w:val="20"/>
                <w:szCs w:val="20"/>
              </w:rPr>
            </w:pPr>
            <w:r w:rsidRPr="007B5BE6">
              <w:rPr>
                <w:sz w:val="20"/>
                <w:szCs w:val="20"/>
              </w:rPr>
              <w:t>Tasmanian Government</w:t>
            </w:r>
          </w:p>
        </w:tc>
      </w:tr>
      <w:tr w:rsidR="003A37B0" w:rsidRPr="007B5BE6" w14:paraId="6C982524" w14:textId="77777777" w:rsidTr="00C36293">
        <w:tc>
          <w:tcPr>
            <w:tcW w:w="3005" w:type="dxa"/>
          </w:tcPr>
          <w:p w14:paraId="37EBEADD" w14:textId="5616601A" w:rsidR="003A37B0" w:rsidRPr="007B5BE6" w:rsidRDefault="003A37B0" w:rsidP="0004503A">
            <w:pPr>
              <w:jc w:val="left"/>
              <w:rPr>
                <w:sz w:val="20"/>
                <w:szCs w:val="20"/>
              </w:rPr>
            </w:pPr>
            <w:r w:rsidRPr="007B5BE6">
              <w:rPr>
                <w:sz w:val="20"/>
                <w:szCs w:val="20"/>
              </w:rPr>
              <w:t>Welcome Cultural Services</w:t>
            </w:r>
          </w:p>
        </w:tc>
        <w:tc>
          <w:tcPr>
            <w:tcW w:w="3005" w:type="dxa"/>
          </w:tcPr>
          <w:p w14:paraId="709DEBBC" w14:textId="2A973149" w:rsidR="003A37B0" w:rsidRPr="007B5BE6" w:rsidRDefault="003A37B0" w:rsidP="0004503A">
            <w:pPr>
              <w:jc w:val="left"/>
              <w:rPr>
                <w:sz w:val="20"/>
                <w:szCs w:val="20"/>
              </w:rPr>
            </w:pPr>
            <w:r w:rsidRPr="007B5BE6">
              <w:rPr>
                <w:sz w:val="20"/>
                <w:szCs w:val="20"/>
              </w:rPr>
              <w:t>Awareness</w:t>
            </w:r>
            <w:r w:rsidR="004F204F" w:rsidRPr="007B5BE6">
              <w:rPr>
                <w:sz w:val="20"/>
                <w:szCs w:val="20"/>
              </w:rPr>
              <w:t xml:space="preserve"> </w:t>
            </w:r>
            <w:r w:rsidRPr="007B5BE6">
              <w:rPr>
                <w:sz w:val="20"/>
                <w:szCs w:val="20"/>
              </w:rPr>
              <w:t>raising and advocacy</w:t>
            </w:r>
          </w:p>
        </w:tc>
        <w:tc>
          <w:tcPr>
            <w:tcW w:w="3006" w:type="dxa"/>
          </w:tcPr>
          <w:p w14:paraId="75698820" w14:textId="40A5C503" w:rsidR="003A37B0" w:rsidRPr="007B5BE6" w:rsidRDefault="003A37B0" w:rsidP="0004503A">
            <w:pPr>
              <w:jc w:val="left"/>
              <w:rPr>
                <w:sz w:val="20"/>
                <w:szCs w:val="20"/>
              </w:rPr>
            </w:pPr>
            <w:r w:rsidRPr="007B5BE6">
              <w:rPr>
                <w:sz w:val="20"/>
                <w:szCs w:val="20"/>
              </w:rPr>
              <w:t>Tasmanian Government</w:t>
            </w:r>
          </w:p>
        </w:tc>
      </w:tr>
      <w:tr w:rsidR="003A37B0" w:rsidRPr="007B5BE6" w14:paraId="0689B5C1" w14:textId="77777777" w:rsidTr="00C36293">
        <w:tc>
          <w:tcPr>
            <w:tcW w:w="3005" w:type="dxa"/>
          </w:tcPr>
          <w:p w14:paraId="5AFA28E6" w14:textId="30967706" w:rsidR="003A37B0" w:rsidRPr="007B5BE6" w:rsidRDefault="00F857A5" w:rsidP="0004503A">
            <w:pPr>
              <w:jc w:val="left"/>
              <w:rPr>
                <w:sz w:val="20"/>
                <w:szCs w:val="20"/>
              </w:rPr>
            </w:pPr>
            <w:r w:rsidRPr="007B5BE6">
              <w:rPr>
                <w:sz w:val="20"/>
                <w:szCs w:val="20"/>
              </w:rPr>
              <w:t>Senior Assist Program</w:t>
            </w:r>
            <w:r w:rsidR="00002764">
              <w:rPr>
                <w:sz w:val="20"/>
                <w:szCs w:val="20"/>
              </w:rPr>
              <w:t xml:space="preserve"> (‘Senior Assist’)</w:t>
            </w:r>
            <w:r w:rsidRPr="007B5BE6">
              <w:rPr>
                <w:sz w:val="20"/>
                <w:szCs w:val="20"/>
              </w:rPr>
              <w:t>, delivered by Tasmania Legal Aid</w:t>
            </w:r>
          </w:p>
        </w:tc>
        <w:tc>
          <w:tcPr>
            <w:tcW w:w="3005" w:type="dxa"/>
          </w:tcPr>
          <w:p w14:paraId="49FFD592" w14:textId="00394E0D" w:rsidR="003A37B0" w:rsidRPr="007B5BE6" w:rsidRDefault="00262415" w:rsidP="0004503A">
            <w:pPr>
              <w:jc w:val="left"/>
              <w:rPr>
                <w:sz w:val="20"/>
                <w:szCs w:val="20"/>
              </w:rPr>
            </w:pPr>
            <w:r w:rsidRPr="007B5BE6">
              <w:rPr>
                <w:sz w:val="20"/>
                <w:szCs w:val="20"/>
              </w:rPr>
              <w:t>S</w:t>
            </w:r>
            <w:r w:rsidR="003A37B0" w:rsidRPr="007B5BE6">
              <w:rPr>
                <w:sz w:val="20"/>
                <w:szCs w:val="20"/>
              </w:rPr>
              <w:t xml:space="preserve">pecialist legal </w:t>
            </w:r>
            <w:r w:rsidR="00F857A5" w:rsidRPr="007B5BE6">
              <w:rPr>
                <w:sz w:val="20"/>
                <w:szCs w:val="20"/>
              </w:rPr>
              <w:t xml:space="preserve">services </w:t>
            </w:r>
          </w:p>
        </w:tc>
        <w:tc>
          <w:tcPr>
            <w:tcW w:w="3006" w:type="dxa"/>
          </w:tcPr>
          <w:p w14:paraId="76B12FF5" w14:textId="276C2DBB" w:rsidR="003A37B0" w:rsidRPr="007B5BE6" w:rsidRDefault="00F857A5" w:rsidP="0004503A">
            <w:pPr>
              <w:jc w:val="left"/>
              <w:rPr>
                <w:sz w:val="20"/>
                <w:szCs w:val="20"/>
              </w:rPr>
            </w:pPr>
            <w:r w:rsidRPr="007B5BE6">
              <w:rPr>
                <w:sz w:val="20"/>
                <w:szCs w:val="20"/>
              </w:rPr>
              <w:t>Commonwealth Government</w:t>
            </w:r>
          </w:p>
        </w:tc>
      </w:tr>
    </w:tbl>
    <w:p w14:paraId="0BDB2996" w14:textId="4EB5B8F5" w:rsidR="007970EA" w:rsidRPr="007B5BE6" w:rsidRDefault="00500FB9">
      <w:pPr>
        <w:pStyle w:val="NormalNumberedTextTLRI"/>
      </w:pPr>
      <w:bookmarkStart w:id="68" w:name="_Toc191457177"/>
      <w:r w:rsidRPr="007B5BE6">
        <w:t xml:space="preserve">The </w:t>
      </w:r>
      <w:r w:rsidR="008F765D" w:rsidRPr="007B5BE6">
        <w:t>‘</w:t>
      </w:r>
      <w:r w:rsidR="00BE62C2" w:rsidRPr="007B5BE6">
        <w:t>Tasmanian Lifelong Respect Community of Practice: Ending the Abuse of Older People</w:t>
      </w:r>
      <w:r w:rsidR="008F765D" w:rsidRPr="007B5BE6">
        <w:t>’</w:t>
      </w:r>
      <w:r w:rsidR="00BE62C2" w:rsidRPr="007B5BE6">
        <w:rPr>
          <w:i/>
          <w:iCs/>
        </w:rPr>
        <w:t xml:space="preserve"> </w:t>
      </w:r>
      <w:r w:rsidR="00EA3452" w:rsidRPr="007B5BE6">
        <w:t xml:space="preserve">(‘Lifelong Respect Community of Practice’) </w:t>
      </w:r>
      <w:r w:rsidRPr="007B5BE6">
        <w:t>consists of representatives of the organisations</w:t>
      </w:r>
      <w:r w:rsidR="00DE22B3" w:rsidRPr="007B5BE6">
        <w:t>,</w:t>
      </w:r>
      <w:r w:rsidRPr="007B5BE6">
        <w:t xml:space="preserve"> wh</w:t>
      </w:r>
      <w:r w:rsidR="00DE22B3" w:rsidRPr="007B5BE6">
        <w:t>ich</w:t>
      </w:r>
      <w:r w:rsidRPr="007B5BE6">
        <w:t xml:space="preserve"> are referral partners directly involved in </w:t>
      </w:r>
      <w:r w:rsidR="00432288" w:rsidRPr="007B5BE6">
        <w:t xml:space="preserve">the </w:t>
      </w:r>
      <w:r w:rsidRPr="007B5BE6">
        <w:t xml:space="preserve">prevention </w:t>
      </w:r>
      <w:r w:rsidR="00432288" w:rsidRPr="007B5BE6">
        <w:t xml:space="preserve">of, </w:t>
      </w:r>
      <w:r w:rsidRPr="007B5BE6">
        <w:t>and response</w:t>
      </w:r>
      <w:r w:rsidR="00432288" w:rsidRPr="007B5BE6">
        <w:t>s to, the abuse of older people</w:t>
      </w:r>
      <w:r w:rsidRPr="007B5BE6">
        <w:t>. This includes COTA Tasmania (as the facilitator), Tasmania Legal Aid (Senior Assist), Relationships Australia Tasmania (Elder Relationship Service), Advocacy Tasmania (</w:t>
      </w:r>
      <w:r w:rsidR="003E2447" w:rsidRPr="007B5BE6">
        <w:t xml:space="preserve">the </w:t>
      </w:r>
      <w:r w:rsidR="000226EF" w:rsidRPr="007B5BE6">
        <w:t>Helpline) and</w:t>
      </w:r>
      <w:r w:rsidR="007A6497" w:rsidRPr="007B5BE6">
        <w:t xml:space="preserve"> the Migrant Resource Centre (Elder Abuse Awareness Program).</w:t>
      </w:r>
    </w:p>
    <w:p w14:paraId="2F25C4E2" w14:textId="77777777" w:rsidR="00006D9D" w:rsidRDefault="00006D9D">
      <w:pPr>
        <w:spacing w:after="200" w:line="276" w:lineRule="auto"/>
        <w:jc w:val="left"/>
        <w:rPr>
          <w:b/>
          <w:bCs/>
          <w:sz w:val="32"/>
          <w:szCs w:val="36"/>
        </w:rPr>
      </w:pPr>
      <w:bookmarkStart w:id="69" w:name="_Toc212561763"/>
      <w:r>
        <w:br w:type="page"/>
      </w:r>
    </w:p>
    <w:p w14:paraId="4EFBCFD1" w14:textId="660D8149" w:rsidR="006D04CA" w:rsidRPr="007B5BE6" w:rsidRDefault="006D04CA" w:rsidP="00D01B6A">
      <w:pPr>
        <w:pStyle w:val="Headingunnumbered"/>
        <w:spacing w:before="360"/>
      </w:pPr>
      <w:r w:rsidRPr="007B5BE6">
        <w:lastRenderedPageBreak/>
        <w:t xml:space="preserve">Tasmanian Elder Abuse Helpline </w:t>
      </w:r>
      <w:r w:rsidR="003E2447" w:rsidRPr="007B5BE6">
        <w:t xml:space="preserve">(‘the Helpline’) </w:t>
      </w:r>
      <w:r w:rsidRPr="007B5BE6">
        <w:t>(Advocacy Tasmania)</w:t>
      </w:r>
      <w:bookmarkEnd w:id="69"/>
    </w:p>
    <w:p w14:paraId="2D607385" w14:textId="636EBFBE" w:rsidR="006D04CA" w:rsidRPr="007B5BE6" w:rsidRDefault="001F102F" w:rsidP="006D04CA">
      <w:pPr>
        <w:pStyle w:val="NormalNumberedTextTLRI"/>
      </w:pPr>
      <w:r w:rsidRPr="007B5BE6">
        <w:t xml:space="preserve">The </w:t>
      </w:r>
      <w:r w:rsidR="003E2447" w:rsidRPr="007B5BE6">
        <w:t xml:space="preserve">Helpline </w:t>
      </w:r>
      <w:r w:rsidRPr="007B5BE6">
        <w:t xml:space="preserve">is </w:t>
      </w:r>
      <w:r w:rsidR="006D04CA" w:rsidRPr="007B5BE6">
        <w:t xml:space="preserve">the primary mechanism for delivering Tasmania’s specialist service response to the abuse of older Tasmanians. </w:t>
      </w:r>
      <w:r w:rsidRPr="007B5BE6">
        <w:t xml:space="preserve">It is operated by Advocacy Tasmania (see </w:t>
      </w:r>
      <w:r w:rsidR="00C42CE7" w:rsidRPr="007B5BE6">
        <w:t>[</w:t>
      </w:r>
      <w:r w:rsidR="00DF624D" w:rsidRPr="007B5BE6">
        <w:t>3.</w:t>
      </w:r>
      <w:r w:rsidR="001D68EB" w:rsidRPr="007B5BE6">
        <w:t>4.8</w:t>
      </w:r>
      <w:r w:rsidR="00C42CE7" w:rsidRPr="007B5BE6">
        <w:t>]</w:t>
      </w:r>
      <w:r w:rsidRPr="007B5BE6">
        <w:t>) on behalf of the Tasmanian Government</w:t>
      </w:r>
      <w:r w:rsidR="005B64F7" w:rsidRPr="007B5BE6">
        <w:t xml:space="preserve">. The Helpline </w:t>
      </w:r>
      <w:r w:rsidR="00BA1EF1" w:rsidRPr="007B5BE6">
        <w:t xml:space="preserve">provides an information and </w:t>
      </w:r>
      <w:r w:rsidR="008D4FC0" w:rsidRPr="007B5BE6">
        <w:t xml:space="preserve">advice </w:t>
      </w:r>
      <w:r w:rsidR="00BA1EF1" w:rsidRPr="007B5BE6">
        <w:t xml:space="preserve">referral service </w:t>
      </w:r>
      <w:r w:rsidR="00AB50E1" w:rsidRPr="007B5BE6">
        <w:t xml:space="preserve">generally </w:t>
      </w:r>
      <w:r w:rsidR="00BA1EF1" w:rsidRPr="007B5BE6">
        <w:t xml:space="preserve">for </w:t>
      </w:r>
      <w:r w:rsidR="008D4FC0" w:rsidRPr="007B5BE6">
        <w:t xml:space="preserve">older </w:t>
      </w:r>
      <w:r w:rsidR="00AB50E1" w:rsidRPr="007B5BE6">
        <w:t>people</w:t>
      </w:r>
      <w:r w:rsidR="008D4FC0" w:rsidRPr="007B5BE6">
        <w:t xml:space="preserve">, that is </w:t>
      </w:r>
      <w:r w:rsidR="00AB50E1" w:rsidRPr="007B5BE6">
        <w:t xml:space="preserve">people aged 65 years or more and 50 </w:t>
      </w:r>
      <w:r w:rsidR="008D4FC0" w:rsidRPr="007B5BE6">
        <w:t xml:space="preserve">years </w:t>
      </w:r>
      <w:r w:rsidR="00AB50E1" w:rsidRPr="007B5BE6">
        <w:t>or more for Aboriginal people</w:t>
      </w:r>
      <w:r w:rsidRPr="007B5BE6">
        <w:t>.</w:t>
      </w:r>
    </w:p>
    <w:p w14:paraId="76E23C7A" w14:textId="103BA364" w:rsidR="006D04CA" w:rsidRPr="007B5BE6" w:rsidRDefault="006D04CA" w:rsidP="00E37E26">
      <w:pPr>
        <w:pStyle w:val="NormalNumberedTextTLRI"/>
      </w:pPr>
      <w:r w:rsidRPr="007B5BE6">
        <w:t>The Helpline is a service for older Tasmanians who are</w:t>
      </w:r>
      <w:r w:rsidR="00D85C87" w:rsidRPr="007B5BE6">
        <w:t>,</w:t>
      </w:r>
      <w:r w:rsidRPr="007B5BE6">
        <w:t xml:space="preserve"> or may be</w:t>
      </w:r>
      <w:r w:rsidR="00D85C87" w:rsidRPr="007B5BE6">
        <w:t>,</w:t>
      </w:r>
      <w:r w:rsidRPr="007B5BE6">
        <w:t xml:space="preserve"> experiencing abuse or people who are concerned that an older person they know may be being abused. It </w:t>
      </w:r>
      <w:r w:rsidR="00596D6B" w:rsidRPr="007B5BE6">
        <w:t>provides</w:t>
      </w:r>
      <w:r w:rsidRPr="007B5BE6">
        <w:t xml:space="preserve"> information</w:t>
      </w:r>
      <w:r w:rsidR="00A41E8B" w:rsidRPr="007B5BE6">
        <w:t xml:space="preserve"> in response to concerns about </w:t>
      </w:r>
      <w:r w:rsidRPr="007B5BE6">
        <w:t>abuse, options for responding</w:t>
      </w:r>
      <w:r w:rsidR="002D12E7" w:rsidRPr="007B5BE6">
        <w:t>,</w:t>
      </w:r>
      <w:r w:rsidRPr="007B5BE6">
        <w:t xml:space="preserve"> and referrals if the older person is seeking support, such as advocacy, legal and counselling services. Referral options from the Helpline include to referral partners </w:t>
      </w:r>
      <w:r w:rsidR="00360DDA" w:rsidRPr="007B5BE6">
        <w:t xml:space="preserve">that </w:t>
      </w:r>
      <w:r w:rsidRPr="007B5BE6">
        <w:t xml:space="preserve">are specialist services as part of the </w:t>
      </w:r>
      <w:r w:rsidR="00763FB4" w:rsidRPr="007B5BE6">
        <w:t>Lifelong Respect Community of Practice</w:t>
      </w:r>
      <w:r w:rsidR="00500FB9" w:rsidRPr="007B5BE6">
        <w:t xml:space="preserve">. </w:t>
      </w:r>
      <w:r w:rsidR="00360DDA" w:rsidRPr="007B5BE6">
        <w:t>Referral partners</w:t>
      </w:r>
      <w:r w:rsidRPr="007B5BE6">
        <w:t xml:space="preserve"> includ</w:t>
      </w:r>
      <w:r w:rsidR="00360DDA" w:rsidRPr="007B5BE6">
        <w:t>e</w:t>
      </w:r>
      <w:r w:rsidRPr="007B5BE6">
        <w:t>:</w:t>
      </w:r>
    </w:p>
    <w:p w14:paraId="6036FD98" w14:textId="77777777" w:rsidR="006D04CA" w:rsidRPr="007B5BE6" w:rsidRDefault="006D04CA" w:rsidP="006D04CA">
      <w:pPr>
        <w:pStyle w:val="DotPointTLRI"/>
      </w:pPr>
      <w:r w:rsidRPr="007B5BE6">
        <w:t xml:space="preserve">Advocacy Tasmania for advocacy services; </w:t>
      </w:r>
    </w:p>
    <w:p w14:paraId="38AB9200" w14:textId="77777777" w:rsidR="006D04CA" w:rsidRPr="007B5BE6" w:rsidRDefault="006D04CA" w:rsidP="006D04CA">
      <w:pPr>
        <w:pStyle w:val="DotPointTLRI"/>
      </w:pPr>
      <w:r w:rsidRPr="007B5BE6">
        <w:t>Senior Assist (Tasmania Legal Aid);</w:t>
      </w:r>
    </w:p>
    <w:p w14:paraId="290CE56A" w14:textId="5AF80047" w:rsidR="006D04CA" w:rsidRPr="007B5BE6" w:rsidRDefault="006D04CA" w:rsidP="006D04CA">
      <w:pPr>
        <w:pStyle w:val="DotPointTLRI"/>
      </w:pPr>
      <w:r w:rsidRPr="007B5BE6">
        <w:t xml:space="preserve">Elder Relationship Service (Relationships Australia Tasmania); </w:t>
      </w:r>
      <w:r w:rsidR="00AC0BA3" w:rsidRPr="007B5BE6">
        <w:t>and</w:t>
      </w:r>
    </w:p>
    <w:p w14:paraId="6EC9DE0F" w14:textId="42836F6F" w:rsidR="006D04CA" w:rsidRPr="007B5BE6" w:rsidRDefault="006D04CA" w:rsidP="006D04CA">
      <w:pPr>
        <w:pStyle w:val="DotPointTLRI"/>
      </w:pPr>
      <w:r w:rsidRPr="007B5BE6">
        <w:t>Migrant Resource Centre</w:t>
      </w:r>
      <w:r w:rsidR="00D3003E" w:rsidRPr="007B5BE6">
        <w:t xml:space="preserve"> (Elder Abuse Awareness Program)</w:t>
      </w:r>
      <w:r w:rsidRPr="007B5BE6">
        <w:t>.</w:t>
      </w:r>
    </w:p>
    <w:p w14:paraId="5158DB63" w14:textId="6563E0DA" w:rsidR="006D04CA" w:rsidRPr="007B5BE6" w:rsidRDefault="006D04CA" w:rsidP="00360DDA">
      <w:r w:rsidRPr="007B5BE6">
        <w:t>Information may also be provided about a range of other legal and service systems and service providers where people can seek assistance and support</w:t>
      </w:r>
      <w:r w:rsidR="00530A15" w:rsidRPr="007B5BE6">
        <w:t>.</w:t>
      </w:r>
      <w:r w:rsidR="00D411C5" w:rsidRPr="007B5BE6">
        <w:rPr>
          <w:rStyle w:val="FootnoteReference"/>
        </w:rPr>
        <w:footnoteReference w:id="358"/>
      </w:r>
      <w:r w:rsidRPr="007B5BE6">
        <w:t xml:space="preserve"> </w:t>
      </w:r>
    </w:p>
    <w:p w14:paraId="2DA589D4" w14:textId="77777777" w:rsidR="00421A92" w:rsidRPr="007B5BE6" w:rsidRDefault="00421A92" w:rsidP="00D01B6A">
      <w:pPr>
        <w:pStyle w:val="Headingunnumbered"/>
        <w:spacing w:before="360"/>
      </w:pPr>
      <w:bookmarkStart w:id="70" w:name="_Toc212561764"/>
      <w:r w:rsidRPr="007B5BE6">
        <w:t>Elder Relationship Service (Relationships Australia Tasmania)</w:t>
      </w:r>
      <w:bookmarkEnd w:id="70"/>
    </w:p>
    <w:p w14:paraId="42A55CE4" w14:textId="540B848D" w:rsidR="00421A92" w:rsidRPr="007B5BE6" w:rsidRDefault="00421A92" w:rsidP="00421A92">
      <w:pPr>
        <w:pStyle w:val="NormalNumberedTextTLRI"/>
      </w:pPr>
      <w:r w:rsidRPr="007B5BE6">
        <w:t xml:space="preserve">The Elder Relationship Service is a free statewide mediation and counselling service for older Tasmanians </w:t>
      </w:r>
      <w:r w:rsidR="005430C9" w:rsidRPr="007B5BE6">
        <w:t>(65</w:t>
      </w:r>
      <w:r w:rsidR="008D4FC0" w:rsidRPr="007B5BE6">
        <w:t xml:space="preserve"> years or more</w:t>
      </w:r>
      <w:r w:rsidR="005430C9" w:rsidRPr="007B5BE6">
        <w:t xml:space="preserve">) </w:t>
      </w:r>
      <w:r w:rsidRPr="007B5BE6">
        <w:t>accessible without referral</w:t>
      </w:r>
      <w:r w:rsidR="0033600B" w:rsidRPr="007B5BE6">
        <w:t>, in relation to property, financial and care decisions</w:t>
      </w:r>
      <w:r w:rsidR="009B4697" w:rsidRPr="007B5BE6">
        <w:t>,</w:t>
      </w:r>
      <w:r w:rsidR="0033600B" w:rsidRPr="007B5BE6">
        <w:t xml:space="preserve"> </w:t>
      </w:r>
      <w:r w:rsidR="00B43E3B" w:rsidRPr="007B5BE6">
        <w:t>including decisions to enter</w:t>
      </w:r>
      <w:r w:rsidRPr="007B5BE6">
        <w:t xml:space="preserve"> residential aged care.</w:t>
      </w:r>
      <w:r w:rsidR="00D411C5" w:rsidRPr="007B5BE6">
        <w:rPr>
          <w:rStyle w:val="FootnoteReference"/>
        </w:rPr>
        <w:footnoteReference w:id="359"/>
      </w:r>
      <w:r w:rsidRPr="007B5BE6">
        <w:t xml:space="preserve"> The mediation process includes the facilitation </w:t>
      </w:r>
      <w:r w:rsidR="00E055CA" w:rsidRPr="007B5BE6">
        <w:t xml:space="preserve">by a professional mediator </w:t>
      </w:r>
      <w:r w:rsidRPr="007B5BE6">
        <w:t>of discussions between older Tasmanians and their families</w:t>
      </w:r>
      <w:r w:rsidR="00E055CA" w:rsidRPr="007B5BE6">
        <w:t xml:space="preserve">. </w:t>
      </w:r>
      <w:r w:rsidR="00D50392" w:rsidRPr="007B5BE6">
        <w:t>As part of discussions, t</w:t>
      </w:r>
      <w:r w:rsidR="00E055CA" w:rsidRPr="007B5BE6">
        <w:t xml:space="preserve">he mediator can </w:t>
      </w:r>
      <w:r w:rsidRPr="007B5BE6">
        <w:t xml:space="preserve">assist </w:t>
      </w:r>
      <w:r w:rsidR="00840C6D" w:rsidRPr="007B5BE6">
        <w:t>participants</w:t>
      </w:r>
      <w:r w:rsidR="00D50392" w:rsidRPr="007B5BE6">
        <w:t xml:space="preserve"> </w:t>
      </w:r>
      <w:r w:rsidR="00840C6D" w:rsidRPr="007B5BE6">
        <w:t xml:space="preserve">to </w:t>
      </w:r>
      <w:r w:rsidRPr="007B5BE6">
        <w:t>make plans and resolve disagreements, with a focus on ensuring ‘that outcomes respect the rights and enhance the safety of older Tasmanians’.</w:t>
      </w:r>
      <w:r w:rsidR="00D411C5" w:rsidRPr="007B5BE6">
        <w:rPr>
          <w:rStyle w:val="FootnoteReference"/>
        </w:rPr>
        <w:footnoteReference w:id="360"/>
      </w:r>
      <w:r w:rsidRPr="007B5BE6">
        <w:t xml:space="preserve"> Counselling is focused on providing </w:t>
      </w:r>
      <w:r w:rsidR="002F2E54" w:rsidRPr="007B5BE6">
        <w:t xml:space="preserve">individual </w:t>
      </w:r>
      <w:r w:rsidRPr="007B5BE6">
        <w:t xml:space="preserve">support to older Tasmanians </w:t>
      </w:r>
      <w:r w:rsidR="007A0DD4" w:rsidRPr="007B5BE6">
        <w:t>that may be needed for them</w:t>
      </w:r>
      <w:r w:rsidRPr="007B5BE6">
        <w:t xml:space="preserve"> to ‘address and navigate issues such as: the impact of elder abuse, grief and loss, loneliness, entering retirement, caring for a partner or child, or reconciliation with family members’.</w:t>
      </w:r>
      <w:r w:rsidR="00D411C5" w:rsidRPr="007B5BE6">
        <w:rPr>
          <w:rStyle w:val="FootnoteReference"/>
        </w:rPr>
        <w:footnoteReference w:id="361"/>
      </w:r>
    </w:p>
    <w:p w14:paraId="4424C572" w14:textId="15F478CA" w:rsidR="00A414C9" w:rsidRPr="007B5BE6" w:rsidRDefault="00A414C9" w:rsidP="00D01B6A">
      <w:pPr>
        <w:pStyle w:val="Headingunnumbered"/>
        <w:spacing w:before="360"/>
      </w:pPr>
      <w:bookmarkStart w:id="71" w:name="_Toc212561765"/>
      <w:r w:rsidRPr="007B5BE6">
        <w:t>Council on the Ageing (</w:t>
      </w:r>
      <w:r w:rsidR="002A54AF" w:rsidRPr="007B5BE6">
        <w:t>‘</w:t>
      </w:r>
      <w:r w:rsidRPr="007B5BE6">
        <w:t>COTA</w:t>
      </w:r>
      <w:r w:rsidR="002A54AF" w:rsidRPr="007B5BE6">
        <w:t>’</w:t>
      </w:r>
      <w:r w:rsidRPr="007B5BE6">
        <w:t>) Tasmania</w:t>
      </w:r>
      <w:bookmarkEnd w:id="71"/>
    </w:p>
    <w:p w14:paraId="58AE5261" w14:textId="68E7925B" w:rsidR="00A414C9" w:rsidRPr="007B5BE6" w:rsidRDefault="00A414C9" w:rsidP="005F7BEF">
      <w:pPr>
        <w:pStyle w:val="NormalNumberedTextTLRI"/>
      </w:pPr>
      <w:r w:rsidRPr="007B5BE6">
        <w:t>COTA Tasmani</w:t>
      </w:r>
      <w:r w:rsidR="0045431F" w:rsidRPr="007B5BE6">
        <w:t>a—the ‘leading voice for Tasmanians as they age’</w:t>
      </w:r>
      <w:r w:rsidR="00D411C5" w:rsidRPr="007B5BE6">
        <w:rPr>
          <w:rStyle w:val="FootnoteReference"/>
        </w:rPr>
        <w:footnoteReference w:id="362"/>
      </w:r>
      <w:r w:rsidR="00BB5B85" w:rsidRPr="007B5BE6">
        <w:t>—</w:t>
      </w:r>
      <w:r w:rsidRPr="007B5BE6">
        <w:t xml:space="preserve">is the peak body representing the interests of older people and the service sector focused on older </w:t>
      </w:r>
      <w:r w:rsidR="00BB5B85" w:rsidRPr="007B5BE6">
        <w:t>people.</w:t>
      </w:r>
      <w:r w:rsidRPr="007B5BE6">
        <w:t xml:space="preserve"> A primary focus of COTA Tasmania’s work in the prevention of abuse and ageism is conduct</w:t>
      </w:r>
      <w:r w:rsidR="00000149" w:rsidRPr="007B5BE6">
        <w:t>ing</w:t>
      </w:r>
      <w:r w:rsidRPr="007B5BE6">
        <w:t xml:space="preserve"> awareness-</w:t>
      </w:r>
      <w:r w:rsidRPr="007B5BE6">
        <w:lastRenderedPageBreak/>
        <w:t>raising, training and capacity-building activities</w:t>
      </w:r>
      <w:r w:rsidR="00D63384" w:rsidRPr="007B5BE6">
        <w:t>,</w:t>
      </w:r>
      <w:r w:rsidR="008B536D" w:rsidRPr="007B5BE6">
        <w:rPr>
          <w:rStyle w:val="FootnoteReference"/>
        </w:rPr>
        <w:footnoteReference w:id="363"/>
      </w:r>
      <w:r w:rsidRPr="007B5BE6">
        <w:t xml:space="preserve"> </w:t>
      </w:r>
      <w:r w:rsidR="00000149" w:rsidRPr="007B5BE6">
        <w:t xml:space="preserve">in collaboration </w:t>
      </w:r>
      <w:r w:rsidRPr="007B5BE6">
        <w:t xml:space="preserve">with other agencies </w:t>
      </w:r>
      <w:r w:rsidR="00824D5E" w:rsidRPr="007B5BE6">
        <w:t xml:space="preserve">as </w:t>
      </w:r>
      <w:r w:rsidRPr="007B5BE6">
        <w:t xml:space="preserve">part of the specialist service response and referral partners through the </w:t>
      </w:r>
      <w:r w:rsidR="00763FB4" w:rsidRPr="007B5BE6">
        <w:t>Lifelong Respect Community of Practice</w:t>
      </w:r>
      <w:r w:rsidRPr="007B5BE6">
        <w:t>.</w:t>
      </w:r>
      <w:r w:rsidR="00094C26" w:rsidRPr="007B5BE6">
        <w:t xml:space="preserve"> </w:t>
      </w:r>
    </w:p>
    <w:p w14:paraId="095904B2" w14:textId="2ABEBC9C" w:rsidR="00A414C9" w:rsidRPr="007B5BE6" w:rsidRDefault="00A414C9" w:rsidP="00B007CD">
      <w:pPr>
        <w:pStyle w:val="NormalNumberedTextTLRI"/>
      </w:pPr>
      <w:r w:rsidRPr="007B5BE6">
        <w:t xml:space="preserve">The </w:t>
      </w:r>
      <w:r w:rsidR="00A3653E" w:rsidRPr="007B5BE6">
        <w:t>‘</w:t>
      </w:r>
      <w:r w:rsidRPr="007B5BE6">
        <w:t>Older Voices for Change Lived Experience Advocacy Program</w:t>
      </w:r>
      <w:r w:rsidR="00A3653E" w:rsidRPr="007B5BE6">
        <w:t>’</w:t>
      </w:r>
      <w:r w:rsidRPr="007B5BE6">
        <w:t xml:space="preserve"> is a significant initiative</w:t>
      </w:r>
      <w:r w:rsidR="00A3653E" w:rsidRPr="007B5BE6">
        <w:t xml:space="preserve"> that </w:t>
      </w:r>
      <w:r w:rsidRPr="007B5BE6">
        <w:t>was delivered by COTA Tasmania in collaboration with Engender Equality. Th</w:t>
      </w:r>
      <w:r w:rsidR="00A3653E" w:rsidRPr="007B5BE6">
        <w:t>e</w:t>
      </w:r>
      <w:r w:rsidRPr="007B5BE6">
        <w:t xml:space="preserve"> program</w:t>
      </w:r>
      <w:r w:rsidR="00D6247F" w:rsidRPr="007B5BE6">
        <w:t xml:space="preserve"> provided</w:t>
      </w:r>
      <w:r w:rsidRPr="007B5BE6">
        <w:t xml:space="preserve"> support and training to older Tasmanians who are victim-survivors of abuse to speak about their experiences and tell their story</w:t>
      </w:r>
      <w:r w:rsidR="00A3653E" w:rsidRPr="007B5BE6">
        <w:t>,</w:t>
      </w:r>
      <w:r w:rsidRPr="007B5BE6">
        <w:t xml:space="preserve"> with the goal of helping other</w:t>
      </w:r>
      <w:r w:rsidR="005D3E94" w:rsidRPr="007B5BE6">
        <w:t xml:space="preserve"> older Tasmanians,</w:t>
      </w:r>
      <w:r w:rsidRPr="007B5BE6">
        <w:t xml:space="preserve"> who have experienced abuse</w:t>
      </w:r>
      <w:r w:rsidR="005D3E94" w:rsidRPr="007B5BE6">
        <w:t>,</w:t>
      </w:r>
      <w:r w:rsidRPr="007B5BE6">
        <w:t xml:space="preserve"> to do the same.</w:t>
      </w:r>
      <w:r w:rsidR="002C6A94" w:rsidRPr="007B5BE6">
        <w:rPr>
          <w:rStyle w:val="FootnoteReference"/>
        </w:rPr>
        <w:footnoteReference w:id="364"/>
      </w:r>
      <w:r w:rsidRPr="007B5BE6">
        <w:t xml:space="preserve"> </w:t>
      </w:r>
    </w:p>
    <w:p w14:paraId="63C7C9CB" w14:textId="77777777" w:rsidR="001F102F" w:rsidRPr="007B5BE6" w:rsidRDefault="001F102F" w:rsidP="00D01B6A">
      <w:pPr>
        <w:pStyle w:val="Headingunnumbered"/>
        <w:spacing w:before="360"/>
      </w:pPr>
      <w:bookmarkStart w:id="72" w:name="_Toc192203407"/>
      <w:bookmarkStart w:id="73" w:name="_Toc192398270"/>
      <w:bookmarkStart w:id="74" w:name="_Toc193004441"/>
      <w:bookmarkStart w:id="75" w:name="_Toc193023239"/>
      <w:bookmarkStart w:id="76" w:name="_Toc193961678"/>
      <w:bookmarkStart w:id="77" w:name="_Toc193961926"/>
      <w:bookmarkStart w:id="78" w:name="_Toc193962174"/>
      <w:bookmarkStart w:id="79" w:name="_Toc193962749"/>
      <w:bookmarkStart w:id="80" w:name="_Toc194236688"/>
      <w:bookmarkStart w:id="81" w:name="_Toc194238317"/>
      <w:bookmarkStart w:id="82" w:name="_Toc194238578"/>
      <w:bookmarkStart w:id="83" w:name="_Toc192203408"/>
      <w:bookmarkStart w:id="84" w:name="_Toc192398271"/>
      <w:bookmarkStart w:id="85" w:name="_Toc193004442"/>
      <w:bookmarkStart w:id="86" w:name="_Toc193023240"/>
      <w:bookmarkStart w:id="87" w:name="_Toc193961679"/>
      <w:bookmarkStart w:id="88" w:name="_Toc193961927"/>
      <w:bookmarkStart w:id="89" w:name="_Toc193962175"/>
      <w:bookmarkStart w:id="90" w:name="_Toc193962750"/>
      <w:bookmarkStart w:id="91" w:name="_Toc194236689"/>
      <w:bookmarkStart w:id="92" w:name="_Toc194238318"/>
      <w:bookmarkStart w:id="93" w:name="_Toc194238579"/>
      <w:bookmarkStart w:id="94" w:name="_Toc192203424"/>
      <w:bookmarkStart w:id="95" w:name="_Toc192398287"/>
      <w:bookmarkStart w:id="96" w:name="_Toc193004458"/>
      <w:bookmarkStart w:id="97" w:name="_Toc193023256"/>
      <w:bookmarkStart w:id="98" w:name="_Toc193961695"/>
      <w:bookmarkStart w:id="99" w:name="_Toc193961943"/>
      <w:bookmarkStart w:id="100" w:name="_Toc193962191"/>
      <w:bookmarkStart w:id="101" w:name="_Toc193962766"/>
      <w:bookmarkStart w:id="102" w:name="_Toc194236705"/>
      <w:bookmarkStart w:id="103" w:name="_Toc194238334"/>
      <w:bookmarkStart w:id="104" w:name="_Toc194238595"/>
      <w:bookmarkStart w:id="105" w:name="_Toc192107194"/>
      <w:bookmarkStart w:id="106" w:name="_Toc192107736"/>
      <w:bookmarkStart w:id="107" w:name="_Toc192108255"/>
      <w:bookmarkStart w:id="108" w:name="_Toc192108514"/>
      <w:bookmarkStart w:id="109" w:name="_Toc192180269"/>
      <w:bookmarkStart w:id="110" w:name="_Toc192203427"/>
      <w:bookmarkStart w:id="111" w:name="_Toc192398290"/>
      <w:bookmarkStart w:id="112" w:name="_Toc193004461"/>
      <w:bookmarkStart w:id="113" w:name="_Toc193023259"/>
      <w:bookmarkStart w:id="114" w:name="_Toc193961698"/>
      <w:bookmarkStart w:id="115" w:name="_Toc193961946"/>
      <w:bookmarkStart w:id="116" w:name="_Toc193962194"/>
      <w:bookmarkStart w:id="117" w:name="_Toc193962769"/>
      <w:bookmarkStart w:id="118" w:name="_Toc194236708"/>
      <w:bookmarkStart w:id="119" w:name="_Toc194238337"/>
      <w:bookmarkStart w:id="120" w:name="_Toc194238598"/>
      <w:bookmarkStart w:id="121" w:name="_Toc192107195"/>
      <w:bookmarkStart w:id="122" w:name="_Toc192107737"/>
      <w:bookmarkStart w:id="123" w:name="_Toc192108256"/>
      <w:bookmarkStart w:id="124" w:name="_Toc192108515"/>
      <w:bookmarkStart w:id="125" w:name="_Toc192180270"/>
      <w:bookmarkStart w:id="126" w:name="_Toc192203428"/>
      <w:bookmarkStart w:id="127" w:name="_Toc192398291"/>
      <w:bookmarkStart w:id="128" w:name="_Toc193004462"/>
      <w:bookmarkStart w:id="129" w:name="_Toc193023260"/>
      <w:bookmarkStart w:id="130" w:name="_Toc193961699"/>
      <w:bookmarkStart w:id="131" w:name="_Toc193961947"/>
      <w:bookmarkStart w:id="132" w:name="_Toc193962195"/>
      <w:bookmarkStart w:id="133" w:name="_Toc193962770"/>
      <w:bookmarkStart w:id="134" w:name="_Toc194236709"/>
      <w:bookmarkStart w:id="135" w:name="_Toc194238338"/>
      <w:bookmarkStart w:id="136" w:name="_Toc194238599"/>
      <w:bookmarkStart w:id="137" w:name="_Toc192107196"/>
      <w:bookmarkStart w:id="138" w:name="_Toc192107738"/>
      <w:bookmarkStart w:id="139" w:name="_Toc192108257"/>
      <w:bookmarkStart w:id="140" w:name="_Toc192108516"/>
      <w:bookmarkStart w:id="141" w:name="_Toc192180271"/>
      <w:bookmarkStart w:id="142" w:name="_Toc192203429"/>
      <w:bookmarkStart w:id="143" w:name="_Toc192398292"/>
      <w:bookmarkStart w:id="144" w:name="_Toc193004463"/>
      <w:bookmarkStart w:id="145" w:name="_Toc193023261"/>
      <w:bookmarkStart w:id="146" w:name="_Toc193961700"/>
      <w:bookmarkStart w:id="147" w:name="_Toc193961948"/>
      <w:bookmarkStart w:id="148" w:name="_Toc193962196"/>
      <w:bookmarkStart w:id="149" w:name="_Toc193962771"/>
      <w:bookmarkStart w:id="150" w:name="_Toc194236710"/>
      <w:bookmarkStart w:id="151" w:name="_Toc194238339"/>
      <w:bookmarkStart w:id="152" w:name="_Toc194238600"/>
      <w:bookmarkStart w:id="153" w:name="_Toc192107197"/>
      <w:bookmarkStart w:id="154" w:name="_Toc192107739"/>
      <w:bookmarkStart w:id="155" w:name="_Toc192108258"/>
      <w:bookmarkStart w:id="156" w:name="_Toc192108517"/>
      <w:bookmarkStart w:id="157" w:name="_Toc192180272"/>
      <w:bookmarkStart w:id="158" w:name="_Toc192203430"/>
      <w:bookmarkStart w:id="159" w:name="_Toc192398293"/>
      <w:bookmarkStart w:id="160" w:name="_Toc193004464"/>
      <w:bookmarkStart w:id="161" w:name="_Toc193023262"/>
      <w:bookmarkStart w:id="162" w:name="_Toc193961701"/>
      <w:bookmarkStart w:id="163" w:name="_Toc193961949"/>
      <w:bookmarkStart w:id="164" w:name="_Toc193962197"/>
      <w:bookmarkStart w:id="165" w:name="_Toc193962772"/>
      <w:bookmarkStart w:id="166" w:name="_Toc194236711"/>
      <w:bookmarkStart w:id="167" w:name="_Toc194238340"/>
      <w:bookmarkStart w:id="168" w:name="_Toc194238601"/>
      <w:bookmarkStart w:id="169" w:name="_Toc192107198"/>
      <w:bookmarkStart w:id="170" w:name="_Toc192107740"/>
      <w:bookmarkStart w:id="171" w:name="_Toc192108259"/>
      <w:bookmarkStart w:id="172" w:name="_Toc192108518"/>
      <w:bookmarkStart w:id="173" w:name="_Toc192180273"/>
      <w:bookmarkStart w:id="174" w:name="_Toc192203431"/>
      <w:bookmarkStart w:id="175" w:name="_Toc192398294"/>
      <w:bookmarkStart w:id="176" w:name="_Toc193004465"/>
      <w:bookmarkStart w:id="177" w:name="_Toc193023263"/>
      <w:bookmarkStart w:id="178" w:name="_Toc193961702"/>
      <w:bookmarkStart w:id="179" w:name="_Toc193961950"/>
      <w:bookmarkStart w:id="180" w:name="_Toc193962198"/>
      <w:bookmarkStart w:id="181" w:name="_Toc193962773"/>
      <w:bookmarkStart w:id="182" w:name="_Toc194236712"/>
      <w:bookmarkStart w:id="183" w:name="_Toc194238341"/>
      <w:bookmarkStart w:id="184" w:name="_Toc194238602"/>
      <w:bookmarkStart w:id="185" w:name="_Toc192107199"/>
      <w:bookmarkStart w:id="186" w:name="_Toc192107741"/>
      <w:bookmarkStart w:id="187" w:name="_Toc192108260"/>
      <w:bookmarkStart w:id="188" w:name="_Toc192108519"/>
      <w:bookmarkStart w:id="189" w:name="_Toc192180274"/>
      <w:bookmarkStart w:id="190" w:name="_Toc192203432"/>
      <w:bookmarkStart w:id="191" w:name="_Toc192398295"/>
      <w:bookmarkStart w:id="192" w:name="_Toc193004466"/>
      <w:bookmarkStart w:id="193" w:name="_Toc193023264"/>
      <w:bookmarkStart w:id="194" w:name="_Toc193961703"/>
      <w:bookmarkStart w:id="195" w:name="_Toc193961951"/>
      <w:bookmarkStart w:id="196" w:name="_Toc193962199"/>
      <w:bookmarkStart w:id="197" w:name="_Toc193962774"/>
      <w:bookmarkStart w:id="198" w:name="_Toc194236713"/>
      <w:bookmarkStart w:id="199" w:name="_Toc194238342"/>
      <w:bookmarkStart w:id="200" w:name="_Toc194238603"/>
      <w:bookmarkStart w:id="201" w:name="_Toc192107200"/>
      <w:bookmarkStart w:id="202" w:name="_Toc192107742"/>
      <w:bookmarkStart w:id="203" w:name="_Toc192108261"/>
      <w:bookmarkStart w:id="204" w:name="_Toc192108520"/>
      <w:bookmarkStart w:id="205" w:name="_Toc192180275"/>
      <w:bookmarkStart w:id="206" w:name="_Toc192203433"/>
      <w:bookmarkStart w:id="207" w:name="_Toc192398296"/>
      <w:bookmarkStart w:id="208" w:name="_Toc193004467"/>
      <w:bookmarkStart w:id="209" w:name="_Toc193023265"/>
      <w:bookmarkStart w:id="210" w:name="_Toc193961704"/>
      <w:bookmarkStart w:id="211" w:name="_Toc193961952"/>
      <w:bookmarkStart w:id="212" w:name="_Toc193962200"/>
      <w:bookmarkStart w:id="213" w:name="_Toc193962775"/>
      <w:bookmarkStart w:id="214" w:name="_Toc194236714"/>
      <w:bookmarkStart w:id="215" w:name="_Toc194238343"/>
      <w:bookmarkStart w:id="216" w:name="_Toc194238604"/>
      <w:bookmarkStart w:id="217" w:name="_Toc192107201"/>
      <w:bookmarkStart w:id="218" w:name="_Toc192107743"/>
      <w:bookmarkStart w:id="219" w:name="_Toc192108262"/>
      <w:bookmarkStart w:id="220" w:name="_Toc192108521"/>
      <w:bookmarkStart w:id="221" w:name="_Toc192180276"/>
      <w:bookmarkStart w:id="222" w:name="_Toc192203434"/>
      <w:bookmarkStart w:id="223" w:name="_Toc192398297"/>
      <w:bookmarkStart w:id="224" w:name="_Toc193004468"/>
      <w:bookmarkStart w:id="225" w:name="_Toc193023266"/>
      <w:bookmarkStart w:id="226" w:name="_Toc193961705"/>
      <w:bookmarkStart w:id="227" w:name="_Toc193961953"/>
      <w:bookmarkStart w:id="228" w:name="_Toc193962201"/>
      <w:bookmarkStart w:id="229" w:name="_Toc193962776"/>
      <w:bookmarkStart w:id="230" w:name="_Toc194236715"/>
      <w:bookmarkStart w:id="231" w:name="_Toc194238344"/>
      <w:bookmarkStart w:id="232" w:name="_Toc194238605"/>
      <w:bookmarkStart w:id="233" w:name="_Toc192107202"/>
      <w:bookmarkStart w:id="234" w:name="_Toc192107744"/>
      <w:bookmarkStart w:id="235" w:name="_Toc192108263"/>
      <w:bookmarkStart w:id="236" w:name="_Toc192108522"/>
      <w:bookmarkStart w:id="237" w:name="_Toc192180277"/>
      <w:bookmarkStart w:id="238" w:name="_Toc192203435"/>
      <w:bookmarkStart w:id="239" w:name="_Toc192398298"/>
      <w:bookmarkStart w:id="240" w:name="_Toc193004469"/>
      <w:bookmarkStart w:id="241" w:name="_Toc193023267"/>
      <w:bookmarkStart w:id="242" w:name="_Toc193961706"/>
      <w:bookmarkStart w:id="243" w:name="_Toc193961954"/>
      <w:bookmarkStart w:id="244" w:name="_Toc193962202"/>
      <w:bookmarkStart w:id="245" w:name="_Toc193962777"/>
      <w:bookmarkStart w:id="246" w:name="_Toc194236716"/>
      <w:bookmarkStart w:id="247" w:name="_Toc194238345"/>
      <w:bookmarkStart w:id="248" w:name="_Toc194238606"/>
      <w:bookmarkStart w:id="249" w:name="_Toc192107203"/>
      <w:bookmarkStart w:id="250" w:name="_Toc192107745"/>
      <w:bookmarkStart w:id="251" w:name="_Toc192108264"/>
      <w:bookmarkStart w:id="252" w:name="_Toc192108523"/>
      <w:bookmarkStart w:id="253" w:name="_Toc192180278"/>
      <w:bookmarkStart w:id="254" w:name="_Toc192203436"/>
      <w:bookmarkStart w:id="255" w:name="_Toc192398299"/>
      <w:bookmarkStart w:id="256" w:name="_Toc193004470"/>
      <w:bookmarkStart w:id="257" w:name="_Toc193023268"/>
      <w:bookmarkStart w:id="258" w:name="_Toc193961707"/>
      <w:bookmarkStart w:id="259" w:name="_Toc193961955"/>
      <w:bookmarkStart w:id="260" w:name="_Toc193962203"/>
      <w:bookmarkStart w:id="261" w:name="_Toc193962778"/>
      <w:bookmarkStart w:id="262" w:name="_Toc194236717"/>
      <w:bookmarkStart w:id="263" w:name="_Toc194238346"/>
      <w:bookmarkStart w:id="264" w:name="_Toc194238607"/>
      <w:bookmarkStart w:id="265" w:name="_Toc192107204"/>
      <w:bookmarkStart w:id="266" w:name="_Toc192107746"/>
      <w:bookmarkStart w:id="267" w:name="_Toc192108265"/>
      <w:bookmarkStart w:id="268" w:name="_Toc192108524"/>
      <w:bookmarkStart w:id="269" w:name="_Toc192180279"/>
      <w:bookmarkStart w:id="270" w:name="_Toc192203437"/>
      <w:bookmarkStart w:id="271" w:name="_Toc192398300"/>
      <w:bookmarkStart w:id="272" w:name="_Toc193004471"/>
      <w:bookmarkStart w:id="273" w:name="_Toc193023269"/>
      <w:bookmarkStart w:id="274" w:name="_Toc193961708"/>
      <w:bookmarkStart w:id="275" w:name="_Toc193961956"/>
      <w:bookmarkStart w:id="276" w:name="_Toc193962204"/>
      <w:bookmarkStart w:id="277" w:name="_Toc193962779"/>
      <w:bookmarkStart w:id="278" w:name="_Toc194236718"/>
      <w:bookmarkStart w:id="279" w:name="_Toc194238347"/>
      <w:bookmarkStart w:id="280" w:name="_Toc194238608"/>
      <w:bookmarkStart w:id="281" w:name="_Toc192107205"/>
      <w:bookmarkStart w:id="282" w:name="_Toc192107747"/>
      <w:bookmarkStart w:id="283" w:name="_Toc192108266"/>
      <w:bookmarkStart w:id="284" w:name="_Toc192108525"/>
      <w:bookmarkStart w:id="285" w:name="_Toc192180280"/>
      <w:bookmarkStart w:id="286" w:name="_Toc192203438"/>
      <w:bookmarkStart w:id="287" w:name="_Toc192398301"/>
      <w:bookmarkStart w:id="288" w:name="_Toc193004472"/>
      <w:bookmarkStart w:id="289" w:name="_Toc193023270"/>
      <w:bookmarkStart w:id="290" w:name="_Toc193961709"/>
      <w:bookmarkStart w:id="291" w:name="_Toc193961957"/>
      <w:bookmarkStart w:id="292" w:name="_Toc193962205"/>
      <w:bookmarkStart w:id="293" w:name="_Toc193962780"/>
      <w:bookmarkStart w:id="294" w:name="_Toc194236719"/>
      <w:bookmarkStart w:id="295" w:name="_Toc194238348"/>
      <w:bookmarkStart w:id="296" w:name="_Toc194238609"/>
      <w:bookmarkStart w:id="297" w:name="_Toc192107206"/>
      <w:bookmarkStart w:id="298" w:name="_Toc192107748"/>
      <w:bookmarkStart w:id="299" w:name="_Toc192108267"/>
      <w:bookmarkStart w:id="300" w:name="_Toc192108526"/>
      <w:bookmarkStart w:id="301" w:name="_Toc192180281"/>
      <w:bookmarkStart w:id="302" w:name="_Toc192203439"/>
      <w:bookmarkStart w:id="303" w:name="_Toc192398302"/>
      <w:bookmarkStart w:id="304" w:name="_Toc193004473"/>
      <w:bookmarkStart w:id="305" w:name="_Toc193023271"/>
      <w:bookmarkStart w:id="306" w:name="_Toc193961710"/>
      <w:bookmarkStart w:id="307" w:name="_Toc193961958"/>
      <w:bookmarkStart w:id="308" w:name="_Toc193962206"/>
      <w:bookmarkStart w:id="309" w:name="_Toc193962781"/>
      <w:bookmarkStart w:id="310" w:name="_Toc194236720"/>
      <w:bookmarkStart w:id="311" w:name="_Toc194238349"/>
      <w:bookmarkStart w:id="312" w:name="_Toc194238610"/>
      <w:bookmarkStart w:id="313" w:name="_Toc192107207"/>
      <w:bookmarkStart w:id="314" w:name="_Toc192107749"/>
      <w:bookmarkStart w:id="315" w:name="_Toc192108268"/>
      <w:bookmarkStart w:id="316" w:name="_Toc192108527"/>
      <w:bookmarkStart w:id="317" w:name="_Toc192180282"/>
      <w:bookmarkStart w:id="318" w:name="_Toc192203440"/>
      <w:bookmarkStart w:id="319" w:name="_Toc192398303"/>
      <w:bookmarkStart w:id="320" w:name="_Toc193004474"/>
      <w:bookmarkStart w:id="321" w:name="_Toc193023272"/>
      <w:bookmarkStart w:id="322" w:name="_Toc193961711"/>
      <w:bookmarkStart w:id="323" w:name="_Toc193961959"/>
      <w:bookmarkStart w:id="324" w:name="_Toc193962207"/>
      <w:bookmarkStart w:id="325" w:name="_Toc193962782"/>
      <w:bookmarkStart w:id="326" w:name="_Toc194236721"/>
      <w:bookmarkStart w:id="327" w:name="_Toc194238350"/>
      <w:bookmarkStart w:id="328" w:name="_Toc194238611"/>
      <w:bookmarkStart w:id="329" w:name="_Toc192107208"/>
      <w:bookmarkStart w:id="330" w:name="_Toc192107750"/>
      <w:bookmarkStart w:id="331" w:name="_Toc192108269"/>
      <w:bookmarkStart w:id="332" w:name="_Toc192108528"/>
      <w:bookmarkStart w:id="333" w:name="_Toc192180283"/>
      <w:bookmarkStart w:id="334" w:name="_Toc192203441"/>
      <w:bookmarkStart w:id="335" w:name="_Toc192398304"/>
      <w:bookmarkStart w:id="336" w:name="_Toc193004475"/>
      <w:bookmarkStart w:id="337" w:name="_Toc193023273"/>
      <w:bookmarkStart w:id="338" w:name="_Toc193961712"/>
      <w:bookmarkStart w:id="339" w:name="_Toc193961960"/>
      <w:bookmarkStart w:id="340" w:name="_Toc193962208"/>
      <w:bookmarkStart w:id="341" w:name="_Toc193962783"/>
      <w:bookmarkStart w:id="342" w:name="_Toc194236722"/>
      <w:bookmarkStart w:id="343" w:name="_Toc194238351"/>
      <w:bookmarkStart w:id="344" w:name="_Toc194238612"/>
      <w:bookmarkStart w:id="345" w:name="_Toc192107209"/>
      <w:bookmarkStart w:id="346" w:name="_Toc192107751"/>
      <w:bookmarkStart w:id="347" w:name="_Toc192108270"/>
      <w:bookmarkStart w:id="348" w:name="_Toc192108529"/>
      <w:bookmarkStart w:id="349" w:name="_Toc192180284"/>
      <w:bookmarkStart w:id="350" w:name="_Toc192203442"/>
      <w:bookmarkStart w:id="351" w:name="_Toc192398305"/>
      <w:bookmarkStart w:id="352" w:name="_Toc193004476"/>
      <w:bookmarkStart w:id="353" w:name="_Toc193023274"/>
      <w:bookmarkStart w:id="354" w:name="_Toc193961713"/>
      <w:bookmarkStart w:id="355" w:name="_Toc193961961"/>
      <w:bookmarkStart w:id="356" w:name="_Toc193962209"/>
      <w:bookmarkStart w:id="357" w:name="_Toc193962784"/>
      <w:bookmarkStart w:id="358" w:name="_Toc194236723"/>
      <w:bookmarkStart w:id="359" w:name="_Toc194238352"/>
      <w:bookmarkStart w:id="360" w:name="_Toc194238613"/>
      <w:bookmarkStart w:id="361" w:name="_Toc192107210"/>
      <w:bookmarkStart w:id="362" w:name="_Toc192107752"/>
      <w:bookmarkStart w:id="363" w:name="_Toc192108271"/>
      <w:bookmarkStart w:id="364" w:name="_Toc192108530"/>
      <w:bookmarkStart w:id="365" w:name="_Toc192180285"/>
      <w:bookmarkStart w:id="366" w:name="_Toc192203443"/>
      <w:bookmarkStart w:id="367" w:name="_Toc192398306"/>
      <w:bookmarkStart w:id="368" w:name="_Toc193004477"/>
      <w:bookmarkStart w:id="369" w:name="_Toc193023275"/>
      <w:bookmarkStart w:id="370" w:name="_Toc193961714"/>
      <w:bookmarkStart w:id="371" w:name="_Toc193961962"/>
      <w:bookmarkStart w:id="372" w:name="_Toc193962210"/>
      <w:bookmarkStart w:id="373" w:name="_Toc193962785"/>
      <w:bookmarkStart w:id="374" w:name="_Toc194236724"/>
      <w:bookmarkStart w:id="375" w:name="_Toc194238353"/>
      <w:bookmarkStart w:id="376" w:name="_Toc194238614"/>
      <w:bookmarkStart w:id="377" w:name="_Toc192107211"/>
      <w:bookmarkStart w:id="378" w:name="_Toc192107753"/>
      <w:bookmarkStart w:id="379" w:name="_Toc192108272"/>
      <w:bookmarkStart w:id="380" w:name="_Toc192108531"/>
      <w:bookmarkStart w:id="381" w:name="_Toc192180286"/>
      <w:bookmarkStart w:id="382" w:name="_Toc192203444"/>
      <w:bookmarkStart w:id="383" w:name="_Toc192398307"/>
      <w:bookmarkStart w:id="384" w:name="_Toc193004478"/>
      <w:bookmarkStart w:id="385" w:name="_Toc193023276"/>
      <w:bookmarkStart w:id="386" w:name="_Toc193961715"/>
      <w:bookmarkStart w:id="387" w:name="_Toc193961963"/>
      <w:bookmarkStart w:id="388" w:name="_Toc193962211"/>
      <w:bookmarkStart w:id="389" w:name="_Toc193962786"/>
      <w:bookmarkStart w:id="390" w:name="_Toc194236725"/>
      <w:bookmarkStart w:id="391" w:name="_Toc194238354"/>
      <w:bookmarkStart w:id="392" w:name="_Toc194238615"/>
      <w:bookmarkStart w:id="393" w:name="_Toc192107212"/>
      <w:bookmarkStart w:id="394" w:name="_Toc192107754"/>
      <w:bookmarkStart w:id="395" w:name="_Toc192108273"/>
      <w:bookmarkStart w:id="396" w:name="_Toc192108532"/>
      <w:bookmarkStart w:id="397" w:name="_Toc192180287"/>
      <w:bookmarkStart w:id="398" w:name="_Toc192203445"/>
      <w:bookmarkStart w:id="399" w:name="_Toc192398308"/>
      <w:bookmarkStart w:id="400" w:name="_Toc193004479"/>
      <w:bookmarkStart w:id="401" w:name="_Toc193023277"/>
      <w:bookmarkStart w:id="402" w:name="_Toc193961716"/>
      <w:bookmarkStart w:id="403" w:name="_Toc193961964"/>
      <w:bookmarkStart w:id="404" w:name="_Toc193962212"/>
      <w:bookmarkStart w:id="405" w:name="_Toc193962787"/>
      <w:bookmarkStart w:id="406" w:name="_Toc194236726"/>
      <w:bookmarkStart w:id="407" w:name="_Toc194238355"/>
      <w:bookmarkStart w:id="408" w:name="_Toc194238616"/>
      <w:bookmarkStart w:id="409" w:name="_Toc192107213"/>
      <w:bookmarkStart w:id="410" w:name="_Toc192107755"/>
      <w:bookmarkStart w:id="411" w:name="_Toc192108274"/>
      <w:bookmarkStart w:id="412" w:name="_Toc192108533"/>
      <w:bookmarkStart w:id="413" w:name="_Toc192180288"/>
      <w:bookmarkStart w:id="414" w:name="_Toc192203446"/>
      <w:bookmarkStart w:id="415" w:name="_Toc192398309"/>
      <w:bookmarkStart w:id="416" w:name="_Toc193004480"/>
      <w:bookmarkStart w:id="417" w:name="_Toc193023278"/>
      <w:bookmarkStart w:id="418" w:name="_Toc193961717"/>
      <w:bookmarkStart w:id="419" w:name="_Toc193961965"/>
      <w:bookmarkStart w:id="420" w:name="_Toc193962213"/>
      <w:bookmarkStart w:id="421" w:name="_Toc193962788"/>
      <w:bookmarkStart w:id="422" w:name="_Toc194236727"/>
      <w:bookmarkStart w:id="423" w:name="_Toc194238356"/>
      <w:bookmarkStart w:id="424" w:name="_Toc194238617"/>
      <w:bookmarkStart w:id="425" w:name="_Toc192107214"/>
      <w:bookmarkStart w:id="426" w:name="_Toc192107756"/>
      <w:bookmarkStart w:id="427" w:name="_Toc192108275"/>
      <w:bookmarkStart w:id="428" w:name="_Toc192108534"/>
      <w:bookmarkStart w:id="429" w:name="_Toc192180289"/>
      <w:bookmarkStart w:id="430" w:name="_Toc192203447"/>
      <w:bookmarkStart w:id="431" w:name="_Toc192398310"/>
      <w:bookmarkStart w:id="432" w:name="_Toc193004481"/>
      <w:bookmarkStart w:id="433" w:name="_Toc193023279"/>
      <w:bookmarkStart w:id="434" w:name="_Toc193961718"/>
      <w:bookmarkStart w:id="435" w:name="_Toc193961966"/>
      <w:bookmarkStart w:id="436" w:name="_Toc193962214"/>
      <w:bookmarkStart w:id="437" w:name="_Toc193962789"/>
      <w:bookmarkStart w:id="438" w:name="_Toc194236728"/>
      <w:bookmarkStart w:id="439" w:name="_Toc194238357"/>
      <w:bookmarkStart w:id="440" w:name="_Toc194238618"/>
      <w:bookmarkStart w:id="441" w:name="_Toc192107215"/>
      <w:bookmarkStart w:id="442" w:name="_Toc192107757"/>
      <w:bookmarkStart w:id="443" w:name="_Toc192108276"/>
      <w:bookmarkStart w:id="444" w:name="_Toc192108535"/>
      <w:bookmarkStart w:id="445" w:name="_Toc192180290"/>
      <w:bookmarkStart w:id="446" w:name="_Toc192203448"/>
      <w:bookmarkStart w:id="447" w:name="_Toc192398311"/>
      <w:bookmarkStart w:id="448" w:name="_Toc193004482"/>
      <w:bookmarkStart w:id="449" w:name="_Toc193023280"/>
      <w:bookmarkStart w:id="450" w:name="_Toc193961719"/>
      <w:bookmarkStart w:id="451" w:name="_Toc193961967"/>
      <w:bookmarkStart w:id="452" w:name="_Toc193962215"/>
      <w:bookmarkStart w:id="453" w:name="_Toc193962790"/>
      <w:bookmarkStart w:id="454" w:name="_Toc194236729"/>
      <w:bookmarkStart w:id="455" w:name="_Toc194238358"/>
      <w:bookmarkStart w:id="456" w:name="_Toc194238619"/>
      <w:bookmarkStart w:id="457" w:name="_Toc192107216"/>
      <w:bookmarkStart w:id="458" w:name="_Toc192107758"/>
      <w:bookmarkStart w:id="459" w:name="_Toc192108277"/>
      <w:bookmarkStart w:id="460" w:name="_Toc192108536"/>
      <w:bookmarkStart w:id="461" w:name="_Toc192180291"/>
      <w:bookmarkStart w:id="462" w:name="_Toc192203449"/>
      <w:bookmarkStart w:id="463" w:name="_Toc192398312"/>
      <w:bookmarkStart w:id="464" w:name="_Toc193004483"/>
      <w:bookmarkStart w:id="465" w:name="_Toc193023281"/>
      <w:bookmarkStart w:id="466" w:name="_Toc193961720"/>
      <w:bookmarkStart w:id="467" w:name="_Toc193961968"/>
      <w:bookmarkStart w:id="468" w:name="_Toc193962216"/>
      <w:bookmarkStart w:id="469" w:name="_Toc193962791"/>
      <w:bookmarkStart w:id="470" w:name="_Toc194236730"/>
      <w:bookmarkStart w:id="471" w:name="_Toc194238359"/>
      <w:bookmarkStart w:id="472" w:name="_Toc194238620"/>
      <w:bookmarkStart w:id="473" w:name="_Toc192107217"/>
      <w:bookmarkStart w:id="474" w:name="_Toc192107759"/>
      <w:bookmarkStart w:id="475" w:name="_Toc192108278"/>
      <w:bookmarkStart w:id="476" w:name="_Toc192108537"/>
      <w:bookmarkStart w:id="477" w:name="_Toc192180292"/>
      <w:bookmarkStart w:id="478" w:name="_Toc192203450"/>
      <w:bookmarkStart w:id="479" w:name="_Toc192398313"/>
      <w:bookmarkStart w:id="480" w:name="_Toc193004484"/>
      <w:bookmarkStart w:id="481" w:name="_Toc193023282"/>
      <w:bookmarkStart w:id="482" w:name="_Toc193961721"/>
      <w:bookmarkStart w:id="483" w:name="_Toc193961969"/>
      <w:bookmarkStart w:id="484" w:name="_Toc193962217"/>
      <w:bookmarkStart w:id="485" w:name="_Toc193962792"/>
      <w:bookmarkStart w:id="486" w:name="_Toc194236731"/>
      <w:bookmarkStart w:id="487" w:name="_Toc194238360"/>
      <w:bookmarkStart w:id="488" w:name="_Toc194238621"/>
      <w:bookmarkStart w:id="489" w:name="_Toc192107218"/>
      <w:bookmarkStart w:id="490" w:name="_Toc192107760"/>
      <w:bookmarkStart w:id="491" w:name="_Toc192108279"/>
      <w:bookmarkStart w:id="492" w:name="_Toc192108538"/>
      <w:bookmarkStart w:id="493" w:name="_Toc192180293"/>
      <w:bookmarkStart w:id="494" w:name="_Toc192203451"/>
      <w:bookmarkStart w:id="495" w:name="_Toc192398314"/>
      <w:bookmarkStart w:id="496" w:name="_Toc193004485"/>
      <w:bookmarkStart w:id="497" w:name="_Toc193023283"/>
      <w:bookmarkStart w:id="498" w:name="_Toc193961722"/>
      <w:bookmarkStart w:id="499" w:name="_Toc193961970"/>
      <w:bookmarkStart w:id="500" w:name="_Toc193962218"/>
      <w:bookmarkStart w:id="501" w:name="_Toc193962793"/>
      <w:bookmarkStart w:id="502" w:name="_Toc194236732"/>
      <w:bookmarkStart w:id="503" w:name="_Toc194238361"/>
      <w:bookmarkStart w:id="504" w:name="_Toc194238622"/>
      <w:bookmarkStart w:id="505" w:name="_Toc192107219"/>
      <w:bookmarkStart w:id="506" w:name="_Toc192107761"/>
      <w:bookmarkStart w:id="507" w:name="_Toc192108280"/>
      <w:bookmarkStart w:id="508" w:name="_Toc192108539"/>
      <w:bookmarkStart w:id="509" w:name="_Toc192180294"/>
      <w:bookmarkStart w:id="510" w:name="_Toc192203452"/>
      <w:bookmarkStart w:id="511" w:name="_Toc192398315"/>
      <w:bookmarkStart w:id="512" w:name="_Toc193004486"/>
      <w:bookmarkStart w:id="513" w:name="_Toc193023284"/>
      <w:bookmarkStart w:id="514" w:name="_Toc193961723"/>
      <w:bookmarkStart w:id="515" w:name="_Toc193961971"/>
      <w:bookmarkStart w:id="516" w:name="_Toc193962219"/>
      <w:bookmarkStart w:id="517" w:name="_Toc193962794"/>
      <w:bookmarkStart w:id="518" w:name="_Toc194236733"/>
      <w:bookmarkStart w:id="519" w:name="_Toc194238362"/>
      <w:bookmarkStart w:id="520" w:name="_Toc194238623"/>
      <w:bookmarkStart w:id="521" w:name="_Toc212561766"/>
      <w:bookmarkStart w:id="522" w:name="_Toc191457183"/>
      <w:bookmarkEnd w:id="6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7B5BE6">
        <w:t>Advocacy Tasmania</w:t>
      </w:r>
      <w:bookmarkEnd w:id="521"/>
      <w:r w:rsidRPr="007B5BE6">
        <w:t xml:space="preserve"> </w:t>
      </w:r>
    </w:p>
    <w:p w14:paraId="38D33AB1" w14:textId="7779BA8D" w:rsidR="001F102F" w:rsidRPr="007B5BE6" w:rsidRDefault="001F102F" w:rsidP="005F48F2">
      <w:pPr>
        <w:pStyle w:val="NormalNumberedTextTLRI"/>
      </w:pPr>
      <w:r w:rsidRPr="007B5BE6">
        <w:t>Advocacy Tasmania provide a free, confidential and statewide advocacy service for Tasmanians</w:t>
      </w:r>
      <w:r w:rsidR="005D3E94" w:rsidRPr="007B5BE6">
        <w:t>,</w:t>
      </w:r>
      <w:r w:rsidRPr="007B5BE6">
        <w:t xml:space="preserve"> with one of its</w:t>
      </w:r>
      <w:r w:rsidR="00F32292" w:rsidRPr="007B5BE6">
        <w:t xml:space="preserve"> focus</w:t>
      </w:r>
      <w:r w:rsidRPr="007B5BE6">
        <w:t xml:space="preserve"> areas being older people</w:t>
      </w:r>
      <w:r w:rsidR="00AB50E1" w:rsidRPr="007B5BE6">
        <w:t xml:space="preserve"> (</w:t>
      </w:r>
      <w:r w:rsidR="00810CAC" w:rsidRPr="007B5BE6">
        <w:t>50</w:t>
      </w:r>
      <w:r w:rsidR="006A51D3" w:rsidRPr="007B5BE6">
        <w:t xml:space="preserve"> years or more </w:t>
      </w:r>
      <w:r w:rsidR="00810CAC" w:rsidRPr="007B5BE6">
        <w:t>for Aboriginal people, and 65</w:t>
      </w:r>
      <w:r w:rsidR="006A51D3" w:rsidRPr="007B5BE6">
        <w:t xml:space="preserve"> years or more </w:t>
      </w:r>
      <w:r w:rsidR="00592DDA" w:rsidRPr="007B5BE6">
        <w:t>for non-Indigenous people</w:t>
      </w:r>
      <w:r w:rsidR="00810CAC" w:rsidRPr="007B5BE6">
        <w:t>)</w:t>
      </w:r>
      <w:r w:rsidRPr="007B5BE6">
        <w:t>.</w:t>
      </w:r>
      <w:r w:rsidR="00EF3D42" w:rsidRPr="007B5BE6">
        <w:rPr>
          <w:rStyle w:val="FootnoteReference"/>
        </w:rPr>
        <w:footnoteReference w:id="365"/>
      </w:r>
      <w:r w:rsidRPr="007B5BE6">
        <w:t xml:space="preserve"> </w:t>
      </w:r>
      <w:r w:rsidR="000B4B5F" w:rsidRPr="007B5BE6">
        <w:t xml:space="preserve">Advocacy Tasmania </w:t>
      </w:r>
      <w:r w:rsidRPr="007B5BE6">
        <w:t>is not a legal service</w:t>
      </w:r>
      <w:r w:rsidR="009C1EE1" w:rsidRPr="007B5BE6">
        <w:t xml:space="preserve">. Rather, </w:t>
      </w:r>
      <w:r w:rsidR="000B4B5F" w:rsidRPr="007B5BE6">
        <w:t xml:space="preserve">it </w:t>
      </w:r>
      <w:r w:rsidR="00A5035A" w:rsidRPr="007B5BE6">
        <w:t>provides</w:t>
      </w:r>
      <w:r w:rsidRPr="007B5BE6">
        <w:t xml:space="preserve"> a client-directed advocacy and rights information service for people who need assistance to make decisions and exercise control over their own lives. Advocacy Tasmania’s primary focus is individual general advocacy for people in its client group</w:t>
      </w:r>
      <w:r w:rsidR="000B4B5F" w:rsidRPr="007B5BE6">
        <w:t>s</w:t>
      </w:r>
      <w:r w:rsidRPr="007B5BE6">
        <w:t xml:space="preserve"> across a range of areas.</w:t>
      </w:r>
      <w:r w:rsidR="008602B8" w:rsidRPr="007B5BE6">
        <w:rPr>
          <w:rStyle w:val="FootnoteReference"/>
        </w:rPr>
        <w:footnoteReference w:id="366"/>
      </w:r>
      <w:r w:rsidRPr="007B5BE6">
        <w:t xml:space="preserve"> However, it also does systemic advocacy work</w:t>
      </w:r>
      <w:r w:rsidR="00126D37" w:rsidRPr="007B5BE6">
        <w:t>, for example when there are</w:t>
      </w:r>
      <w:r w:rsidRPr="007B5BE6">
        <w:t xml:space="preserve"> re-occurring human rights breaches within a system</w:t>
      </w:r>
      <w:r w:rsidR="00075F74" w:rsidRPr="007B5BE6">
        <w:t>,</w:t>
      </w:r>
      <w:r w:rsidRPr="007B5BE6">
        <w:t xml:space="preserve"> or </w:t>
      </w:r>
      <w:r w:rsidR="00C555AF" w:rsidRPr="007B5BE6">
        <w:t xml:space="preserve">when </w:t>
      </w:r>
      <w:r w:rsidR="00945E5E" w:rsidRPr="007B5BE6">
        <w:t>multiple</w:t>
      </w:r>
      <w:r w:rsidRPr="007B5BE6">
        <w:t xml:space="preserve"> clients are affected by issues within a system.</w:t>
      </w:r>
      <w:r w:rsidR="008602B8" w:rsidRPr="007B5BE6">
        <w:rPr>
          <w:rStyle w:val="FootnoteReference"/>
        </w:rPr>
        <w:footnoteReference w:id="367"/>
      </w:r>
      <w:r w:rsidRPr="007B5BE6">
        <w:t xml:space="preserve"> </w:t>
      </w:r>
    </w:p>
    <w:p w14:paraId="58C6C8D6" w14:textId="77777777" w:rsidR="00485AED" w:rsidRDefault="00485AED">
      <w:pPr>
        <w:spacing w:after="200" w:line="276" w:lineRule="auto"/>
        <w:jc w:val="left"/>
        <w:rPr>
          <w:b/>
          <w:bCs/>
          <w:sz w:val="32"/>
          <w:szCs w:val="36"/>
        </w:rPr>
      </w:pPr>
      <w:bookmarkStart w:id="523" w:name="_Toc212561767"/>
      <w:r>
        <w:br w:type="page"/>
      </w:r>
    </w:p>
    <w:p w14:paraId="68A5F15A" w14:textId="7A278283" w:rsidR="00A414C9" w:rsidRPr="007B5BE6" w:rsidRDefault="00A414C9" w:rsidP="00D01B6A">
      <w:pPr>
        <w:pStyle w:val="Headingunnumbered"/>
        <w:spacing w:before="360"/>
      </w:pPr>
      <w:r w:rsidRPr="007B5BE6">
        <w:lastRenderedPageBreak/>
        <w:t>Elder Abuse Awareness Program</w:t>
      </w:r>
      <w:bookmarkEnd w:id="522"/>
      <w:r w:rsidRPr="007B5BE6">
        <w:t xml:space="preserve"> </w:t>
      </w:r>
      <w:r w:rsidR="00A85376" w:rsidRPr="007B5BE6">
        <w:t>(Migrant Resource Centre)</w:t>
      </w:r>
      <w:bookmarkEnd w:id="523"/>
    </w:p>
    <w:p w14:paraId="4128EC87" w14:textId="3D6553EE" w:rsidR="00A414C9" w:rsidRPr="007B5BE6" w:rsidRDefault="00A414C9" w:rsidP="00A414C9">
      <w:pPr>
        <w:pStyle w:val="NormalNumberedTextTLRI"/>
      </w:pPr>
      <w:r w:rsidRPr="007B5BE6">
        <w:t>The Migrant Resource Centre is a not-for-profit- organisation that supports the needs of migrants and refugees in Tasmania</w:t>
      </w:r>
      <w:r w:rsidR="0019080B" w:rsidRPr="007B5BE6">
        <w:t xml:space="preserve">. </w:t>
      </w:r>
      <w:r w:rsidRPr="007B5BE6">
        <w:t xml:space="preserve">As part of its work, </w:t>
      </w:r>
      <w:r w:rsidR="005F48F2" w:rsidRPr="007B5BE6">
        <w:t xml:space="preserve">it has delivered an </w:t>
      </w:r>
      <w:r w:rsidRPr="007B5BE6">
        <w:t>Elder Abuse Awareness Program</w:t>
      </w:r>
      <w:r w:rsidR="00C8564E" w:rsidRPr="007B5BE6">
        <w:t>. The Migrant Resource Centre</w:t>
      </w:r>
      <w:r w:rsidR="00A83224" w:rsidRPr="007B5BE6">
        <w:t xml:space="preserve"> also offers </w:t>
      </w:r>
      <w:r w:rsidRPr="007B5BE6">
        <w:t>Aged and Community Services</w:t>
      </w:r>
      <w:r w:rsidR="00A83224" w:rsidRPr="007B5BE6">
        <w:t xml:space="preserve"> that</w:t>
      </w:r>
    </w:p>
    <w:p w14:paraId="5A06C0EC" w14:textId="4A644C89" w:rsidR="00A414C9" w:rsidRPr="00C42D38" w:rsidRDefault="00A414C9" w:rsidP="00C42D38">
      <w:pPr>
        <w:pStyle w:val="Indentedquote"/>
        <w:rPr>
          <w:sz w:val="20"/>
          <w:szCs w:val="20"/>
        </w:rPr>
      </w:pPr>
      <w:r w:rsidRPr="00C42D38">
        <w:rPr>
          <w:sz w:val="20"/>
          <w:szCs w:val="20"/>
        </w:rPr>
        <w:t>connects older people and their carers with social activities and supports to help them live at home, be part of the community and access to services … [with] a focus on cultural needs, wellness and independence and aim to help people live independently and to maintain or gain new skills and live a good life.</w:t>
      </w:r>
      <w:r w:rsidR="008602B8" w:rsidRPr="00C42D38">
        <w:rPr>
          <w:rStyle w:val="FootnoteReference"/>
          <w:sz w:val="20"/>
          <w:szCs w:val="20"/>
        </w:rPr>
        <w:footnoteReference w:id="368"/>
      </w:r>
    </w:p>
    <w:p w14:paraId="7AACE9FC" w14:textId="342F1C5C" w:rsidR="006D04CA" w:rsidRPr="007B5BE6" w:rsidRDefault="006D04CA" w:rsidP="00D01B6A">
      <w:pPr>
        <w:pStyle w:val="Headingunnumbered"/>
        <w:spacing w:before="360"/>
      </w:pPr>
      <w:bookmarkStart w:id="524" w:name="_Toc192107225"/>
      <w:bookmarkStart w:id="525" w:name="_Toc192107767"/>
      <w:bookmarkStart w:id="526" w:name="_Toc192108286"/>
      <w:bookmarkStart w:id="527" w:name="_Toc192108545"/>
      <w:bookmarkStart w:id="528" w:name="_Toc192180300"/>
      <w:bookmarkStart w:id="529" w:name="_Toc192203458"/>
      <w:bookmarkStart w:id="530" w:name="_Toc192398321"/>
      <w:bookmarkStart w:id="531" w:name="_Toc193004492"/>
      <w:bookmarkStart w:id="532" w:name="_Toc193023290"/>
      <w:bookmarkStart w:id="533" w:name="_Toc193961729"/>
      <w:bookmarkStart w:id="534" w:name="_Toc193961977"/>
      <w:bookmarkStart w:id="535" w:name="_Toc193962225"/>
      <w:bookmarkStart w:id="536" w:name="_Toc193962800"/>
      <w:bookmarkStart w:id="537" w:name="_Toc194236739"/>
      <w:bookmarkStart w:id="538" w:name="_Toc194238368"/>
      <w:bookmarkStart w:id="539" w:name="_Toc194238629"/>
      <w:bookmarkStart w:id="540" w:name="_Toc212561768"/>
      <w:bookmarkStart w:id="541" w:name="_Toc191457184"/>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sidRPr="007B5BE6">
        <w:t>Senior Assist</w:t>
      </w:r>
      <w:r w:rsidR="0062684D">
        <w:t xml:space="preserve"> </w:t>
      </w:r>
      <w:r w:rsidRPr="007B5BE6">
        <w:t>(Tasmania Legal Aid)</w:t>
      </w:r>
      <w:bookmarkEnd w:id="540"/>
    </w:p>
    <w:p w14:paraId="569954D1" w14:textId="19DF5FDD" w:rsidR="006D04CA" w:rsidRPr="007B5BE6" w:rsidRDefault="006D04CA" w:rsidP="006D04CA">
      <w:pPr>
        <w:pStyle w:val="NormalNumberedTextTLRI"/>
      </w:pPr>
      <w:r w:rsidRPr="007B5BE6">
        <w:t xml:space="preserve">Senior Assist (Tasmania Legal Aid) is a </w:t>
      </w:r>
      <w:r w:rsidR="006175FE" w:rsidRPr="007B5BE6">
        <w:t>sp</w:t>
      </w:r>
      <w:r w:rsidR="0016534D" w:rsidRPr="007B5BE6">
        <w:t xml:space="preserve">ecialist </w:t>
      </w:r>
      <w:r w:rsidRPr="007B5BE6">
        <w:t>legal service focused on issues relating to the abuse of older people. Senior Assist is a free legal service provided by Tasmania Legal Aid and funded by the Commonwealth Government. It comprises a team of lawyers and case managers providing legal advice, help and support to older Tasmanians who are experiencing, or at risk of</w:t>
      </w:r>
      <w:r w:rsidR="007B2AEF" w:rsidRPr="007B5BE6">
        <w:t xml:space="preserve"> experiencing</w:t>
      </w:r>
      <w:r w:rsidRPr="007B5BE6">
        <w:t xml:space="preserve">, abuse. Senior Assist uses a </w:t>
      </w:r>
      <w:r w:rsidR="007B2AEF" w:rsidRPr="007B5BE6">
        <w:t>‘</w:t>
      </w:r>
      <w:r w:rsidRPr="007B5BE6">
        <w:t>health-justice partnership</w:t>
      </w:r>
      <w:r w:rsidR="007B2AEF" w:rsidRPr="007B5BE6">
        <w:t>’</w:t>
      </w:r>
      <w:r w:rsidRPr="007B5BE6">
        <w:t xml:space="preserve"> model, meaning that lawyers and social workers work together in a team, with legal assistance provided </w:t>
      </w:r>
      <w:r w:rsidR="008A25EF" w:rsidRPr="007B5BE6">
        <w:t xml:space="preserve">alongside </w:t>
      </w:r>
      <w:r w:rsidRPr="007B5BE6">
        <w:t xml:space="preserve">case management and other support </w:t>
      </w:r>
      <w:r w:rsidR="008A25EF" w:rsidRPr="007B5BE6">
        <w:t xml:space="preserve">from a </w:t>
      </w:r>
      <w:r w:rsidRPr="007B5BE6">
        <w:t>social worker. Senior Assist aims to address both the legal</w:t>
      </w:r>
      <w:r w:rsidR="00A80C97" w:rsidRPr="007B5BE6">
        <w:t>,</w:t>
      </w:r>
      <w:r w:rsidRPr="007B5BE6">
        <w:t xml:space="preserve"> and social or emotional</w:t>
      </w:r>
      <w:r w:rsidR="00A80C97" w:rsidRPr="007B5BE6">
        <w:t>,</w:t>
      </w:r>
      <w:r w:rsidRPr="007B5BE6">
        <w:t xml:space="preserve"> needs of older Tasmanians, including accessing some of the responses under the current legal framework.</w:t>
      </w:r>
      <w:r w:rsidR="00A60693" w:rsidRPr="007B5BE6">
        <w:rPr>
          <w:rStyle w:val="FootnoteReference"/>
        </w:rPr>
        <w:t xml:space="preserve"> </w:t>
      </w:r>
      <w:r w:rsidR="008602B8" w:rsidRPr="007B5BE6">
        <w:rPr>
          <w:rStyle w:val="FootnoteReference"/>
        </w:rPr>
        <w:footnoteReference w:id="369"/>
      </w:r>
    </w:p>
    <w:p w14:paraId="4D568D73" w14:textId="7D2C7D2A" w:rsidR="008661E4" w:rsidRPr="007B5BE6" w:rsidRDefault="006D04CA" w:rsidP="00E37E26">
      <w:pPr>
        <w:pStyle w:val="NormalNumberedTextTLRI"/>
      </w:pPr>
      <w:r w:rsidRPr="007B5BE6">
        <w:t>Senior Assist can also assist older Tasmanians with information and planning</w:t>
      </w:r>
      <w:r w:rsidR="00BF64EC" w:rsidRPr="007B5BE6">
        <w:t xml:space="preserve"> ahead</w:t>
      </w:r>
      <w:r w:rsidR="004A3300" w:rsidRPr="007B5BE6">
        <w:t xml:space="preserve">, </w:t>
      </w:r>
      <w:r w:rsidRPr="007B5BE6">
        <w:t xml:space="preserve">with the aim of preventing </w:t>
      </w:r>
      <w:r w:rsidR="00957A90" w:rsidRPr="007B5BE6">
        <w:t xml:space="preserve">the occurrence of </w:t>
      </w:r>
      <w:r w:rsidRPr="007B5BE6">
        <w:t>abuse.</w:t>
      </w:r>
      <w:r w:rsidR="00AD17E9" w:rsidRPr="007B5BE6">
        <w:rPr>
          <w:rStyle w:val="FootnoteReference"/>
        </w:rPr>
        <w:footnoteReference w:id="370"/>
      </w:r>
      <w:r w:rsidRPr="007B5BE6">
        <w:t xml:space="preserve"> This includes making arrangements relating to legal and non-legal matters of importance for older people,</w:t>
      </w:r>
      <w:r w:rsidR="00A902CC" w:rsidRPr="007B5BE6">
        <w:rPr>
          <w:rStyle w:val="FootnoteReference"/>
        </w:rPr>
        <w:footnoteReference w:id="371"/>
      </w:r>
      <w:r w:rsidR="00BE7562" w:rsidRPr="007B5BE6">
        <w:t xml:space="preserve"> </w:t>
      </w:r>
      <w:r w:rsidRPr="007B5BE6">
        <w:t>including</w:t>
      </w:r>
      <w:r w:rsidR="008661E4" w:rsidRPr="007B5BE6">
        <w:t xml:space="preserve"> My Aged Care</w:t>
      </w:r>
      <w:r w:rsidR="00BF64EC" w:rsidRPr="007B5BE6">
        <w:t xml:space="preserve"> </w:t>
      </w:r>
      <w:r w:rsidR="00E63E91" w:rsidRPr="007B5BE6">
        <w:t>(Commonwealth</w:t>
      </w:r>
      <w:r w:rsidR="00D46B29" w:rsidRPr="007B5BE6">
        <w:t>-</w:t>
      </w:r>
      <w:r w:rsidR="00E63E91" w:rsidRPr="007B5BE6">
        <w:t xml:space="preserve">funded </w:t>
      </w:r>
      <w:r w:rsidR="00BF64EC" w:rsidRPr="007B5BE6">
        <w:t>aged care service eligibility assessment</w:t>
      </w:r>
      <w:r w:rsidR="007270BC" w:rsidRPr="007B5BE6">
        <w:t>)</w:t>
      </w:r>
      <w:r w:rsidR="008661E4" w:rsidRPr="007B5BE6">
        <w:t>, wills, enduring power</w:t>
      </w:r>
      <w:r w:rsidR="00BF64EC" w:rsidRPr="007B5BE6">
        <w:t>s</w:t>
      </w:r>
      <w:r w:rsidR="008661E4" w:rsidRPr="007B5BE6">
        <w:t xml:space="preserve"> of attorney, enduring guardianship</w:t>
      </w:r>
      <w:r w:rsidR="00BF64EC" w:rsidRPr="007B5BE6">
        <w:t xml:space="preserve"> orders</w:t>
      </w:r>
      <w:r w:rsidR="008661E4" w:rsidRPr="007B5BE6">
        <w:t xml:space="preserve">, advance care directives, </w:t>
      </w:r>
      <w:r w:rsidR="00957A90" w:rsidRPr="007B5BE6">
        <w:t xml:space="preserve">and </w:t>
      </w:r>
      <w:r w:rsidR="008661E4" w:rsidRPr="007B5BE6">
        <w:t>voluntary assisted dying</w:t>
      </w:r>
      <w:r w:rsidR="00BF64EC" w:rsidRPr="007B5BE6">
        <w:t>,</w:t>
      </w:r>
      <w:r w:rsidR="008661E4" w:rsidRPr="007B5BE6">
        <w:t xml:space="preserve"> a</w:t>
      </w:r>
      <w:r w:rsidR="00957A90" w:rsidRPr="007B5BE6">
        <w:t xml:space="preserve">s well as </w:t>
      </w:r>
      <w:r w:rsidR="008661E4" w:rsidRPr="007B5BE6">
        <w:t xml:space="preserve">planning for retirement. </w:t>
      </w:r>
    </w:p>
    <w:p w14:paraId="30D170BB" w14:textId="61DFEC26" w:rsidR="00CB3D52" w:rsidRPr="007B5BE6" w:rsidRDefault="006D04CA" w:rsidP="006D04CA">
      <w:pPr>
        <w:pStyle w:val="NormalNumberedTextTLRI"/>
      </w:pPr>
      <w:r w:rsidRPr="007B5BE6">
        <w:t>Eligibility criteria for Senior Assist include people who</w:t>
      </w:r>
      <w:r w:rsidR="00ED2B28" w:rsidRPr="007B5BE6">
        <w:t>:</w:t>
      </w:r>
      <w:r w:rsidRPr="007B5BE6">
        <w:t xml:space="preserve"> </w:t>
      </w:r>
    </w:p>
    <w:p w14:paraId="7FE5255D" w14:textId="66734D56" w:rsidR="00CB3D52" w:rsidRPr="007B5BE6" w:rsidRDefault="00CF6E6E" w:rsidP="00CB3D52">
      <w:pPr>
        <w:pStyle w:val="DotPointTLRI"/>
      </w:pPr>
      <w:r w:rsidRPr="007B5BE6">
        <w:t>‘</w:t>
      </w:r>
      <w:proofErr w:type="gramStart"/>
      <w:r w:rsidRPr="007B5BE6">
        <w:t>live</w:t>
      </w:r>
      <w:proofErr w:type="gramEnd"/>
      <w:r w:rsidRPr="007B5BE6">
        <w:t xml:space="preserve"> in</w:t>
      </w:r>
      <w:r w:rsidR="006D04CA" w:rsidRPr="007B5BE6">
        <w:t xml:space="preserve"> Tasmania</w:t>
      </w:r>
      <w:r w:rsidRPr="007B5BE6">
        <w:t>’</w:t>
      </w:r>
      <w:r w:rsidR="00ED2B28" w:rsidRPr="007B5BE6">
        <w:t>;</w:t>
      </w:r>
      <w:r w:rsidR="006D04CA" w:rsidRPr="007B5BE6">
        <w:t xml:space="preserve"> </w:t>
      </w:r>
    </w:p>
    <w:p w14:paraId="26DE6E01" w14:textId="706ACCC8" w:rsidR="00CB3D52" w:rsidRPr="007B5BE6" w:rsidRDefault="008E7D31" w:rsidP="00CB3D52">
      <w:pPr>
        <w:pStyle w:val="DotPointTLRI"/>
      </w:pPr>
      <w:r w:rsidRPr="007B5BE6">
        <w:t>‘</w:t>
      </w:r>
      <w:proofErr w:type="gramStart"/>
      <w:r w:rsidR="002F7F02" w:rsidRPr="007B5BE6">
        <w:t>are</w:t>
      </w:r>
      <w:proofErr w:type="gramEnd"/>
      <w:r w:rsidR="002F7F02" w:rsidRPr="007B5BE6">
        <w:t xml:space="preserve"> aged 65+ or 50+ </w:t>
      </w:r>
      <w:r w:rsidR="006D04CA" w:rsidRPr="007B5BE6">
        <w:t xml:space="preserve">if </w:t>
      </w:r>
      <w:r w:rsidR="00DA3711" w:rsidRPr="007B5BE6">
        <w:t>[they]</w:t>
      </w:r>
      <w:r w:rsidR="002F7F02" w:rsidRPr="007B5BE6">
        <w:t xml:space="preserve"> are </w:t>
      </w:r>
      <w:r w:rsidR="006D04CA" w:rsidRPr="007B5BE6">
        <w:t>Aboriginal or Torres Strait Islander</w:t>
      </w:r>
      <w:r w:rsidR="002F7F02" w:rsidRPr="007B5BE6">
        <w:t>’</w:t>
      </w:r>
      <w:r w:rsidR="00ED2B28" w:rsidRPr="007B5BE6">
        <w:t>;</w:t>
      </w:r>
      <w:r w:rsidR="006D04CA" w:rsidRPr="007B5BE6">
        <w:t xml:space="preserve"> and </w:t>
      </w:r>
    </w:p>
    <w:p w14:paraId="28FBADD5" w14:textId="2A0D594F" w:rsidR="00CB3D52" w:rsidRPr="007B5BE6" w:rsidRDefault="002F7F02" w:rsidP="00CB3D52">
      <w:pPr>
        <w:pStyle w:val="DotPointTLRI"/>
      </w:pPr>
      <w:r w:rsidRPr="007B5BE6">
        <w:t>‘</w:t>
      </w:r>
      <w:proofErr w:type="gramStart"/>
      <w:r w:rsidR="006D04CA" w:rsidRPr="007B5BE6">
        <w:t>are</w:t>
      </w:r>
      <w:proofErr w:type="gramEnd"/>
      <w:r w:rsidR="006D04CA" w:rsidRPr="007B5BE6">
        <w:t xml:space="preserve"> experiencing or at risk of elder abuse</w:t>
      </w:r>
      <w:r w:rsidRPr="007B5BE6">
        <w:t>’</w:t>
      </w:r>
      <w:r w:rsidR="006D04CA" w:rsidRPr="007B5BE6">
        <w:t>.</w:t>
      </w:r>
      <w:r w:rsidR="00B62FCB" w:rsidRPr="007B5BE6">
        <w:rPr>
          <w:rStyle w:val="FootnoteReference"/>
        </w:rPr>
        <w:footnoteReference w:id="372"/>
      </w:r>
      <w:r w:rsidR="006D04CA" w:rsidRPr="007B5BE6">
        <w:t xml:space="preserve"> </w:t>
      </w:r>
    </w:p>
    <w:p w14:paraId="5A7ED280" w14:textId="184172B3" w:rsidR="006D04CA" w:rsidRPr="007B5BE6" w:rsidRDefault="006D04CA" w:rsidP="00C36293">
      <w:r w:rsidRPr="007B5BE6">
        <w:t xml:space="preserve">Importantly, </w:t>
      </w:r>
      <w:r w:rsidR="00CB3D52" w:rsidRPr="007B5BE6">
        <w:t>to</w:t>
      </w:r>
      <w:r w:rsidRPr="007B5BE6">
        <w:t xml:space="preserve"> receive assistance, people must have legal capacity, meaning they have capacity to take actions and make decisions that have legal consequences, including having ‘legal agency’</w:t>
      </w:r>
      <w:r w:rsidR="00CB3D52" w:rsidRPr="007B5BE6">
        <w:t>.</w:t>
      </w:r>
      <w:r w:rsidRPr="007B5BE6">
        <w:t xml:space="preserve"> </w:t>
      </w:r>
    </w:p>
    <w:p w14:paraId="4E5E7195" w14:textId="6EEF2A97" w:rsidR="00F44BD1" w:rsidRPr="007B5BE6" w:rsidRDefault="006D04CA" w:rsidP="006D04CA">
      <w:pPr>
        <w:pStyle w:val="NormalNumberedTextTLRI"/>
      </w:pPr>
      <w:r w:rsidRPr="007B5BE6">
        <w:t xml:space="preserve">Through Senior Assist, Tasmania Legal Aid </w:t>
      </w:r>
      <w:r w:rsidR="00CB3D52" w:rsidRPr="007B5BE6">
        <w:t xml:space="preserve">also run </w:t>
      </w:r>
      <w:r w:rsidR="00E64072" w:rsidRPr="007B5BE6">
        <w:t xml:space="preserve">regular </w:t>
      </w:r>
      <w:r w:rsidRPr="007B5BE6">
        <w:t>legal aid clinics facilitated by COTA Tasmania providing</w:t>
      </w:r>
      <w:r w:rsidR="00E64072" w:rsidRPr="007B5BE6">
        <w:t xml:space="preserve"> free</w:t>
      </w:r>
      <w:r w:rsidRPr="007B5BE6">
        <w:t xml:space="preserve"> legal advice for older Tasmanians in Hobart </w:t>
      </w:r>
      <w:r w:rsidR="00E64072" w:rsidRPr="007B5BE6">
        <w:t>and Launces</w:t>
      </w:r>
      <w:r w:rsidR="00807B4A" w:rsidRPr="007B5BE6">
        <w:t>ton</w:t>
      </w:r>
      <w:r w:rsidRPr="007B5BE6">
        <w:t>.</w:t>
      </w:r>
      <w:r w:rsidR="00B62FCB" w:rsidRPr="007B5BE6">
        <w:rPr>
          <w:rStyle w:val="FootnoteReference"/>
        </w:rPr>
        <w:footnoteReference w:id="373"/>
      </w:r>
      <w:r w:rsidRPr="007B5BE6">
        <w:t xml:space="preserve"> </w:t>
      </w:r>
    </w:p>
    <w:p w14:paraId="175C939D" w14:textId="0661D933" w:rsidR="00A414C9" w:rsidRPr="007B5BE6" w:rsidRDefault="00A414C9" w:rsidP="00744D17">
      <w:pPr>
        <w:pStyle w:val="NumberedHeadingTLRI"/>
      </w:pPr>
      <w:bookmarkStart w:id="542" w:name="_Toc212561769"/>
      <w:r w:rsidRPr="007B5BE6">
        <w:lastRenderedPageBreak/>
        <w:t xml:space="preserve">Other service </w:t>
      </w:r>
      <w:r w:rsidR="00276DB1" w:rsidRPr="007B5BE6">
        <w:t xml:space="preserve">systems and </w:t>
      </w:r>
      <w:r w:rsidR="008D1E56" w:rsidRPr="007B5BE6">
        <w:t xml:space="preserve">providers </w:t>
      </w:r>
      <w:r w:rsidR="009F1090" w:rsidRPr="007B5BE6">
        <w:t xml:space="preserve">interacting </w:t>
      </w:r>
      <w:r w:rsidRPr="007B5BE6">
        <w:t>with older Tasmanians</w:t>
      </w:r>
      <w:bookmarkEnd w:id="541"/>
      <w:bookmarkEnd w:id="542"/>
      <w:r w:rsidRPr="007B5BE6">
        <w:t xml:space="preserve"> </w:t>
      </w:r>
    </w:p>
    <w:p w14:paraId="5597A34F" w14:textId="05688C36" w:rsidR="00A414C9" w:rsidRPr="007B5BE6" w:rsidRDefault="00A414C9" w:rsidP="00A414C9">
      <w:pPr>
        <w:pStyle w:val="NormalNumberedTextTLRI"/>
      </w:pPr>
      <w:r w:rsidRPr="007B5BE6">
        <w:t>In addition to the specialist services funded by the Tasmanian</w:t>
      </w:r>
      <w:r w:rsidR="00A64FF6" w:rsidRPr="007B5BE6">
        <w:t>,</w:t>
      </w:r>
      <w:r w:rsidRPr="007B5BE6">
        <w:t xml:space="preserve"> or Commonwealth</w:t>
      </w:r>
      <w:r w:rsidR="00A64FF6" w:rsidRPr="007B5BE6">
        <w:t>,</w:t>
      </w:r>
      <w:r w:rsidRPr="007B5BE6">
        <w:t xml:space="preserve"> Government,</w:t>
      </w:r>
      <w:r w:rsidR="0093415D" w:rsidRPr="007B5BE6">
        <w:t xml:space="preserve"> and</w:t>
      </w:r>
      <w:r w:rsidR="00015825" w:rsidRPr="007B5BE6">
        <w:t xml:space="preserve"> </w:t>
      </w:r>
      <w:r w:rsidR="001F0FA4" w:rsidRPr="007B5BE6">
        <w:t xml:space="preserve">the </w:t>
      </w:r>
      <w:r w:rsidR="009F1090" w:rsidRPr="007B5BE6">
        <w:t>state and federal entities with roles and responsibilities under t</w:t>
      </w:r>
      <w:r w:rsidR="00015825" w:rsidRPr="007B5BE6">
        <w:t>he</w:t>
      </w:r>
      <w:r w:rsidR="0093415D" w:rsidRPr="007B5BE6">
        <w:t xml:space="preserve"> current legal framework,</w:t>
      </w:r>
      <w:r w:rsidRPr="007B5BE6">
        <w:t xml:space="preserve"> </w:t>
      </w:r>
      <w:r w:rsidR="004D6896" w:rsidRPr="007B5BE6">
        <w:t xml:space="preserve">there are also </w:t>
      </w:r>
      <w:r w:rsidR="00015825" w:rsidRPr="007B5BE6">
        <w:t xml:space="preserve">other </w:t>
      </w:r>
      <w:r w:rsidRPr="007B5BE6">
        <w:t xml:space="preserve">service </w:t>
      </w:r>
      <w:r w:rsidR="00676C10" w:rsidRPr="007B5BE6">
        <w:t xml:space="preserve">systems and </w:t>
      </w:r>
      <w:r w:rsidRPr="007B5BE6">
        <w:t xml:space="preserve">providers </w:t>
      </w:r>
      <w:r w:rsidR="004D6896" w:rsidRPr="007B5BE6">
        <w:t xml:space="preserve">that </w:t>
      </w:r>
      <w:r w:rsidR="00015825" w:rsidRPr="007B5BE6">
        <w:t>may</w:t>
      </w:r>
      <w:r w:rsidRPr="007B5BE6">
        <w:t xml:space="preserve"> interact with older </w:t>
      </w:r>
      <w:r w:rsidR="001415F0" w:rsidRPr="007B5BE6">
        <w:t xml:space="preserve">Tasmanians </w:t>
      </w:r>
      <w:r w:rsidRPr="007B5BE6">
        <w:t>who are experiencing</w:t>
      </w:r>
      <w:r w:rsidR="001415F0" w:rsidRPr="007B5BE6">
        <w:t>,</w:t>
      </w:r>
      <w:r w:rsidRPr="007B5BE6">
        <w:t xml:space="preserve"> or at risk of experiencing</w:t>
      </w:r>
      <w:r w:rsidR="001415F0" w:rsidRPr="007B5BE6">
        <w:t>,</w:t>
      </w:r>
      <w:r w:rsidRPr="007B5BE6">
        <w:t xml:space="preserve"> abuse. These</w:t>
      </w:r>
      <w:r w:rsidR="001415F0" w:rsidRPr="007B5BE6">
        <w:t xml:space="preserve"> </w:t>
      </w:r>
      <w:r w:rsidR="00276DB1" w:rsidRPr="007B5BE6">
        <w:t xml:space="preserve">service systems and providers </w:t>
      </w:r>
      <w:r w:rsidR="001415F0" w:rsidRPr="007B5BE6">
        <w:t xml:space="preserve">are relevant </w:t>
      </w:r>
      <w:r w:rsidR="00B415EF" w:rsidRPr="007B5BE6">
        <w:t xml:space="preserve">in considering </w:t>
      </w:r>
      <w:r w:rsidR="001415F0" w:rsidRPr="007B5BE6">
        <w:t>response</w:t>
      </w:r>
      <w:r w:rsidR="00276DB1" w:rsidRPr="007B5BE6">
        <w:t>s</w:t>
      </w:r>
      <w:r w:rsidR="001415F0" w:rsidRPr="007B5BE6">
        <w:t xml:space="preserve"> to </w:t>
      </w:r>
      <w:r w:rsidR="00B415EF" w:rsidRPr="007B5BE6">
        <w:t xml:space="preserve">the </w:t>
      </w:r>
      <w:r w:rsidR="001415F0" w:rsidRPr="007B5BE6">
        <w:t>abuse of older people</w:t>
      </w:r>
      <w:r w:rsidR="00276DB1" w:rsidRPr="007B5BE6">
        <w:t>. They</w:t>
      </w:r>
      <w:r w:rsidR="00A266C0" w:rsidRPr="007B5BE6">
        <w:t xml:space="preserve"> include,</w:t>
      </w:r>
      <w:r w:rsidRPr="007B5BE6">
        <w:t xml:space="preserve"> but are not limited to:</w:t>
      </w:r>
    </w:p>
    <w:p w14:paraId="7BEA56BF" w14:textId="0DB11BA0" w:rsidR="002A7E2E" w:rsidRPr="007B5BE6" w:rsidRDefault="002A7E2E" w:rsidP="002A7E2E">
      <w:pPr>
        <w:pStyle w:val="DotPointTLRI"/>
      </w:pPr>
      <w:r w:rsidRPr="007B5BE6">
        <w:t>health services, including</w:t>
      </w:r>
      <w:r w:rsidR="004C6ACD" w:rsidRPr="007B5BE6">
        <w:t>,</w:t>
      </w:r>
      <w:r w:rsidRPr="007B5BE6">
        <w:t xml:space="preserve"> but not limited to</w:t>
      </w:r>
      <w:r w:rsidR="004C6ACD" w:rsidRPr="007B5BE6">
        <w:t>,</w:t>
      </w:r>
      <w:r w:rsidRPr="007B5BE6">
        <w:t xml:space="preserve"> hospitals, general practitioner and specialist doctors and ambulance services;</w:t>
      </w:r>
    </w:p>
    <w:p w14:paraId="680ED439" w14:textId="77777777" w:rsidR="002A7E2E" w:rsidRPr="007B5BE6" w:rsidRDefault="002A7E2E" w:rsidP="002A7E2E">
      <w:pPr>
        <w:pStyle w:val="DotPointTLRI"/>
      </w:pPr>
      <w:r w:rsidRPr="007B5BE6">
        <w:t>banking and financial service providers;</w:t>
      </w:r>
    </w:p>
    <w:p w14:paraId="1BF06BD8" w14:textId="77777777" w:rsidR="002A7E2E" w:rsidRPr="007B5BE6" w:rsidRDefault="002A7E2E" w:rsidP="002A7E2E">
      <w:pPr>
        <w:pStyle w:val="DotPointTLRI"/>
      </w:pPr>
      <w:r w:rsidRPr="007B5BE6">
        <w:t xml:space="preserve">aged care providers, including residential aged care (permanent and respite) and in-home care; </w:t>
      </w:r>
    </w:p>
    <w:p w14:paraId="71660ED7" w14:textId="3D86D9EA" w:rsidR="002A7E2E" w:rsidRPr="007B5BE6" w:rsidRDefault="002A7E2E" w:rsidP="002A7E2E">
      <w:pPr>
        <w:pStyle w:val="DotPointTLRI"/>
      </w:pPr>
      <w:r w:rsidRPr="007B5BE6">
        <w:t>disability service providers</w:t>
      </w:r>
      <w:r w:rsidR="00A0577F" w:rsidRPr="007B5BE6">
        <w:t xml:space="preserve">, </w:t>
      </w:r>
      <w:r w:rsidRPr="007B5BE6">
        <w:t xml:space="preserve">including those under the </w:t>
      </w:r>
      <w:r w:rsidR="006746B0" w:rsidRPr="007B5BE6">
        <w:t>National Disability Ins</w:t>
      </w:r>
      <w:r w:rsidR="005520EF" w:rsidRPr="007B5BE6">
        <w:t>urance</w:t>
      </w:r>
      <w:r w:rsidR="006746B0" w:rsidRPr="007B5BE6">
        <w:t xml:space="preserve"> Scheme (‘NDIS’)</w:t>
      </w:r>
      <w:r w:rsidR="00A0577F" w:rsidRPr="007B5BE6">
        <w:t xml:space="preserve">, </w:t>
      </w:r>
      <w:r w:rsidRPr="007B5BE6">
        <w:t>and residential facilities;</w:t>
      </w:r>
      <w:r w:rsidR="00035E66" w:rsidRPr="007B5BE6">
        <w:t xml:space="preserve"> and</w:t>
      </w:r>
    </w:p>
    <w:p w14:paraId="735431FB" w14:textId="1145550A" w:rsidR="002A7E2E" w:rsidRPr="007B5BE6" w:rsidRDefault="002A7E2E" w:rsidP="005520EF">
      <w:pPr>
        <w:pStyle w:val="DotPointTLRI"/>
      </w:pPr>
      <w:r w:rsidRPr="007B5BE6">
        <w:t xml:space="preserve">other health, community, family and support services, including for Aboriginal people and </w:t>
      </w:r>
      <w:r w:rsidR="00404938" w:rsidRPr="007B5BE6">
        <w:t xml:space="preserve">people identifying as </w:t>
      </w:r>
      <w:r w:rsidR="00E12C2F" w:rsidRPr="00E12C2F">
        <w:t>LGBTIQA+</w:t>
      </w:r>
      <w:r w:rsidR="00035E66" w:rsidRPr="007B5BE6">
        <w:t>.</w:t>
      </w:r>
      <w:r w:rsidR="002F128F" w:rsidRPr="007B5BE6">
        <w:rPr>
          <w:rStyle w:val="FootnoteReference"/>
        </w:rPr>
        <w:footnoteReference w:id="374"/>
      </w:r>
    </w:p>
    <w:p w14:paraId="2DBB8BEB" w14:textId="536854CE" w:rsidR="00EE5C50" w:rsidRPr="007B5BE6" w:rsidRDefault="008A3966" w:rsidP="00EE5C50">
      <w:pPr>
        <w:pStyle w:val="NormalNumberedTextTLRI"/>
      </w:pPr>
      <w:r w:rsidRPr="007B5BE6">
        <w:t>Information provided to the TLRI in stakeholder interviews emphasised th</w:t>
      </w:r>
      <w:r w:rsidR="00C32ED1" w:rsidRPr="007B5BE6">
        <w:t xml:space="preserve">at Tasmania Police also </w:t>
      </w:r>
      <w:proofErr w:type="gramStart"/>
      <w:r w:rsidR="00C32ED1" w:rsidRPr="007B5BE6">
        <w:t>has</w:t>
      </w:r>
      <w:proofErr w:type="gramEnd"/>
      <w:r w:rsidR="00C32ED1" w:rsidRPr="007B5BE6">
        <w:t xml:space="preserve"> an </w:t>
      </w:r>
      <w:r w:rsidR="00A40EE3" w:rsidRPr="007B5BE6">
        <w:t>important role</w:t>
      </w:r>
      <w:r w:rsidR="00C32ED1" w:rsidRPr="007B5BE6">
        <w:t>, as a service interacting with older T</w:t>
      </w:r>
      <w:r w:rsidR="00A86238" w:rsidRPr="007B5BE6">
        <w:t>asmanians and responding to abuse</w:t>
      </w:r>
      <w:r w:rsidR="00386AA2" w:rsidRPr="007B5BE6">
        <w:t>.</w:t>
      </w:r>
      <w:r w:rsidR="00EE5C50" w:rsidRPr="007B5BE6">
        <w:t xml:space="preserve"> Tasmania Police </w:t>
      </w:r>
      <w:proofErr w:type="gramStart"/>
      <w:r w:rsidR="00EE5C50" w:rsidRPr="007B5BE6">
        <w:t>provides</w:t>
      </w:r>
      <w:proofErr w:type="gramEnd"/>
      <w:r w:rsidR="00EE5C50" w:rsidRPr="007B5BE6">
        <w:t xml:space="preserve"> a range of service responses</w:t>
      </w:r>
      <w:r w:rsidR="009D143A" w:rsidRPr="007B5BE6">
        <w:t xml:space="preserve"> </w:t>
      </w:r>
      <w:r w:rsidR="00EE5C50" w:rsidRPr="007B5BE6">
        <w:t>as part of</w:t>
      </w:r>
      <w:r w:rsidR="009A5578" w:rsidRPr="007B5BE6">
        <w:t>,</w:t>
      </w:r>
      <w:r w:rsidR="00EE5C50" w:rsidRPr="007B5BE6">
        <w:t xml:space="preserve"> and in addition to</w:t>
      </w:r>
      <w:r w:rsidR="009A5578" w:rsidRPr="007B5BE6">
        <w:t>,</w:t>
      </w:r>
      <w:r w:rsidR="00EE5C50" w:rsidRPr="007B5BE6">
        <w:t xml:space="preserve"> its role within the legal responses</w:t>
      </w:r>
      <w:r w:rsidR="009A5578" w:rsidRPr="007B5BE6">
        <w:t xml:space="preserve"> under the current framework</w:t>
      </w:r>
      <w:r w:rsidR="00EE5C50" w:rsidRPr="007B5BE6">
        <w:t xml:space="preserve"> to </w:t>
      </w:r>
      <w:r w:rsidR="00B87AB0" w:rsidRPr="007B5BE6">
        <w:t xml:space="preserve">the abuse of older </w:t>
      </w:r>
      <w:r w:rsidR="009D143A" w:rsidRPr="007B5BE6">
        <w:t>Tasmanians</w:t>
      </w:r>
      <w:r w:rsidR="00EE5C50" w:rsidRPr="007B5BE6">
        <w:t>. This includes:</w:t>
      </w:r>
    </w:p>
    <w:p w14:paraId="0EF394A2" w14:textId="6C953069" w:rsidR="00EE5C50" w:rsidRPr="007B5BE6" w:rsidRDefault="00EE5C50" w:rsidP="00EE5C50">
      <w:pPr>
        <w:pStyle w:val="DotPointTLRI"/>
      </w:pPr>
      <w:r w:rsidRPr="007B5BE6">
        <w:t>receiving referrals from the Helpline</w:t>
      </w:r>
      <w:r w:rsidR="009D143A" w:rsidRPr="007B5BE6">
        <w:t>,</w:t>
      </w:r>
      <w:r w:rsidRPr="007B5BE6">
        <w:t xml:space="preserve"> and responding to reports of incidents and complaints about circumstances that may involve abuse, mistreatment or neglect of an older person;</w:t>
      </w:r>
    </w:p>
    <w:p w14:paraId="3199D1A9" w14:textId="654845FA" w:rsidR="00EE5C50" w:rsidRPr="007B5BE6" w:rsidRDefault="00EE5C50" w:rsidP="00EE5C50">
      <w:pPr>
        <w:pStyle w:val="DotPointTLRI"/>
      </w:pPr>
      <w:r w:rsidRPr="007B5BE6">
        <w:t>serving and enforcing civil protection orders</w:t>
      </w:r>
      <w:r w:rsidR="009D143A" w:rsidRPr="007B5BE6">
        <w:t>,</w:t>
      </w:r>
      <w:r w:rsidRPr="007B5BE6">
        <w:t xml:space="preserve"> which may be in place to protect an older person from abuse, such as restraint orders or family violence orders (</w:t>
      </w:r>
      <w:r w:rsidR="00CC4ACE" w:rsidRPr="007B5BE6">
        <w:t xml:space="preserve">noting that </w:t>
      </w:r>
      <w:r w:rsidRPr="007B5BE6">
        <w:t>family violence orders may be available where the relationship</w:t>
      </w:r>
      <w:r w:rsidR="004F2C9B" w:rsidRPr="007B5BE6">
        <w:t>,</w:t>
      </w:r>
      <w:r w:rsidRPr="007B5BE6">
        <w:t xml:space="preserve"> between the older person and the person </w:t>
      </w:r>
      <w:r w:rsidR="00DF4BC3" w:rsidRPr="007B5BE6">
        <w:t>against whom the order is sough</w:t>
      </w:r>
      <w:r w:rsidR="004F2C9B" w:rsidRPr="007B5BE6">
        <w:t>t,</w:t>
      </w:r>
      <w:r w:rsidRPr="007B5BE6">
        <w:t xml:space="preserve"> meets the criteria under the </w:t>
      </w:r>
      <w:r w:rsidR="00DB4AEA" w:rsidRPr="007B5BE6">
        <w:rPr>
          <w:i/>
          <w:iCs/>
        </w:rPr>
        <w:t>Family Violence Act 2004</w:t>
      </w:r>
      <w:r w:rsidR="00DB4AEA" w:rsidRPr="007B5BE6">
        <w:t xml:space="preserve"> </w:t>
      </w:r>
      <w:r w:rsidRPr="007B5BE6">
        <w:t>(</w:t>
      </w:r>
      <w:r w:rsidR="00DB4AEA" w:rsidRPr="007B5BE6">
        <w:t>Tas</w:t>
      </w:r>
      <w:r w:rsidRPr="007B5BE6">
        <w:t>)</w:t>
      </w:r>
      <w:r w:rsidR="00CC4ACE" w:rsidRPr="007B5BE6">
        <w:t>)</w:t>
      </w:r>
      <w:r w:rsidRPr="007B5BE6">
        <w:t>;</w:t>
      </w:r>
      <w:r w:rsidR="00CC4ACE" w:rsidRPr="007B5BE6">
        <w:rPr>
          <w:rStyle w:val="FootnoteReference"/>
        </w:rPr>
        <w:footnoteReference w:id="375"/>
      </w:r>
    </w:p>
    <w:p w14:paraId="750D0CD2" w14:textId="5635F081" w:rsidR="00EE5C50" w:rsidRPr="007B5BE6" w:rsidRDefault="00EE5C50" w:rsidP="00EE5C50">
      <w:pPr>
        <w:pStyle w:val="DotPointTLRI"/>
      </w:pPr>
      <w:r w:rsidRPr="007B5BE6">
        <w:t>conducting investigations and summary prosecutions following reports of suspected criminal offences committed against an older person (for example assault, fraud, theft or contravention of civil orders)</w:t>
      </w:r>
      <w:r w:rsidR="009D143A" w:rsidRPr="007B5BE6">
        <w:t>,</w:t>
      </w:r>
      <w:r w:rsidRPr="007B5BE6">
        <w:t xml:space="preserve"> or other behaviour that may be abusive or neglectful;</w:t>
      </w:r>
    </w:p>
    <w:p w14:paraId="10B1B89F" w14:textId="77777777" w:rsidR="00EE5C50" w:rsidRPr="007B5BE6" w:rsidRDefault="00EE5C50" w:rsidP="00EE5C50">
      <w:pPr>
        <w:pStyle w:val="DotPointTLRI"/>
      </w:pPr>
      <w:r w:rsidRPr="007B5BE6">
        <w:t>taking interim action, where there are serious or urgent matters regarding suspected offences or abuse, including arresting a person and placing them under bail conditions prior to a court appearance where an application may be made for a restraint order, combined with referrals to other services (such as Senior Assist);</w:t>
      </w:r>
    </w:p>
    <w:p w14:paraId="0D0467A2" w14:textId="728F855E" w:rsidR="00EE5C50" w:rsidRPr="007B5BE6" w:rsidRDefault="00EE5C50" w:rsidP="00EE5C50">
      <w:pPr>
        <w:pStyle w:val="DotPointTLRI"/>
      </w:pPr>
      <w:r w:rsidRPr="007B5BE6">
        <w:t>involvement in ‘keep the peace’ interactions (which may be court-ordered)</w:t>
      </w:r>
      <w:r w:rsidR="003A4F93" w:rsidRPr="007B5BE6">
        <w:t>,</w:t>
      </w:r>
      <w:r w:rsidRPr="007B5BE6">
        <w:t xml:space="preserve"> where a police presence may be required when a person or property is removed</w:t>
      </w:r>
      <w:r w:rsidR="003A4F93" w:rsidRPr="007B5BE6">
        <w:t>,</w:t>
      </w:r>
      <w:r w:rsidRPr="007B5BE6">
        <w:t xml:space="preserve"> </w:t>
      </w:r>
      <w:r w:rsidR="003A4F93" w:rsidRPr="007B5BE6">
        <w:t>where</w:t>
      </w:r>
      <w:r w:rsidRPr="007B5BE6">
        <w:t xml:space="preserve"> there are circumstances that could escalate to a breach of the public peace if there is not appropriate intervention by police under law; and</w:t>
      </w:r>
    </w:p>
    <w:p w14:paraId="7D086A58" w14:textId="1D514299" w:rsidR="00EE5C50" w:rsidRPr="007B5BE6" w:rsidRDefault="00EE5C50" w:rsidP="00EE5C50">
      <w:pPr>
        <w:pStyle w:val="DotPointTLRI"/>
      </w:pPr>
      <w:r w:rsidRPr="007B5BE6">
        <w:t>conducting ‘welfare checks’ in response to concerns that may have been raised</w:t>
      </w:r>
      <w:r w:rsidR="003A4F93" w:rsidRPr="007B5BE6">
        <w:t>,</w:t>
      </w:r>
      <w:r w:rsidRPr="007B5BE6">
        <w:t xml:space="preserve"> or a report to police where concerns are expressed</w:t>
      </w:r>
      <w:r w:rsidR="003A4F93" w:rsidRPr="007B5BE6">
        <w:t>,</w:t>
      </w:r>
      <w:r w:rsidRPr="007B5BE6">
        <w:t xml:space="preserve"> about the safety and wellbeing of an older person, which </w:t>
      </w:r>
      <w:r w:rsidRPr="007B5BE6">
        <w:lastRenderedPageBreak/>
        <w:t>police may respond to by visiting the person</w:t>
      </w:r>
      <w:r w:rsidR="003A4F93" w:rsidRPr="007B5BE6">
        <w:t>,</w:t>
      </w:r>
      <w:r w:rsidRPr="007B5BE6">
        <w:t xml:space="preserve"> in their home or residential care facility</w:t>
      </w:r>
      <w:r w:rsidR="003A4F93" w:rsidRPr="007B5BE6">
        <w:t>,</w:t>
      </w:r>
      <w:r w:rsidRPr="007B5BE6">
        <w:t xml:space="preserve"> to perform a visual check and assess the circumstances in which the older person is in.</w:t>
      </w:r>
    </w:p>
    <w:p w14:paraId="32BD4779" w14:textId="58881027" w:rsidR="000034C6" w:rsidRPr="007B5BE6" w:rsidRDefault="00EE5C50" w:rsidP="001824A9">
      <w:pPr>
        <w:pStyle w:val="NormalNumberedTextTLRI"/>
      </w:pPr>
      <w:r w:rsidRPr="007B5BE6">
        <w:t xml:space="preserve">Further, Tasmania Police have a dedicated Community Engagement team as a contact point for community members, which aims to link them to appropriate assistance under the current responses available when they contact Tasmania Police. As part of </w:t>
      </w:r>
      <w:r w:rsidR="00CB49E3" w:rsidRPr="007B5BE6">
        <w:t xml:space="preserve">this </w:t>
      </w:r>
      <w:r w:rsidRPr="007B5BE6">
        <w:t xml:space="preserve">work, presentations are delivered to older people in the community through groups, clubs and services accessed by older people. This may include, for example, Probus, Rotary, Lions, Neighbourhood Watch, seniors’ groups and aged care residential facilities. </w:t>
      </w:r>
      <w:r w:rsidR="005717D1" w:rsidRPr="007B5BE6">
        <w:t>These</w:t>
      </w:r>
      <w:r w:rsidRPr="007B5BE6">
        <w:t xml:space="preserve"> sessions include advice and information about general issues, such as personal safety and internet use, and aim to provide reassurance and build trust with older members of the community. </w:t>
      </w:r>
      <w:r w:rsidR="002769E1" w:rsidRPr="007B5BE6">
        <w:t>Importantly, t</w:t>
      </w:r>
      <w:r w:rsidRPr="007B5BE6">
        <w:t xml:space="preserve">hese sessions also aim to provide information to support awareness </w:t>
      </w:r>
      <w:r w:rsidR="002769E1" w:rsidRPr="007B5BE6">
        <w:t xml:space="preserve">among older people </w:t>
      </w:r>
      <w:r w:rsidRPr="007B5BE6">
        <w:t xml:space="preserve">of </w:t>
      </w:r>
      <w:r w:rsidR="002769E1" w:rsidRPr="007B5BE6">
        <w:t xml:space="preserve">the </w:t>
      </w:r>
      <w:r w:rsidRPr="007B5BE6">
        <w:t>options for reporting offending and other support services</w:t>
      </w:r>
      <w:r w:rsidR="002769E1" w:rsidRPr="007B5BE6">
        <w:t xml:space="preserve"> in response to abuse</w:t>
      </w:r>
      <w:r w:rsidRPr="007B5BE6">
        <w:t xml:space="preserve">, such as the Helpline. Other community initiatives run by Tasmania Police, such as </w:t>
      </w:r>
      <w:r w:rsidR="002769E1" w:rsidRPr="007B5BE6">
        <w:t>‘</w:t>
      </w:r>
      <w:r w:rsidRPr="007B5BE6">
        <w:t>Cuppa with a Cop</w:t>
      </w:r>
      <w:r w:rsidR="002769E1" w:rsidRPr="007B5BE6">
        <w:t>’</w:t>
      </w:r>
      <w:r w:rsidRPr="007B5BE6">
        <w:t>, also provide connections and rapport building with members of the community, includ</w:t>
      </w:r>
      <w:r w:rsidR="00300E74" w:rsidRPr="007B5BE6">
        <w:t>ing</w:t>
      </w:r>
      <w:r w:rsidRPr="007B5BE6">
        <w:t xml:space="preserve"> older people.</w:t>
      </w:r>
      <w:r w:rsidR="00D64C95" w:rsidRPr="007B5BE6">
        <w:rPr>
          <w:rStyle w:val="FootnoteReference"/>
        </w:rPr>
        <w:footnoteReference w:id="376"/>
      </w:r>
    </w:p>
    <w:p w14:paraId="5CFD2690" w14:textId="77777777" w:rsidR="00590A3C" w:rsidRPr="007B5BE6" w:rsidRDefault="00590A3C">
      <w:pPr>
        <w:spacing w:after="200" w:line="276" w:lineRule="auto"/>
        <w:jc w:val="left"/>
        <w:sectPr w:rsidR="00590A3C" w:rsidRPr="007B5BE6" w:rsidSect="003B4ABF">
          <w:headerReference w:type="default" r:id="rId31"/>
          <w:pgSz w:w="11906" w:h="16838"/>
          <w:pgMar w:top="1440" w:right="1440" w:bottom="1440" w:left="1440" w:header="708" w:footer="708" w:gutter="0"/>
          <w:cols w:space="708"/>
          <w:docGrid w:linePitch="360"/>
        </w:sectPr>
      </w:pPr>
    </w:p>
    <w:p w14:paraId="4D2EC461" w14:textId="77777777" w:rsidR="004F544F" w:rsidRPr="007B5BE6" w:rsidRDefault="004F544F" w:rsidP="004F544F">
      <w:pPr>
        <w:pStyle w:val="PartNoTLRI"/>
      </w:pPr>
      <w:bookmarkStart w:id="543" w:name="_Toc212561770"/>
      <w:bookmarkEnd w:id="543"/>
    </w:p>
    <w:p w14:paraId="194B3763" w14:textId="185BB405" w:rsidR="007A5D38" w:rsidRPr="007B5BE6" w:rsidRDefault="005425A6" w:rsidP="004F544F">
      <w:pPr>
        <w:pStyle w:val="PartHeadingTLRI"/>
      </w:pPr>
      <w:bookmarkStart w:id="544" w:name="_Toc212561771"/>
      <w:r w:rsidRPr="007B5BE6">
        <w:t>A</w:t>
      </w:r>
      <w:r w:rsidR="00674874" w:rsidRPr="007B5BE6">
        <w:t xml:space="preserve">n </w:t>
      </w:r>
      <w:r w:rsidR="00BD32CB" w:rsidRPr="007B5BE6">
        <w:t>O</w:t>
      </w:r>
      <w:r w:rsidR="00674874" w:rsidRPr="007B5BE6">
        <w:t xml:space="preserve">verarching </w:t>
      </w:r>
      <w:r w:rsidR="00BD32CB" w:rsidRPr="007B5BE6">
        <w:t>A</w:t>
      </w:r>
      <w:r w:rsidR="00674874" w:rsidRPr="007B5BE6">
        <w:t>pproach to</w:t>
      </w:r>
      <w:r w:rsidRPr="007B5BE6">
        <w:t xml:space="preserve"> </w:t>
      </w:r>
      <w:r w:rsidR="00BD32CB" w:rsidRPr="007B5BE6">
        <w:t>S</w:t>
      </w:r>
      <w:r w:rsidRPr="007B5BE6">
        <w:t xml:space="preserve">afeguarding </w:t>
      </w:r>
      <w:r w:rsidR="00BD32CB" w:rsidRPr="007B5BE6">
        <w:t>A</w:t>
      </w:r>
      <w:r w:rsidR="0029241E" w:rsidRPr="007B5BE6">
        <w:t xml:space="preserve">gainst the </w:t>
      </w:r>
      <w:r w:rsidR="00BD32CB" w:rsidRPr="007B5BE6">
        <w:t>A</w:t>
      </w:r>
      <w:r w:rsidR="00B53DF9" w:rsidRPr="007B5BE6">
        <w:t xml:space="preserve">buse of </w:t>
      </w:r>
      <w:r w:rsidR="00BD32CB" w:rsidRPr="007B5BE6">
        <w:t>O</w:t>
      </w:r>
      <w:r w:rsidR="00B53DF9" w:rsidRPr="007B5BE6">
        <w:t>lder Tasmanians</w:t>
      </w:r>
      <w:bookmarkEnd w:id="544"/>
    </w:p>
    <w:p w14:paraId="0636BFD0" w14:textId="793E3C19" w:rsidR="00EC7C7F" w:rsidRPr="007B5BE6" w:rsidRDefault="00EC7C7F" w:rsidP="00744D17">
      <w:pPr>
        <w:pStyle w:val="NumberedHeadingTLRI"/>
      </w:pPr>
      <w:bookmarkStart w:id="545" w:name="_Toc191457171"/>
      <w:bookmarkStart w:id="546" w:name="_Toc212561772"/>
      <w:r w:rsidRPr="007B5BE6">
        <w:t>Introduction</w:t>
      </w:r>
      <w:bookmarkEnd w:id="545"/>
      <w:bookmarkEnd w:id="546"/>
      <w:r w:rsidR="006F1ED1" w:rsidRPr="007B5BE6">
        <w:t xml:space="preserve"> </w:t>
      </w:r>
    </w:p>
    <w:p w14:paraId="5BE4A0F3" w14:textId="1F2A161A" w:rsidR="006D458B" w:rsidRPr="007B5BE6" w:rsidRDefault="00E575E7" w:rsidP="005F7BEF">
      <w:pPr>
        <w:pStyle w:val="NormalNumberedTextTLRI"/>
      </w:pPr>
      <w:r w:rsidRPr="007B5BE6">
        <w:rPr>
          <w:b/>
          <w:bCs/>
        </w:rPr>
        <w:t>Part 4</w:t>
      </w:r>
      <w:r w:rsidRPr="007B5BE6">
        <w:t xml:space="preserve"> addresses the </w:t>
      </w:r>
      <w:r w:rsidR="003D736B" w:rsidRPr="007B5BE6">
        <w:t>need for</w:t>
      </w:r>
      <w:r w:rsidR="00251904" w:rsidRPr="007B5BE6">
        <w:t xml:space="preserve"> an ‘overarching approach’ to safeguarding </w:t>
      </w:r>
      <w:r w:rsidR="00C35220" w:rsidRPr="007B5BE6">
        <w:t xml:space="preserve">against the abuse of older Tasmanians, </w:t>
      </w:r>
      <w:r w:rsidR="00251904" w:rsidRPr="007B5BE6">
        <w:t xml:space="preserve">and </w:t>
      </w:r>
      <w:r w:rsidR="003D736B" w:rsidRPr="007B5BE6">
        <w:t>the creation of</w:t>
      </w:r>
      <w:r w:rsidR="00251904" w:rsidRPr="007B5BE6">
        <w:t xml:space="preserve"> a legal framework that provides a coordinated, comprehensive and specialist legal response </w:t>
      </w:r>
      <w:r w:rsidR="00F7350E" w:rsidRPr="007B5BE6">
        <w:t xml:space="preserve">to </w:t>
      </w:r>
      <w:r w:rsidR="00C35220" w:rsidRPr="007B5BE6">
        <w:t>such</w:t>
      </w:r>
      <w:r w:rsidR="00F7350E" w:rsidRPr="007B5BE6">
        <w:t xml:space="preserve"> abuse. </w:t>
      </w:r>
      <w:r w:rsidR="00251904" w:rsidRPr="007B5BE6">
        <w:t xml:space="preserve">In this context, an ‘overarching approach’ means having one agency or body </w:t>
      </w:r>
      <w:r w:rsidR="00152B1A" w:rsidRPr="007B5BE6">
        <w:t>as a central poi</w:t>
      </w:r>
      <w:r w:rsidR="00B76282" w:rsidRPr="007B5BE6">
        <w:t xml:space="preserve">nt of </w:t>
      </w:r>
      <w:r w:rsidR="00251904" w:rsidRPr="007B5BE6">
        <w:t>responsib</w:t>
      </w:r>
      <w:r w:rsidR="00B76282" w:rsidRPr="007B5BE6">
        <w:t>ility</w:t>
      </w:r>
      <w:r w:rsidR="00251904" w:rsidRPr="007B5BE6">
        <w:t xml:space="preserve"> for safeguarding</w:t>
      </w:r>
      <w:r w:rsidR="00A73929" w:rsidRPr="007B5BE6">
        <w:t>,</w:t>
      </w:r>
      <w:r w:rsidR="00251904" w:rsidRPr="007B5BE6">
        <w:t xml:space="preserve"> established by a dedicated legislative framework that </w:t>
      </w:r>
      <w:r w:rsidR="0080582C" w:rsidRPr="007B5BE6">
        <w:t xml:space="preserve">includes </w:t>
      </w:r>
      <w:r w:rsidR="00251904" w:rsidRPr="007B5BE6">
        <w:t>all older adults who may be experiencing</w:t>
      </w:r>
      <w:r w:rsidR="00A73929" w:rsidRPr="007B5BE6">
        <w:t>,</w:t>
      </w:r>
      <w:r w:rsidR="00251904" w:rsidRPr="007B5BE6">
        <w:t xml:space="preserve"> or at risk of experiencing</w:t>
      </w:r>
      <w:r w:rsidR="00A73929" w:rsidRPr="007B5BE6">
        <w:t>,</w:t>
      </w:r>
      <w:r w:rsidR="00251904" w:rsidRPr="007B5BE6">
        <w:t xml:space="preserve"> abuse</w:t>
      </w:r>
      <w:r w:rsidR="00C369C5" w:rsidRPr="007B5BE6">
        <w:t xml:space="preserve">. </w:t>
      </w:r>
      <w:r w:rsidR="0026364D" w:rsidRPr="007B5BE6">
        <w:t xml:space="preserve">A key observation, from the </w:t>
      </w:r>
      <w:r w:rsidRPr="007B5BE6">
        <w:t xml:space="preserve">TLRI’s review of </w:t>
      </w:r>
      <w:r w:rsidR="00BB4F11" w:rsidRPr="007B5BE6">
        <w:t>Tasmania’s</w:t>
      </w:r>
      <w:r w:rsidRPr="007B5BE6">
        <w:t xml:space="preserve"> current legal framework, </w:t>
      </w:r>
      <w:r w:rsidR="0026364D" w:rsidRPr="007B5BE6">
        <w:t xml:space="preserve">is </w:t>
      </w:r>
      <w:r w:rsidRPr="007B5BE6">
        <w:t xml:space="preserve">that broad areas of </w:t>
      </w:r>
      <w:r w:rsidR="00E43C2A" w:rsidRPr="007B5BE6">
        <w:t xml:space="preserve">the </w:t>
      </w:r>
      <w:r w:rsidRPr="007B5BE6">
        <w:t xml:space="preserve">law under </w:t>
      </w:r>
      <w:r w:rsidR="00BB4F11" w:rsidRPr="007B5BE6">
        <w:t>this</w:t>
      </w:r>
      <w:r w:rsidRPr="007B5BE6">
        <w:t xml:space="preserve"> framework have developed separately and incrementally in </w:t>
      </w:r>
      <w:r w:rsidR="008F4DE0" w:rsidRPr="007B5BE6">
        <w:t xml:space="preserve">specific </w:t>
      </w:r>
      <w:r w:rsidR="00E43C2A" w:rsidRPr="007B5BE6">
        <w:t xml:space="preserve">domains, which have been </w:t>
      </w:r>
      <w:r w:rsidRPr="007B5BE6">
        <w:t>in response</w:t>
      </w:r>
      <w:r w:rsidR="00E43C2A" w:rsidRPr="007B5BE6">
        <w:t xml:space="preserve">, </w:t>
      </w:r>
      <w:r w:rsidRPr="007B5BE6">
        <w:t>or tailored</w:t>
      </w:r>
      <w:r w:rsidR="00E1737D" w:rsidRPr="007B5BE6">
        <w:t>,</w:t>
      </w:r>
      <w:r w:rsidRPr="007B5BE6">
        <w:t xml:space="preserve"> to address protection needs or rights of groups of people that </w:t>
      </w:r>
      <w:r w:rsidRPr="007B5BE6">
        <w:rPr>
          <w:i/>
          <w:iCs/>
        </w:rPr>
        <w:t>may</w:t>
      </w:r>
      <w:r w:rsidRPr="007B5BE6">
        <w:t xml:space="preserve"> </w:t>
      </w:r>
      <w:r w:rsidR="00EC2A42" w:rsidRPr="007B5BE6">
        <w:t xml:space="preserve">only </w:t>
      </w:r>
      <w:r w:rsidRPr="007B5BE6">
        <w:t xml:space="preserve">include </w:t>
      </w:r>
      <w:r w:rsidR="00BB4F11" w:rsidRPr="007B5BE6">
        <w:rPr>
          <w:i/>
          <w:iCs/>
        </w:rPr>
        <w:t>some</w:t>
      </w:r>
      <w:r w:rsidR="00BB4F11" w:rsidRPr="007B5BE6">
        <w:t xml:space="preserve"> </w:t>
      </w:r>
      <w:r w:rsidRPr="007B5BE6">
        <w:t>older people. The application of these laws</w:t>
      </w:r>
      <w:r w:rsidR="00447FD0" w:rsidRPr="007B5BE6">
        <w:t>,</w:t>
      </w:r>
      <w:r w:rsidRPr="007B5BE6">
        <w:t xml:space="preserve"> and their availability as a possible response to abuse of an older person</w:t>
      </w:r>
      <w:r w:rsidR="00447FD0" w:rsidRPr="007B5BE6">
        <w:t>,</w:t>
      </w:r>
      <w:r w:rsidRPr="007B5BE6">
        <w:t xml:space="preserve"> varies </w:t>
      </w:r>
      <w:r w:rsidR="0005430D" w:rsidRPr="007B5BE6">
        <w:t>widely and</w:t>
      </w:r>
      <w:r w:rsidRPr="007B5BE6">
        <w:t xml:space="preserve"> depends on the circumstances of the abuse</w:t>
      </w:r>
      <w:r w:rsidR="00447FD0" w:rsidRPr="007B5BE6">
        <w:t>.</w:t>
      </w:r>
      <w:r w:rsidR="0005430D" w:rsidRPr="007B5BE6">
        <w:t xml:space="preserve"> This includes, but is not limited to, facts such as the nature of the abuse, the circumstances of the older person, the relationship between the older person and the alleged perpetrator. </w:t>
      </w:r>
      <w:r w:rsidR="002F55DE" w:rsidRPr="007B5BE6">
        <w:t xml:space="preserve">In this way, the laws in Tasmania do not provide a systematic or comprehensive framework to safeguard against the abuse of </w:t>
      </w:r>
      <w:r w:rsidR="002F55DE" w:rsidRPr="007B5BE6">
        <w:rPr>
          <w:i/>
          <w:iCs/>
        </w:rPr>
        <w:t>all</w:t>
      </w:r>
      <w:r w:rsidR="002F55DE" w:rsidRPr="007B5BE6">
        <w:t xml:space="preserve"> older people.</w:t>
      </w:r>
      <w:r w:rsidR="0099409E" w:rsidRPr="007B5BE6">
        <w:rPr>
          <w:rStyle w:val="FootnoteReference"/>
        </w:rPr>
        <w:footnoteReference w:id="377"/>
      </w:r>
      <w:r w:rsidR="002F55DE" w:rsidRPr="007B5BE6">
        <w:t xml:space="preserve"> </w:t>
      </w:r>
      <w:r w:rsidR="007E7DA5" w:rsidRPr="007B5BE6">
        <w:t xml:space="preserve">Accordingly, </w:t>
      </w:r>
      <w:r w:rsidR="007E7DA5" w:rsidRPr="007B5BE6">
        <w:rPr>
          <w:b/>
          <w:bCs/>
        </w:rPr>
        <w:t>Part 4</w:t>
      </w:r>
      <w:r w:rsidR="007E7DA5" w:rsidRPr="007B5BE6">
        <w:t xml:space="preserve"> </w:t>
      </w:r>
      <w:r w:rsidR="0078427F" w:rsidRPr="007B5BE6">
        <w:t xml:space="preserve">focuses on </w:t>
      </w:r>
      <w:r w:rsidR="00E74B35" w:rsidRPr="007B5BE6">
        <w:t xml:space="preserve">the </w:t>
      </w:r>
      <w:r w:rsidR="00AE4C99" w:rsidRPr="007B5BE6">
        <w:t>absence</w:t>
      </w:r>
      <w:r w:rsidR="00E74B35" w:rsidRPr="007B5BE6">
        <w:t xml:space="preserve"> </w:t>
      </w:r>
      <w:r w:rsidR="0078427F" w:rsidRPr="007B5BE6">
        <w:t xml:space="preserve">of </w:t>
      </w:r>
      <w:r w:rsidR="00093C6F" w:rsidRPr="007B5BE6">
        <w:t xml:space="preserve">such </w:t>
      </w:r>
      <w:r w:rsidR="00E74B35" w:rsidRPr="007B5BE6">
        <w:t xml:space="preserve">a coordinated safeguarding </w:t>
      </w:r>
      <w:r w:rsidR="0078427F" w:rsidRPr="007B5BE6">
        <w:t xml:space="preserve">approach and examines the implications of this. Further, it </w:t>
      </w:r>
      <w:r w:rsidR="00E74B35" w:rsidRPr="007B5BE6">
        <w:t>recommends that reforms be made to create a</w:t>
      </w:r>
      <w:r w:rsidR="00FF4400" w:rsidRPr="007B5BE6">
        <w:t xml:space="preserve">n </w:t>
      </w:r>
      <w:r w:rsidR="00E74B35" w:rsidRPr="007B5BE6">
        <w:t>overarching approach to the safeguarding of older Tasmanian</w:t>
      </w:r>
      <w:r w:rsidR="0078427F" w:rsidRPr="007B5BE6">
        <w:t>s,</w:t>
      </w:r>
      <w:r w:rsidR="00E74B35" w:rsidRPr="007B5BE6">
        <w:t xml:space="preserve"> through the introduction of a legislated safeguarding entity that </w:t>
      </w:r>
      <w:r w:rsidR="00F564F2" w:rsidRPr="007B5BE6">
        <w:t xml:space="preserve">will </w:t>
      </w:r>
      <w:r w:rsidR="00FD71E0" w:rsidRPr="007B5BE6">
        <w:t xml:space="preserve">operate as a centralised point for </w:t>
      </w:r>
      <w:r w:rsidR="007F5B76" w:rsidRPr="007B5BE6">
        <w:t xml:space="preserve">assessing need for, and </w:t>
      </w:r>
      <w:r w:rsidR="00FD71E0" w:rsidRPr="007B5BE6">
        <w:t>coordinat</w:t>
      </w:r>
      <w:r w:rsidR="007F5B76" w:rsidRPr="007B5BE6">
        <w:t xml:space="preserve">ing, </w:t>
      </w:r>
      <w:r w:rsidR="00FD71E0" w:rsidRPr="007B5BE6">
        <w:t>responses that have a specialist focus on the abuse of older people</w:t>
      </w:r>
      <w:r w:rsidR="00E74B35" w:rsidRPr="007B5BE6">
        <w:t>.</w:t>
      </w:r>
    </w:p>
    <w:p w14:paraId="59722933" w14:textId="6D6893E7" w:rsidR="00CB16F1" w:rsidRPr="007B5BE6" w:rsidRDefault="00272C01" w:rsidP="00744D17">
      <w:pPr>
        <w:pStyle w:val="NumberedHeadingTLRI"/>
      </w:pPr>
      <w:bookmarkStart w:id="547" w:name="_Toc212561773"/>
      <w:r w:rsidRPr="007B5BE6">
        <w:t>Previous research and reviews</w:t>
      </w:r>
      <w:bookmarkEnd w:id="547"/>
    </w:p>
    <w:p w14:paraId="551644B0" w14:textId="21351102" w:rsidR="00E0030A" w:rsidRPr="007B5BE6" w:rsidRDefault="00E0030A" w:rsidP="00E0030A">
      <w:pPr>
        <w:numPr>
          <w:ilvl w:val="2"/>
          <w:numId w:val="2"/>
        </w:numPr>
        <w:tabs>
          <w:tab w:val="left" w:pos="851"/>
        </w:tabs>
        <w:spacing w:before="220"/>
        <w:rPr>
          <w:rFonts w:eastAsia="Times" w:cs="Times New Roman"/>
          <w:szCs w:val="20"/>
        </w:rPr>
      </w:pPr>
      <w:r w:rsidRPr="007B5BE6">
        <w:t>Prior research and review (including coronial</w:t>
      </w:r>
      <w:r w:rsidR="001F414E" w:rsidRPr="007B5BE6">
        <w:t xml:space="preserve"> investigations</w:t>
      </w:r>
      <w:r w:rsidRPr="007B5BE6">
        <w:t xml:space="preserve">) have highlighted gaps in the Tasmanian framework for addressing the abuse of older </w:t>
      </w:r>
      <w:r w:rsidR="00C3191D" w:rsidRPr="007B5BE6">
        <w:t>people</w:t>
      </w:r>
      <w:r w:rsidRPr="007B5BE6">
        <w:t xml:space="preserve">. </w:t>
      </w:r>
      <w:r w:rsidR="00960978" w:rsidRPr="007B5BE6">
        <w:t xml:space="preserve">This has prompted discussion and recommendations for </w:t>
      </w:r>
      <w:r w:rsidR="00960978" w:rsidRPr="007B5BE6">
        <w:rPr>
          <w:rFonts w:eastAsia="Times" w:cs="Times New Roman"/>
          <w:szCs w:val="20"/>
        </w:rPr>
        <w:t>the</w:t>
      </w:r>
      <w:r w:rsidRPr="007B5BE6">
        <w:rPr>
          <w:rFonts w:eastAsia="Times" w:cs="Times New Roman"/>
          <w:szCs w:val="20"/>
        </w:rPr>
        <w:t xml:space="preserve"> adoption of adult safeguarding legislation </w:t>
      </w:r>
      <w:r w:rsidR="00960978" w:rsidRPr="007B5BE6">
        <w:rPr>
          <w:rFonts w:eastAsia="Times" w:cs="Times New Roman"/>
          <w:szCs w:val="20"/>
        </w:rPr>
        <w:t>for</w:t>
      </w:r>
      <w:r w:rsidRPr="007B5BE6">
        <w:rPr>
          <w:rFonts w:eastAsia="Times" w:cs="Times New Roman"/>
          <w:szCs w:val="20"/>
        </w:rPr>
        <w:t xml:space="preserve"> the protection older adults from abuse. This includes:</w:t>
      </w:r>
    </w:p>
    <w:p w14:paraId="5255E4DC" w14:textId="7C4E8210" w:rsidR="00E0030A" w:rsidRPr="007B5BE6" w:rsidRDefault="00E0030A" w:rsidP="00E0030A">
      <w:pPr>
        <w:numPr>
          <w:ilvl w:val="0"/>
          <w:numId w:val="1"/>
        </w:numPr>
        <w:spacing w:after="120"/>
        <w:rPr>
          <w:rFonts w:eastAsia="Times New Roman" w:cs="Times New Roman"/>
        </w:rPr>
      </w:pPr>
      <w:r w:rsidRPr="007B5BE6">
        <w:rPr>
          <w:rFonts w:eastAsia="Times New Roman" w:cs="Times New Roman"/>
        </w:rPr>
        <w:t>the A</w:t>
      </w:r>
      <w:r w:rsidR="009103F0" w:rsidRPr="007B5BE6">
        <w:rPr>
          <w:rFonts w:eastAsia="Times New Roman" w:cs="Times New Roman"/>
        </w:rPr>
        <w:t>ustralian Law Reform Commission (‘ALRC’</w:t>
      </w:r>
      <w:r w:rsidR="0093414E" w:rsidRPr="007B5BE6">
        <w:rPr>
          <w:rFonts w:eastAsia="Times New Roman" w:cs="Times New Roman"/>
        </w:rPr>
        <w:t>)</w:t>
      </w:r>
      <w:r w:rsidRPr="007B5BE6">
        <w:rPr>
          <w:rFonts w:eastAsia="Times New Roman" w:cs="Times New Roman"/>
        </w:rPr>
        <w:t xml:space="preserve"> 2017 Final Report, </w:t>
      </w:r>
      <w:r w:rsidRPr="007B5BE6">
        <w:rPr>
          <w:rFonts w:eastAsia="Times New Roman" w:cs="Times New Roman"/>
          <w:i/>
          <w:iCs/>
        </w:rPr>
        <w:t>Elder Abuse–A National Legal Response</w:t>
      </w:r>
      <w:r w:rsidRPr="007B5BE6">
        <w:rPr>
          <w:rFonts w:eastAsia="Times New Roman" w:cs="Times New Roman"/>
        </w:rPr>
        <w:t>, which made several recommendations for adult safeguarding (key features are highlighted below at</w:t>
      </w:r>
      <w:r w:rsidR="002630DF" w:rsidRPr="007B5BE6">
        <w:rPr>
          <w:rFonts w:eastAsia="Times New Roman" w:cs="Times New Roman"/>
        </w:rPr>
        <w:t xml:space="preserve"> [4.2.3] and Table </w:t>
      </w:r>
      <w:r w:rsidR="00E14A73" w:rsidRPr="007B5BE6">
        <w:rPr>
          <w:rFonts w:eastAsia="Times New Roman" w:cs="Times New Roman"/>
        </w:rPr>
        <w:t>4</w:t>
      </w:r>
      <w:r w:rsidR="002630DF" w:rsidRPr="007B5BE6">
        <w:rPr>
          <w:rFonts w:eastAsia="Times New Roman" w:cs="Times New Roman"/>
        </w:rPr>
        <w:t>.1)</w:t>
      </w:r>
      <w:r w:rsidRPr="007B5BE6">
        <w:rPr>
          <w:rFonts w:eastAsia="Times New Roman" w:cs="Times New Roman"/>
        </w:rPr>
        <w:t>;</w:t>
      </w:r>
      <w:r w:rsidR="0099409E" w:rsidRPr="007B5BE6">
        <w:rPr>
          <w:rStyle w:val="FootnoteReference"/>
          <w:rFonts w:eastAsia="Times New Roman" w:cs="Times New Roman"/>
        </w:rPr>
        <w:footnoteReference w:id="378"/>
      </w:r>
    </w:p>
    <w:p w14:paraId="412BE7CD" w14:textId="775BFE10" w:rsidR="0088020F" w:rsidRPr="007B5BE6" w:rsidRDefault="0088020F" w:rsidP="008B5F37">
      <w:pPr>
        <w:numPr>
          <w:ilvl w:val="0"/>
          <w:numId w:val="1"/>
        </w:numPr>
        <w:spacing w:after="120"/>
        <w:rPr>
          <w:rFonts w:eastAsia="Times New Roman" w:cs="Times New Roman"/>
        </w:rPr>
      </w:pPr>
      <w:r w:rsidRPr="007B5BE6">
        <w:rPr>
          <w:rFonts w:eastAsia="Times New Roman" w:cs="Times New Roman"/>
        </w:rPr>
        <w:t>findings</w:t>
      </w:r>
      <w:r w:rsidR="00D4649F" w:rsidRPr="007B5BE6">
        <w:rPr>
          <w:rFonts w:eastAsia="Times New Roman" w:cs="Times New Roman"/>
        </w:rPr>
        <w:t xml:space="preserve"> and recommendations in Tasmanian coronial investigations</w:t>
      </w:r>
      <w:r w:rsidR="003547CB" w:rsidRPr="007B5BE6">
        <w:rPr>
          <w:rFonts w:eastAsia="Times New Roman" w:cs="Times New Roman"/>
        </w:rPr>
        <w:t>, which identified gaps</w:t>
      </w:r>
      <w:r w:rsidR="00B469BE" w:rsidRPr="007B5BE6">
        <w:rPr>
          <w:rFonts w:eastAsia="Times New Roman" w:cs="Times New Roman"/>
        </w:rPr>
        <w:t xml:space="preserve"> </w:t>
      </w:r>
      <w:r w:rsidR="00DC32C5" w:rsidRPr="007B5BE6">
        <w:rPr>
          <w:rFonts w:eastAsia="Times New Roman" w:cs="Times New Roman"/>
        </w:rPr>
        <w:t xml:space="preserve">in responses </w:t>
      </w:r>
      <w:r w:rsidR="003D52A0" w:rsidRPr="007B5BE6">
        <w:rPr>
          <w:rFonts w:eastAsia="Times New Roman" w:cs="Times New Roman"/>
        </w:rPr>
        <w:t>in circumstances</w:t>
      </w:r>
      <w:r w:rsidR="006C54BE" w:rsidRPr="007B5BE6">
        <w:rPr>
          <w:rFonts w:eastAsia="Times New Roman" w:cs="Times New Roman"/>
        </w:rPr>
        <w:t xml:space="preserve"> surrounding</w:t>
      </w:r>
      <w:r w:rsidR="003D52A0" w:rsidRPr="007B5BE6">
        <w:rPr>
          <w:rFonts w:eastAsia="Times New Roman" w:cs="Times New Roman"/>
        </w:rPr>
        <w:t xml:space="preserve"> the deaths of older people </w:t>
      </w:r>
      <w:r w:rsidR="00DC32C5" w:rsidRPr="007B5BE6">
        <w:rPr>
          <w:rFonts w:eastAsia="Times New Roman" w:cs="Times New Roman"/>
        </w:rPr>
        <w:t>and recommendations for change</w:t>
      </w:r>
      <w:r w:rsidR="009D6136" w:rsidRPr="007B5BE6">
        <w:rPr>
          <w:rFonts w:eastAsia="Times New Roman" w:cs="Times New Roman"/>
        </w:rPr>
        <w:t xml:space="preserve">; </w:t>
      </w:r>
    </w:p>
    <w:p w14:paraId="3BA02197" w14:textId="77376ADB" w:rsidR="00057F7B" w:rsidRPr="007B5BE6" w:rsidRDefault="00A269C7" w:rsidP="00E0030A">
      <w:pPr>
        <w:numPr>
          <w:ilvl w:val="0"/>
          <w:numId w:val="1"/>
        </w:numPr>
        <w:spacing w:after="120"/>
        <w:rPr>
          <w:rFonts w:eastAsia="Times New Roman" w:cs="Times New Roman"/>
        </w:rPr>
      </w:pPr>
      <w:r w:rsidRPr="007B5BE6">
        <w:lastRenderedPageBreak/>
        <w:t>a 2021 review of service-driven responses to preventing and responding to abuse of older people in Tasmania</w:t>
      </w:r>
      <w:r w:rsidR="00B32D10" w:rsidRPr="007B5BE6">
        <w:t>,</w:t>
      </w:r>
      <w:r w:rsidRPr="007B5BE6">
        <w:t xml:space="preserve"> conducted by Preventing Elder Abuse Tasmania</w:t>
      </w:r>
      <w:r w:rsidR="00D4649F" w:rsidRPr="007B5BE6">
        <w:t xml:space="preserve"> (‘PEAT’)</w:t>
      </w:r>
      <w:r w:rsidR="00C56F0B" w:rsidRPr="007B5BE6">
        <w:t xml:space="preserve">, </w:t>
      </w:r>
      <w:r w:rsidR="00B32D10" w:rsidRPr="007B5BE6">
        <w:t>which included a</w:t>
      </w:r>
      <w:r w:rsidR="00C56F0B" w:rsidRPr="007B5BE6">
        <w:t xml:space="preserve"> primary recommendation</w:t>
      </w:r>
      <w:r w:rsidR="003547CB" w:rsidRPr="007B5BE6">
        <w:t xml:space="preserve"> </w:t>
      </w:r>
      <w:r w:rsidR="00B32D10" w:rsidRPr="007B5BE6">
        <w:t>to</w:t>
      </w:r>
      <w:r w:rsidR="00C56F0B" w:rsidRPr="007B5BE6">
        <w:t xml:space="preserve"> establish a complaint investigation body regarding abuse of older people with power to: investigate, adjudicate, make determinations and enforcement determinations</w:t>
      </w:r>
      <w:r w:rsidR="00057F7B" w:rsidRPr="007B5BE6">
        <w:t>;</w:t>
      </w:r>
      <w:r w:rsidR="001800EF" w:rsidRPr="007B5BE6">
        <w:rPr>
          <w:rStyle w:val="FootnoteReference"/>
        </w:rPr>
        <w:footnoteReference w:id="379"/>
      </w:r>
      <w:r w:rsidR="00057F7B" w:rsidRPr="007B5BE6">
        <w:t xml:space="preserve"> and</w:t>
      </w:r>
    </w:p>
    <w:p w14:paraId="4439AC5B" w14:textId="2990C4A1" w:rsidR="00E0030A" w:rsidRPr="007B5BE6" w:rsidRDefault="00E0030A" w:rsidP="00E0030A">
      <w:pPr>
        <w:numPr>
          <w:ilvl w:val="0"/>
          <w:numId w:val="1"/>
        </w:numPr>
        <w:spacing w:after="120"/>
        <w:rPr>
          <w:rFonts w:eastAsia="Times New Roman" w:cs="Times New Roman"/>
        </w:rPr>
      </w:pPr>
      <w:r w:rsidRPr="007B5BE6">
        <w:rPr>
          <w:rFonts w:eastAsia="Times New Roman" w:cs="Times New Roman"/>
        </w:rPr>
        <w:t>a 2017 Symposium on Elder Abuse and Neglect</w:t>
      </w:r>
      <w:r w:rsidR="00D4649F" w:rsidRPr="007B5BE6">
        <w:rPr>
          <w:rFonts w:eastAsia="Times New Roman" w:cs="Times New Roman"/>
        </w:rPr>
        <w:t>,</w:t>
      </w:r>
      <w:r w:rsidRPr="007B5BE6">
        <w:rPr>
          <w:rFonts w:eastAsia="Times New Roman" w:cs="Times New Roman"/>
        </w:rPr>
        <w:t xml:space="preserve"> which recommend</w:t>
      </w:r>
      <w:r w:rsidR="001E2E51" w:rsidRPr="007B5BE6">
        <w:rPr>
          <w:rFonts w:eastAsia="Times New Roman" w:cs="Times New Roman"/>
        </w:rPr>
        <w:t>ed</w:t>
      </w:r>
      <w:r w:rsidRPr="007B5BE6">
        <w:rPr>
          <w:rFonts w:eastAsia="Times New Roman" w:cs="Times New Roman"/>
        </w:rPr>
        <w:t xml:space="preserve"> the adoption of adult safeguarding legislation</w:t>
      </w:r>
      <w:r w:rsidR="00D4649F" w:rsidRPr="007B5BE6">
        <w:rPr>
          <w:rFonts w:eastAsia="Times New Roman" w:cs="Times New Roman"/>
        </w:rPr>
        <w:t xml:space="preserve"> to</w:t>
      </w:r>
      <w:r w:rsidRPr="007B5BE6">
        <w:rPr>
          <w:rFonts w:eastAsia="Times New Roman" w:cs="Times New Roman"/>
        </w:rPr>
        <w:t xml:space="preserve"> provid</w:t>
      </w:r>
      <w:r w:rsidR="00D4649F" w:rsidRPr="007B5BE6">
        <w:rPr>
          <w:rFonts w:eastAsia="Times New Roman" w:cs="Times New Roman"/>
        </w:rPr>
        <w:t>e</w:t>
      </w:r>
      <w:r w:rsidRPr="007B5BE6">
        <w:rPr>
          <w:rFonts w:eastAsia="Times New Roman" w:cs="Times New Roman"/>
        </w:rPr>
        <w:t xml:space="preserve"> agencies power to safeguard and support at</w:t>
      </w:r>
      <w:r w:rsidR="002D6D20" w:rsidRPr="007B5BE6">
        <w:rPr>
          <w:rFonts w:eastAsia="Times New Roman" w:cs="Times New Roman"/>
        </w:rPr>
        <w:t>-</w:t>
      </w:r>
      <w:r w:rsidRPr="007B5BE6">
        <w:rPr>
          <w:rFonts w:eastAsia="Times New Roman" w:cs="Times New Roman"/>
        </w:rPr>
        <w:t>risk adults</w:t>
      </w:r>
      <w:r w:rsidR="00E57DA8" w:rsidRPr="007B5BE6">
        <w:rPr>
          <w:rFonts w:eastAsia="Times New Roman" w:cs="Times New Roman"/>
        </w:rPr>
        <w:t>.</w:t>
      </w:r>
      <w:r w:rsidR="006C487B" w:rsidRPr="007B5BE6">
        <w:rPr>
          <w:rStyle w:val="FootnoteReference"/>
          <w:rFonts w:eastAsia="Times New Roman" w:cs="Times New Roman"/>
        </w:rPr>
        <w:footnoteReference w:id="380"/>
      </w:r>
      <w:r w:rsidRPr="007B5BE6">
        <w:rPr>
          <w:rFonts w:eastAsia="Times New Roman" w:cs="Times New Roman"/>
        </w:rPr>
        <w:t xml:space="preserve"> </w:t>
      </w:r>
    </w:p>
    <w:p w14:paraId="7395F021" w14:textId="73067AB0" w:rsidR="00E0030A" w:rsidRPr="007B5BE6" w:rsidRDefault="008B5F37" w:rsidP="005F7BEF">
      <w:pPr>
        <w:spacing w:after="120"/>
        <w:rPr>
          <w:rFonts w:eastAsia="Times New Roman" w:cs="Times New Roman"/>
        </w:rPr>
      </w:pPr>
      <w:r w:rsidRPr="007B5BE6">
        <w:rPr>
          <w:rFonts w:eastAsia="Times New Roman" w:cs="Times New Roman"/>
        </w:rPr>
        <w:t xml:space="preserve">In addition, </w:t>
      </w:r>
      <w:r w:rsidR="00E0030A" w:rsidRPr="007B5BE6">
        <w:rPr>
          <w:rFonts w:eastAsia="Times New Roman" w:cs="Times New Roman"/>
        </w:rPr>
        <w:t xml:space="preserve">the TLRI’s Review of the </w:t>
      </w:r>
      <w:r w:rsidR="00E0030A" w:rsidRPr="007B5BE6">
        <w:rPr>
          <w:rFonts w:eastAsia="Times New Roman" w:cs="Times New Roman"/>
          <w:i/>
          <w:iCs/>
        </w:rPr>
        <w:t>Guardianship and Administration Act 1995</w:t>
      </w:r>
      <w:r w:rsidR="00E0030A" w:rsidRPr="007B5BE6">
        <w:rPr>
          <w:rFonts w:eastAsia="Times New Roman" w:cs="Times New Roman"/>
        </w:rPr>
        <w:t xml:space="preserve"> (Tas), recommended that the merits of adult safeguarding be reviewed.</w:t>
      </w:r>
      <w:r w:rsidR="006C487B" w:rsidRPr="007B5BE6">
        <w:rPr>
          <w:rStyle w:val="FootnoteReference"/>
          <w:rFonts w:eastAsia="Times New Roman" w:cs="Times New Roman"/>
        </w:rPr>
        <w:footnoteReference w:id="381"/>
      </w:r>
      <w:r w:rsidR="00E0030A" w:rsidRPr="007B5BE6">
        <w:rPr>
          <w:rFonts w:eastAsia="Times New Roman" w:cs="Times New Roman"/>
        </w:rPr>
        <w:t xml:space="preserve"> </w:t>
      </w:r>
    </w:p>
    <w:p w14:paraId="6C0F621D" w14:textId="365389D3" w:rsidR="0097112D" w:rsidRPr="007B5BE6" w:rsidRDefault="00206284" w:rsidP="00625782">
      <w:pPr>
        <w:pStyle w:val="NormalNumberedTextTLRI"/>
        <w:rPr>
          <w:rFonts w:eastAsia="Times New Roman"/>
        </w:rPr>
      </w:pPr>
      <w:r w:rsidRPr="007B5BE6">
        <w:t xml:space="preserve">Some stakeholders </w:t>
      </w:r>
      <w:r w:rsidR="0039468B" w:rsidRPr="007B5BE6">
        <w:t>noted</w:t>
      </w:r>
      <w:r w:rsidR="00A605F4" w:rsidRPr="007B5BE6">
        <w:t>,</w:t>
      </w:r>
      <w:r w:rsidRPr="007B5BE6">
        <w:t xml:space="preserve"> in</w:t>
      </w:r>
      <w:r w:rsidR="00A605F4" w:rsidRPr="007B5BE6">
        <w:t xml:space="preserve"> interviews conducted by the TLRI,</w:t>
      </w:r>
      <w:r w:rsidRPr="007B5BE6">
        <w:t xml:space="preserve"> </w:t>
      </w:r>
      <w:r w:rsidR="00A605F4" w:rsidRPr="007B5BE6">
        <w:t>t</w:t>
      </w:r>
      <w:r w:rsidR="0097112D" w:rsidRPr="007B5BE6">
        <w:t>hese previous research and reviews</w:t>
      </w:r>
      <w:r w:rsidR="00D968EB" w:rsidRPr="007B5BE6">
        <w:t xml:space="preserve"> and </w:t>
      </w:r>
      <w:r w:rsidR="0097112D" w:rsidRPr="007B5BE6">
        <w:t>coronial investigations</w:t>
      </w:r>
      <w:r w:rsidRPr="007B5BE6">
        <w:t xml:space="preserve"> into deaths of older people</w:t>
      </w:r>
      <w:r w:rsidR="0039468B" w:rsidRPr="007B5BE6">
        <w:t xml:space="preserve">, including the common themes regarding </w:t>
      </w:r>
      <w:r w:rsidR="0097112D" w:rsidRPr="007B5BE6">
        <w:t xml:space="preserve">gaps </w:t>
      </w:r>
      <w:r w:rsidR="0039468B" w:rsidRPr="007B5BE6">
        <w:t xml:space="preserve">identified </w:t>
      </w:r>
      <w:r w:rsidR="0097112D" w:rsidRPr="007B5BE6">
        <w:t>in legal and service responses</w:t>
      </w:r>
      <w:r w:rsidR="0039468B" w:rsidRPr="007B5BE6">
        <w:t xml:space="preserve">, and a </w:t>
      </w:r>
      <w:r w:rsidR="0097112D" w:rsidRPr="007B5BE6">
        <w:t>lack of an overarching approach for responding to</w:t>
      </w:r>
      <w:r w:rsidR="0039468B" w:rsidRPr="007B5BE6">
        <w:t>,</w:t>
      </w:r>
      <w:r w:rsidR="0097112D" w:rsidRPr="007B5BE6">
        <w:t xml:space="preserve"> and safeguarding against</w:t>
      </w:r>
      <w:r w:rsidR="0039468B" w:rsidRPr="007B5BE6">
        <w:t>,</w:t>
      </w:r>
      <w:r w:rsidR="0097112D" w:rsidRPr="007B5BE6">
        <w:t xml:space="preserve"> the abuse of older Tasmanians.</w:t>
      </w:r>
      <w:r w:rsidR="006C487B" w:rsidRPr="007B5BE6">
        <w:rPr>
          <w:rStyle w:val="FootnoteReference"/>
        </w:rPr>
        <w:footnoteReference w:id="382"/>
      </w:r>
    </w:p>
    <w:p w14:paraId="4946729C" w14:textId="77777777" w:rsidR="0088020F" w:rsidRPr="007B5BE6" w:rsidRDefault="0088020F" w:rsidP="00D01B6A">
      <w:pPr>
        <w:pStyle w:val="Headingunnumbered"/>
        <w:spacing w:before="360"/>
      </w:pPr>
      <w:bookmarkStart w:id="548" w:name="_Toc212561774"/>
      <w:r w:rsidRPr="007B5BE6">
        <w:t>ALRC’s adult safeguarding recommendations (2017)</w:t>
      </w:r>
      <w:bookmarkEnd w:id="548"/>
    </w:p>
    <w:p w14:paraId="5A48E264" w14:textId="0C224026" w:rsidR="00DD2AD2" w:rsidRPr="007B5BE6" w:rsidRDefault="0088020F" w:rsidP="00DD2AD2">
      <w:pPr>
        <w:pStyle w:val="NormalNumberedTextTLRI"/>
      </w:pPr>
      <w:r w:rsidRPr="007B5BE6">
        <w:t xml:space="preserve">Table </w:t>
      </w:r>
      <w:r w:rsidR="00A13491" w:rsidRPr="007B5BE6">
        <w:t>4.1</w:t>
      </w:r>
      <w:r w:rsidRPr="007B5BE6">
        <w:t xml:space="preserve"> summarises the ALRC’s eight recommendations on ‘safeguarding adults at risk’</w:t>
      </w:r>
      <w:r w:rsidR="006D572D" w:rsidRPr="007B5BE6">
        <w:t>. These were</w:t>
      </w:r>
      <w:r w:rsidRPr="007B5BE6">
        <w:t xml:space="preserve"> aimed at addressing the gaps</w:t>
      </w:r>
      <w:r w:rsidR="006C487B" w:rsidRPr="007B5BE6">
        <w:rPr>
          <w:rStyle w:val="FootnoteReference"/>
        </w:rPr>
        <w:footnoteReference w:id="383"/>
      </w:r>
      <w:r w:rsidRPr="007B5BE6">
        <w:t xml:space="preserve"> where older people are ‘at risk</w:t>
      </w:r>
      <w:r w:rsidR="006D572D" w:rsidRPr="007B5BE6">
        <w:t>’ but</w:t>
      </w:r>
      <w:r w:rsidRPr="007B5BE6">
        <w:t xml:space="preserve"> not protected due to the limitations of existing legal frameworks, as well as situations where the current measures may be inadequate.</w:t>
      </w:r>
      <w:r w:rsidR="00A47FC2" w:rsidRPr="007B5BE6">
        <w:rPr>
          <w:rStyle w:val="FootnoteReference"/>
        </w:rPr>
        <w:footnoteReference w:id="384"/>
      </w:r>
      <w:r w:rsidRPr="007B5BE6">
        <w:t xml:space="preserve"> </w:t>
      </w:r>
    </w:p>
    <w:p w14:paraId="72812EB0" w14:textId="74C15538" w:rsidR="0088020F" w:rsidRPr="007B5BE6" w:rsidRDefault="0088020F" w:rsidP="00BB7987">
      <w:pPr>
        <w:spacing w:before="240" w:after="240"/>
        <w:rPr>
          <w:b/>
          <w:bCs/>
        </w:rPr>
      </w:pPr>
      <w:r w:rsidRPr="007B5BE6">
        <w:rPr>
          <w:b/>
          <w:bCs/>
        </w:rPr>
        <w:t xml:space="preserve">Table </w:t>
      </w:r>
      <w:r w:rsidR="00A13491" w:rsidRPr="007B5BE6">
        <w:rPr>
          <w:b/>
          <w:bCs/>
        </w:rPr>
        <w:t>4.1:</w:t>
      </w:r>
      <w:r w:rsidRPr="007B5BE6">
        <w:rPr>
          <w:b/>
          <w:bCs/>
        </w:rPr>
        <w:t xml:space="preserve"> ALRC’s 2017 recommendations on safeguarding adults at risk: </w:t>
      </w:r>
      <w:r w:rsidRPr="007B5BE6">
        <w:rPr>
          <w:b/>
          <w:bCs/>
          <w:i/>
        </w:rPr>
        <w:t>Elder Abuse–A National Legal Response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1"/>
        <w:gridCol w:w="6625"/>
      </w:tblGrid>
      <w:tr w:rsidR="0088020F" w:rsidRPr="007B5BE6" w14:paraId="2FA50AA1" w14:textId="77777777" w:rsidTr="001636E4">
        <w:trPr>
          <w:tblHeader/>
        </w:trPr>
        <w:tc>
          <w:tcPr>
            <w:tcW w:w="2401" w:type="dxa"/>
            <w:tcBorders>
              <w:top w:val="single" w:sz="8" w:space="0" w:color="auto"/>
              <w:bottom w:val="single" w:sz="8" w:space="0" w:color="auto"/>
            </w:tcBorders>
            <w:shd w:val="clear" w:color="auto" w:fill="FFFFFF" w:themeFill="background1"/>
          </w:tcPr>
          <w:p w14:paraId="60E905F4" w14:textId="77777777" w:rsidR="0088020F" w:rsidRPr="007B5BE6" w:rsidRDefault="0088020F" w:rsidP="0004503A">
            <w:pPr>
              <w:jc w:val="left"/>
              <w:rPr>
                <w:rFonts w:eastAsia="Aptos" w:cs="Arial"/>
                <w:b/>
                <w:bCs/>
                <w:sz w:val="20"/>
                <w:szCs w:val="20"/>
              </w:rPr>
            </w:pPr>
            <w:r w:rsidRPr="007B5BE6">
              <w:rPr>
                <w:rFonts w:eastAsia="Aptos" w:cs="Arial"/>
                <w:b/>
                <w:bCs/>
                <w:sz w:val="20"/>
                <w:szCs w:val="20"/>
              </w:rPr>
              <w:t xml:space="preserve">Issue identified </w:t>
            </w:r>
          </w:p>
        </w:tc>
        <w:tc>
          <w:tcPr>
            <w:tcW w:w="0" w:type="auto"/>
            <w:tcBorders>
              <w:top w:val="single" w:sz="8" w:space="0" w:color="auto"/>
              <w:bottom w:val="single" w:sz="8" w:space="0" w:color="auto"/>
            </w:tcBorders>
            <w:shd w:val="clear" w:color="auto" w:fill="FFFFFF" w:themeFill="background1"/>
          </w:tcPr>
          <w:p w14:paraId="669650C2" w14:textId="77777777" w:rsidR="0088020F" w:rsidRPr="007B5BE6" w:rsidRDefault="0088020F" w:rsidP="0004503A">
            <w:pPr>
              <w:jc w:val="left"/>
              <w:rPr>
                <w:rFonts w:eastAsia="Aptos" w:cs="Arial"/>
                <w:b/>
                <w:bCs/>
                <w:sz w:val="20"/>
                <w:szCs w:val="20"/>
              </w:rPr>
            </w:pPr>
            <w:r w:rsidRPr="007B5BE6">
              <w:rPr>
                <w:rFonts w:eastAsia="Aptos" w:cs="Arial"/>
                <w:b/>
                <w:bCs/>
                <w:sz w:val="20"/>
                <w:szCs w:val="20"/>
              </w:rPr>
              <w:t xml:space="preserve">Recommendation </w:t>
            </w:r>
          </w:p>
        </w:tc>
      </w:tr>
      <w:tr w:rsidR="0088020F" w:rsidRPr="007B5BE6" w14:paraId="36BEF320" w14:textId="77777777" w:rsidTr="001636E4">
        <w:tc>
          <w:tcPr>
            <w:tcW w:w="2401" w:type="dxa"/>
            <w:tcBorders>
              <w:top w:val="single" w:sz="8" w:space="0" w:color="auto"/>
            </w:tcBorders>
          </w:tcPr>
          <w:p w14:paraId="69958865" w14:textId="77777777" w:rsidR="0088020F" w:rsidRPr="007B5BE6" w:rsidRDefault="0088020F" w:rsidP="0004503A">
            <w:pPr>
              <w:jc w:val="left"/>
              <w:rPr>
                <w:rFonts w:eastAsia="Aptos" w:cs="Arial"/>
                <w:sz w:val="20"/>
                <w:szCs w:val="20"/>
              </w:rPr>
            </w:pPr>
            <w:r w:rsidRPr="007B5BE6">
              <w:rPr>
                <w:rFonts w:eastAsia="Aptos" w:cs="Arial"/>
                <w:sz w:val="20"/>
                <w:szCs w:val="20"/>
              </w:rPr>
              <w:t>Adult safeguarding laws to fill the gaps</w:t>
            </w:r>
          </w:p>
          <w:p w14:paraId="289E7697" w14:textId="77777777" w:rsidR="0088020F" w:rsidRPr="007B5BE6" w:rsidRDefault="0088020F" w:rsidP="0004503A">
            <w:pPr>
              <w:jc w:val="left"/>
              <w:rPr>
                <w:rFonts w:eastAsia="Aptos" w:cs="Arial"/>
                <w:sz w:val="20"/>
                <w:szCs w:val="20"/>
              </w:rPr>
            </w:pPr>
            <w:r w:rsidRPr="007B5BE6">
              <w:rPr>
                <w:rFonts w:eastAsia="Aptos" w:cs="Arial"/>
                <w:sz w:val="20"/>
                <w:szCs w:val="20"/>
              </w:rPr>
              <w:t>Adult safeguarding agencies</w:t>
            </w:r>
          </w:p>
        </w:tc>
        <w:tc>
          <w:tcPr>
            <w:tcW w:w="0" w:type="auto"/>
            <w:tcBorders>
              <w:top w:val="single" w:sz="8" w:space="0" w:color="auto"/>
            </w:tcBorders>
          </w:tcPr>
          <w:p w14:paraId="623847E9" w14:textId="77777777" w:rsidR="0088020F" w:rsidRPr="007B5BE6" w:rsidRDefault="0088020F" w:rsidP="0004503A">
            <w:pPr>
              <w:jc w:val="left"/>
              <w:rPr>
                <w:rFonts w:eastAsia="Aptos" w:cs="Arial"/>
                <w:sz w:val="20"/>
                <w:szCs w:val="20"/>
              </w:rPr>
            </w:pPr>
            <w:r w:rsidRPr="007B5BE6">
              <w:rPr>
                <w:rFonts w:eastAsia="Aptos" w:cs="Arial"/>
                <w:sz w:val="20"/>
                <w:szCs w:val="20"/>
              </w:rPr>
              <w:t xml:space="preserve">Adult safeguarding laws should be enacted in each state and territory. </w:t>
            </w:r>
          </w:p>
          <w:p w14:paraId="242B934F" w14:textId="5AF1B8DA" w:rsidR="0088020F" w:rsidRPr="007B5BE6" w:rsidRDefault="0088020F" w:rsidP="0004503A">
            <w:pPr>
              <w:jc w:val="left"/>
              <w:rPr>
                <w:rFonts w:eastAsia="Aptos" w:cs="Arial"/>
                <w:sz w:val="20"/>
                <w:szCs w:val="20"/>
              </w:rPr>
            </w:pPr>
            <w:r w:rsidRPr="007B5BE6">
              <w:rPr>
                <w:rFonts w:eastAsia="Aptos" w:cs="Arial"/>
                <w:sz w:val="20"/>
                <w:szCs w:val="20"/>
              </w:rPr>
              <w:t>These laws should give adult safeguarding agencies the role of safeguarding and supporting ‘at-risk adults’.</w:t>
            </w:r>
            <w:r w:rsidR="00885C68" w:rsidRPr="007B5BE6">
              <w:rPr>
                <w:rStyle w:val="FootnoteReference"/>
                <w:rFonts w:eastAsia="Aptos" w:cs="Arial"/>
                <w:sz w:val="20"/>
                <w:szCs w:val="20"/>
              </w:rPr>
              <w:footnoteReference w:id="385"/>
            </w:r>
          </w:p>
        </w:tc>
      </w:tr>
      <w:tr w:rsidR="0088020F" w:rsidRPr="007B5BE6" w14:paraId="4E2A3EC0" w14:textId="77777777" w:rsidTr="00E10312">
        <w:tc>
          <w:tcPr>
            <w:tcW w:w="2401" w:type="dxa"/>
          </w:tcPr>
          <w:p w14:paraId="5681D9A8" w14:textId="77777777" w:rsidR="0088020F" w:rsidRPr="007B5BE6" w:rsidRDefault="0088020F" w:rsidP="0004503A">
            <w:pPr>
              <w:jc w:val="left"/>
              <w:rPr>
                <w:rFonts w:eastAsia="Aptos" w:cs="Arial"/>
                <w:sz w:val="20"/>
                <w:szCs w:val="20"/>
              </w:rPr>
            </w:pPr>
            <w:r w:rsidRPr="007B5BE6">
              <w:rPr>
                <w:rFonts w:eastAsia="Aptos" w:cs="Arial"/>
                <w:sz w:val="20"/>
                <w:szCs w:val="20"/>
              </w:rPr>
              <w:t xml:space="preserve">Duty to make inquiries </w:t>
            </w:r>
          </w:p>
        </w:tc>
        <w:tc>
          <w:tcPr>
            <w:tcW w:w="0" w:type="auto"/>
          </w:tcPr>
          <w:p w14:paraId="4E87E35D" w14:textId="4F836BA3" w:rsidR="0088020F" w:rsidRPr="007B5BE6" w:rsidRDefault="0088020F" w:rsidP="0004503A">
            <w:pPr>
              <w:jc w:val="left"/>
              <w:rPr>
                <w:rFonts w:eastAsia="Aptos" w:cs="Arial"/>
                <w:sz w:val="20"/>
                <w:szCs w:val="20"/>
              </w:rPr>
            </w:pPr>
            <w:r w:rsidRPr="007B5BE6">
              <w:rPr>
                <w:rFonts w:eastAsia="Aptos" w:cs="Arial"/>
                <w:sz w:val="20"/>
                <w:szCs w:val="20"/>
              </w:rPr>
              <w:t>Adult safeguarding agencies should have a statutory duty to make inquiries where they have reasonable grounds to suspect that a person is an ‘at-risk’ adult. The first step of an inquiry is to contact the at-risk adult.</w:t>
            </w:r>
            <w:r w:rsidR="00885C68" w:rsidRPr="007B5BE6">
              <w:rPr>
                <w:rStyle w:val="FootnoteReference"/>
                <w:rFonts w:eastAsia="Aptos" w:cs="Arial"/>
                <w:sz w:val="20"/>
                <w:szCs w:val="20"/>
              </w:rPr>
              <w:footnoteReference w:id="386"/>
            </w:r>
          </w:p>
        </w:tc>
      </w:tr>
      <w:tr w:rsidR="0088020F" w:rsidRPr="007B5BE6" w14:paraId="1ED4FDE7" w14:textId="77777777" w:rsidTr="00E10312">
        <w:tc>
          <w:tcPr>
            <w:tcW w:w="2401" w:type="dxa"/>
          </w:tcPr>
          <w:p w14:paraId="45B62F08" w14:textId="77777777" w:rsidR="0088020F" w:rsidRPr="007B5BE6" w:rsidRDefault="0088020F" w:rsidP="0004503A">
            <w:pPr>
              <w:jc w:val="left"/>
              <w:rPr>
                <w:rFonts w:eastAsia="Aptos" w:cs="Arial"/>
                <w:sz w:val="20"/>
                <w:szCs w:val="20"/>
              </w:rPr>
            </w:pPr>
            <w:r w:rsidRPr="007B5BE6">
              <w:rPr>
                <w:rFonts w:eastAsia="Aptos" w:cs="Arial"/>
                <w:sz w:val="20"/>
                <w:szCs w:val="20"/>
              </w:rPr>
              <w:t>At-risk adults</w:t>
            </w:r>
          </w:p>
        </w:tc>
        <w:tc>
          <w:tcPr>
            <w:tcW w:w="0" w:type="auto"/>
          </w:tcPr>
          <w:p w14:paraId="7937133B" w14:textId="77777777" w:rsidR="0088020F" w:rsidRPr="007B5BE6" w:rsidRDefault="0088020F" w:rsidP="006D0707">
            <w:pPr>
              <w:spacing w:after="120"/>
              <w:jc w:val="left"/>
              <w:rPr>
                <w:rFonts w:eastAsia="Aptos" w:cs="Arial"/>
                <w:sz w:val="20"/>
                <w:szCs w:val="20"/>
              </w:rPr>
            </w:pPr>
            <w:r w:rsidRPr="007B5BE6">
              <w:rPr>
                <w:rFonts w:eastAsia="Aptos" w:cs="Arial"/>
                <w:sz w:val="20"/>
                <w:szCs w:val="20"/>
              </w:rPr>
              <w:t>Adult safeguarding laws should define ‘at-risk adults’ to mean people aged 18 years and over who:</w:t>
            </w:r>
          </w:p>
          <w:p w14:paraId="50E9A9A8" w14:textId="77777777" w:rsidR="0088020F" w:rsidRPr="007B5BE6" w:rsidRDefault="0088020F" w:rsidP="006D0707">
            <w:pPr>
              <w:numPr>
                <w:ilvl w:val="0"/>
                <w:numId w:val="6"/>
              </w:numPr>
              <w:spacing w:after="120"/>
              <w:contextualSpacing/>
              <w:jc w:val="left"/>
              <w:rPr>
                <w:rFonts w:eastAsia="Aptos" w:cs="Arial"/>
                <w:sz w:val="20"/>
                <w:szCs w:val="20"/>
              </w:rPr>
            </w:pPr>
            <w:r w:rsidRPr="007B5BE6">
              <w:rPr>
                <w:rFonts w:eastAsia="Aptos" w:cs="Arial"/>
                <w:sz w:val="20"/>
                <w:szCs w:val="20"/>
              </w:rPr>
              <w:lastRenderedPageBreak/>
              <w:t>have care and support needs;</w:t>
            </w:r>
          </w:p>
          <w:p w14:paraId="2F1E692D" w14:textId="77777777" w:rsidR="0088020F" w:rsidRPr="007B5BE6" w:rsidRDefault="0088020F" w:rsidP="0004503A">
            <w:pPr>
              <w:numPr>
                <w:ilvl w:val="0"/>
                <w:numId w:val="6"/>
              </w:numPr>
              <w:contextualSpacing/>
              <w:jc w:val="left"/>
              <w:rPr>
                <w:rFonts w:eastAsia="Aptos" w:cs="Arial"/>
                <w:sz w:val="20"/>
                <w:szCs w:val="20"/>
              </w:rPr>
            </w:pPr>
            <w:r w:rsidRPr="007B5BE6">
              <w:rPr>
                <w:rFonts w:eastAsia="Aptos" w:cs="Arial"/>
                <w:sz w:val="20"/>
                <w:szCs w:val="20"/>
              </w:rPr>
              <w:t xml:space="preserve">are being abused or neglected, or at risk of abuse or neglect; and </w:t>
            </w:r>
          </w:p>
          <w:p w14:paraId="449597D2" w14:textId="77777777" w:rsidR="0088020F" w:rsidRPr="007B5BE6" w:rsidRDefault="0088020F" w:rsidP="0004503A">
            <w:pPr>
              <w:numPr>
                <w:ilvl w:val="0"/>
                <w:numId w:val="6"/>
              </w:numPr>
              <w:contextualSpacing/>
              <w:jc w:val="left"/>
              <w:rPr>
                <w:rFonts w:eastAsia="Aptos" w:cs="Arial"/>
                <w:sz w:val="20"/>
                <w:szCs w:val="20"/>
              </w:rPr>
            </w:pPr>
            <w:r w:rsidRPr="007B5BE6">
              <w:rPr>
                <w:rFonts w:eastAsia="Aptos" w:cs="Arial"/>
                <w:sz w:val="20"/>
                <w:szCs w:val="20"/>
              </w:rPr>
              <w:t>are unable to protect themselves from abuse or neglect because of their care and support needs.</w:t>
            </w:r>
            <w:r w:rsidR="00383DB9" w:rsidRPr="007B5BE6">
              <w:rPr>
                <w:rStyle w:val="FootnoteReference"/>
                <w:rFonts w:eastAsia="Aptos" w:cs="Arial"/>
                <w:sz w:val="20"/>
                <w:szCs w:val="20"/>
              </w:rPr>
              <w:footnoteReference w:id="387"/>
            </w:r>
          </w:p>
          <w:p w14:paraId="3CB5A057" w14:textId="2884D8E7" w:rsidR="002F5FC9" w:rsidRPr="007B5BE6" w:rsidRDefault="002F5FC9" w:rsidP="006D0707">
            <w:pPr>
              <w:ind w:left="720"/>
              <w:contextualSpacing/>
              <w:jc w:val="left"/>
              <w:rPr>
                <w:rFonts w:eastAsia="Aptos" w:cs="Arial"/>
                <w:sz w:val="20"/>
                <w:szCs w:val="20"/>
              </w:rPr>
            </w:pPr>
          </w:p>
        </w:tc>
      </w:tr>
      <w:tr w:rsidR="0088020F" w:rsidRPr="007B5BE6" w14:paraId="52F3C33A" w14:textId="77777777" w:rsidTr="00E10312">
        <w:tc>
          <w:tcPr>
            <w:tcW w:w="2401" w:type="dxa"/>
          </w:tcPr>
          <w:p w14:paraId="6C1D47A7" w14:textId="77777777" w:rsidR="0088020F" w:rsidRPr="007B5BE6" w:rsidRDefault="0088020F" w:rsidP="0004503A">
            <w:pPr>
              <w:jc w:val="left"/>
              <w:rPr>
                <w:rFonts w:eastAsia="Aptos" w:cs="Arial"/>
                <w:sz w:val="20"/>
                <w:szCs w:val="20"/>
              </w:rPr>
            </w:pPr>
            <w:r w:rsidRPr="007B5BE6">
              <w:rPr>
                <w:rFonts w:eastAsia="Aptos" w:cs="Arial"/>
                <w:sz w:val="20"/>
                <w:szCs w:val="20"/>
              </w:rPr>
              <w:lastRenderedPageBreak/>
              <w:t>Consent</w:t>
            </w:r>
          </w:p>
        </w:tc>
        <w:tc>
          <w:tcPr>
            <w:tcW w:w="0" w:type="auto"/>
          </w:tcPr>
          <w:p w14:paraId="3A52CF79" w14:textId="77777777" w:rsidR="0088020F" w:rsidRPr="007B5BE6" w:rsidRDefault="0088020F" w:rsidP="006D0707">
            <w:pPr>
              <w:spacing w:after="120"/>
              <w:jc w:val="left"/>
              <w:rPr>
                <w:rFonts w:eastAsia="Aptos" w:cs="Arial"/>
                <w:sz w:val="20"/>
                <w:szCs w:val="20"/>
              </w:rPr>
            </w:pPr>
            <w:r w:rsidRPr="007B5BE6">
              <w:rPr>
                <w:rFonts w:eastAsia="Aptos" w:cs="Arial"/>
                <w:sz w:val="20"/>
                <w:szCs w:val="20"/>
              </w:rPr>
              <w:t>Adult safeguarding laws should provide that the consent of an at-risk adult must be secured before safeguarding agencies investigate, or take any other action, in relation to the abuse or neglect of the adult. However, consent should not be required:</w:t>
            </w:r>
          </w:p>
          <w:p w14:paraId="15EE2DE6" w14:textId="77777777" w:rsidR="0088020F" w:rsidRPr="007B5BE6" w:rsidRDefault="0088020F" w:rsidP="006D0707">
            <w:pPr>
              <w:numPr>
                <w:ilvl w:val="0"/>
                <w:numId w:val="7"/>
              </w:numPr>
              <w:spacing w:after="120"/>
              <w:contextualSpacing/>
              <w:jc w:val="left"/>
              <w:rPr>
                <w:rFonts w:eastAsia="Aptos" w:cs="Arial"/>
                <w:sz w:val="20"/>
                <w:szCs w:val="20"/>
              </w:rPr>
            </w:pPr>
            <w:r w:rsidRPr="007B5BE6">
              <w:rPr>
                <w:rFonts w:eastAsia="Aptos" w:cs="Arial"/>
                <w:sz w:val="20"/>
                <w:szCs w:val="20"/>
              </w:rPr>
              <w:t>in serious cases of physical abuse, sexual abuse or neglect; or</w:t>
            </w:r>
          </w:p>
          <w:p w14:paraId="6D639B55" w14:textId="77777777" w:rsidR="0088020F" w:rsidRPr="007B5BE6" w:rsidRDefault="0088020F" w:rsidP="0004503A">
            <w:pPr>
              <w:numPr>
                <w:ilvl w:val="0"/>
                <w:numId w:val="7"/>
              </w:numPr>
              <w:contextualSpacing/>
              <w:jc w:val="left"/>
              <w:rPr>
                <w:rFonts w:eastAsia="Aptos" w:cs="Arial"/>
                <w:sz w:val="20"/>
                <w:szCs w:val="20"/>
              </w:rPr>
            </w:pPr>
            <w:r w:rsidRPr="007B5BE6">
              <w:rPr>
                <w:rFonts w:eastAsia="Aptos" w:cs="Arial"/>
                <w:sz w:val="20"/>
                <w:szCs w:val="20"/>
              </w:rPr>
              <w:t xml:space="preserve">if the safeguarding agency cannot contact the adult, despite extensive efforts to do so; or </w:t>
            </w:r>
          </w:p>
          <w:p w14:paraId="37E08724" w14:textId="77777777" w:rsidR="0088020F" w:rsidRPr="007B5BE6" w:rsidRDefault="0088020F" w:rsidP="0004503A">
            <w:pPr>
              <w:numPr>
                <w:ilvl w:val="0"/>
                <w:numId w:val="7"/>
              </w:numPr>
              <w:contextualSpacing/>
              <w:jc w:val="left"/>
              <w:rPr>
                <w:rFonts w:eastAsia="Aptos" w:cs="Arial"/>
                <w:sz w:val="20"/>
                <w:szCs w:val="20"/>
              </w:rPr>
            </w:pPr>
            <w:r w:rsidRPr="007B5BE6">
              <w:rPr>
                <w:rFonts w:eastAsia="Aptos" w:cs="Arial"/>
                <w:sz w:val="20"/>
                <w:szCs w:val="20"/>
              </w:rPr>
              <w:t>if the adult lacks the legal capacity to give consent, in the circumstances.</w:t>
            </w:r>
            <w:r w:rsidR="00383DB9" w:rsidRPr="007B5BE6">
              <w:rPr>
                <w:rStyle w:val="FootnoteReference"/>
                <w:rFonts w:eastAsia="Aptos" w:cs="Arial"/>
                <w:sz w:val="20"/>
                <w:szCs w:val="20"/>
              </w:rPr>
              <w:footnoteReference w:id="388"/>
            </w:r>
            <w:r w:rsidRPr="007B5BE6">
              <w:rPr>
                <w:rFonts w:eastAsia="Aptos" w:cs="Arial"/>
                <w:sz w:val="20"/>
                <w:szCs w:val="20"/>
              </w:rPr>
              <w:t xml:space="preserve"> </w:t>
            </w:r>
          </w:p>
          <w:p w14:paraId="214AF05C" w14:textId="36BAB44A" w:rsidR="002F5FC9" w:rsidRPr="007B5BE6" w:rsidRDefault="002F5FC9" w:rsidP="006D0707">
            <w:pPr>
              <w:ind w:left="720"/>
              <w:contextualSpacing/>
              <w:jc w:val="left"/>
              <w:rPr>
                <w:rFonts w:eastAsia="Aptos" w:cs="Arial"/>
                <w:sz w:val="20"/>
                <w:szCs w:val="20"/>
              </w:rPr>
            </w:pPr>
          </w:p>
        </w:tc>
      </w:tr>
      <w:tr w:rsidR="0088020F" w:rsidRPr="007B5BE6" w14:paraId="5444F423" w14:textId="77777777" w:rsidTr="00E10312">
        <w:tc>
          <w:tcPr>
            <w:tcW w:w="2401" w:type="dxa"/>
          </w:tcPr>
          <w:p w14:paraId="6C955EAF" w14:textId="77777777" w:rsidR="0088020F" w:rsidRPr="007B5BE6" w:rsidRDefault="0088020F" w:rsidP="0004503A">
            <w:pPr>
              <w:jc w:val="left"/>
              <w:rPr>
                <w:rFonts w:eastAsia="Aptos" w:cs="Arial"/>
                <w:sz w:val="20"/>
                <w:szCs w:val="20"/>
              </w:rPr>
            </w:pPr>
            <w:r w:rsidRPr="007B5BE6">
              <w:rPr>
                <w:rFonts w:eastAsia="Aptos" w:cs="Arial"/>
                <w:sz w:val="20"/>
                <w:szCs w:val="20"/>
              </w:rPr>
              <w:t>Actions</w:t>
            </w:r>
          </w:p>
        </w:tc>
        <w:tc>
          <w:tcPr>
            <w:tcW w:w="0" w:type="auto"/>
          </w:tcPr>
          <w:p w14:paraId="395E5EE1" w14:textId="77777777" w:rsidR="0088020F" w:rsidRPr="007B5BE6" w:rsidRDefault="0088020F" w:rsidP="006D0707">
            <w:pPr>
              <w:spacing w:after="120"/>
              <w:jc w:val="left"/>
              <w:rPr>
                <w:rFonts w:eastAsia="Aptos" w:cs="Arial"/>
                <w:sz w:val="20"/>
                <w:szCs w:val="20"/>
              </w:rPr>
            </w:pPr>
            <w:r w:rsidRPr="007B5BE6">
              <w:rPr>
                <w:rFonts w:eastAsia="Aptos" w:cs="Arial"/>
                <w:sz w:val="20"/>
                <w:szCs w:val="20"/>
              </w:rPr>
              <w:t>Adult safeguarding laws should provide that where a safeguarding agency has reasonable grounds to conclude that a person is an at-risk adult, the agency may take the following actions, with the adult’s consent:</w:t>
            </w:r>
          </w:p>
          <w:p w14:paraId="746AA897" w14:textId="77777777" w:rsidR="0088020F" w:rsidRPr="007B5BE6" w:rsidRDefault="0088020F" w:rsidP="006D0707">
            <w:pPr>
              <w:numPr>
                <w:ilvl w:val="0"/>
                <w:numId w:val="8"/>
              </w:numPr>
              <w:spacing w:after="120"/>
              <w:contextualSpacing/>
              <w:jc w:val="left"/>
              <w:rPr>
                <w:rFonts w:eastAsia="Aptos" w:cs="Arial"/>
                <w:sz w:val="20"/>
                <w:szCs w:val="20"/>
              </w:rPr>
            </w:pPr>
            <w:r w:rsidRPr="007B5BE6">
              <w:rPr>
                <w:rFonts w:eastAsia="Aptos" w:cs="Arial"/>
                <w:sz w:val="20"/>
                <w:szCs w:val="20"/>
              </w:rPr>
              <w:t>coordinate legal, medical and other services for the adult;</w:t>
            </w:r>
          </w:p>
          <w:p w14:paraId="3AD2944E" w14:textId="77777777" w:rsidR="0088020F" w:rsidRPr="007B5BE6" w:rsidRDefault="0088020F" w:rsidP="0004503A">
            <w:pPr>
              <w:numPr>
                <w:ilvl w:val="0"/>
                <w:numId w:val="8"/>
              </w:numPr>
              <w:contextualSpacing/>
              <w:jc w:val="left"/>
              <w:rPr>
                <w:rFonts w:eastAsia="Aptos" w:cs="Arial"/>
                <w:sz w:val="20"/>
                <w:szCs w:val="20"/>
              </w:rPr>
            </w:pPr>
            <w:r w:rsidRPr="007B5BE6">
              <w:rPr>
                <w:rFonts w:eastAsia="Aptos" w:cs="Arial"/>
                <w:sz w:val="20"/>
                <w:szCs w:val="20"/>
              </w:rPr>
              <w:t>meet with relevant government agencies and other bodies and professionals to prepare a plan to stop the abuse and support the adult;</w:t>
            </w:r>
          </w:p>
          <w:p w14:paraId="3B903A18" w14:textId="77777777" w:rsidR="0088020F" w:rsidRPr="007B5BE6" w:rsidRDefault="0088020F" w:rsidP="0004503A">
            <w:pPr>
              <w:numPr>
                <w:ilvl w:val="0"/>
                <w:numId w:val="8"/>
              </w:numPr>
              <w:contextualSpacing/>
              <w:jc w:val="left"/>
              <w:rPr>
                <w:rFonts w:eastAsia="Aptos" w:cs="Arial"/>
                <w:sz w:val="20"/>
                <w:szCs w:val="20"/>
              </w:rPr>
            </w:pPr>
            <w:r w:rsidRPr="007B5BE6">
              <w:rPr>
                <w:rFonts w:eastAsia="Aptos" w:cs="Arial"/>
                <w:sz w:val="20"/>
                <w:szCs w:val="20"/>
              </w:rPr>
              <w:t>report the abuse to police;</w:t>
            </w:r>
          </w:p>
          <w:p w14:paraId="271188AE" w14:textId="77777777" w:rsidR="0088020F" w:rsidRPr="007B5BE6" w:rsidRDefault="0088020F" w:rsidP="0004503A">
            <w:pPr>
              <w:numPr>
                <w:ilvl w:val="0"/>
                <w:numId w:val="8"/>
              </w:numPr>
              <w:contextualSpacing/>
              <w:jc w:val="left"/>
              <w:rPr>
                <w:rFonts w:eastAsia="Aptos" w:cs="Arial"/>
                <w:sz w:val="20"/>
                <w:szCs w:val="20"/>
              </w:rPr>
            </w:pPr>
            <w:r w:rsidRPr="007B5BE6">
              <w:rPr>
                <w:rFonts w:eastAsia="Aptos" w:cs="Arial"/>
                <w:sz w:val="20"/>
                <w:szCs w:val="20"/>
              </w:rPr>
              <w:t xml:space="preserve">apply for a court order in relation to the person thought to be committing the abuse (for example, a violence intervention order); or </w:t>
            </w:r>
          </w:p>
          <w:p w14:paraId="6E59A264" w14:textId="77777777" w:rsidR="0088020F" w:rsidRPr="007B5BE6" w:rsidRDefault="0088020F" w:rsidP="0004503A">
            <w:pPr>
              <w:numPr>
                <w:ilvl w:val="0"/>
                <w:numId w:val="8"/>
              </w:numPr>
              <w:contextualSpacing/>
              <w:jc w:val="left"/>
              <w:rPr>
                <w:rFonts w:eastAsia="Aptos" w:cs="Arial"/>
                <w:sz w:val="20"/>
                <w:szCs w:val="20"/>
              </w:rPr>
            </w:pPr>
            <w:r w:rsidRPr="007B5BE6">
              <w:rPr>
                <w:rFonts w:eastAsia="Aptos" w:cs="Arial"/>
                <w:sz w:val="20"/>
                <w:szCs w:val="20"/>
              </w:rPr>
              <w:t>decide to take no further action.</w:t>
            </w:r>
            <w:r w:rsidR="00383DB9" w:rsidRPr="007B5BE6">
              <w:rPr>
                <w:rStyle w:val="FootnoteReference"/>
                <w:rFonts w:eastAsia="Aptos" w:cs="Arial"/>
                <w:sz w:val="20"/>
                <w:szCs w:val="20"/>
              </w:rPr>
              <w:footnoteReference w:id="389"/>
            </w:r>
            <w:r w:rsidRPr="007B5BE6">
              <w:rPr>
                <w:rFonts w:eastAsia="Aptos" w:cs="Arial"/>
                <w:sz w:val="20"/>
                <w:szCs w:val="20"/>
              </w:rPr>
              <w:t xml:space="preserve"> </w:t>
            </w:r>
          </w:p>
          <w:p w14:paraId="66B54C82" w14:textId="51002AA6" w:rsidR="002F5FC9" w:rsidRPr="007B5BE6" w:rsidRDefault="002F5FC9" w:rsidP="006D0707">
            <w:pPr>
              <w:ind w:left="720"/>
              <w:contextualSpacing/>
              <w:jc w:val="left"/>
              <w:rPr>
                <w:rFonts w:eastAsia="Aptos" w:cs="Arial"/>
                <w:sz w:val="20"/>
                <w:szCs w:val="20"/>
              </w:rPr>
            </w:pPr>
          </w:p>
        </w:tc>
      </w:tr>
      <w:tr w:rsidR="0088020F" w:rsidRPr="007B5BE6" w14:paraId="5C171165" w14:textId="77777777" w:rsidTr="00E10312">
        <w:tc>
          <w:tcPr>
            <w:tcW w:w="2401" w:type="dxa"/>
          </w:tcPr>
          <w:p w14:paraId="7456C58B" w14:textId="77777777" w:rsidR="0088020F" w:rsidRPr="007B5BE6" w:rsidRDefault="0088020F" w:rsidP="0004503A">
            <w:pPr>
              <w:jc w:val="left"/>
              <w:rPr>
                <w:rFonts w:eastAsia="Aptos" w:cs="Arial"/>
                <w:sz w:val="20"/>
                <w:szCs w:val="20"/>
              </w:rPr>
            </w:pPr>
            <w:r w:rsidRPr="007B5BE6">
              <w:rPr>
                <w:rFonts w:eastAsia="Aptos" w:cs="Arial"/>
                <w:sz w:val="20"/>
                <w:szCs w:val="20"/>
              </w:rPr>
              <w:t>Coercive powers</w:t>
            </w:r>
          </w:p>
        </w:tc>
        <w:tc>
          <w:tcPr>
            <w:tcW w:w="0" w:type="auto"/>
          </w:tcPr>
          <w:p w14:paraId="3FE555BD" w14:textId="7099D16C" w:rsidR="0088020F" w:rsidRPr="007B5BE6" w:rsidRDefault="0088020F" w:rsidP="0004503A">
            <w:pPr>
              <w:jc w:val="left"/>
              <w:rPr>
                <w:rFonts w:eastAsia="Aptos" w:cs="Arial"/>
                <w:sz w:val="20"/>
                <w:szCs w:val="20"/>
              </w:rPr>
            </w:pPr>
            <w:r w:rsidRPr="007B5BE6">
              <w:rPr>
                <w:rFonts w:eastAsia="Aptos" w:cs="Arial"/>
                <w:sz w:val="20"/>
                <w:szCs w:val="20"/>
              </w:rPr>
              <w:t>Adult safeguarding laws should provide adult safeguarding agencies with necessary coercive information-gathering powers, such as the power to require a person to answer questions and produce documents. Agencies should only be able to exercise such powers where they have reasonable grounds to suspect that there is ‘serious abuse’ of an at-risk adult, and only to the extent that it is necessary to safeguard and support the at-risk adult.</w:t>
            </w:r>
            <w:r w:rsidR="00511C52" w:rsidRPr="007B5BE6">
              <w:rPr>
                <w:rStyle w:val="FootnoteReference"/>
                <w:rFonts w:eastAsia="Aptos" w:cs="Arial"/>
                <w:sz w:val="20"/>
                <w:szCs w:val="20"/>
              </w:rPr>
              <w:footnoteReference w:id="390"/>
            </w:r>
            <w:r w:rsidRPr="007B5BE6">
              <w:rPr>
                <w:rFonts w:eastAsia="Aptos" w:cs="Arial"/>
                <w:sz w:val="20"/>
                <w:szCs w:val="20"/>
              </w:rPr>
              <w:t xml:space="preserve"> </w:t>
            </w:r>
          </w:p>
        </w:tc>
      </w:tr>
      <w:tr w:rsidR="0088020F" w:rsidRPr="007B5BE6" w14:paraId="0ACEC048" w14:textId="77777777" w:rsidTr="00E10312">
        <w:tc>
          <w:tcPr>
            <w:tcW w:w="2401" w:type="dxa"/>
          </w:tcPr>
          <w:p w14:paraId="7C033272" w14:textId="77777777" w:rsidR="0088020F" w:rsidRPr="007B5BE6" w:rsidRDefault="0088020F" w:rsidP="0004503A">
            <w:pPr>
              <w:jc w:val="left"/>
              <w:rPr>
                <w:rFonts w:eastAsia="Aptos" w:cs="Arial"/>
                <w:sz w:val="20"/>
                <w:szCs w:val="20"/>
              </w:rPr>
            </w:pPr>
            <w:r w:rsidRPr="007B5BE6">
              <w:rPr>
                <w:rFonts w:eastAsia="Aptos" w:cs="Arial"/>
                <w:sz w:val="20"/>
                <w:szCs w:val="20"/>
              </w:rPr>
              <w:t>Reporting abuse</w:t>
            </w:r>
          </w:p>
        </w:tc>
        <w:tc>
          <w:tcPr>
            <w:tcW w:w="0" w:type="auto"/>
          </w:tcPr>
          <w:p w14:paraId="21B328B1" w14:textId="77777777" w:rsidR="0088020F" w:rsidRPr="007B5BE6" w:rsidRDefault="0088020F" w:rsidP="006D0707">
            <w:pPr>
              <w:spacing w:after="120"/>
              <w:jc w:val="left"/>
              <w:rPr>
                <w:rFonts w:eastAsia="Aptos" w:cs="Arial"/>
                <w:sz w:val="20"/>
                <w:szCs w:val="20"/>
              </w:rPr>
            </w:pPr>
            <w:r w:rsidRPr="007B5BE6">
              <w:rPr>
                <w:rFonts w:eastAsia="Aptos" w:cs="Arial"/>
                <w:sz w:val="20"/>
                <w:szCs w:val="20"/>
              </w:rPr>
              <w:t xml:space="preserve">Adult safeguarding laws should provide any person who, in good faith, reports abuse to an adult safeguarding agency should not, </w:t>
            </w:r>
            <w:proofErr w:type="gramStart"/>
            <w:r w:rsidRPr="007B5BE6">
              <w:rPr>
                <w:rFonts w:eastAsia="Aptos" w:cs="Arial"/>
                <w:sz w:val="20"/>
                <w:szCs w:val="20"/>
              </w:rPr>
              <w:t>as a consequence of</w:t>
            </w:r>
            <w:proofErr w:type="gramEnd"/>
            <w:r w:rsidRPr="007B5BE6">
              <w:rPr>
                <w:rFonts w:eastAsia="Aptos" w:cs="Arial"/>
                <w:sz w:val="20"/>
                <w:szCs w:val="20"/>
              </w:rPr>
              <w:t xml:space="preserve"> their report, be:</w:t>
            </w:r>
          </w:p>
          <w:p w14:paraId="712CC9B7" w14:textId="77777777" w:rsidR="0088020F" w:rsidRPr="007B5BE6" w:rsidRDefault="0088020F" w:rsidP="006D0707">
            <w:pPr>
              <w:numPr>
                <w:ilvl w:val="0"/>
                <w:numId w:val="9"/>
              </w:numPr>
              <w:spacing w:after="120"/>
              <w:contextualSpacing/>
              <w:jc w:val="left"/>
              <w:rPr>
                <w:rFonts w:eastAsia="Aptos" w:cs="Arial"/>
                <w:sz w:val="20"/>
                <w:szCs w:val="20"/>
              </w:rPr>
            </w:pPr>
            <w:r w:rsidRPr="007B5BE6">
              <w:rPr>
                <w:rFonts w:eastAsia="Aptos" w:cs="Arial"/>
                <w:sz w:val="20"/>
                <w:szCs w:val="20"/>
              </w:rPr>
              <w:t xml:space="preserve">liable civilly, criminally or under an administrative process; </w:t>
            </w:r>
          </w:p>
          <w:p w14:paraId="5E437341" w14:textId="77777777" w:rsidR="0088020F" w:rsidRPr="007B5BE6" w:rsidRDefault="0088020F" w:rsidP="0004503A">
            <w:pPr>
              <w:numPr>
                <w:ilvl w:val="0"/>
                <w:numId w:val="9"/>
              </w:numPr>
              <w:contextualSpacing/>
              <w:jc w:val="left"/>
              <w:rPr>
                <w:rFonts w:eastAsia="Aptos" w:cs="Arial"/>
                <w:sz w:val="20"/>
                <w:szCs w:val="20"/>
              </w:rPr>
            </w:pPr>
            <w:r w:rsidRPr="007B5BE6">
              <w:rPr>
                <w:rFonts w:eastAsia="Aptos" w:cs="Arial"/>
                <w:sz w:val="20"/>
                <w:szCs w:val="20"/>
              </w:rPr>
              <w:t>found to have departed from standards of professional conduct;</w:t>
            </w:r>
          </w:p>
          <w:p w14:paraId="5CA97587" w14:textId="77777777" w:rsidR="0088020F" w:rsidRPr="007B5BE6" w:rsidRDefault="0088020F" w:rsidP="0004503A">
            <w:pPr>
              <w:numPr>
                <w:ilvl w:val="0"/>
                <w:numId w:val="9"/>
              </w:numPr>
              <w:contextualSpacing/>
              <w:jc w:val="left"/>
              <w:rPr>
                <w:rFonts w:eastAsia="Aptos" w:cs="Arial"/>
                <w:sz w:val="20"/>
                <w:szCs w:val="20"/>
              </w:rPr>
            </w:pPr>
            <w:r w:rsidRPr="007B5BE6">
              <w:rPr>
                <w:rFonts w:eastAsia="Aptos" w:cs="Arial"/>
                <w:sz w:val="20"/>
                <w:szCs w:val="20"/>
              </w:rPr>
              <w:t xml:space="preserve">dismissed or threatened in the course of their employment; or </w:t>
            </w:r>
          </w:p>
          <w:p w14:paraId="7CF4EEFF" w14:textId="77777777" w:rsidR="0088020F" w:rsidRPr="007B5BE6" w:rsidRDefault="0088020F" w:rsidP="002F5FC9">
            <w:pPr>
              <w:numPr>
                <w:ilvl w:val="0"/>
                <w:numId w:val="9"/>
              </w:numPr>
              <w:spacing w:before="100" w:beforeAutospacing="1"/>
              <w:contextualSpacing/>
              <w:jc w:val="left"/>
              <w:rPr>
                <w:rFonts w:eastAsia="Aptos" w:cs="Arial"/>
                <w:sz w:val="20"/>
                <w:szCs w:val="20"/>
              </w:rPr>
            </w:pPr>
            <w:r w:rsidRPr="007B5BE6">
              <w:rPr>
                <w:rFonts w:eastAsia="Aptos" w:cs="Arial"/>
                <w:sz w:val="20"/>
                <w:szCs w:val="20"/>
              </w:rPr>
              <w:t>discriminated against with respect to employment or membership in a profession or trade union.</w:t>
            </w:r>
            <w:r w:rsidR="00511C52" w:rsidRPr="007B5BE6">
              <w:rPr>
                <w:rStyle w:val="FootnoteReference"/>
                <w:rFonts w:eastAsia="Aptos" w:cs="Arial"/>
                <w:sz w:val="20"/>
                <w:szCs w:val="20"/>
              </w:rPr>
              <w:footnoteReference w:id="391"/>
            </w:r>
          </w:p>
          <w:p w14:paraId="6C0EB1FA" w14:textId="43FA2F8A" w:rsidR="002F5FC9" w:rsidRPr="007B5BE6" w:rsidRDefault="002F5FC9" w:rsidP="006D0707">
            <w:pPr>
              <w:spacing w:before="100" w:beforeAutospacing="1"/>
              <w:ind w:left="720"/>
              <w:contextualSpacing/>
              <w:jc w:val="left"/>
              <w:rPr>
                <w:rFonts w:eastAsia="Aptos" w:cs="Arial"/>
                <w:sz w:val="20"/>
                <w:szCs w:val="20"/>
              </w:rPr>
            </w:pPr>
          </w:p>
        </w:tc>
      </w:tr>
      <w:tr w:rsidR="0088020F" w:rsidRPr="007B5BE6" w14:paraId="37AC7F78" w14:textId="77777777" w:rsidTr="00E10312">
        <w:tc>
          <w:tcPr>
            <w:tcW w:w="2401" w:type="dxa"/>
          </w:tcPr>
          <w:p w14:paraId="38B33265" w14:textId="77777777" w:rsidR="0088020F" w:rsidRPr="007B5BE6" w:rsidRDefault="0088020F" w:rsidP="0004503A">
            <w:pPr>
              <w:jc w:val="left"/>
              <w:rPr>
                <w:rFonts w:eastAsia="Aptos" w:cs="Arial"/>
                <w:sz w:val="20"/>
                <w:szCs w:val="20"/>
              </w:rPr>
            </w:pPr>
            <w:r w:rsidRPr="007B5BE6">
              <w:rPr>
                <w:rFonts w:eastAsia="Aptos" w:cs="Arial"/>
                <w:sz w:val="20"/>
                <w:szCs w:val="20"/>
              </w:rPr>
              <w:t>Reporting abuse</w:t>
            </w:r>
          </w:p>
        </w:tc>
        <w:tc>
          <w:tcPr>
            <w:tcW w:w="0" w:type="auto"/>
          </w:tcPr>
          <w:p w14:paraId="4DA114EC" w14:textId="5094D51E" w:rsidR="0088020F" w:rsidRPr="007B5BE6" w:rsidRDefault="0088020F" w:rsidP="0004503A">
            <w:pPr>
              <w:jc w:val="left"/>
              <w:rPr>
                <w:rFonts w:eastAsia="Aptos" w:cs="Arial"/>
                <w:sz w:val="20"/>
                <w:szCs w:val="20"/>
              </w:rPr>
            </w:pPr>
            <w:r w:rsidRPr="007B5BE6">
              <w:rPr>
                <w:rFonts w:eastAsia="Aptos" w:cs="Arial"/>
                <w:sz w:val="20"/>
                <w:szCs w:val="20"/>
              </w:rPr>
              <w:t>Adult safeguarding agencies should work with relevant professional bodies to develop protocols for when prescribed professionals such as medical practitioners, should refer the abuse of at-risk adults to adult safeguarding agencies.</w:t>
            </w:r>
            <w:r w:rsidR="00511C52" w:rsidRPr="007B5BE6">
              <w:rPr>
                <w:rStyle w:val="FootnoteReference"/>
                <w:rFonts w:eastAsia="Aptos" w:cs="Arial"/>
                <w:sz w:val="20"/>
                <w:szCs w:val="20"/>
              </w:rPr>
              <w:footnoteReference w:id="392"/>
            </w:r>
            <w:r w:rsidRPr="007B5BE6">
              <w:rPr>
                <w:rFonts w:eastAsia="Aptos" w:cs="Arial"/>
                <w:sz w:val="20"/>
                <w:szCs w:val="20"/>
              </w:rPr>
              <w:t xml:space="preserve"> </w:t>
            </w:r>
          </w:p>
        </w:tc>
      </w:tr>
    </w:tbl>
    <w:p w14:paraId="633E3CB0" w14:textId="77777777" w:rsidR="0019427A" w:rsidRPr="007B5BE6" w:rsidRDefault="0019427A" w:rsidP="0019427A"/>
    <w:p w14:paraId="06A3B326" w14:textId="45438179" w:rsidR="00E8282C" w:rsidRPr="007B5BE6" w:rsidRDefault="00E8282C" w:rsidP="00C70BD3">
      <w:pPr>
        <w:pStyle w:val="Headingunnumbered"/>
        <w:spacing w:before="360"/>
      </w:pPr>
      <w:bookmarkStart w:id="549" w:name="_Toc212561775"/>
      <w:r w:rsidRPr="007B5BE6">
        <w:lastRenderedPageBreak/>
        <w:t>Coronial findings</w:t>
      </w:r>
      <w:r w:rsidR="0088020F" w:rsidRPr="007B5BE6">
        <w:t xml:space="preserve"> </w:t>
      </w:r>
      <w:r w:rsidR="004D4DF0" w:rsidRPr="007B5BE6">
        <w:t xml:space="preserve">and recommendations </w:t>
      </w:r>
      <w:r w:rsidR="0088020F" w:rsidRPr="007B5BE6">
        <w:t>(</w:t>
      </w:r>
      <w:r w:rsidR="00F52655" w:rsidRPr="007B5BE6">
        <w:t>2018</w:t>
      </w:r>
      <w:r w:rsidR="004D4BB8" w:rsidRPr="007B5BE6">
        <w:t>, 2024</w:t>
      </w:r>
      <w:r w:rsidR="0088020F" w:rsidRPr="007B5BE6">
        <w:t>)</w:t>
      </w:r>
      <w:bookmarkEnd w:id="549"/>
    </w:p>
    <w:p w14:paraId="4B5B05F0" w14:textId="608D982F" w:rsidR="00844DBA" w:rsidRPr="007B5BE6" w:rsidRDefault="00CB16F1" w:rsidP="00CB16F1">
      <w:pPr>
        <w:pStyle w:val="NormalNumberedTextTLRI"/>
      </w:pPr>
      <w:r w:rsidRPr="007B5BE6">
        <w:t xml:space="preserve">In the </w:t>
      </w:r>
      <w:r w:rsidR="00FA60C5" w:rsidRPr="007B5BE6">
        <w:t xml:space="preserve">2018 investigation and </w:t>
      </w:r>
      <w:r w:rsidRPr="007B5BE6">
        <w:t>inquest into Mrs Mackozdi’s death, Coroner McTaggart made extensive comments regarding the abuse of older people and gaps in responses in Tasmania,</w:t>
      </w:r>
      <w:r w:rsidR="00365422" w:rsidRPr="007B5BE6">
        <w:t xml:space="preserve"> as well as making</w:t>
      </w:r>
      <w:r w:rsidRPr="007B5BE6">
        <w:t xml:space="preserve"> recommendations for reform and actions. </w:t>
      </w:r>
      <w:r w:rsidR="00702033" w:rsidRPr="007B5BE6">
        <w:t>Coroner McTaggart identified gaps in:</w:t>
      </w:r>
      <w:r w:rsidR="00844DBA" w:rsidRPr="007B5BE6">
        <w:t xml:space="preserve"> </w:t>
      </w:r>
    </w:p>
    <w:p w14:paraId="5DB28DC0" w14:textId="13245F07" w:rsidR="00844DBA" w:rsidRPr="007B5BE6" w:rsidRDefault="00CB16F1" w:rsidP="00844DBA">
      <w:pPr>
        <w:pStyle w:val="DotPointTLRI"/>
      </w:pPr>
      <w:r w:rsidRPr="007B5BE6">
        <w:t xml:space="preserve">estimating </w:t>
      </w:r>
      <w:r w:rsidR="00365422" w:rsidRPr="007B5BE6">
        <w:t xml:space="preserve">the </w:t>
      </w:r>
      <w:r w:rsidRPr="007B5BE6">
        <w:t>prevalence of abuse of older people</w:t>
      </w:r>
      <w:r w:rsidR="00365422" w:rsidRPr="007B5BE6">
        <w:t xml:space="preserve">, noting that </w:t>
      </w:r>
      <w:r w:rsidRPr="007B5BE6">
        <w:t>it had not received the same public health priority as other forms of violence</w:t>
      </w:r>
      <w:r w:rsidR="00844DBA" w:rsidRPr="007B5BE6">
        <w:t>;</w:t>
      </w:r>
      <w:r w:rsidR="00971E8D" w:rsidRPr="007B5BE6">
        <w:rPr>
          <w:rStyle w:val="FootnoteReference"/>
        </w:rPr>
        <w:footnoteReference w:id="393"/>
      </w:r>
      <w:r w:rsidR="00844DBA" w:rsidRPr="007B5BE6">
        <w:t xml:space="preserve"> and </w:t>
      </w:r>
      <w:r w:rsidRPr="007B5BE6">
        <w:t xml:space="preserve"> </w:t>
      </w:r>
    </w:p>
    <w:p w14:paraId="1493DE9B" w14:textId="1FE42E67" w:rsidR="006C799A" w:rsidRPr="007B5BE6" w:rsidRDefault="00844DBA" w:rsidP="00AE18E7">
      <w:pPr>
        <w:pStyle w:val="DotPointTLRI"/>
        <w:rPr>
          <w:b/>
          <w:bCs/>
        </w:rPr>
      </w:pPr>
      <w:r w:rsidRPr="007B5BE6">
        <w:t xml:space="preserve">current responses </w:t>
      </w:r>
      <w:r w:rsidR="00B62401" w:rsidRPr="007B5BE6">
        <w:t xml:space="preserve">documented </w:t>
      </w:r>
      <w:r w:rsidR="005236F1" w:rsidRPr="007B5BE6">
        <w:t xml:space="preserve">as part of </w:t>
      </w:r>
      <w:r w:rsidRPr="007B5BE6">
        <w:t xml:space="preserve">the circumstances </w:t>
      </w:r>
      <w:r w:rsidR="005236F1" w:rsidRPr="007B5BE6">
        <w:t xml:space="preserve">leading up to </w:t>
      </w:r>
      <w:r w:rsidRPr="007B5BE6">
        <w:t>Mrs Mackozdi’s death, including ‘red flags’</w:t>
      </w:r>
      <w:r w:rsidR="00AC1F3D" w:rsidRPr="007B5BE6">
        <w:t xml:space="preserve">, </w:t>
      </w:r>
      <w:r w:rsidR="0012715A" w:rsidRPr="007B5BE6">
        <w:t xml:space="preserve">set out in Table </w:t>
      </w:r>
      <w:r w:rsidR="00A13491" w:rsidRPr="007B5BE6">
        <w:t>4.2</w:t>
      </w:r>
      <w:r w:rsidR="00AC1F3D" w:rsidRPr="007B5BE6">
        <w:t xml:space="preserve"> </w:t>
      </w:r>
      <w:r w:rsidR="0012715A" w:rsidRPr="007B5BE6">
        <w:t>according to the service area and contact points/response opportunities</w:t>
      </w:r>
      <w:r w:rsidR="00365422" w:rsidRPr="007B5BE6">
        <w:t xml:space="preserve">, </w:t>
      </w:r>
      <w:r w:rsidR="0012715A" w:rsidRPr="007B5BE6">
        <w:t>as described by the coroner</w:t>
      </w:r>
      <w:r w:rsidR="00AC1F3D" w:rsidRPr="007B5BE6">
        <w:t>.</w:t>
      </w:r>
      <w:r w:rsidR="00971E8D" w:rsidRPr="007B5BE6">
        <w:rPr>
          <w:rStyle w:val="FootnoteReference"/>
        </w:rPr>
        <w:footnoteReference w:id="394"/>
      </w:r>
      <w:r w:rsidR="00971E8D" w:rsidRPr="007B5BE6">
        <w:rPr>
          <w:b/>
          <w:bCs/>
        </w:rPr>
        <w:t xml:space="preserve"> </w:t>
      </w:r>
    </w:p>
    <w:p w14:paraId="17726FF3" w14:textId="314E5726" w:rsidR="00CB16F1" w:rsidRPr="007B5BE6" w:rsidRDefault="00CB16F1" w:rsidP="00BB7987">
      <w:pPr>
        <w:spacing w:before="240" w:after="240"/>
        <w:rPr>
          <w:b/>
          <w:bCs/>
        </w:rPr>
      </w:pPr>
      <w:r w:rsidRPr="007B5BE6">
        <w:rPr>
          <w:b/>
          <w:bCs/>
        </w:rPr>
        <w:t xml:space="preserve">Table </w:t>
      </w:r>
      <w:r w:rsidR="00A13491" w:rsidRPr="007B5BE6">
        <w:rPr>
          <w:b/>
          <w:bCs/>
        </w:rPr>
        <w:t>4.2:</w:t>
      </w:r>
      <w:r w:rsidRPr="007B5BE6">
        <w:rPr>
          <w:b/>
          <w:bCs/>
        </w:rPr>
        <w:t xml:space="preserve"> Points in time when protective intervention could have occurred: </w:t>
      </w:r>
      <w:r w:rsidR="00DE06B0" w:rsidRPr="007B5BE6">
        <w:rPr>
          <w:b/>
          <w:bCs/>
        </w:rPr>
        <w:t xml:space="preserve">Inquest into the death of </w:t>
      </w:r>
      <w:r w:rsidRPr="007B5BE6">
        <w:rPr>
          <w:b/>
          <w:bCs/>
        </w:rPr>
        <w:t xml:space="preserve">Mrs Mackozdi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38"/>
        <w:gridCol w:w="7178"/>
      </w:tblGrid>
      <w:tr w:rsidR="00CB16F1" w:rsidRPr="007B5BE6" w14:paraId="42B3FFE0" w14:textId="77777777" w:rsidTr="00DD6211">
        <w:tc>
          <w:tcPr>
            <w:tcW w:w="1838" w:type="dxa"/>
            <w:tcBorders>
              <w:top w:val="single" w:sz="8" w:space="0" w:color="auto"/>
              <w:bottom w:val="single" w:sz="8" w:space="0" w:color="auto"/>
            </w:tcBorders>
            <w:shd w:val="clear" w:color="auto" w:fill="FFFFFF" w:themeFill="background1"/>
          </w:tcPr>
          <w:p w14:paraId="1C3D891B" w14:textId="77777777" w:rsidR="00CB16F1" w:rsidRPr="007B5BE6" w:rsidRDefault="00CB16F1" w:rsidP="00E37E26">
            <w:pPr>
              <w:rPr>
                <w:b/>
                <w:bCs/>
                <w:sz w:val="20"/>
                <w:szCs w:val="20"/>
              </w:rPr>
            </w:pPr>
            <w:r w:rsidRPr="007B5BE6">
              <w:rPr>
                <w:b/>
                <w:bCs/>
                <w:sz w:val="20"/>
                <w:szCs w:val="20"/>
              </w:rPr>
              <w:t>Service area</w:t>
            </w:r>
          </w:p>
        </w:tc>
        <w:tc>
          <w:tcPr>
            <w:tcW w:w="7178" w:type="dxa"/>
            <w:tcBorders>
              <w:top w:val="single" w:sz="8" w:space="0" w:color="auto"/>
              <w:bottom w:val="single" w:sz="8" w:space="0" w:color="auto"/>
            </w:tcBorders>
            <w:shd w:val="clear" w:color="auto" w:fill="FFFFFF" w:themeFill="background1"/>
          </w:tcPr>
          <w:p w14:paraId="7FC1A3C0" w14:textId="42BD3F26" w:rsidR="00CB16F1" w:rsidRPr="007B5BE6" w:rsidRDefault="00CB16F1" w:rsidP="00E37E26">
            <w:pPr>
              <w:rPr>
                <w:b/>
                <w:bCs/>
                <w:sz w:val="20"/>
                <w:szCs w:val="20"/>
              </w:rPr>
            </w:pPr>
            <w:r w:rsidRPr="007B5BE6">
              <w:rPr>
                <w:b/>
                <w:bCs/>
                <w:sz w:val="20"/>
                <w:szCs w:val="20"/>
              </w:rPr>
              <w:t xml:space="preserve">Contact points/response opportunities </w:t>
            </w:r>
          </w:p>
        </w:tc>
      </w:tr>
      <w:tr w:rsidR="00CB16F1" w:rsidRPr="007B5BE6" w14:paraId="01A56DB4" w14:textId="77777777" w:rsidTr="00DD6211">
        <w:tc>
          <w:tcPr>
            <w:tcW w:w="1838" w:type="dxa"/>
            <w:tcBorders>
              <w:top w:val="single" w:sz="8" w:space="0" w:color="auto"/>
            </w:tcBorders>
          </w:tcPr>
          <w:p w14:paraId="0E6C096C" w14:textId="54D9D839" w:rsidR="00CB16F1" w:rsidRPr="007B5BE6" w:rsidRDefault="00CB16F1" w:rsidP="0004503A">
            <w:pPr>
              <w:jc w:val="left"/>
              <w:rPr>
                <w:sz w:val="20"/>
                <w:szCs w:val="20"/>
              </w:rPr>
            </w:pPr>
            <w:r w:rsidRPr="007B5BE6">
              <w:rPr>
                <w:sz w:val="20"/>
                <w:szCs w:val="20"/>
              </w:rPr>
              <w:t>Health (specialist/G</w:t>
            </w:r>
            <w:r w:rsidR="00365422" w:rsidRPr="007B5BE6">
              <w:rPr>
                <w:sz w:val="20"/>
                <w:szCs w:val="20"/>
              </w:rPr>
              <w:t>eneral Practitioner (‘G</w:t>
            </w:r>
            <w:r w:rsidRPr="007B5BE6">
              <w:rPr>
                <w:sz w:val="20"/>
                <w:szCs w:val="20"/>
              </w:rPr>
              <w:t>P</w:t>
            </w:r>
            <w:r w:rsidR="00365422" w:rsidRPr="007B5BE6">
              <w:rPr>
                <w:sz w:val="20"/>
                <w:szCs w:val="20"/>
              </w:rPr>
              <w:t>’</w:t>
            </w:r>
            <w:r w:rsidRPr="007B5BE6">
              <w:rPr>
                <w:sz w:val="20"/>
                <w:szCs w:val="20"/>
              </w:rPr>
              <w:t>)</w:t>
            </w:r>
            <w:r w:rsidR="0098484C" w:rsidRPr="007B5BE6">
              <w:rPr>
                <w:sz w:val="20"/>
                <w:szCs w:val="20"/>
              </w:rPr>
              <w:t>)</w:t>
            </w:r>
          </w:p>
        </w:tc>
        <w:tc>
          <w:tcPr>
            <w:tcW w:w="7178" w:type="dxa"/>
            <w:tcBorders>
              <w:top w:val="single" w:sz="8" w:space="0" w:color="auto"/>
            </w:tcBorders>
          </w:tcPr>
          <w:p w14:paraId="61B22DED" w14:textId="52555666" w:rsidR="00CB16F1" w:rsidRPr="007B5BE6" w:rsidRDefault="00CB16F1" w:rsidP="0004503A">
            <w:pPr>
              <w:jc w:val="left"/>
              <w:rPr>
                <w:sz w:val="20"/>
                <w:szCs w:val="20"/>
              </w:rPr>
            </w:pPr>
            <w:r w:rsidRPr="007B5BE6">
              <w:rPr>
                <w:sz w:val="20"/>
                <w:szCs w:val="20"/>
              </w:rPr>
              <w:t>Low score MMSE;</w:t>
            </w:r>
            <w:r w:rsidR="00365422" w:rsidRPr="007B5BE6">
              <w:rPr>
                <w:rStyle w:val="FootnoteReference"/>
                <w:sz w:val="20"/>
                <w:szCs w:val="20"/>
              </w:rPr>
              <w:footnoteReference w:id="395"/>
            </w:r>
            <w:r w:rsidRPr="007B5BE6">
              <w:rPr>
                <w:sz w:val="20"/>
                <w:szCs w:val="20"/>
              </w:rPr>
              <w:t xml:space="preserve"> did not attend proposed specialist follow-up appointment; changed GP</w:t>
            </w:r>
            <w:r w:rsidR="0098484C" w:rsidRPr="007B5BE6">
              <w:rPr>
                <w:sz w:val="20"/>
                <w:szCs w:val="20"/>
              </w:rPr>
              <w:t>.</w:t>
            </w:r>
          </w:p>
          <w:p w14:paraId="0B98D80F" w14:textId="0659E0C7" w:rsidR="00CB16F1" w:rsidRPr="007B5BE6" w:rsidRDefault="00CB16F1" w:rsidP="0004503A">
            <w:pPr>
              <w:jc w:val="left"/>
              <w:rPr>
                <w:sz w:val="20"/>
                <w:szCs w:val="20"/>
              </w:rPr>
            </w:pPr>
            <w:r w:rsidRPr="007B5BE6">
              <w:rPr>
                <w:sz w:val="20"/>
                <w:szCs w:val="20"/>
              </w:rPr>
              <w:t>Two irregular visits to GP; Mrs Mackozdi unable to walk on both occasions; no take-up offers of community support</w:t>
            </w:r>
            <w:r w:rsidR="0098484C" w:rsidRPr="007B5BE6">
              <w:rPr>
                <w:sz w:val="20"/>
                <w:szCs w:val="20"/>
              </w:rPr>
              <w:t>.</w:t>
            </w:r>
          </w:p>
        </w:tc>
      </w:tr>
      <w:tr w:rsidR="00CB16F1" w:rsidRPr="007B5BE6" w14:paraId="51501D32" w14:textId="77777777" w:rsidTr="00C36293">
        <w:tc>
          <w:tcPr>
            <w:tcW w:w="1838" w:type="dxa"/>
          </w:tcPr>
          <w:p w14:paraId="426E32FC" w14:textId="77777777" w:rsidR="00CB16F1" w:rsidRPr="007B5BE6" w:rsidRDefault="00CB16F1" w:rsidP="0004503A">
            <w:pPr>
              <w:jc w:val="left"/>
              <w:rPr>
                <w:sz w:val="20"/>
                <w:szCs w:val="20"/>
              </w:rPr>
            </w:pPr>
            <w:r w:rsidRPr="007B5BE6">
              <w:rPr>
                <w:sz w:val="20"/>
                <w:szCs w:val="20"/>
              </w:rPr>
              <w:t xml:space="preserve">Health (hospital) </w:t>
            </w:r>
          </w:p>
        </w:tc>
        <w:tc>
          <w:tcPr>
            <w:tcW w:w="7178" w:type="dxa"/>
          </w:tcPr>
          <w:p w14:paraId="18A6C7EA" w14:textId="43A8B050" w:rsidR="00CB16F1" w:rsidRPr="007B5BE6" w:rsidRDefault="00CB16F1" w:rsidP="0004503A">
            <w:pPr>
              <w:jc w:val="left"/>
              <w:rPr>
                <w:sz w:val="20"/>
                <w:szCs w:val="20"/>
              </w:rPr>
            </w:pPr>
            <w:r w:rsidRPr="007B5BE6">
              <w:rPr>
                <w:sz w:val="20"/>
                <w:szCs w:val="20"/>
              </w:rPr>
              <w:t>Mrs Mackozdi known to have no capacity to sign documents</w:t>
            </w:r>
            <w:r w:rsidR="005D4FBC" w:rsidRPr="007B5BE6">
              <w:rPr>
                <w:sz w:val="20"/>
                <w:szCs w:val="20"/>
              </w:rPr>
              <w:t>,</w:t>
            </w:r>
            <w:r w:rsidRPr="007B5BE6">
              <w:rPr>
                <w:sz w:val="20"/>
                <w:szCs w:val="20"/>
              </w:rPr>
              <w:t xml:space="preserve"> due to dementia</w:t>
            </w:r>
            <w:r w:rsidR="005D4FBC" w:rsidRPr="007B5BE6">
              <w:rPr>
                <w:sz w:val="20"/>
                <w:szCs w:val="20"/>
              </w:rPr>
              <w:t>,</w:t>
            </w:r>
            <w:r w:rsidRPr="007B5BE6">
              <w:rPr>
                <w:sz w:val="20"/>
                <w:szCs w:val="20"/>
              </w:rPr>
              <w:t xml:space="preserve"> and no capacity to eat properly; recommended for permanent and high residential care; no power of attorney</w:t>
            </w:r>
            <w:r w:rsidR="0098484C" w:rsidRPr="007B5BE6">
              <w:rPr>
                <w:sz w:val="20"/>
                <w:szCs w:val="20"/>
              </w:rPr>
              <w:t>.</w:t>
            </w:r>
            <w:r w:rsidRPr="007B5BE6">
              <w:rPr>
                <w:sz w:val="20"/>
                <w:szCs w:val="20"/>
              </w:rPr>
              <w:t xml:space="preserve"> </w:t>
            </w:r>
          </w:p>
        </w:tc>
      </w:tr>
      <w:tr w:rsidR="00CB16F1" w:rsidRPr="007B5BE6" w14:paraId="6797BE20" w14:textId="77777777" w:rsidTr="00C36293">
        <w:tc>
          <w:tcPr>
            <w:tcW w:w="1838" w:type="dxa"/>
          </w:tcPr>
          <w:p w14:paraId="097CE20E" w14:textId="77777777" w:rsidR="00CB16F1" w:rsidRPr="007B5BE6" w:rsidRDefault="00CB16F1" w:rsidP="0004503A">
            <w:pPr>
              <w:jc w:val="left"/>
              <w:rPr>
                <w:sz w:val="20"/>
                <w:szCs w:val="20"/>
              </w:rPr>
            </w:pPr>
            <w:r w:rsidRPr="007B5BE6">
              <w:rPr>
                <w:sz w:val="20"/>
                <w:szCs w:val="20"/>
              </w:rPr>
              <w:t>Probate</w:t>
            </w:r>
          </w:p>
        </w:tc>
        <w:tc>
          <w:tcPr>
            <w:tcW w:w="7178" w:type="dxa"/>
          </w:tcPr>
          <w:p w14:paraId="16F8F33A" w14:textId="02442F62" w:rsidR="00CB16F1" w:rsidRPr="007B5BE6" w:rsidRDefault="00CB16F1" w:rsidP="0004503A">
            <w:pPr>
              <w:jc w:val="left"/>
              <w:rPr>
                <w:sz w:val="20"/>
                <w:szCs w:val="20"/>
              </w:rPr>
            </w:pPr>
            <w:r w:rsidRPr="007B5BE6">
              <w:rPr>
                <w:sz w:val="20"/>
                <w:szCs w:val="20"/>
              </w:rPr>
              <w:t>Clerk organised transfer of Mrs Mackozdi’s property at daughter</w:t>
            </w:r>
            <w:r w:rsidR="00F4091F" w:rsidRPr="007B5BE6">
              <w:rPr>
                <w:sz w:val="20"/>
                <w:szCs w:val="20"/>
              </w:rPr>
              <w:t>’s</w:t>
            </w:r>
            <w:r w:rsidRPr="007B5BE6">
              <w:rPr>
                <w:sz w:val="20"/>
                <w:szCs w:val="20"/>
              </w:rPr>
              <w:t xml:space="preserve"> request; did not take measures to ascertain whether Mrs Mackozdi was of sound mind and understood</w:t>
            </w:r>
            <w:r w:rsidR="0098484C" w:rsidRPr="007B5BE6">
              <w:rPr>
                <w:sz w:val="20"/>
                <w:szCs w:val="20"/>
              </w:rPr>
              <w:t>.</w:t>
            </w:r>
            <w:r w:rsidRPr="007B5BE6">
              <w:rPr>
                <w:sz w:val="20"/>
                <w:szCs w:val="20"/>
              </w:rPr>
              <w:t xml:space="preserve"> </w:t>
            </w:r>
          </w:p>
        </w:tc>
      </w:tr>
      <w:tr w:rsidR="00CB16F1" w:rsidRPr="007B5BE6" w14:paraId="007AA7A0" w14:textId="77777777" w:rsidTr="00C36293">
        <w:tc>
          <w:tcPr>
            <w:tcW w:w="1838" w:type="dxa"/>
          </w:tcPr>
          <w:p w14:paraId="4365CB75" w14:textId="77777777" w:rsidR="00CB16F1" w:rsidRPr="007B5BE6" w:rsidRDefault="00CB16F1" w:rsidP="0004503A">
            <w:pPr>
              <w:jc w:val="left"/>
              <w:rPr>
                <w:sz w:val="20"/>
                <w:szCs w:val="20"/>
              </w:rPr>
            </w:pPr>
            <w:r w:rsidRPr="007B5BE6">
              <w:rPr>
                <w:sz w:val="20"/>
                <w:szCs w:val="20"/>
              </w:rPr>
              <w:t xml:space="preserve">Aged care </w:t>
            </w:r>
          </w:p>
        </w:tc>
        <w:tc>
          <w:tcPr>
            <w:tcW w:w="7178" w:type="dxa"/>
          </w:tcPr>
          <w:p w14:paraId="333B2EAE" w14:textId="7F0D34FB" w:rsidR="00CB16F1" w:rsidRPr="007B5BE6" w:rsidRDefault="00CB16F1" w:rsidP="0004503A">
            <w:pPr>
              <w:jc w:val="left"/>
              <w:rPr>
                <w:sz w:val="20"/>
                <w:szCs w:val="20"/>
              </w:rPr>
            </w:pPr>
            <w:r w:rsidRPr="007B5BE6">
              <w:rPr>
                <w:sz w:val="20"/>
                <w:szCs w:val="20"/>
              </w:rPr>
              <w:t xml:space="preserve">Premature discharge from </w:t>
            </w:r>
            <w:r w:rsidR="00F55AE0" w:rsidRPr="007B5BE6">
              <w:rPr>
                <w:sz w:val="20"/>
                <w:szCs w:val="20"/>
              </w:rPr>
              <w:t>aged care facility</w:t>
            </w:r>
            <w:r w:rsidRPr="007B5BE6">
              <w:rPr>
                <w:sz w:val="20"/>
                <w:szCs w:val="20"/>
              </w:rPr>
              <w:t xml:space="preserve"> into </w:t>
            </w:r>
            <w:r w:rsidR="00F4091F" w:rsidRPr="007B5BE6">
              <w:rPr>
                <w:sz w:val="20"/>
                <w:szCs w:val="20"/>
              </w:rPr>
              <w:t>daughter</w:t>
            </w:r>
            <w:r w:rsidRPr="007B5BE6">
              <w:rPr>
                <w:sz w:val="20"/>
                <w:szCs w:val="20"/>
              </w:rPr>
              <w:t>’s care; no independent assessment as to whether care needs would be met</w:t>
            </w:r>
            <w:r w:rsidR="0098484C" w:rsidRPr="007B5BE6">
              <w:rPr>
                <w:sz w:val="20"/>
                <w:szCs w:val="20"/>
              </w:rPr>
              <w:t>.</w:t>
            </w:r>
          </w:p>
        </w:tc>
      </w:tr>
      <w:tr w:rsidR="00CB16F1" w:rsidRPr="007B5BE6" w14:paraId="123BA4FB" w14:textId="77777777" w:rsidTr="00C36293">
        <w:tc>
          <w:tcPr>
            <w:tcW w:w="1838" w:type="dxa"/>
          </w:tcPr>
          <w:p w14:paraId="7C7D5381" w14:textId="77777777" w:rsidR="00CB16F1" w:rsidRPr="007B5BE6" w:rsidRDefault="00CB16F1" w:rsidP="0004503A">
            <w:pPr>
              <w:jc w:val="left"/>
              <w:rPr>
                <w:sz w:val="20"/>
                <w:szCs w:val="20"/>
              </w:rPr>
            </w:pPr>
            <w:r w:rsidRPr="007B5BE6">
              <w:rPr>
                <w:sz w:val="20"/>
                <w:szCs w:val="20"/>
              </w:rPr>
              <w:t xml:space="preserve">Banking </w:t>
            </w:r>
          </w:p>
        </w:tc>
        <w:tc>
          <w:tcPr>
            <w:tcW w:w="7178" w:type="dxa"/>
          </w:tcPr>
          <w:p w14:paraId="6EF96669" w14:textId="07F62A45" w:rsidR="00CB16F1" w:rsidRPr="007B5BE6" w:rsidRDefault="00CB16F1" w:rsidP="0004503A">
            <w:pPr>
              <w:jc w:val="left"/>
              <w:rPr>
                <w:sz w:val="20"/>
                <w:szCs w:val="20"/>
              </w:rPr>
            </w:pPr>
            <w:r w:rsidRPr="007B5BE6">
              <w:rPr>
                <w:sz w:val="20"/>
                <w:szCs w:val="20"/>
              </w:rPr>
              <w:t xml:space="preserve">Bank gave </w:t>
            </w:r>
            <w:r w:rsidR="00F55AE0" w:rsidRPr="007B5BE6">
              <w:rPr>
                <w:sz w:val="20"/>
                <w:szCs w:val="20"/>
              </w:rPr>
              <w:t>daughter</w:t>
            </w:r>
            <w:r w:rsidRPr="007B5BE6">
              <w:rPr>
                <w:sz w:val="20"/>
                <w:szCs w:val="20"/>
              </w:rPr>
              <w:t xml:space="preserve"> Authority to Operate Mrs Mackozdi’s accounts where there was no power of attorney, no guardianship order or assessment of capacity and </w:t>
            </w:r>
            <w:r w:rsidR="003F1132" w:rsidRPr="007B5BE6">
              <w:rPr>
                <w:sz w:val="20"/>
                <w:szCs w:val="20"/>
              </w:rPr>
              <w:t>daughter was</w:t>
            </w:r>
            <w:r w:rsidRPr="007B5BE6">
              <w:rPr>
                <w:sz w:val="20"/>
                <w:szCs w:val="20"/>
              </w:rPr>
              <w:t xml:space="preserve"> not in receipt of carers’ benefit</w:t>
            </w:r>
            <w:r w:rsidR="0098484C" w:rsidRPr="007B5BE6">
              <w:rPr>
                <w:sz w:val="20"/>
                <w:szCs w:val="20"/>
              </w:rPr>
              <w:t>.</w:t>
            </w:r>
          </w:p>
          <w:p w14:paraId="70DABAC2" w14:textId="67A7CDB5" w:rsidR="00CB16F1" w:rsidRPr="007B5BE6" w:rsidRDefault="00CB16F1" w:rsidP="0004503A">
            <w:pPr>
              <w:jc w:val="left"/>
              <w:rPr>
                <w:sz w:val="20"/>
                <w:szCs w:val="20"/>
              </w:rPr>
            </w:pPr>
            <w:r w:rsidRPr="007B5BE6">
              <w:rPr>
                <w:sz w:val="20"/>
                <w:szCs w:val="20"/>
              </w:rPr>
              <w:t>Continued withdrawals from Mrs Mackozdi’s accounts, including large sums of money</w:t>
            </w:r>
            <w:r w:rsidR="0098484C" w:rsidRPr="007B5BE6">
              <w:rPr>
                <w:sz w:val="20"/>
                <w:szCs w:val="20"/>
              </w:rPr>
              <w:t>.</w:t>
            </w:r>
            <w:r w:rsidRPr="007B5BE6">
              <w:rPr>
                <w:sz w:val="20"/>
                <w:szCs w:val="20"/>
              </w:rPr>
              <w:t xml:space="preserve"> </w:t>
            </w:r>
          </w:p>
        </w:tc>
      </w:tr>
    </w:tbl>
    <w:p w14:paraId="29FBF9A9" w14:textId="77777777" w:rsidR="00F44BD1" w:rsidRPr="007B5BE6" w:rsidRDefault="00F44BD1">
      <w:pPr>
        <w:spacing w:after="200" w:line="276" w:lineRule="auto"/>
        <w:jc w:val="left"/>
        <w:rPr>
          <w:rFonts w:eastAsia="Times" w:cs="Times New Roman"/>
          <w:szCs w:val="20"/>
        </w:rPr>
      </w:pPr>
      <w:r w:rsidRPr="007B5BE6">
        <w:br w:type="page"/>
      </w:r>
    </w:p>
    <w:p w14:paraId="180F7883" w14:textId="2AAF8131" w:rsidR="00AD5857" w:rsidRPr="007B5BE6" w:rsidRDefault="00CB16F1" w:rsidP="008F5103">
      <w:pPr>
        <w:pStyle w:val="NormalNumberedTextTLRI"/>
      </w:pPr>
      <w:r w:rsidRPr="007B5BE6">
        <w:lastRenderedPageBreak/>
        <w:t xml:space="preserve">The coroner </w:t>
      </w:r>
      <w:r w:rsidR="003F1132" w:rsidRPr="007B5BE6">
        <w:t>made observations about the la</w:t>
      </w:r>
      <w:r w:rsidR="00F81DA9" w:rsidRPr="007B5BE6">
        <w:t xml:space="preserve">ck of </w:t>
      </w:r>
      <w:r w:rsidR="00D05C8F" w:rsidRPr="007B5BE6">
        <w:t>monitoring</w:t>
      </w:r>
      <w:r w:rsidR="00F81DA9" w:rsidRPr="007B5BE6">
        <w:t xml:space="preserve"> </w:t>
      </w:r>
      <w:r w:rsidR="00CC702F" w:rsidRPr="007B5BE6">
        <w:t xml:space="preserve">concerning abusive behaviour, </w:t>
      </w:r>
      <w:r w:rsidR="00F81DA9" w:rsidRPr="007B5BE6">
        <w:t xml:space="preserve">and the need </w:t>
      </w:r>
      <w:r w:rsidR="00CC702F" w:rsidRPr="007B5BE6">
        <w:t xml:space="preserve">for the availability of </w:t>
      </w:r>
      <w:r w:rsidR="00F81DA9" w:rsidRPr="007B5BE6">
        <w:t xml:space="preserve">effective measures </w:t>
      </w:r>
      <w:r w:rsidR="008F5103" w:rsidRPr="007B5BE6">
        <w:t>to allow for an ‘alarm’ to be raised and better protection be afforded to older people.</w:t>
      </w:r>
      <w:r w:rsidR="00726E33" w:rsidRPr="007B5BE6">
        <w:rPr>
          <w:rStyle w:val="FootnoteReference"/>
        </w:rPr>
        <w:footnoteReference w:id="396"/>
      </w:r>
      <w:r w:rsidR="008F5103" w:rsidRPr="007B5BE6">
        <w:t xml:space="preserve"> </w:t>
      </w:r>
      <w:r w:rsidRPr="007B5BE6">
        <w:t>The coroner</w:t>
      </w:r>
      <w:r w:rsidR="00ED6564" w:rsidRPr="007B5BE6">
        <w:t xml:space="preserve"> further noted</w:t>
      </w:r>
      <w:r w:rsidR="00AD5857" w:rsidRPr="007B5BE6">
        <w:t>:</w:t>
      </w:r>
    </w:p>
    <w:p w14:paraId="50011516" w14:textId="7D80B3AD" w:rsidR="00CB16F1" w:rsidRPr="007B5BE6" w:rsidRDefault="00BC1ACC" w:rsidP="00AD5857">
      <w:pPr>
        <w:pStyle w:val="DotPointTLRI"/>
      </w:pPr>
      <w:r w:rsidRPr="007B5BE6">
        <w:t>Some o</w:t>
      </w:r>
      <w:r w:rsidR="00CF3D70" w:rsidRPr="007B5BE6">
        <w:t>ptions for assistance</w:t>
      </w:r>
      <w:r w:rsidR="00CB16F1" w:rsidRPr="007B5BE6">
        <w:t xml:space="preserve"> </w:t>
      </w:r>
      <w:r w:rsidR="00475E75" w:rsidRPr="007B5BE6">
        <w:t xml:space="preserve">were potentially available under the </w:t>
      </w:r>
      <w:r w:rsidRPr="007B5BE6">
        <w:t xml:space="preserve">Tasmanian </w:t>
      </w:r>
      <w:r w:rsidR="00475E75" w:rsidRPr="007B5BE6">
        <w:t xml:space="preserve">policy approach at the time, with its </w:t>
      </w:r>
      <w:r w:rsidR="00CB16F1" w:rsidRPr="007B5BE6">
        <w:t>emphasis on specialist service system response</w:t>
      </w:r>
      <w:r w:rsidR="00202B25" w:rsidRPr="007B5BE6">
        <w:t>s</w:t>
      </w:r>
      <w:r w:rsidR="002702F7" w:rsidRPr="007B5BE6">
        <w:t>. Further,</w:t>
      </w:r>
      <w:r w:rsidR="00CB16F1" w:rsidRPr="007B5BE6">
        <w:t xml:space="preserve"> </w:t>
      </w:r>
      <w:r w:rsidRPr="007B5BE6">
        <w:t xml:space="preserve">there were some </w:t>
      </w:r>
      <w:r w:rsidR="00CB16F1" w:rsidRPr="007B5BE6">
        <w:t xml:space="preserve">possible protections that could have been afforded </w:t>
      </w:r>
      <w:r w:rsidR="009B5ED9" w:rsidRPr="007B5BE6">
        <w:t>by</w:t>
      </w:r>
      <w:r w:rsidR="00CB16F1" w:rsidRPr="007B5BE6">
        <w:t xml:space="preserve"> </w:t>
      </w:r>
      <w:r w:rsidR="00CF3D70" w:rsidRPr="007B5BE6">
        <w:t>the current legal and service framework (</w:t>
      </w:r>
      <w:r w:rsidR="002702F7" w:rsidRPr="007B5BE6">
        <w:t>for example, under</w:t>
      </w:r>
      <w:r w:rsidR="00875A66" w:rsidRPr="007B5BE6">
        <w:t xml:space="preserve"> laws </w:t>
      </w:r>
      <w:r w:rsidR="002702F7" w:rsidRPr="007B5BE6">
        <w:t xml:space="preserve">concerning </w:t>
      </w:r>
      <w:r w:rsidR="00CB16F1" w:rsidRPr="007B5BE6">
        <w:t>guardian and administration</w:t>
      </w:r>
      <w:r w:rsidR="002702F7" w:rsidRPr="007B5BE6">
        <w:t>,</w:t>
      </w:r>
      <w:r w:rsidR="00CB16F1" w:rsidRPr="007B5BE6">
        <w:t xml:space="preserve"> and aged care</w:t>
      </w:r>
      <w:r w:rsidR="00CF3D70" w:rsidRPr="007B5BE6">
        <w:t>)</w:t>
      </w:r>
      <w:r w:rsidR="009B5ED9" w:rsidRPr="007B5BE6">
        <w:t>; however</w:t>
      </w:r>
      <w:r w:rsidR="00B62401" w:rsidRPr="007B5BE6">
        <w:t>,</w:t>
      </w:r>
      <w:r w:rsidR="009B5ED9" w:rsidRPr="007B5BE6">
        <w:t xml:space="preserve"> </w:t>
      </w:r>
      <w:r w:rsidR="00CB16F1" w:rsidRPr="007B5BE6">
        <w:t>that ‘there is currently no adequate complaint mechanism or oversight body in respect of protection of older persons’.</w:t>
      </w:r>
      <w:r w:rsidR="00A56D70" w:rsidRPr="007B5BE6">
        <w:rPr>
          <w:rStyle w:val="FootnoteReference"/>
        </w:rPr>
        <w:footnoteReference w:id="397"/>
      </w:r>
    </w:p>
    <w:p w14:paraId="144F61EC" w14:textId="1365E3D3" w:rsidR="00FB699F" w:rsidRPr="007B5BE6" w:rsidRDefault="00AD5857" w:rsidP="00AD5857">
      <w:pPr>
        <w:pStyle w:val="DotPointTLRI"/>
      </w:pPr>
      <w:r w:rsidRPr="007B5BE6">
        <w:t>Although</w:t>
      </w:r>
      <w:r w:rsidR="00CB16F1" w:rsidRPr="007B5BE6">
        <w:t xml:space="preserve"> various agencies and bodie</w:t>
      </w:r>
      <w:r w:rsidRPr="007B5BE6">
        <w:t xml:space="preserve">s in Tasmania </w:t>
      </w:r>
      <w:r w:rsidR="0068120F" w:rsidRPr="007B5BE6">
        <w:t xml:space="preserve">have </w:t>
      </w:r>
      <w:r w:rsidR="00CB16F1" w:rsidRPr="007B5BE6">
        <w:t xml:space="preserve">a role in responding to complaints about </w:t>
      </w:r>
      <w:r w:rsidR="00FF28E1" w:rsidRPr="007B5BE6">
        <w:t xml:space="preserve">the </w:t>
      </w:r>
      <w:r w:rsidR="00CB16F1" w:rsidRPr="007B5BE6">
        <w:t>abuse of older people (including the police, Public Guardian, Ombudsman and courts)</w:t>
      </w:r>
      <w:r w:rsidR="002B51C9" w:rsidRPr="007B5BE6">
        <w:t>,</w:t>
      </w:r>
      <w:r w:rsidR="00CB16F1" w:rsidRPr="007B5BE6">
        <w:t xml:space="preserve"> their role</w:t>
      </w:r>
      <w:r w:rsidR="002B51C9" w:rsidRPr="007B5BE6">
        <w:t>s</w:t>
      </w:r>
      <w:r w:rsidR="00CB16F1" w:rsidRPr="007B5BE6">
        <w:t xml:space="preserve"> may be limited in their respective spheres. Further, even though the Public Guardian may have had the power to act, given Mrs Mackozdi’s impaired decision-making</w:t>
      </w:r>
      <w:r w:rsidR="002B51C9" w:rsidRPr="007B5BE6">
        <w:t xml:space="preserve"> ability</w:t>
      </w:r>
      <w:r w:rsidR="00CB16F1" w:rsidRPr="007B5BE6">
        <w:t xml:space="preserve">, its powers and resources </w:t>
      </w:r>
      <w:r w:rsidR="00B031E8" w:rsidRPr="007B5BE6">
        <w:t xml:space="preserve">(at the relevant time) </w:t>
      </w:r>
      <w:r w:rsidR="00CB16F1" w:rsidRPr="007B5BE6">
        <w:t>limited the responses that could have been taken.</w:t>
      </w:r>
      <w:r w:rsidR="00A56D70" w:rsidRPr="007B5BE6">
        <w:rPr>
          <w:rStyle w:val="FootnoteReference"/>
        </w:rPr>
        <w:footnoteReference w:id="398"/>
      </w:r>
      <w:r w:rsidR="00CB16F1" w:rsidRPr="007B5BE6">
        <w:t xml:space="preserve"> </w:t>
      </w:r>
    </w:p>
    <w:p w14:paraId="1CF9D587" w14:textId="3308033E" w:rsidR="00CB16F1" w:rsidRPr="007B5BE6" w:rsidRDefault="00FB699F" w:rsidP="00E37E26">
      <w:pPr>
        <w:pStyle w:val="NormalNumberedTextTLRI"/>
      </w:pPr>
      <w:r w:rsidRPr="007B5BE6">
        <w:t>Based on this, t</w:t>
      </w:r>
      <w:r w:rsidR="00CB16F1" w:rsidRPr="007B5BE6">
        <w:t>he coroner expressed the view that consideration should be given to ‘a body that is appropriately empowered and resourced to deal with complaints, investigations, education and oversight of elder abuse’.</w:t>
      </w:r>
      <w:r w:rsidR="005F1106" w:rsidRPr="007B5BE6">
        <w:rPr>
          <w:rStyle w:val="FootnoteReference"/>
        </w:rPr>
        <w:footnoteReference w:id="399"/>
      </w:r>
      <w:r w:rsidRPr="007B5BE6">
        <w:t xml:space="preserve"> </w:t>
      </w:r>
      <w:r w:rsidR="00CB16F1" w:rsidRPr="007B5BE6">
        <w:t>The coroner made six recommendations, including:</w:t>
      </w:r>
    </w:p>
    <w:p w14:paraId="378169F8" w14:textId="1D57761F" w:rsidR="00CB16F1" w:rsidRPr="007B5BE6" w:rsidRDefault="00584A36" w:rsidP="00CB16F1">
      <w:pPr>
        <w:pStyle w:val="DotPointTLRI"/>
      </w:pPr>
      <w:r w:rsidRPr="007B5BE6">
        <w:t xml:space="preserve">review of the </w:t>
      </w:r>
      <w:r w:rsidR="00FF28E1" w:rsidRPr="007B5BE6">
        <w:t xml:space="preserve">current </w:t>
      </w:r>
      <w:r w:rsidR="00CB16F1" w:rsidRPr="007B5BE6">
        <w:t>legislation to determine whether current components effectively and efficiently prevent or respond to abuse, neglect or exploitation of older people and</w:t>
      </w:r>
      <w:r w:rsidR="00CC30AA" w:rsidRPr="007B5BE6">
        <w:t>,</w:t>
      </w:r>
      <w:r w:rsidR="00CB16F1" w:rsidRPr="007B5BE6">
        <w:t xml:space="preserve"> if not, commence a program of reform to achieve that purpose</w:t>
      </w:r>
      <w:r w:rsidR="00CC30AA" w:rsidRPr="007B5BE6">
        <w:t>;</w:t>
      </w:r>
    </w:p>
    <w:p w14:paraId="7ACB2555" w14:textId="28E5671E" w:rsidR="00CB16F1" w:rsidRPr="007B5BE6" w:rsidRDefault="00584A36" w:rsidP="00CB16F1">
      <w:pPr>
        <w:pStyle w:val="DotPointTLRI"/>
      </w:pPr>
      <w:r w:rsidRPr="007B5BE6">
        <w:t xml:space="preserve">development of </w:t>
      </w:r>
      <w:r w:rsidR="00CB16F1" w:rsidRPr="007B5BE6">
        <w:t>a renewed action plan focused on abuse of older people, including a strategy for ascertaining the prevalence of abuse</w:t>
      </w:r>
      <w:r w:rsidR="00CC30AA" w:rsidRPr="007B5BE6">
        <w:t>,</w:t>
      </w:r>
      <w:r w:rsidR="00CB16F1" w:rsidRPr="007B5BE6">
        <w:t xml:space="preserve"> and responding to and preventing abuse;</w:t>
      </w:r>
    </w:p>
    <w:p w14:paraId="5E6430B4" w14:textId="55785DCA" w:rsidR="00CB16F1" w:rsidRPr="007B5BE6" w:rsidRDefault="00CB16F1" w:rsidP="00CB16F1">
      <w:pPr>
        <w:pStyle w:val="DotPointTLRI"/>
      </w:pPr>
      <w:r w:rsidRPr="007B5BE6">
        <w:t xml:space="preserve">analysis of the applicability of </w:t>
      </w:r>
      <w:r w:rsidR="00A30EAF" w:rsidRPr="007B5BE6">
        <w:t xml:space="preserve">previous </w:t>
      </w:r>
      <w:r w:rsidRPr="007B5BE6">
        <w:t xml:space="preserve">recommendations for preventing abuse of older people </w:t>
      </w:r>
      <w:r w:rsidR="00584A36" w:rsidRPr="007B5BE6">
        <w:t xml:space="preserve">made </w:t>
      </w:r>
      <w:r w:rsidRPr="007B5BE6">
        <w:t>in key review</w:t>
      </w:r>
      <w:r w:rsidR="00584A36" w:rsidRPr="007B5BE6">
        <w:t>s</w:t>
      </w:r>
      <w:r w:rsidRPr="007B5BE6">
        <w:t xml:space="preserve">, including the ALRC review; </w:t>
      </w:r>
      <w:r w:rsidR="00347545" w:rsidRPr="007B5BE6">
        <w:t>and</w:t>
      </w:r>
    </w:p>
    <w:p w14:paraId="44AD48ED" w14:textId="7B1B7D2C" w:rsidR="00CB16F1" w:rsidRPr="007B5BE6" w:rsidRDefault="00CB16F1" w:rsidP="00CB16F1">
      <w:pPr>
        <w:pStyle w:val="DotPointTLRI"/>
      </w:pPr>
      <w:r w:rsidRPr="007B5BE6">
        <w:t xml:space="preserve">consideration </w:t>
      </w:r>
      <w:r w:rsidR="00584A36" w:rsidRPr="007B5BE6">
        <w:t xml:space="preserve">be </w:t>
      </w:r>
      <w:r w:rsidRPr="007B5BE6">
        <w:t>given to establishing an independent body with specific responsibility for abuse</w:t>
      </w:r>
      <w:r w:rsidR="00A30EAF" w:rsidRPr="007B5BE6">
        <w:t xml:space="preserve"> of older people by </w:t>
      </w:r>
      <w:r w:rsidRPr="007B5BE6">
        <w:t>‘investigating complaints, researching and responding to the ill-treatment of older people, developing community education programs and by overseeing cases where there is a risk of elder abuse’, or alternatively giving consideration to enhancing the powers of, and appropriately resourcing, the Office of the Public Guardian to ensure such functions are effectively performed.</w:t>
      </w:r>
      <w:r w:rsidR="005F1106" w:rsidRPr="007B5BE6">
        <w:rPr>
          <w:rStyle w:val="FootnoteReference"/>
        </w:rPr>
        <w:footnoteReference w:id="400"/>
      </w:r>
      <w:r w:rsidRPr="007B5BE6">
        <w:t xml:space="preserve"> </w:t>
      </w:r>
    </w:p>
    <w:p w14:paraId="1794AF46" w14:textId="77777777" w:rsidR="00F44BD1" w:rsidRPr="007B5BE6" w:rsidRDefault="00F44BD1">
      <w:pPr>
        <w:spacing w:after="200" w:line="276" w:lineRule="auto"/>
        <w:jc w:val="left"/>
        <w:rPr>
          <w:rFonts w:eastAsia="Times" w:cs="Times New Roman"/>
          <w:szCs w:val="20"/>
        </w:rPr>
      </w:pPr>
      <w:r w:rsidRPr="007B5BE6">
        <w:br w:type="page"/>
      </w:r>
    </w:p>
    <w:p w14:paraId="46D37647" w14:textId="393DEC08" w:rsidR="00CB16F1" w:rsidRPr="007B5BE6" w:rsidRDefault="00CB16F1" w:rsidP="00CB16F1">
      <w:pPr>
        <w:pStyle w:val="NormalNumberedTextTLRI"/>
      </w:pPr>
      <w:r w:rsidRPr="007B5BE6">
        <w:lastRenderedPageBreak/>
        <w:t xml:space="preserve">In the </w:t>
      </w:r>
      <w:r w:rsidR="00FA60C5" w:rsidRPr="007B5BE6">
        <w:t xml:space="preserve">2024 investigation and </w:t>
      </w:r>
      <w:r w:rsidRPr="007B5BE6">
        <w:t xml:space="preserve">inquest into the death of Ms Atkins, Coroner Webster noted his investigation found </w:t>
      </w:r>
      <w:r w:rsidR="007662AA" w:rsidRPr="007B5BE6">
        <w:t>a</w:t>
      </w:r>
      <w:r w:rsidR="004006C2" w:rsidRPr="007B5BE6">
        <w:t xml:space="preserve"> </w:t>
      </w:r>
      <w:r w:rsidRPr="007B5BE6">
        <w:t xml:space="preserve">lack of action by Services Australia (the relevant Commonwealth Department) to determine the capability or ability of Ms Atkins’ son to be </w:t>
      </w:r>
      <w:r w:rsidR="00AF59F1" w:rsidRPr="007B5BE6">
        <w:t xml:space="preserve">her </w:t>
      </w:r>
      <w:r w:rsidRPr="007B5BE6">
        <w:t>carer or to check on whether care was being provided to an adequate standard</w:t>
      </w:r>
      <w:r w:rsidR="007662AA" w:rsidRPr="007B5BE6">
        <w:t xml:space="preserve">. </w:t>
      </w:r>
      <w:r w:rsidR="00D03E99" w:rsidRPr="007B5BE6">
        <w:t xml:space="preserve">The coroner indicated that this was not </w:t>
      </w:r>
      <w:r w:rsidRPr="007B5BE6">
        <w:t>appropriate</w:t>
      </w:r>
      <w:r w:rsidR="00D03E99" w:rsidRPr="007B5BE6">
        <w:t xml:space="preserve">, and </w:t>
      </w:r>
      <w:r w:rsidR="00C62D17" w:rsidRPr="007B5BE6">
        <w:t xml:space="preserve">further, </w:t>
      </w:r>
      <w:r w:rsidRPr="007B5BE6">
        <w:t xml:space="preserve">that there needed to be checks and balances to ensure that </w:t>
      </w:r>
      <w:r w:rsidR="00AF59F1" w:rsidRPr="007B5BE6">
        <w:t>such</w:t>
      </w:r>
      <w:r w:rsidR="004006C2" w:rsidRPr="007B5BE6">
        <w:t xml:space="preserve"> </w:t>
      </w:r>
      <w:r w:rsidRPr="007B5BE6">
        <w:t xml:space="preserve">care </w:t>
      </w:r>
      <w:r w:rsidR="004006C2" w:rsidRPr="007B5BE6">
        <w:t xml:space="preserve">of older people </w:t>
      </w:r>
      <w:r w:rsidRPr="007B5BE6">
        <w:t>was occurring as necessary.</w:t>
      </w:r>
      <w:r w:rsidR="005F1106" w:rsidRPr="007B5BE6">
        <w:rPr>
          <w:rStyle w:val="FootnoteReference"/>
        </w:rPr>
        <w:footnoteReference w:id="401"/>
      </w:r>
    </w:p>
    <w:p w14:paraId="4EB0C364" w14:textId="4CB76150" w:rsidR="00E8282C" w:rsidRPr="007B5BE6" w:rsidRDefault="00862B1F" w:rsidP="00C70BD3">
      <w:pPr>
        <w:pStyle w:val="Headingunnumbered"/>
        <w:spacing w:before="360"/>
      </w:pPr>
      <w:bookmarkStart w:id="550" w:name="_Toc212561776"/>
      <w:r w:rsidRPr="007B5BE6">
        <w:t xml:space="preserve">Preventing Elder Abuse Tasmania </w:t>
      </w:r>
      <w:r w:rsidR="00C56F0B" w:rsidRPr="007B5BE6">
        <w:t xml:space="preserve">(‘PEAT’) </w:t>
      </w:r>
      <w:r w:rsidRPr="007B5BE6">
        <w:t>Review (2021)</w:t>
      </w:r>
      <w:bookmarkEnd w:id="550"/>
    </w:p>
    <w:p w14:paraId="396D54E4" w14:textId="0DCFF20E" w:rsidR="00CB16F1" w:rsidRPr="007B5BE6" w:rsidRDefault="00CB16F1" w:rsidP="00CB16F1">
      <w:pPr>
        <w:pStyle w:val="NormalNumberedTextTLRI"/>
      </w:pPr>
      <w:r w:rsidRPr="007B5BE6">
        <w:t>A 2021 review of service-driven responses to preventing and responding to abuse of older people in Tasmania conducted by PEAT</w:t>
      </w:r>
      <w:r w:rsidR="0006519F" w:rsidRPr="007B5BE6">
        <w:t xml:space="preserve"> </w:t>
      </w:r>
      <w:r w:rsidRPr="007B5BE6">
        <w:t>comprised 20 workshops (</w:t>
      </w:r>
      <w:r w:rsidR="00F620FE" w:rsidRPr="007B5BE6">
        <w:t>nine</w:t>
      </w:r>
      <w:r w:rsidRPr="007B5BE6">
        <w:t xml:space="preserve"> in the South and </w:t>
      </w:r>
      <w:r w:rsidR="00F620FE" w:rsidRPr="007B5BE6">
        <w:t>11</w:t>
      </w:r>
      <w:r w:rsidRPr="007B5BE6">
        <w:t xml:space="preserve"> in North) with Tasmanian services working directly with older Tasmanians</w:t>
      </w:r>
      <w:r w:rsidR="00212B91" w:rsidRPr="007B5BE6">
        <w:t>. These workshops were conducted</w:t>
      </w:r>
      <w:r w:rsidRPr="007B5BE6">
        <w:t xml:space="preserve"> in the context of a review of the literature, relevant Tasmanian and national policy background and current service systems in place to respond to the abuse of older people.</w:t>
      </w:r>
      <w:r w:rsidR="005754F9" w:rsidRPr="007B5BE6">
        <w:rPr>
          <w:rStyle w:val="FootnoteReference"/>
        </w:rPr>
        <w:footnoteReference w:id="402"/>
      </w:r>
      <w:r w:rsidRPr="007B5BE6">
        <w:t xml:space="preserve"> </w:t>
      </w:r>
    </w:p>
    <w:p w14:paraId="325E732A" w14:textId="295EE5E4" w:rsidR="00CB16F1" w:rsidRPr="007B5BE6" w:rsidRDefault="00CB16F1" w:rsidP="00CB16F1">
      <w:pPr>
        <w:pStyle w:val="NormalNumberedTextTLRI"/>
      </w:pPr>
      <w:r w:rsidRPr="007B5BE6">
        <w:t>Key findings from the literature review on service driven responses were that:</w:t>
      </w:r>
      <w:r w:rsidR="005754F9" w:rsidRPr="007B5BE6">
        <w:rPr>
          <w:rStyle w:val="FootnoteReference"/>
        </w:rPr>
        <w:footnoteReference w:id="403"/>
      </w:r>
    </w:p>
    <w:p w14:paraId="6C74DEE8" w14:textId="0925B659" w:rsidR="00CB16F1" w:rsidRPr="007B5BE6" w:rsidRDefault="00CB16F1" w:rsidP="00CB16F1">
      <w:pPr>
        <w:pStyle w:val="DotPointTLRI"/>
      </w:pPr>
      <w:r w:rsidRPr="007B5BE6">
        <w:t>Tasmania is an ageing state, which together with other population factors</w:t>
      </w:r>
      <w:r w:rsidR="00212B91" w:rsidRPr="007B5BE6">
        <w:t>,</w:t>
      </w:r>
      <w:r w:rsidRPr="007B5BE6">
        <w:t xml:space="preserve"> presents a significant risk of abuse of older people.</w:t>
      </w:r>
    </w:p>
    <w:p w14:paraId="5A986384" w14:textId="7FD612A7" w:rsidR="00CB16F1" w:rsidRPr="007B5BE6" w:rsidRDefault="00CB16F1" w:rsidP="00CB16F1">
      <w:pPr>
        <w:pStyle w:val="DotPointTLRI"/>
      </w:pPr>
      <w:r w:rsidRPr="007B5BE6">
        <w:t>Abuse of older people is multi-sectorial, therefore it is not the responsibility of one agency, such as justice or health</w:t>
      </w:r>
      <w:r w:rsidR="005B0960" w:rsidRPr="007B5BE6">
        <w:t>,</w:t>
      </w:r>
      <w:r w:rsidRPr="007B5BE6">
        <w:t xml:space="preserve"> and require</w:t>
      </w:r>
      <w:r w:rsidR="005B0960" w:rsidRPr="007B5BE6">
        <w:t>s</w:t>
      </w:r>
      <w:r w:rsidRPr="007B5BE6">
        <w:t xml:space="preserve"> coordinated response of multiple sectors</w:t>
      </w:r>
      <w:r w:rsidR="005B0960" w:rsidRPr="007B5BE6">
        <w:t xml:space="preserve">. This is </w:t>
      </w:r>
      <w:r w:rsidRPr="007B5BE6">
        <w:t xml:space="preserve">because abuse can comprise multiple types of behaviour, often co-occurring, and cases can be difficult to identify, investigate and prosecute, resulting in people ‘falling through the </w:t>
      </w:r>
      <w:proofErr w:type="gramStart"/>
      <w:r w:rsidRPr="007B5BE6">
        <w:t>cracks’</w:t>
      </w:r>
      <w:proofErr w:type="gramEnd"/>
      <w:r w:rsidRPr="007B5BE6">
        <w:t>.</w:t>
      </w:r>
    </w:p>
    <w:p w14:paraId="232E94E6" w14:textId="7634F8C4" w:rsidR="00CB16F1" w:rsidRPr="007B5BE6" w:rsidRDefault="00CB16F1" w:rsidP="00CB16F1">
      <w:pPr>
        <w:pStyle w:val="DotPointTLRI"/>
      </w:pPr>
      <w:r w:rsidRPr="007B5BE6">
        <w:t>Individual services are not referring to Tasmanian policy in their responses to abuse</w:t>
      </w:r>
      <w:r w:rsidR="00224B1D" w:rsidRPr="007B5BE6">
        <w:t xml:space="preserve"> of older people</w:t>
      </w:r>
      <w:r w:rsidRPr="007B5BE6">
        <w:t xml:space="preserve">, </w:t>
      </w:r>
      <w:r w:rsidR="00224B1D" w:rsidRPr="007B5BE6">
        <w:t>because</w:t>
      </w:r>
      <w:r w:rsidRPr="007B5BE6">
        <w:t xml:space="preserve"> service level responses ‘have been moulded by the context of the service including access to other services and community supports’.</w:t>
      </w:r>
      <w:r w:rsidR="00FF28E1" w:rsidRPr="007B5BE6">
        <w:rPr>
          <w:rStyle w:val="FootnoteReference"/>
        </w:rPr>
        <w:footnoteReference w:id="404"/>
      </w:r>
      <w:r w:rsidRPr="007B5BE6">
        <w:t xml:space="preserve"> Although at the service level there is ‘expertise and passion to resolve issues recognised as elder abuse, there is also frustration with the lack of support or coordination by State Government and slowness in developing response pathways, [with] several services developing their own policies and protocols for responding to abuse of older people with reference to state policy’.</w:t>
      </w:r>
      <w:r w:rsidR="00FF28E1" w:rsidRPr="007B5BE6">
        <w:rPr>
          <w:rStyle w:val="FootnoteReference"/>
        </w:rPr>
        <w:footnoteReference w:id="405"/>
      </w:r>
    </w:p>
    <w:p w14:paraId="4D12FC24" w14:textId="32CF6791" w:rsidR="00CB16F1" w:rsidRPr="007B5BE6" w:rsidRDefault="00CB16F1" w:rsidP="00CB16F1">
      <w:pPr>
        <w:pStyle w:val="DotPointTLRI"/>
      </w:pPr>
      <w:r w:rsidRPr="007B5BE6">
        <w:t xml:space="preserve">The conceptualisation of abuse </w:t>
      </w:r>
      <w:r w:rsidR="003527C1" w:rsidRPr="007B5BE6">
        <w:t xml:space="preserve">of older people </w:t>
      </w:r>
      <w:r w:rsidRPr="007B5BE6">
        <w:t>has changed over time</w:t>
      </w:r>
      <w:r w:rsidR="00003626" w:rsidRPr="007B5BE6">
        <w:t xml:space="preserve">. Further, </w:t>
      </w:r>
      <w:r w:rsidR="00134759" w:rsidRPr="007B5BE6">
        <w:t>abuse of older people</w:t>
      </w:r>
      <w:r w:rsidR="00003626" w:rsidRPr="007B5BE6">
        <w:t xml:space="preserve"> </w:t>
      </w:r>
      <w:r w:rsidRPr="007B5BE6">
        <w:t>is a blended concept, ‘sometimes a medical issue, sometimes a crime, sometime a social issue and often a combination of all these elements’.</w:t>
      </w:r>
      <w:r w:rsidR="00FF28E1" w:rsidRPr="007B5BE6">
        <w:rPr>
          <w:rStyle w:val="FootnoteReference"/>
        </w:rPr>
        <w:footnoteReference w:id="406"/>
      </w:r>
      <w:r w:rsidRPr="007B5BE6">
        <w:t xml:space="preserve"> This means multi-sector, interdisciplinary interventions are needed across a wide range of legal and service systems, rather than a simple or single response. There is also a realisation of the need for a co-ordinated response involving all relevant agencies</w:t>
      </w:r>
      <w:r w:rsidR="00977E63" w:rsidRPr="007B5BE6">
        <w:t>, including s</w:t>
      </w:r>
      <w:r w:rsidRPr="007B5BE6">
        <w:t xml:space="preserve">upport for front-line agencies in the </w:t>
      </w:r>
      <w:r w:rsidRPr="007B5BE6">
        <w:lastRenderedPageBreak/>
        <w:t>development and evaluation of their services. P</w:t>
      </w:r>
      <w:r w:rsidR="005B1A80">
        <w:t xml:space="preserve">rofessionals from </w:t>
      </w:r>
      <w:proofErr w:type="gramStart"/>
      <w:r w:rsidR="005B1A80">
        <w:t>p</w:t>
      </w:r>
      <w:r w:rsidRPr="007B5BE6">
        <w:t>articular services</w:t>
      </w:r>
      <w:proofErr w:type="gramEnd"/>
      <w:r w:rsidRPr="007B5BE6">
        <w:t xml:space="preserve"> </w:t>
      </w:r>
      <w:r w:rsidR="006C68DF" w:rsidRPr="007B5BE6">
        <w:t>were</w:t>
      </w:r>
      <w:r w:rsidRPr="007B5BE6">
        <w:t xml:space="preserve"> identified as </w:t>
      </w:r>
      <w:r w:rsidR="00977E63" w:rsidRPr="007B5BE6">
        <w:t xml:space="preserve">being </w:t>
      </w:r>
      <w:r w:rsidRPr="007B5BE6">
        <w:t xml:space="preserve">best placed </w:t>
      </w:r>
      <w:r w:rsidR="00977E63" w:rsidRPr="007B5BE6">
        <w:t>for inclusion</w:t>
      </w:r>
      <w:r w:rsidRPr="007B5BE6">
        <w:t xml:space="preserve"> in </w:t>
      </w:r>
      <w:r w:rsidR="00977E63" w:rsidRPr="007B5BE6">
        <w:t xml:space="preserve">the </w:t>
      </w:r>
      <w:r w:rsidRPr="007B5BE6">
        <w:t>response to abuse</w:t>
      </w:r>
      <w:r w:rsidR="006C68DF" w:rsidRPr="007B5BE6">
        <w:t>.</w:t>
      </w:r>
      <w:r w:rsidR="006C68DF" w:rsidRPr="007B5BE6">
        <w:rPr>
          <w:rStyle w:val="FootnoteReference"/>
        </w:rPr>
        <w:footnoteReference w:id="407"/>
      </w:r>
      <w:r w:rsidRPr="007B5BE6">
        <w:t xml:space="preserve"> </w:t>
      </w:r>
    </w:p>
    <w:p w14:paraId="6C5FE0F2" w14:textId="78108208" w:rsidR="00CB16F1" w:rsidRPr="007B5BE6" w:rsidRDefault="00CB16F1" w:rsidP="00CB16F1">
      <w:pPr>
        <w:pStyle w:val="DotPointTLRI"/>
      </w:pPr>
      <w:r w:rsidRPr="007B5BE6">
        <w:t>Barriers to service-level responses include: ‘lack of training; lack of confidence in screening tools; lack of awareness about the association between abuse and mortality; poor past experiences with referral pathways; disbelief that detection will lead to a solution; fear of confrontation; fear of compromising provider-patient relationships; abuse signs may mimic ageing changes and go unnoticed.’</w:t>
      </w:r>
      <w:r w:rsidR="00545C98" w:rsidRPr="007B5BE6">
        <w:rPr>
          <w:rStyle w:val="FootnoteReference"/>
        </w:rPr>
        <w:footnoteReference w:id="408"/>
      </w:r>
      <w:r w:rsidRPr="007B5BE6">
        <w:t xml:space="preserve"> Key</w:t>
      </w:r>
      <w:r w:rsidR="00977E63" w:rsidRPr="007B5BE6">
        <w:t xml:space="preserve"> dimensions</w:t>
      </w:r>
      <w:r w:rsidRPr="007B5BE6">
        <w:t xml:space="preserve"> in responding to abuse is influence and knowledge of personnel across relevant agencies, as well as training, information specific to diversity and vulnerability</w:t>
      </w:r>
      <w:r w:rsidR="00977E63" w:rsidRPr="007B5BE6">
        <w:t>,</w:t>
      </w:r>
      <w:r w:rsidRPr="007B5BE6">
        <w:t xml:space="preserve"> and </w:t>
      </w:r>
      <w:r w:rsidR="00977E63" w:rsidRPr="007B5BE6">
        <w:t xml:space="preserve">the </w:t>
      </w:r>
      <w:r w:rsidRPr="007B5BE6">
        <w:t xml:space="preserve">ability to respond in </w:t>
      </w:r>
      <w:r w:rsidR="00977E63" w:rsidRPr="007B5BE6">
        <w:t xml:space="preserve">a </w:t>
      </w:r>
      <w:r w:rsidRPr="007B5BE6">
        <w:t>changing service context. There is a lack of evidence around community-based interventions for older adults and carers. Although there are a range of supports available under current service response</w:t>
      </w:r>
      <w:r w:rsidR="006D6DE4" w:rsidRPr="007B5BE6">
        <w:t>s</w:t>
      </w:r>
      <w:r w:rsidRPr="007B5BE6">
        <w:t xml:space="preserve"> in Tasmania with referral options</w:t>
      </w:r>
      <w:r w:rsidR="006D6DE4" w:rsidRPr="007B5BE6">
        <w:t xml:space="preserve">, </w:t>
      </w:r>
      <w:r w:rsidRPr="007B5BE6">
        <w:t xml:space="preserve">the links between these agencies </w:t>
      </w:r>
      <w:r w:rsidR="00317F60" w:rsidRPr="007B5BE6">
        <w:t xml:space="preserve">and ‘front-line’ services </w:t>
      </w:r>
      <w:r w:rsidRPr="007B5BE6">
        <w:t>is largely undocumented and problematic’.</w:t>
      </w:r>
      <w:r w:rsidR="006C68DF" w:rsidRPr="007B5BE6">
        <w:rPr>
          <w:rStyle w:val="FootnoteReference"/>
        </w:rPr>
        <w:footnoteReference w:id="409"/>
      </w:r>
    </w:p>
    <w:p w14:paraId="35458506" w14:textId="2C5977D3" w:rsidR="00CB16F1" w:rsidRPr="007B5BE6" w:rsidRDefault="00CB16F1" w:rsidP="002F657C">
      <w:pPr>
        <w:pStyle w:val="NormalNumberedTextTLRI"/>
      </w:pPr>
      <w:r w:rsidRPr="007B5BE6">
        <w:t xml:space="preserve"> </w:t>
      </w:r>
      <w:r w:rsidR="002F657C" w:rsidRPr="007B5BE6">
        <w:t xml:space="preserve">A </w:t>
      </w:r>
      <w:r w:rsidRPr="007B5BE6">
        <w:t xml:space="preserve">key finding from the workshops </w:t>
      </w:r>
      <w:r w:rsidR="002F657C" w:rsidRPr="007B5BE6">
        <w:t xml:space="preserve">was </w:t>
      </w:r>
      <w:r w:rsidRPr="007B5BE6">
        <w:t>that</w:t>
      </w:r>
    </w:p>
    <w:p w14:paraId="470CFA3E" w14:textId="62B99C02" w:rsidR="00CB16F1" w:rsidRPr="007B5BE6" w:rsidRDefault="006D6DE4" w:rsidP="00CB16F1">
      <w:pPr>
        <w:pStyle w:val="Indentedquote"/>
        <w:rPr>
          <w:sz w:val="20"/>
          <w:szCs w:val="20"/>
        </w:rPr>
      </w:pPr>
      <w:r w:rsidRPr="007B5BE6">
        <w:rPr>
          <w:sz w:val="20"/>
          <w:szCs w:val="20"/>
        </w:rPr>
        <w:t>[t]</w:t>
      </w:r>
      <w:r w:rsidR="00CB16F1" w:rsidRPr="007B5BE6">
        <w:rPr>
          <w:sz w:val="20"/>
          <w:szCs w:val="20"/>
        </w:rPr>
        <w:t xml:space="preserve">he service level response to elder abuse is under strain. There are currently no solutions to the problems participants are dealing with. Participants work very hard between themselves to resolve problems, but this is </w:t>
      </w:r>
      <w:r w:rsidR="00CB16F1" w:rsidRPr="007B5BE6">
        <w:rPr>
          <w:i/>
          <w:iCs/>
          <w:sz w:val="20"/>
          <w:szCs w:val="20"/>
        </w:rPr>
        <w:t>ad hoc</w:t>
      </w:r>
      <w:r w:rsidR="00CB16F1" w:rsidRPr="007B5BE6">
        <w:rPr>
          <w:sz w:val="20"/>
          <w:szCs w:val="20"/>
        </w:rPr>
        <w:t xml:space="preserve"> and reliant on personal connections and interests.</w:t>
      </w:r>
      <w:r w:rsidR="008A48CE" w:rsidRPr="007B5BE6">
        <w:rPr>
          <w:rStyle w:val="FootnoteReference"/>
          <w:sz w:val="20"/>
          <w:szCs w:val="20"/>
        </w:rPr>
        <w:footnoteReference w:id="410"/>
      </w:r>
    </w:p>
    <w:p w14:paraId="05063028" w14:textId="28DEE931" w:rsidR="00CB16F1" w:rsidRPr="007B5BE6" w:rsidRDefault="00405882" w:rsidP="006E54A7">
      <w:pPr>
        <w:pStyle w:val="NormalNumberedTextTLRI"/>
      </w:pPr>
      <w:r w:rsidRPr="007B5BE6">
        <w:t>Informed by this and other detailed findings across four main areas,</w:t>
      </w:r>
      <w:r w:rsidR="00847FB1" w:rsidRPr="007B5BE6">
        <w:rPr>
          <w:rStyle w:val="FootnoteReference"/>
        </w:rPr>
        <w:footnoteReference w:id="411"/>
      </w:r>
      <w:r w:rsidRPr="007B5BE6">
        <w:t xml:space="preserve"> PEAT’s </w:t>
      </w:r>
      <w:r w:rsidR="00CB16F1" w:rsidRPr="007B5BE6">
        <w:t xml:space="preserve">primary recommendation </w:t>
      </w:r>
      <w:r w:rsidRPr="007B5BE6">
        <w:t>was</w:t>
      </w:r>
      <w:r w:rsidR="00CB16F1" w:rsidRPr="007B5BE6">
        <w:t xml:space="preserve"> for the establishment of a complaint investigation body regarding abuse of older people with power to investigate, adjudicate, make determinations</w:t>
      </w:r>
      <w:r w:rsidRPr="007B5BE6">
        <w:t>,</w:t>
      </w:r>
      <w:r w:rsidR="00CB16F1" w:rsidRPr="007B5BE6">
        <w:t xml:space="preserve"> and enforcement determinations.</w:t>
      </w:r>
      <w:r w:rsidR="00900558" w:rsidRPr="007B5BE6">
        <w:rPr>
          <w:rStyle w:val="FootnoteReference"/>
        </w:rPr>
        <w:footnoteReference w:id="412"/>
      </w:r>
      <w:r w:rsidR="00CB16F1" w:rsidRPr="007B5BE6">
        <w:t xml:space="preserve"> </w:t>
      </w:r>
    </w:p>
    <w:p w14:paraId="5D1F1520" w14:textId="53258611" w:rsidR="00405882" w:rsidRPr="007B5BE6" w:rsidRDefault="00405882" w:rsidP="00C70BD3">
      <w:pPr>
        <w:pStyle w:val="Headingunnumbered"/>
        <w:spacing w:before="360"/>
      </w:pPr>
      <w:bookmarkStart w:id="551" w:name="_Toc212561777"/>
      <w:r w:rsidRPr="007B5BE6">
        <w:t>Symposium on Elder Abuse and Neglect (2017)</w:t>
      </w:r>
      <w:bookmarkEnd w:id="551"/>
    </w:p>
    <w:p w14:paraId="476697F6" w14:textId="6E66E8A0" w:rsidR="0029354D" w:rsidRPr="007B5BE6" w:rsidRDefault="006C68DF" w:rsidP="001F3B03">
      <w:pPr>
        <w:pStyle w:val="NormalNumberedTextTLRI"/>
      </w:pPr>
      <w:r w:rsidRPr="007B5BE6">
        <w:t>The 2017</w:t>
      </w:r>
      <w:r w:rsidR="00405882" w:rsidRPr="007B5BE6">
        <w:rPr>
          <w:rFonts w:eastAsia="Times New Roman"/>
        </w:rPr>
        <w:t xml:space="preserve"> Symposium on Elder Abuse and Neglect </w:t>
      </w:r>
      <w:r w:rsidRPr="007B5BE6">
        <w:t>identified a need to enhance knowledge of abuse of older Tasmanians through research to improve understanding of its incidence, and the factors underpinning vulnerability to and enabling culture of abuse.</w:t>
      </w:r>
      <w:r w:rsidR="004C3A2A" w:rsidRPr="007B5BE6">
        <w:rPr>
          <w:rStyle w:val="FootnoteReference"/>
        </w:rPr>
        <w:footnoteReference w:id="413"/>
      </w:r>
    </w:p>
    <w:p w14:paraId="7CF7361C" w14:textId="77777777" w:rsidR="0029354D" w:rsidRPr="007B5BE6" w:rsidRDefault="0029354D">
      <w:pPr>
        <w:spacing w:after="200" w:line="276" w:lineRule="auto"/>
        <w:jc w:val="left"/>
        <w:rPr>
          <w:rFonts w:eastAsia="Times" w:cs="Times New Roman"/>
          <w:szCs w:val="20"/>
        </w:rPr>
      </w:pPr>
      <w:r w:rsidRPr="007B5BE6">
        <w:br w:type="page"/>
      </w:r>
    </w:p>
    <w:p w14:paraId="4D5F3EA9" w14:textId="4EEFA18F" w:rsidR="00DD6773" w:rsidRPr="007B5BE6" w:rsidRDefault="00EB5655" w:rsidP="00744D17">
      <w:pPr>
        <w:pStyle w:val="NumberedHeadingTLRI"/>
      </w:pPr>
      <w:bookmarkStart w:id="552" w:name="_Toc212561778"/>
      <w:r w:rsidRPr="007B5BE6">
        <w:lastRenderedPageBreak/>
        <w:t>Interviews with stakeholders</w:t>
      </w:r>
      <w:bookmarkEnd w:id="552"/>
    </w:p>
    <w:p w14:paraId="251A637B" w14:textId="467146F5" w:rsidR="00DD6773" w:rsidRPr="007B5BE6" w:rsidRDefault="00EB5655" w:rsidP="00E37E26">
      <w:pPr>
        <w:pStyle w:val="NormalNumberedTextTLRI"/>
      </w:pPr>
      <w:r w:rsidRPr="007B5BE6">
        <w:t>In interviews with stakeholders</w:t>
      </w:r>
      <w:r w:rsidR="00970705" w:rsidRPr="007B5BE6">
        <w:t>, the</w:t>
      </w:r>
      <w:r w:rsidR="00F64E3D" w:rsidRPr="007B5BE6">
        <w:t xml:space="preserve"> TLRI </w:t>
      </w:r>
      <w:r w:rsidR="00AE2A97" w:rsidRPr="007B5BE6">
        <w:t xml:space="preserve">sought </w:t>
      </w:r>
      <w:r w:rsidR="00970705" w:rsidRPr="007B5BE6">
        <w:t xml:space="preserve">the </w:t>
      </w:r>
      <w:r w:rsidR="00AE2A97" w:rsidRPr="007B5BE6">
        <w:t xml:space="preserve">views </w:t>
      </w:r>
      <w:r w:rsidR="00970705" w:rsidRPr="007B5BE6">
        <w:t xml:space="preserve">of stakeholders on </w:t>
      </w:r>
      <w:r w:rsidR="00AE2A97" w:rsidRPr="007B5BE6">
        <w:t>gaps in the current legal landscap</w:t>
      </w:r>
      <w:r w:rsidR="00970705" w:rsidRPr="007B5BE6">
        <w:t>e</w:t>
      </w:r>
      <w:r w:rsidR="00AE2A97" w:rsidRPr="007B5BE6">
        <w:t xml:space="preserve"> and reforms t</w:t>
      </w:r>
      <w:r w:rsidR="00B9268F" w:rsidRPr="007B5BE6">
        <w:t xml:space="preserve">hat were appropriate to consider in </w:t>
      </w:r>
      <w:r w:rsidR="00AE2A97" w:rsidRPr="007B5BE6">
        <w:t>afford</w:t>
      </w:r>
      <w:r w:rsidR="00036984" w:rsidRPr="007B5BE6">
        <w:t>ing</w:t>
      </w:r>
      <w:r w:rsidR="00AE2A97" w:rsidRPr="007B5BE6">
        <w:t xml:space="preserve"> better protection</w:t>
      </w:r>
      <w:r w:rsidR="00036984" w:rsidRPr="007B5BE6">
        <w:t>s</w:t>
      </w:r>
      <w:r w:rsidR="00AE2A97" w:rsidRPr="007B5BE6">
        <w:t xml:space="preserve"> to older Tasmanian</w:t>
      </w:r>
      <w:r w:rsidR="005A3C0D" w:rsidRPr="007B5BE6">
        <w:t>s</w:t>
      </w:r>
      <w:r w:rsidR="00AE2A97" w:rsidRPr="007B5BE6">
        <w:t>.</w:t>
      </w:r>
      <w:r w:rsidR="004C3A2A" w:rsidRPr="007B5BE6">
        <w:rPr>
          <w:rStyle w:val="FootnoteReference"/>
        </w:rPr>
        <w:footnoteReference w:id="414"/>
      </w:r>
      <w:r w:rsidR="00526C1D" w:rsidRPr="007B5BE6">
        <w:t xml:space="preserve"> </w:t>
      </w:r>
      <w:r w:rsidR="00F05668" w:rsidRPr="007B5BE6">
        <w:t>P</w:t>
      </w:r>
      <w:r w:rsidR="00C70790" w:rsidRPr="007B5BE6">
        <w:t>redominant</w:t>
      </w:r>
      <w:r w:rsidR="00F05668" w:rsidRPr="007B5BE6">
        <w:t xml:space="preserve">ly, among stakeholders, </w:t>
      </w:r>
      <w:r w:rsidR="00970705" w:rsidRPr="007B5BE6">
        <w:t>there was support for a</w:t>
      </w:r>
      <w:r w:rsidR="00010F30" w:rsidRPr="007B5BE6">
        <w:t xml:space="preserve">n overarching </w:t>
      </w:r>
      <w:r w:rsidR="00D3590E" w:rsidRPr="007B5BE6">
        <w:t xml:space="preserve">safeguarding </w:t>
      </w:r>
      <w:r w:rsidR="00506E74" w:rsidRPr="007B5BE6">
        <w:t>mechanism</w:t>
      </w:r>
      <w:r w:rsidR="00010F30" w:rsidRPr="007B5BE6">
        <w:t xml:space="preserve"> to </w:t>
      </w:r>
      <w:r w:rsidR="003466F1" w:rsidRPr="007B5BE6">
        <w:t xml:space="preserve">provide </w:t>
      </w:r>
      <w:r w:rsidR="00F761A8" w:rsidRPr="007B5BE6">
        <w:t xml:space="preserve">a coherent and </w:t>
      </w:r>
      <w:r w:rsidR="00373906" w:rsidRPr="007B5BE6">
        <w:t xml:space="preserve">comprehensive </w:t>
      </w:r>
      <w:r w:rsidR="006A2C4A" w:rsidRPr="007B5BE6">
        <w:t xml:space="preserve">framework to </w:t>
      </w:r>
      <w:r w:rsidR="00506E74" w:rsidRPr="007B5BE6">
        <w:t>structure</w:t>
      </w:r>
      <w:r w:rsidR="006A2C4A" w:rsidRPr="007B5BE6">
        <w:t>,</w:t>
      </w:r>
      <w:r w:rsidR="00506E74" w:rsidRPr="007B5BE6">
        <w:t xml:space="preserve"> focus and improve </w:t>
      </w:r>
      <w:r w:rsidR="00010F30" w:rsidRPr="007B5BE6">
        <w:t xml:space="preserve">the current </w:t>
      </w:r>
      <w:r w:rsidR="00933FF6" w:rsidRPr="007B5BE6">
        <w:t>fragmented</w:t>
      </w:r>
      <w:r w:rsidR="00010F30" w:rsidRPr="007B5BE6">
        <w:t xml:space="preserve"> legal </w:t>
      </w:r>
      <w:r w:rsidR="00506E74" w:rsidRPr="007B5BE6">
        <w:t xml:space="preserve">response. </w:t>
      </w:r>
      <w:r w:rsidRPr="007B5BE6">
        <w:t>V</w:t>
      </w:r>
      <w:r w:rsidR="00DD6773" w:rsidRPr="007B5BE6">
        <w:t xml:space="preserve">iews </w:t>
      </w:r>
      <w:r w:rsidR="00083B6A" w:rsidRPr="007B5BE6">
        <w:t xml:space="preserve">were </w:t>
      </w:r>
      <w:r w:rsidR="00DD6773" w:rsidRPr="007B5BE6">
        <w:t xml:space="preserve">expressed </w:t>
      </w:r>
      <w:r w:rsidR="00083B6A" w:rsidRPr="007B5BE6">
        <w:t>that</w:t>
      </w:r>
      <w:r w:rsidR="00DD6773" w:rsidRPr="007B5BE6">
        <w:t xml:space="preserve"> highlighted:</w:t>
      </w:r>
    </w:p>
    <w:p w14:paraId="0AC28019" w14:textId="3AFB4995" w:rsidR="00DD6773" w:rsidRPr="007B5BE6" w:rsidRDefault="00DD6773" w:rsidP="005C25BE">
      <w:pPr>
        <w:pStyle w:val="DotPointTLRI"/>
      </w:pPr>
      <w:r w:rsidRPr="007B5BE6">
        <w:t>The</w:t>
      </w:r>
      <w:r w:rsidR="006A2C4A" w:rsidRPr="007B5BE6">
        <w:t xml:space="preserve">re is an </w:t>
      </w:r>
      <w:r w:rsidRPr="007B5BE6">
        <w:t xml:space="preserve">absence of current </w:t>
      </w:r>
      <w:r w:rsidR="00617D2E" w:rsidRPr="007B5BE6">
        <w:t>Tasmanian</w:t>
      </w:r>
      <w:r w:rsidRPr="007B5BE6">
        <w:t xml:space="preserve"> laws developed as specialised response to the abuse of older people</w:t>
      </w:r>
      <w:r w:rsidR="005C25BE" w:rsidRPr="007B5BE6">
        <w:t>.</w:t>
      </w:r>
    </w:p>
    <w:p w14:paraId="3B7726E7" w14:textId="55429E70" w:rsidR="005C25BE" w:rsidRPr="007B5BE6" w:rsidRDefault="005C25BE" w:rsidP="005C25BE">
      <w:pPr>
        <w:pStyle w:val="DotPointTLRI"/>
      </w:pPr>
      <w:r w:rsidRPr="007B5BE6">
        <w:t>Th</w:t>
      </w:r>
      <w:r w:rsidR="00D25139" w:rsidRPr="007B5BE6">
        <w:t xml:space="preserve">at the current legal responses exist in silos and do not </w:t>
      </w:r>
      <w:r w:rsidR="002E0FFD" w:rsidRPr="007B5BE6">
        <w:t xml:space="preserve">provide a </w:t>
      </w:r>
      <w:r w:rsidR="001B102E" w:rsidRPr="007B5BE6">
        <w:t>comprehensive</w:t>
      </w:r>
      <w:r w:rsidR="002E0FFD" w:rsidRPr="007B5BE6">
        <w:t xml:space="preserve"> response to the abuse of all older people</w:t>
      </w:r>
      <w:r w:rsidR="000B1490" w:rsidRPr="007B5BE6">
        <w:t>.</w:t>
      </w:r>
    </w:p>
    <w:p w14:paraId="7C7BE8EE" w14:textId="4500F582" w:rsidR="00C23A0C" w:rsidRPr="007B5BE6" w:rsidRDefault="00C23A0C" w:rsidP="005C25BE">
      <w:pPr>
        <w:pStyle w:val="DotPointTLRI"/>
      </w:pPr>
      <w:r w:rsidRPr="007B5BE6">
        <w:t xml:space="preserve">The legal and service </w:t>
      </w:r>
      <w:r w:rsidR="001B102E" w:rsidRPr="007B5BE6">
        <w:t>landscape</w:t>
      </w:r>
      <w:r w:rsidRPr="007B5BE6">
        <w:t xml:space="preserve"> is compl</w:t>
      </w:r>
      <w:r w:rsidR="00D3255F" w:rsidRPr="007B5BE6">
        <w:t>ex</w:t>
      </w:r>
      <w:r w:rsidRPr="007B5BE6">
        <w:t xml:space="preserve"> and chan</w:t>
      </w:r>
      <w:r w:rsidR="001B102E" w:rsidRPr="007B5BE6">
        <w:t>g</w:t>
      </w:r>
      <w:r w:rsidRPr="007B5BE6">
        <w:t>ing</w:t>
      </w:r>
      <w:r w:rsidR="0028755B" w:rsidRPr="007B5BE6">
        <w:t>.</w:t>
      </w:r>
    </w:p>
    <w:p w14:paraId="798EEBC4" w14:textId="304C90EB" w:rsidR="000B1490" w:rsidRPr="007B5BE6" w:rsidRDefault="002234CF" w:rsidP="005C25BE">
      <w:pPr>
        <w:pStyle w:val="DotPointTLRI"/>
      </w:pPr>
      <w:r w:rsidRPr="007B5BE6">
        <w:t>T</w:t>
      </w:r>
      <w:r w:rsidR="00B2693D" w:rsidRPr="007B5BE6">
        <w:t>he s</w:t>
      </w:r>
      <w:r w:rsidR="000B1490" w:rsidRPr="007B5BE6">
        <w:t xml:space="preserve">ervice delivery </w:t>
      </w:r>
      <w:r w:rsidR="00B2693D" w:rsidRPr="007B5BE6">
        <w:t xml:space="preserve">model </w:t>
      </w:r>
      <w:r w:rsidR="00E61CF9" w:rsidRPr="007B5BE6">
        <w:t>has</w:t>
      </w:r>
      <w:r w:rsidR="007D5B4C" w:rsidRPr="007B5BE6" w:rsidDel="006407A6">
        <w:t xml:space="preserve"> </w:t>
      </w:r>
      <w:r w:rsidR="007D5B4C" w:rsidRPr="007B5BE6">
        <w:t>limitations</w:t>
      </w:r>
      <w:r w:rsidR="00DC10FC" w:rsidRPr="007B5BE6">
        <w:t xml:space="preserve"> </w:t>
      </w:r>
      <w:r w:rsidR="00E61CF9" w:rsidRPr="007B5BE6">
        <w:t>because of</w:t>
      </w:r>
      <w:r w:rsidR="00F71A2C" w:rsidRPr="007B5BE6">
        <w:t xml:space="preserve"> </w:t>
      </w:r>
      <w:r w:rsidR="007D5B4C" w:rsidRPr="007B5BE6">
        <w:t xml:space="preserve">the </w:t>
      </w:r>
      <w:r w:rsidR="00E61CF9" w:rsidRPr="007B5BE6">
        <w:t xml:space="preserve">available </w:t>
      </w:r>
      <w:r w:rsidR="007D5B4C" w:rsidRPr="007B5BE6">
        <w:t>legal responses</w:t>
      </w:r>
      <w:r w:rsidR="006A2C4A" w:rsidRPr="007B5BE6">
        <w:t>,</w:t>
      </w:r>
      <w:r w:rsidR="007D5B4C" w:rsidRPr="007B5BE6">
        <w:t xml:space="preserve"> </w:t>
      </w:r>
      <w:r w:rsidR="00E61CF9" w:rsidRPr="007B5BE6">
        <w:t xml:space="preserve">and this </w:t>
      </w:r>
      <w:r w:rsidR="007D5B4C" w:rsidRPr="007B5BE6">
        <w:t>created barriers</w:t>
      </w:r>
      <w:r w:rsidR="00F71A2C" w:rsidRPr="007B5BE6">
        <w:t xml:space="preserve"> to safeguarding</w:t>
      </w:r>
      <w:r w:rsidR="00E54F45" w:rsidRPr="007B5BE6">
        <w:t>.</w:t>
      </w:r>
    </w:p>
    <w:p w14:paraId="1CE23724" w14:textId="3C401058" w:rsidR="00E54F45" w:rsidRPr="007B5BE6" w:rsidRDefault="00E54F45" w:rsidP="005C25BE">
      <w:pPr>
        <w:pStyle w:val="DotPointTLRI"/>
      </w:pPr>
      <w:r w:rsidRPr="007B5BE6">
        <w:t>The</w:t>
      </w:r>
      <w:r w:rsidR="006A2C4A" w:rsidRPr="007B5BE6">
        <w:t>re is a</w:t>
      </w:r>
      <w:r w:rsidRPr="007B5BE6">
        <w:t xml:space="preserve"> need for an overarching safeguarding approach.</w:t>
      </w:r>
    </w:p>
    <w:p w14:paraId="6163EA0D" w14:textId="77777777" w:rsidR="00D31215" w:rsidRPr="007B5BE6" w:rsidRDefault="00D31215" w:rsidP="00C70BD3">
      <w:pPr>
        <w:pStyle w:val="Headingunnumbered"/>
        <w:spacing w:before="360"/>
      </w:pPr>
      <w:bookmarkStart w:id="553" w:name="_Toc212561779"/>
      <w:r w:rsidRPr="007B5BE6">
        <w:t>Absence of current Tasmanian laws developed as a specialised response to abuse of older people</w:t>
      </w:r>
      <w:bookmarkEnd w:id="553"/>
    </w:p>
    <w:p w14:paraId="251ED18B" w14:textId="1B901926" w:rsidR="00FD2B59" w:rsidRPr="007B5BE6" w:rsidRDefault="00FD2B59" w:rsidP="00FD2B59">
      <w:pPr>
        <w:pStyle w:val="NormalNumberedTextTLRI"/>
      </w:pPr>
      <w:r w:rsidRPr="007B5BE6">
        <w:t>Several stakeholders identified a lack of legislation in Tasmania that was specifically focused</w:t>
      </w:r>
      <w:r w:rsidR="00265461">
        <w:t xml:space="preserve">, or had ‘a lens’, </w:t>
      </w:r>
      <w:r w:rsidRPr="007B5BE6">
        <w:t>on the abuse of older people.</w:t>
      </w:r>
      <w:r w:rsidR="004C3A2A" w:rsidRPr="007B5BE6">
        <w:rPr>
          <w:rStyle w:val="FootnoteReference"/>
        </w:rPr>
        <w:footnoteReference w:id="415"/>
      </w:r>
      <w:r w:rsidRPr="007B5BE6">
        <w:t xml:space="preserve"> As noted by one stakeholder, ‘what laws are there … </w:t>
      </w:r>
      <w:r w:rsidR="00C413B8" w:rsidRPr="007B5BE6">
        <w:t>[there</w:t>
      </w:r>
      <w:r w:rsidR="00C33032" w:rsidRPr="007B5BE6">
        <w:t>]</w:t>
      </w:r>
      <w:r w:rsidRPr="007B5BE6">
        <w:t xml:space="preserve"> really are not any great protections against elder abuse under the current legislation in Tasmania.’</w:t>
      </w:r>
      <w:r w:rsidR="004C3A2A" w:rsidRPr="007B5BE6">
        <w:rPr>
          <w:rStyle w:val="FootnoteReference"/>
        </w:rPr>
        <w:footnoteReference w:id="416"/>
      </w:r>
      <w:r w:rsidRPr="007B5BE6">
        <w:t xml:space="preserve"> Although stakeholders acknowledged that some forms of abuse of older people are captured within current laws</w:t>
      </w:r>
      <w:r w:rsidR="00680B9D" w:rsidRPr="007B5BE6">
        <w:t xml:space="preserve"> in Tasmania</w:t>
      </w:r>
      <w:r w:rsidRPr="007B5BE6">
        <w:t xml:space="preserve">, </w:t>
      </w:r>
      <w:r w:rsidR="00310457" w:rsidRPr="007B5BE6">
        <w:t xml:space="preserve">numerous </w:t>
      </w:r>
      <w:r w:rsidRPr="007B5BE6">
        <w:t xml:space="preserve">issues </w:t>
      </w:r>
      <w:r w:rsidR="00310457" w:rsidRPr="007B5BE6">
        <w:t xml:space="preserve">were </w:t>
      </w:r>
      <w:r w:rsidRPr="007B5BE6">
        <w:t xml:space="preserve">raised </w:t>
      </w:r>
      <w:r w:rsidR="00310457" w:rsidRPr="007B5BE6">
        <w:t xml:space="preserve">regarding </w:t>
      </w:r>
      <w:r w:rsidR="008369E0" w:rsidRPr="007B5BE6">
        <w:t xml:space="preserve">the absence of a specialised response under the law. These </w:t>
      </w:r>
      <w:r w:rsidRPr="007B5BE6">
        <w:t>included that:</w:t>
      </w:r>
    </w:p>
    <w:p w14:paraId="2A597FFD" w14:textId="77777777" w:rsidR="00FD2B59" w:rsidRPr="007B5BE6" w:rsidRDefault="00FD2B59" w:rsidP="00FD2B59">
      <w:pPr>
        <w:pStyle w:val="DotPointTLRI"/>
      </w:pPr>
      <w:r w:rsidRPr="007B5BE6">
        <w:t>current laws do not provide a response to all forms of abuse that can be experienced by older people;</w:t>
      </w:r>
    </w:p>
    <w:p w14:paraId="468FD31E" w14:textId="3AFF1801" w:rsidR="00FD2B59" w:rsidRPr="007B5BE6" w:rsidRDefault="00FD2B59" w:rsidP="00FD2B59">
      <w:pPr>
        <w:pStyle w:val="DotPointTLRI"/>
      </w:pPr>
      <w:r w:rsidRPr="007B5BE6">
        <w:t xml:space="preserve">definitions in current legal frameworks do not include </w:t>
      </w:r>
      <w:r w:rsidR="008369E0" w:rsidRPr="007B5BE6">
        <w:t>all</w:t>
      </w:r>
      <w:r w:rsidRPr="007B5BE6">
        <w:t xml:space="preserve"> the circumstances in which abuse is perpetrated against older people;</w:t>
      </w:r>
      <w:r w:rsidR="004C3A2A" w:rsidRPr="007B5BE6">
        <w:rPr>
          <w:rStyle w:val="FootnoteReference"/>
        </w:rPr>
        <w:footnoteReference w:id="417"/>
      </w:r>
    </w:p>
    <w:p w14:paraId="2E546C31" w14:textId="77777777" w:rsidR="00DB04ED" w:rsidRPr="007B5BE6" w:rsidRDefault="00FD2B59" w:rsidP="00FD2B59">
      <w:pPr>
        <w:pStyle w:val="DotPointTLRI"/>
      </w:pPr>
      <w:r w:rsidRPr="007B5BE6">
        <w:t xml:space="preserve">there is no definition of abuse of older people in law; and </w:t>
      </w:r>
    </w:p>
    <w:p w14:paraId="3F5DFD1D" w14:textId="1D06F0E6" w:rsidR="00B67B74" w:rsidRPr="007B5BE6" w:rsidRDefault="00FD2B59" w:rsidP="00FD2B59">
      <w:pPr>
        <w:pStyle w:val="DotPointTLRI"/>
      </w:pPr>
      <w:r w:rsidRPr="007B5BE6">
        <w:t>there is no law that specifically prohibits the abuse of older people.</w:t>
      </w:r>
    </w:p>
    <w:p w14:paraId="0346DDAF" w14:textId="075AACFB" w:rsidR="00DB04ED" w:rsidRPr="007B5BE6" w:rsidRDefault="00DE3D8A" w:rsidP="00DB04ED">
      <w:pPr>
        <w:pStyle w:val="NormalNumberedTextTLRI"/>
      </w:pPr>
      <w:r w:rsidRPr="007B5BE6">
        <w:t>S</w:t>
      </w:r>
      <w:r w:rsidR="00C33032" w:rsidRPr="007B5BE6">
        <w:t>ome s</w:t>
      </w:r>
      <w:r w:rsidRPr="007B5BE6">
        <w:t xml:space="preserve">takeholders also identified </w:t>
      </w:r>
      <w:r w:rsidR="00DB04ED" w:rsidRPr="007B5BE6">
        <w:t xml:space="preserve"> </w:t>
      </w:r>
      <w:r w:rsidR="72972DFA" w:rsidRPr="007B5BE6">
        <w:t>issue</w:t>
      </w:r>
      <w:r w:rsidR="00DB04ED" w:rsidRPr="007B5BE6">
        <w:t xml:space="preserve">s </w:t>
      </w:r>
      <w:r w:rsidR="008F170E" w:rsidRPr="007B5BE6">
        <w:t>concern</w:t>
      </w:r>
      <w:r w:rsidR="00F22A3A" w:rsidRPr="007B5BE6">
        <w:t xml:space="preserve">ing </w:t>
      </w:r>
      <w:r w:rsidR="008F170E" w:rsidRPr="007B5BE6">
        <w:t>the assessment</w:t>
      </w:r>
      <w:r w:rsidR="00F6029A" w:rsidRPr="007B5BE6">
        <w:t xml:space="preserve"> of</w:t>
      </w:r>
      <w:r w:rsidR="00330067" w:rsidRPr="007B5BE6">
        <w:t xml:space="preserve"> </w:t>
      </w:r>
      <w:r w:rsidR="003C5ED0" w:rsidRPr="007B5BE6">
        <w:t xml:space="preserve">older people’s </w:t>
      </w:r>
      <w:r w:rsidR="00330067" w:rsidRPr="007B5BE6">
        <w:t>c</w:t>
      </w:r>
      <w:r w:rsidR="00DB04ED" w:rsidRPr="007B5BE6">
        <w:t xml:space="preserve">ognitive capacity, </w:t>
      </w:r>
      <w:r w:rsidR="00C33032" w:rsidRPr="007B5BE6">
        <w:t>suggest</w:t>
      </w:r>
      <w:r w:rsidR="00D74A89" w:rsidRPr="007B5BE6">
        <w:t xml:space="preserve">ing </w:t>
      </w:r>
      <w:r w:rsidR="003C5ED0" w:rsidRPr="007B5BE6">
        <w:t xml:space="preserve">this area </w:t>
      </w:r>
      <w:r w:rsidR="15319A13" w:rsidRPr="007B5BE6">
        <w:t>w</w:t>
      </w:r>
      <w:r w:rsidR="00F22A3A" w:rsidRPr="007B5BE6">
        <w:t>as</w:t>
      </w:r>
      <w:r w:rsidR="00DB04ED" w:rsidRPr="007B5BE6">
        <w:t xml:space="preserve"> not </w:t>
      </w:r>
      <w:r w:rsidR="00F6029A" w:rsidRPr="007B5BE6">
        <w:t xml:space="preserve">adequately </w:t>
      </w:r>
      <w:r w:rsidR="00DB04ED" w:rsidRPr="007B5BE6">
        <w:t>covered under existing legal frameworks.</w:t>
      </w:r>
      <w:r w:rsidR="004C3A2A" w:rsidRPr="007B5BE6">
        <w:rPr>
          <w:rStyle w:val="FootnoteReference"/>
        </w:rPr>
        <w:footnoteReference w:id="418"/>
      </w:r>
      <w:r w:rsidR="00DB04ED" w:rsidRPr="007B5BE6">
        <w:t xml:space="preserve"> Cognitive capacity was also</w:t>
      </w:r>
      <w:r w:rsidR="001B226B" w:rsidRPr="007B5BE6">
        <w:t xml:space="preserve"> raised as</w:t>
      </w:r>
      <w:r w:rsidR="00DB04ED" w:rsidRPr="007B5BE6">
        <w:t xml:space="preserve"> an issue </w:t>
      </w:r>
      <w:r w:rsidR="001B226B" w:rsidRPr="007B5BE6">
        <w:t xml:space="preserve">that can affect </w:t>
      </w:r>
      <w:r w:rsidR="00F22A3A" w:rsidRPr="007B5BE6">
        <w:t>older</w:t>
      </w:r>
      <w:r w:rsidR="00DB04ED" w:rsidRPr="007B5BE6">
        <w:t xml:space="preserve"> people’s </w:t>
      </w:r>
      <w:r w:rsidR="001B226B" w:rsidRPr="007B5BE6">
        <w:t xml:space="preserve">ability </w:t>
      </w:r>
      <w:r w:rsidR="00DB04ED" w:rsidRPr="007B5BE6">
        <w:t xml:space="preserve">to access current complaint and help-seeking mechanisms </w:t>
      </w:r>
      <w:r w:rsidR="00F35BCE" w:rsidRPr="007B5BE6">
        <w:t>in</w:t>
      </w:r>
      <w:r w:rsidR="001150BE" w:rsidRPr="007B5BE6">
        <w:t xml:space="preserve"> </w:t>
      </w:r>
      <w:r w:rsidR="00DB04ED" w:rsidRPr="007B5BE6">
        <w:t>respon</w:t>
      </w:r>
      <w:r w:rsidR="001150BE" w:rsidRPr="007B5BE6">
        <w:t>se</w:t>
      </w:r>
      <w:r w:rsidR="00DB04ED" w:rsidRPr="007B5BE6">
        <w:t xml:space="preserve"> to</w:t>
      </w:r>
      <w:r w:rsidR="00F35BCE" w:rsidRPr="007B5BE6">
        <w:t xml:space="preserve"> concerns about, or experiences of,</w:t>
      </w:r>
      <w:r w:rsidR="00DB04ED" w:rsidRPr="007B5BE6">
        <w:t xml:space="preserve"> abuse.</w:t>
      </w:r>
      <w:r w:rsidR="004C3A2A" w:rsidRPr="007B5BE6">
        <w:rPr>
          <w:rStyle w:val="FootnoteReference"/>
        </w:rPr>
        <w:footnoteReference w:id="419"/>
      </w:r>
      <w:r w:rsidR="00DB04ED" w:rsidRPr="007B5BE6">
        <w:t xml:space="preserve"> A particular concern was raised by one stakeholder about people living with dementia</w:t>
      </w:r>
      <w:r w:rsidR="00096B32" w:rsidRPr="007B5BE6">
        <w:t xml:space="preserve">. This stakeholder </w:t>
      </w:r>
      <w:r w:rsidR="00E73E59" w:rsidRPr="007B5BE6">
        <w:t>identified</w:t>
      </w:r>
      <w:r w:rsidR="00096B32" w:rsidRPr="007B5BE6">
        <w:t xml:space="preserve"> that </w:t>
      </w:r>
      <w:r w:rsidR="00DB04ED" w:rsidRPr="007B5BE6">
        <w:t>the progressive nature of the illness</w:t>
      </w:r>
      <w:r w:rsidR="00096B32" w:rsidRPr="007B5BE6">
        <w:t xml:space="preserve">, </w:t>
      </w:r>
      <w:r w:rsidR="002A69B9" w:rsidRPr="007B5BE6">
        <w:t>an</w:t>
      </w:r>
      <w:r w:rsidR="00DB04ED" w:rsidRPr="007B5BE6">
        <w:t xml:space="preserve"> absence of a dedicated legal framework and a lack of knowledge</w:t>
      </w:r>
      <w:r w:rsidR="002A69B9" w:rsidRPr="007B5BE6">
        <w:t xml:space="preserve"> in the community,</w:t>
      </w:r>
      <w:r w:rsidR="00DB04ED" w:rsidRPr="007B5BE6">
        <w:t xml:space="preserve"> meant that there was scope ‘for a whole spectrum of forms of abuse’, as </w:t>
      </w:r>
      <w:r w:rsidR="00DB04ED" w:rsidRPr="007B5BE6">
        <w:lastRenderedPageBreak/>
        <w:t>well as</w:t>
      </w:r>
      <w:r w:rsidR="00D4610F" w:rsidRPr="007B5BE6">
        <w:t xml:space="preserve"> the</w:t>
      </w:r>
      <w:r w:rsidR="00DB04ED" w:rsidRPr="007B5BE6">
        <w:t xml:space="preserve"> </w:t>
      </w:r>
      <w:r w:rsidR="00932446" w:rsidRPr="007B5BE6">
        <w:t xml:space="preserve">potential for </w:t>
      </w:r>
      <w:r w:rsidR="00DB04ED" w:rsidRPr="007B5BE6">
        <w:t>people with dementia</w:t>
      </w:r>
      <w:r w:rsidR="00932446" w:rsidRPr="007B5BE6">
        <w:t xml:space="preserve"> to be excluded</w:t>
      </w:r>
      <w:r w:rsidR="00DB04ED" w:rsidRPr="007B5BE6">
        <w:t xml:space="preserve"> from involve</w:t>
      </w:r>
      <w:r w:rsidR="00D4610F" w:rsidRPr="007B5BE6">
        <w:t>ment</w:t>
      </w:r>
      <w:r w:rsidR="00DB04ED" w:rsidRPr="007B5BE6">
        <w:t xml:space="preserve"> in important decisions that affect them.</w:t>
      </w:r>
      <w:r w:rsidR="004C3A2A" w:rsidRPr="007B5BE6">
        <w:rPr>
          <w:rStyle w:val="FootnoteReference"/>
        </w:rPr>
        <w:footnoteReference w:id="420"/>
      </w:r>
    </w:p>
    <w:p w14:paraId="4B53F547" w14:textId="19832F08" w:rsidR="007C34DF" w:rsidRPr="007B5BE6" w:rsidRDefault="008C6AAD" w:rsidP="00DB04ED">
      <w:pPr>
        <w:pStyle w:val="NormalNumberedTextTLRI"/>
      </w:pPr>
      <w:r w:rsidRPr="007B5BE6">
        <w:t xml:space="preserve">Stakeholders commended the existing </w:t>
      </w:r>
      <w:r w:rsidR="007C34DF" w:rsidRPr="007B5BE6">
        <w:t>safeguards and protections under current laws</w:t>
      </w:r>
      <w:r w:rsidRPr="007B5BE6">
        <w:t>. Further,</w:t>
      </w:r>
      <w:r w:rsidR="007C34DF" w:rsidRPr="007B5BE6">
        <w:t xml:space="preserve"> recent reforms in relevant areas</w:t>
      </w:r>
      <w:r w:rsidR="00F53217" w:rsidRPr="007B5BE6">
        <w:t>,</w:t>
      </w:r>
      <w:r w:rsidR="007C34DF" w:rsidRPr="007B5BE6">
        <w:t xml:space="preserve"> such as guardianship and administration, disability safeguarding and serious incident reporting in aged care, were seen as positive.</w:t>
      </w:r>
      <w:r w:rsidR="004C3A2A" w:rsidRPr="007B5BE6">
        <w:rPr>
          <w:rStyle w:val="FootnoteReference"/>
        </w:rPr>
        <w:footnoteReference w:id="421"/>
      </w:r>
      <w:r w:rsidR="007C34DF" w:rsidRPr="007B5BE6">
        <w:rPr>
          <w:rFonts w:ascii="Segoe UI" w:eastAsiaTheme="minorHAnsi" w:hAnsi="Segoe UI" w:cs="Segoe UI"/>
          <w:color w:val="242424"/>
          <w:sz w:val="21"/>
          <w:szCs w:val="21"/>
          <w:shd w:val="clear" w:color="auto" w:fill="FAFAFA"/>
        </w:rPr>
        <w:t xml:space="preserve"> </w:t>
      </w:r>
      <w:r w:rsidR="007C34DF" w:rsidRPr="007B5BE6">
        <w:t xml:space="preserve">However, it was felt that these laws and reforms only address some gaps for certain groups of older people. </w:t>
      </w:r>
      <w:r w:rsidR="00351FB6" w:rsidRPr="007B5BE6">
        <w:t>This</w:t>
      </w:r>
      <w:r w:rsidR="007C34DF" w:rsidRPr="007B5BE6">
        <w:t xml:space="preserve"> </w:t>
      </w:r>
      <w:r w:rsidR="007334A9" w:rsidRPr="007B5BE6">
        <w:t>wa</w:t>
      </w:r>
      <w:r w:rsidR="007C34DF" w:rsidRPr="007B5BE6">
        <w:t>s</w:t>
      </w:r>
      <w:r w:rsidR="00434A6F" w:rsidRPr="007B5BE6">
        <w:t xml:space="preserve"> characterised</w:t>
      </w:r>
      <w:r w:rsidR="007C34DF" w:rsidRPr="007B5BE6">
        <w:t xml:space="preserve"> as </w:t>
      </w:r>
      <w:r w:rsidR="00434A6F" w:rsidRPr="007B5BE6">
        <w:t>bein</w:t>
      </w:r>
      <w:r w:rsidR="00351FB6" w:rsidRPr="007B5BE6">
        <w:t>g a</w:t>
      </w:r>
      <w:r w:rsidR="007C34DF" w:rsidRPr="007B5BE6">
        <w:t xml:space="preserve"> 'patchwork' </w:t>
      </w:r>
      <w:r w:rsidR="00514CEF" w:rsidRPr="007B5BE6">
        <w:t xml:space="preserve">or ‘peppering’ </w:t>
      </w:r>
      <w:r w:rsidR="00351FB6" w:rsidRPr="007B5BE6">
        <w:t>approach</w:t>
      </w:r>
      <w:r w:rsidR="00755EA9" w:rsidRPr="007B5BE6">
        <w:t>,</w:t>
      </w:r>
      <w:r w:rsidR="00351FB6" w:rsidRPr="007B5BE6">
        <w:t xml:space="preserve"> </w:t>
      </w:r>
      <w:r w:rsidR="007C34DF" w:rsidRPr="007B5BE6">
        <w:t xml:space="preserve">or </w:t>
      </w:r>
      <w:r w:rsidR="00351FB6" w:rsidRPr="007B5BE6">
        <w:t xml:space="preserve">one that was </w:t>
      </w:r>
      <w:r w:rsidR="007C34DF" w:rsidRPr="007B5BE6">
        <w:t xml:space="preserve">'tinkering' at the edges, leaving large gaps </w:t>
      </w:r>
      <w:r w:rsidR="00514CEF" w:rsidRPr="007B5BE6">
        <w:t>that</w:t>
      </w:r>
      <w:r w:rsidR="007C34DF" w:rsidRPr="007B5BE6">
        <w:t xml:space="preserve"> older people, especially those at higher risk of abuse, can still fall through.</w:t>
      </w:r>
      <w:r w:rsidR="004C3A2A" w:rsidRPr="007B5BE6">
        <w:rPr>
          <w:rStyle w:val="FootnoteReference"/>
        </w:rPr>
        <w:footnoteReference w:id="422"/>
      </w:r>
    </w:p>
    <w:p w14:paraId="2A2226EE" w14:textId="529C54F7" w:rsidR="007C34DF" w:rsidRPr="007B5BE6" w:rsidRDefault="007C34DF" w:rsidP="007C34DF">
      <w:pPr>
        <w:pStyle w:val="NormalNumberedTextTLRI"/>
      </w:pPr>
      <w:r w:rsidRPr="007B5BE6">
        <w:t xml:space="preserve">Examples </w:t>
      </w:r>
      <w:r w:rsidR="00755EA9" w:rsidRPr="007B5BE6">
        <w:t xml:space="preserve">that stakeholders </w:t>
      </w:r>
      <w:r w:rsidR="00993E91" w:rsidRPr="007B5BE6">
        <w:t xml:space="preserve">gave in </w:t>
      </w:r>
      <w:r w:rsidR="00E15808" w:rsidRPr="007B5BE6">
        <w:t xml:space="preserve">characterising </w:t>
      </w:r>
      <w:r w:rsidR="00993E91" w:rsidRPr="007B5BE6">
        <w:t xml:space="preserve">approaches as </w:t>
      </w:r>
      <w:r w:rsidRPr="007B5BE6">
        <w:t>‘patchwork’, ‘tinkering’ or ‘peppering’ included:</w:t>
      </w:r>
    </w:p>
    <w:p w14:paraId="7B3C3F44" w14:textId="55C4703A" w:rsidR="007C34DF" w:rsidRPr="007B5BE6" w:rsidRDefault="007C34DF" w:rsidP="007C34DF">
      <w:pPr>
        <w:pStyle w:val="DotPointTLRI"/>
      </w:pPr>
      <w:r w:rsidRPr="007B5BE6">
        <w:t xml:space="preserve">the protections under the </w:t>
      </w:r>
      <w:r w:rsidRPr="007B5BE6">
        <w:rPr>
          <w:i/>
          <w:iCs/>
        </w:rPr>
        <w:t>Guardianship and Administration Act 1995</w:t>
      </w:r>
      <w:r w:rsidRPr="007B5BE6">
        <w:t xml:space="preserve"> (Tas) only apply to those older people with disability and impaired decision-making </w:t>
      </w:r>
      <w:r w:rsidR="00236EC6" w:rsidRPr="007B5BE6">
        <w:t xml:space="preserve">ability </w:t>
      </w:r>
      <w:r w:rsidRPr="007B5BE6">
        <w:t>under the requirements of the Act;</w:t>
      </w:r>
    </w:p>
    <w:p w14:paraId="5154067E" w14:textId="14D1F2A5" w:rsidR="007C34DF" w:rsidRPr="007B5BE6" w:rsidRDefault="007C34DF" w:rsidP="007C34DF">
      <w:pPr>
        <w:pStyle w:val="DotPointTLRI"/>
      </w:pPr>
      <w:r w:rsidRPr="007B5BE6">
        <w:t xml:space="preserve">an older person could only make a complaint to the Disability Commissioner if they have </w:t>
      </w:r>
      <w:r w:rsidR="001F5690" w:rsidRPr="007B5BE6">
        <w:t xml:space="preserve">a </w:t>
      </w:r>
      <w:r w:rsidRPr="007B5BE6">
        <w:t xml:space="preserve">disability and meet other requirements under the </w:t>
      </w:r>
      <w:r w:rsidR="001C1EF6" w:rsidRPr="007B5BE6">
        <w:rPr>
          <w:i/>
          <w:iCs/>
        </w:rPr>
        <w:t>Disability Rights, Inclusion and Safeguarding Act 2024</w:t>
      </w:r>
      <w:r w:rsidR="001C1EF6" w:rsidRPr="007B5BE6">
        <w:t xml:space="preserve"> (Tas)</w:t>
      </w:r>
      <w:r w:rsidRPr="007B5BE6">
        <w:t>;</w:t>
      </w:r>
    </w:p>
    <w:p w14:paraId="1F89F41B" w14:textId="04E82777" w:rsidR="007C34DF" w:rsidRPr="007B5BE6" w:rsidRDefault="007C34DF" w:rsidP="007C34DF">
      <w:pPr>
        <w:pStyle w:val="DotPointTLRI"/>
      </w:pPr>
      <w:r w:rsidRPr="007B5BE6">
        <w:t xml:space="preserve">the protections under the </w:t>
      </w:r>
      <w:r w:rsidRPr="007B5BE6">
        <w:rPr>
          <w:i/>
          <w:iCs/>
        </w:rPr>
        <w:t>Aged Care Act 1997</w:t>
      </w:r>
      <w:r w:rsidRPr="007B5BE6">
        <w:t xml:space="preserve"> (Cth) (since 1 July 2025, the </w:t>
      </w:r>
      <w:r w:rsidRPr="007B5BE6">
        <w:rPr>
          <w:i/>
          <w:iCs/>
        </w:rPr>
        <w:t>Aged Care Act 2025</w:t>
      </w:r>
      <w:r w:rsidRPr="007B5BE6">
        <w:t xml:space="preserve"> (Cth)), and the serious incident response scheme</w:t>
      </w:r>
      <w:r w:rsidR="00E42E39" w:rsidRPr="007B5BE6">
        <w:t>,</w:t>
      </w:r>
      <w:r w:rsidRPr="007B5BE6">
        <w:t xml:space="preserve"> only apply to people who are in receipt of aged care services;</w:t>
      </w:r>
    </w:p>
    <w:p w14:paraId="0A666B9B" w14:textId="6C64758A" w:rsidR="007C34DF" w:rsidRPr="007B5BE6" w:rsidRDefault="007C34DF" w:rsidP="007C34DF">
      <w:pPr>
        <w:pStyle w:val="DotPointTLRI"/>
      </w:pPr>
      <w:r w:rsidRPr="007B5BE6">
        <w:t>police may</w:t>
      </w:r>
      <w:r w:rsidR="00D77012" w:rsidRPr="007B5BE6">
        <w:t xml:space="preserve"> only</w:t>
      </w:r>
      <w:r w:rsidRPr="007B5BE6">
        <w:t xml:space="preserve"> issue a police family violence order</w:t>
      </w:r>
      <w:r w:rsidR="001F5690" w:rsidRPr="007B5BE6">
        <w:t>,</w:t>
      </w:r>
      <w:r w:rsidRPr="007B5BE6">
        <w:t xml:space="preserve"> or an older person </w:t>
      </w:r>
      <w:r w:rsidR="001F5690" w:rsidRPr="007B5BE6">
        <w:t xml:space="preserve">could </w:t>
      </w:r>
      <w:r w:rsidR="00D77012" w:rsidRPr="007B5BE6">
        <w:t xml:space="preserve">only </w:t>
      </w:r>
      <w:r w:rsidRPr="007B5BE6">
        <w:t>seek a family violence order</w:t>
      </w:r>
      <w:r w:rsidR="001F5690" w:rsidRPr="007B5BE6">
        <w:t>,</w:t>
      </w:r>
      <w:r w:rsidRPr="007B5BE6">
        <w:rPr>
          <w:i/>
          <w:iCs/>
        </w:rPr>
        <w:t xml:space="preserve"> </w:t>
      </w:r>
      <w:r w:rsidRPr="007B5BE6">
        <w:t>if the</w:t>
      </w:r>
      <w:r w:rsidR="001F5690" w:rsidRPr="007B5BE6">
        <w:t xml:space="preserve"> older person </w:t>
      </w:r>
      <w:r w:rsidR="00D77012" w:rsidRPr="007B5BE6">
        <w:t xml:space="preserve">was </w:t>
      </w:r>
      <w:r w:rsidRPr="007B5BE6">
        <w:t>experiencing</w:t>
      </w:r>
      <w:r w:rsidR="00BB31C7" w:rsidRPr="007B5BE6">
        <w:t>, or was at risk of experiencing,</w:t>
      </w:r>
      <w:r w:rsidRPr="007B5BE6">
        <w:t xml:space="preserve"> abuse from an intimate partner within the meaning of the relevant relationship definition; and</w:t>
      </w:r>
    </w:p>
    <w:p w14:paraId="5B5D5987" w14:textId="346D2787" w:rsidR="007C34DF" w:rsidRPr="007B5BE6" w:rsidRDefault="007C34DF" w:rsidP="007C34DF">
      <w:pPr>
        <w:pStyle w:val="DotPointTLRI"/>
      </w:pPr>
      <w:r w:rsidRPr="007B5BE6">
        <w:t xml:space="preserve">an older person is only eligible for </w:t>
      </w:r>
      <w:r w:rsidR="00171E34" w:rsidRPr="007B5BE6">
        <w:t>Tasmania Legal Aid’s Senior Assist program (‘Senior Assist’</w:t>
      </w:r>
      <w:r w:rsidR="00E42E39" w:rsidRPr="007B5BE6">
        <w:t>)</w:t>
      </w:r>
      <w:r w:rsidR="00171E34" w:rsidRPr="007B5BE6">
        <w:t xml:space="preserve"> </w:t>
      </w:r>
      <w:r w:rsidRPr="007B5BE6">
        <w:t xml:space="preserve">if they have legal capacity, meaning that </w:t>
      </w:r>
      <w:r w:rsidR="00CC3C87" w:rsidRPr="007B5BE6">
        <w:t xml:space="preserve">older </w:t>
      </w:r>
      <w:r w:rsidRPr="007B5BE6">
        <w:t>people who do not have capacity cannot access th</w:t>
      </w:r>
      <w:r w:rsidR="00052078" w:rsidRPr="007B5BE6">
        <w:t xml:space="preserve">is </w:t>
      </w:r>
      <w:r w:rsidRPr="007B5BE6">
        <w:t xml:space="preserve">main service access point </w:t>
      </w:r>
      <w:r w:rsidR="005B4688" w:rsidRPr="007B5BE6">
        <w:t xml:space="preserve">connecting </w:t>
      </w:r>
      <w:r w:rsidR="00CC3C87" w:rsidRPr="007B5BE6">
        <w:t>them</w:t>
      </w:r>
      <w:r w:rsidR="005B4688" w:rsidRPr="007B5BE6">
        <w:t xml:space="preserve"> to</w:t>
      </w:r>
      <w:r w:rsidRPr="007B5BE6">
        <w:t xml:space="preserve"> a legal response to abuse.</w:t>
      </w:r>
      <w:r w:rsidR="004C3A2A" w:rsidRPr="007B5BE6">
        <w:rPr>
          <w:rStyle w:val="FootnoteReference"/>
        </w:rPr>
        <w:footnoteReference w:id="423"/>
      </w:r>
      <w:r w:rsidRPr="007B5BE6">
        <w:t xml:space="preserve"> </w:t>
      </w:r>
    </w:p>
    <w:p w14:paraId="7BBC2D58" w14:textId="747AF60F" w:rsidR="00BD6B07" w:rsidRPr="007B5BE6" w:rsidRDefault="00BD6B07" w:rsidP="00C70BD3">
      <w:pPr>
        <w:pStyle w:val="Headingunnumbered"/>
        <w:spacing w:before="360"/>
      </w:pPr>
      <w:bookmarkStart w:id="554" w:name="_Toc212561780"/>
      <w:r w:rsidRPr="007B5BE6">
        <w:t>Current legal response</w:t>
      </w:r>
      <w:r w:rsidR="001B102E" w:rsidRPr="007B5BE6">
        <w:t>s</w:t>
      </w:r>
      <w:r w:rsidRPr="007B5BE6">
        <w:t xml:space="preserve"> exist in silos and do not provide a comprehensive response to abuse of all older people</w:t>
      </w:r>
      <w:bookmarkEnd w:id="554"/>
      <w:r w:rsidRPr="007B5BE6">
        <w:t xml:space="preserve"> </w:t>
      </w:r>
    </w:p>
    <w:p w14:paraId="681B7E8D" w14:textId="75BB18E8" w:rsidR="008E24F9" w:rsidRPr="007B5BE6" w:rsidRDefault="0009117B" w:rsidP="00251135">
      <w:pPr>
        <w:pStyle w:val="NormalNumberedTextTLRI"/>
      </w:pPr>
      <w:r w:rsidRPr="00251135">
        <w:t>Related</w:t>
      </w:r>
      <w:r w:rsidRPr="007B5BE6">
        <w:t xml:space="preserve"> to the </w:t>
      </w:r>
      <w:r w:rsidR="00A60D04" w:rsidRPr="007B5BE6">
        <w:t xml:space="preserve"> </w:t>
      </w:r>
      <w:r w:rsidR="003739D7" w:rsidRPr="007B5BE6">
        <w:t>absence of a specialised response,</w:t>
      </w:r>
      <w:r w:rsidR="00A60D04" w:rsidRPr="007B5BE6">
        <w:t xml:space="preserve"> </w:t>
      </w:r>
      <w:r w:rsidR="00DB04ED" w:rsidRPr="007B5BE6">
        <w:t xml:space="preserve">stakeholders </w:t>
      </w:r>
      <w:r w:rsidR="006E6FBD" w:rsidRPr="007B5BE6">
        <w:t>indicted</w:t>
      </w:r>
      <w:r w:rsidR="003739D7" w:rsidRPr="007B5BE6">
        <w:t xml:space="preserve"> that the</w:t>
      </w:r>
      <w:r w:rsidR="00BD6B07" w:rsidRPr="007B5BE6">
        <w:t xml:space="preserve"> current legal framework </w:t>
      </w:r>
      <w:r w:rsidR="007836E5" w:rsidRPr="007B5BE6">
        <w:t xml:space="preserve">does not </w:t>
      </w:r>
      <w:r w:rsidR="00BD6B07" w:rsidRPr="007B5BE6">
        <w:t>provide a comprehensive response to the abuse of all older people.</w:t>
      </w:r>
      <w:r w:rsidR="00D52FA0" w:rsidRPr="007B5BE6">
        <w:rPr>
          <w:rStyle w:val="FootnoteReference"/>
        </w:rPr>
        <w:footnoteReference w:id="424"/>
      </w:r>
      <w:r w:rsidR="00A60D04" w:rsidRPr="007B5BE6">
        <w:t xml:space="preserve"> This gap was</w:t>
      </w:r>
      <w:r w:rsidR="00BD6B07" w:rsidRPr="007B5BE6">
        <w:t xml:space="preserve"> </w:t>
      </w:r>
      <w:r w:rsidR="00A60D04" w:rsidRPr="007B5BE6">
        <w:t xml:space="preserve">identified by </w:t>
      </w:r>
      <w:r w:rsidR="004C6F7D" w:rsidRPr="007B5BE6">
        <w:t xml:space="preserve">nearly </w:t>
      </w:r>
      <w:r w:rsidR="00A60D04" w:rsidRPr="007B5BE6">
        <w:t>all stakeholders</w:t>
      </w:r>
      <w:r w:rsidR="00E24FB6" w:rsidRPr="007B5BE6">
        <w:t>, in</w:t>
      </w:r>
      <w:r w:rsidR="00A60D04" w:rsidRPr="007B5BE6">
        <w:t xml:space="preserve"> suggest</w:t>
      </w:r>
      <w:r w:rsidR="00E24FB6" w:rsidRPr="007B5BE6">
        <w:t xml:space="preserve">ing </w:t>
      </w:r>
      <w:r w:rsidR="00A60D04" w:rsidRPr="007B5BE6">
        <w:t xml:space="preserve">that </w:t>
      </w:r>
      <w:r w:rsidR="004C6F7D" w:rsidRPr="007B5BE6">
        <w:t>that the</w:t>
      </w:r>
      <w:r w:rsidR="00BD6B07" w:rsidRPr="007B5BE6">
        <w:t xml:space="preserve"> legal </w:t>
      </w:r>
      <w:r w:rsidR="004C6F7D" w:rsidRPr="007B5BE6">
        <w:t xml:space="preserve">responses </w:t>
      </w:r>
      <w:r w:rsidR="00BD6B07" w:rsidRPr="007B5BE6">
        <w:t xml:space="preserve">currently in place provide </w:t>
      </w:r>
      <w:r w:rsidR="004C6F7D" w:rsidRPr="007B5BE6">
        <w:t xml:space="preserve">only </w:t>
      </w:r>
      <w:r w:rsidR="00BD6B07" w:rsidRPr="007B2D74">
        <w:rPr>
          <w:i/>
          <w:iCs/>
        </w:rPr>
        <w:t>some</w:t>
      </w:r>
      <w:r w:rsidR="00BD6B07" w:rsidRPr="007B5BE6">
        <w:t xml:space="preserve"> options for safeguarding against</w:t>
      </w:r>
      <w:r w:rsidR="00402C89" w:rsidRPr="007B5BE6">
        <w:t>,</w:t>
      </w:r>
      <w:r w:rsidR="00BD6B07" w:rsidRPr="007B5BE6">
        <w:t xml:space="preserve"> and responding to</w:t>
      </w:r>
      <w:r w:rsidR="00402C89" w:rsidRPr="007B5BE6">
        <w:t>,</w:t>
      </w:r>
      <w:r w:rsidR="00E24FB6" w:rsidRPr="007B5BE6">
        <w:t xml:space="preserve"> the</w:t>
      </w:r>
      <w:r w:rsidR="00BD6B07" w:rsidRPr="007B5BE6">
        <w:t xml:space="preserve"> abuse of </w:t>
      </w:r>
      <w:r w:rsidR="00764F7E" w:rsidRPr="007B2D74">
        <w:rPr>
          <w:i/>
          <w:iCs/>
        </w:rPr>
        <w:t xml:space="preserve">some </w:t>
      </w:r>
      <w:r w:rsidR="00BD6B07" w:rsidRPr="007B5BE6">
        <w:t>older people, depending on whether they come under the application of a particular legislative framework.</w:t>
      </w:r>
      <w:r w:rsidR="00E44420" w:rsidRPr="00E44420">
        <w:rPr>
          <w:rStyle w:val="FootnoteReference"/>
        </w:rPr>
        <w:t xml:space="preserve"> </w:t>
      </w:r>
      <w:r w:rsidR="00E44420" w:rsidRPr="007B5BE6">
        <w:rPr>
          <w:rStyle w:val="FootnoteReference"/>
        </w:rPr>
        <w:footnoteReference w:id="425"/>
      </w:r>
      <w:r w:rsidR="00EE4FB5">
        <w:t xml:space="preserve"> It was noted that</w:t>
      </w:r>
      <w:r w:rsidR="008A3CAA">
        <w:t>,</w:t>
      </w:r>
      <w:r w:rsidR="00EE4FB5">
        <w:t xml:space="preserve"> while there are multiple </w:t>
      </w:r>
      <w:r w:rsidR="00EE775C">
        <w:t>agencies or entities that</w:t>
      </w:r>
      <w:r w:rsidR="00EE4FB5">
        <w:t xml:space="preserve"> have a role in protecting older Tasmanians </w:t>
      </w:r>
      <w:r w:rsidR="00EB05F2">
        <w:t>or providing advice or guidance around this</w:t>
      </w:r>
      <w:r w:rsidR="008A3CAA">
        <w:t xml:space="preserve"> (</w:t>
      </w:r>
      <w:r w:rsidR="00EB05F2">
        <w:t>some of which have a legislative basis</w:t>
      </w:r>
      <w:r w:rsidR="008A3CAA">
        <w:t>)</w:t>
      </w:r>
      <w:r w:rsidR="00EE775C">
        <w:t>,</w:t>
      </w:r>
      <w:r w:rsidR="00EB05F2">
        <w:t xml:space="preserve"> each </w:t>
      </w:r>
      <w:r w:rsidR="00EE775C">
        <w:t xml:space="preserve">one </w:t>
      </w:r>
      <w:r w:rsidR="00EB05F2">
        <w:t>has a slightly different focus</w:t>
      </w:r>
      <w:r w:rsidR="00E44420">
        <w:t xml:space="preserve"> or </w:t>
      </w:r>
      <w:r w:rsidR="004E6D04">
        <w:t>purpose</w:t>
      </w:r>
      <w:r w:rsidR="0094416D">
        <w:t>,</w:t>
      </w:r>
      <w:r w:rsidR="004E6D04">
        <w:t xml:space="preserve"> which leads to the potential for people to fall through the gaps. </w:t>
      </w:r>
      <w:r w:rsidR="00BA2C7D">
        <w:t xml:space="preserve">Based on this, it was observed that </w:t>
      </w:r>
      <w:r w:rsidR="000B4C45">
        <w:t xml:space="preserve">the major gap </w:t>
      </w:r>
      <w:r w:rsidR="00A066C4">
        <w:t xml:space="preserve">was </w:t>
      </w:r>
      <w:r w:rsidR="00FE36BC">
        <w:t xml:space="preserve">an absence of an entity that is able to monitor </w:t>
      </w:r>
      <w:r w:rsidR="00A44068">
        <w:t>and coordinate in an ongoing way, as opposed to responding on an episodic basis</w:t>
      </w:r>
      <w:r w:rsidR="00A066C4">
        <w:t xml:space="preserve">, as well as </w:t>
      </w:r>
      <w:r w:rsidR="00451CF9">
        <w:t>a lack of coordinat</w:t>
      </w:r>
      <w:r w:rsidR="00A066C4">
        <w:t>ion and informat</w:t>
      </w:r>
      <w:r w:rsidR="00132A69">
        <w:t>ion sharing across organisations within the system for</w:t>
      </w:r>
      <w:r w:rsidR="00451CF9">
        <w:t xml:space="preserve"> respon</w:t>
      </w:r>
      <w:r w:rsidR="00132A69">
        <w:t>ding</w:t>
      </w:r>
      <w:r w:rsidR="00451CF9">
        <w:t xml:space="preserve"> to the abuse </w:t>
      </w:r>
      <w:r w:rsidR="00451CF9">
        <w:lastRenderedPageBreak/>
        <w:t>of older Tasmanians.</w:t>
      </w:r>
      <w:r w:rsidR="00FA219D">
        <w:rPr>
          <w:rStyle w:val="FootnoteReference"/>
        </w:rPr>
        <w:footnoteReference w:id="426"/>
      </w:r>
      <w:r w:rsidR="00451CF9">
        <w:t xml:space="preserve"> </w:t>
      </w:r>
      <w:r w:rsidR="008E24F9" w:rsidRPr="007B5BE6">
        <w:t>In addition, several stakeholders also commented on the fact that this gap had been identified in previous research and reviews in the Tasmanian context.</w:t>
      </w:r>
      <w:r w:rsidR="00D52FA0" w:rsidRPr="007B5BE6">
        <w:rPr>
          <w:rStyle w:val="FootnoteReference"/>
        </w:rPr>
        <w:footnoteReference w:id="427"/>
      </w:r>
    </w:p>
    <w:p w14:paraId="6B4E619A" w14:textId="77777777" w:rsidR="00BD6B07" w:rsidRPr="007B5BE6" w:rsidRDefault="00BD6B07" w:rsidP="008E24F9">
      <w:pPr>
        <w:pStyle w:val="NormalNumberedTextTLRI"/>
      </w:pPr>
      <w:r w:rsidRPr="007B5BE6">
        <w:t>The siloed approach and lack of a comprehensive response was conceptualised as a gap in numerous ways:</w:t>
      </w:r>
    </w:p>
    <w:p w14:paraId="3903423D" w14:textId="557E1BB3" w:rsidR="00BD6B07" w:rsidRPr="007B5BE6" w:rsidRDefault="00BD6B07" w:rsidP="00BD6B07">
      <w:pPr>
        <w:pStyle w:val="DotPointTLRI"/>
      </w:pPr>
      <w:r w:rsidRPr="007B5BE6">
        <w:t>There is no overarching legislation that adequately provides a response to the circumstances in which all older people can be abused</w:t>
      </w:r>
      <w:r w:rsidR="00A05E43" w:rsidRPr="007B5BE6">
        <w:t xml:space="preserve"> (</w:t>
      </w:r>
      <w:r w:rsidRPr="007B5BE6">
        <w:t>including</w:t>
      </w:r>
      <w:r w:rsidR="00D267DF" w:rsidRPr="007B5BE6">
        <w:t xml:space="preserve"> by</w:t>
      </w:r>
      <w:r w:rsidRPr="007B5BE6">
        <w:t xml:space="preserve"> family members or </w:t>
      </w:r>
      <w:r w:rsidR="00D267DF" w:rsidRPr="007B5BE6">
        <w:t xml:space="preserve">in </w:t>
      </w:r>
      <w:r w:rsidRPr="007B5BE6">
        <w:t>institutions</w:t>
      </w:r>
      <w:r w:rsidR="008E331F" w:rsidRPr="007B5BE6">
        <w:t>),</w:t>
      </w:r>
      <w:r w:rsidRPr="007B5BE6">
        <w:t xml:space="preserve"> and the types of behaviour seen in abuse of older people with and without decision-making capacity</w:t>
      </w:r>
      <w:r w:rsidR="008E331F" w:rsidRPr="007B5BE6">
        <w:t xml:space="preserve"> (</w:t>
      </w:r>
      <w:r w:rsidRPr="007B5BE6">
        <w:t xml:space="preserve">including abuse of enduring powers of attorney and enduring guardianship, neglect, coercively controlling behaviour, </w:t>
      </w:r>
      <w:r w:rsidR="00C954CD" w:rsidRPr="007B5BE6">
        <w:t xml:space="preserve">inappropriate </w:t>
      </w:r>
      <w:r w:rsidRPr="007B5BE6">
        <w:t xml:space="preserve">property and financial </w:t>
      </w:r>
      <w:r w:rsidR="002A230B" w:rsidRPr="007B5BE6">
        <w:t xml:space="preserve">dealings or </w:t>
      </w:r>
      <w:r w:rsidRPr="007B5BE6">
        <w:t xml:space="preserve">living arrangements, </w:t>
      </w:r>
      <w:r w:rsidR="00A05E43" w:rsidRPr="007B5BE6">
        <w:t xml:space="preserve">and </w:t>
      </w:r>
      <w:r w:rsidRPr="007B5BE6">
        <w:t>overriding decision</w:t>
      </w:r>
      <w:r w:rsidR="00E34312" w:rsidRPr="007B5BE6">
        <w:t xml:space="preserve"> </w:t>
      </w:r>
      <w:r w:rsidRPr="007B5BE6">
        <w:t>making of older people who have capacity</w:t>
      </w:r>
      <w:r w:rsidR="008E331F" w:rsidRPr="007B5BE6">
        <w:t>)</w:t>
      </w:r>
      <w:r w:rsidRPr="007B5BE6">
        <w:t>.</w:t>
      </w:r>
      <w:r w:rsidR="00D52FA0" w:rsidRPr="007B5BE6">
        <w:rPr>
          <w:rStyle w:val="FootnoteReference"/>
        </w:rPr>
        <w:footnoteReference w:id="428"/>
      </w:r>
    </w:p>
    <w:p w14:paraId="4D10EA36" w14:textId="7D85C0C0" w:rsidR="00BD6B07" w:rsidRPr="007B5BE6" w:rsidRDefault="00BD6B07" w:rsidP="00BD6B07">
      <w:pPr>
        <w:pStyle w:val="DotPointTLRI"/>
      </w:pPr>
      <w:r w:rsidRPr="007B5BE6">
        <w:t xml:space="preserve">There is not a single, central or overarching service or agency that can receive complaints or reports regarding concerns about abusive behaviour, either by the older person themselves or by family, friends or professionals, and that can assist when help is sought. This includes </w:t>
      </w:r>
      <w:r w:rsidR="00F3104D" w:rsidRPr="007B5BE6">
        <w:t>hav</w:t>
      </w:r>
      <w:r w:rsidR="00E852F3" w:rsidRPr="007B5BE6">
        <w:t>ing</w:t>
      </w:r>
      <w:r w:rsidR="00F3104D" w:rsidRPr="007B5BE6">
        <w:t xml:space="preserve"> </w:t>
      </w:r>
      <w:r w:rsidRPr="007B5BE6">
        <w:t>possibl</w:t>
      </w:r>
      <w:r w:rsidR="00F3104D" w:rsidRPr="007B5BE6">
        <w:t>e powers to</w:t>
      </w:r>
      <w:r w:rsidRPr="007B5BE6">
        <w:t xml:space="preserve"> investigat</w:t>
      </w:r>
      <w:r w:rsidR="00F3104D" w:rsidRPr="007B5BE6">
        <w:t>e</w:t>
      </w:r>
      <w:r w:rsidRPr="007B5BE6">
        <w:t xml:space="preserve"> and respond to such complaints or concerns. Specific examples highlighted were abuses of powers of attorney</w:t>
      </w:r>
      <w:r w:rsidR="00800795" w:rsidRPr="007B5BE6">
        <w:t xml:space="preserve">, </w:t>
      </w:r>
      <w:r w:rsidRPr="007B5BE6">
        <w:t xml:space="preserve">acting outside of </w:t>
      </w:r>
      <w:r w:rsidR="00F3104D" w:rsidRPr="007B5BE6">
        <w:t xml:space="preserve">the </w:t>
      </w:r>
      <w:r w:rsidRPr="007B5BE6">
        <w:t xml:space="preserve">enduring phase of </w:t>
      </w:r>
      <w:r w:rsidR="00800795" w:rsidRPr="007B5BE6">
        <w:t xml:space="preserve">either </w:t>
      </w:r>
      <w:r w:rsidRPr="007B5BE6">
        <w:t xml:space="preserve">powers of attorney or guardianship, psychological or emotional abuse, </w:t>
      </w:r>
      <w:r w:rsidR="00F3104D" w:rsidRPr="007B5BE6">
        <w:t xml:space="preserve">and </w:t>
      </w:r>
      <w:r w:rsidRPr="007B5BE6">
        <w:t>neglect.</w:t>
      </w:r>
      <w:r w:rsidR="00D52FA0" w:rsidRPr="007B5BE6">
        <w:rPr>
          <w:rStyle w:val="FootnoteReference"/>
        </w:rPr>
        <w:footnoteReference w:id="429"/>
      </w:r>
    </w:p>
    <w:p w14:paraId="1CF60178" w14:textId="03887DF6" w:rsidR="00BD6B07" w:rsidRPr="007B5BE6" w:rsidRDefault="00BD6B07" w:rsidP="00BD6B07">
      <w:pPr>
        <w:pStyle w:val="DotPointTLRI"/>
      </w:pPr>
      <w:r w:rsidRPr="007B5BE6">
        <w:t>There is a lack of a coordination across legal frameworks for responding to</w:t>
      </w:r>
      <w:r w:rsidR="00800795" w:rsidRPr="007B5BE6">
        <w:t>,</w:t>
      </w:r>
      <w:r w:rsidRPr="007B5BE6">
        <w:t xml:space="preserve"> or safeguarding against</w:t>
      </w:r>
      <w:r w:rsidR="00800795" w:rsidRPr="007B5BE6">
        <w:t>,</w:t>
      </w:r>
      <w:r w:rsidRPr="007B5BE6">
        <w:t xml:space="preserve"> abuse</w:t>
      </w:r>
      <w:r w:rsidR="00800795" w:rsidRPr="007B5BE6">
        <w:t xml:space="preserve">. Further, there is a </w:t>
      </w:r>
      <w:r w:rsidRPr="007B5BE6">
        <w:t>lack of monitoring across service settings where older people receive care</w:t>
      </w:r>
      <w:r w:rsidR="0031090E" w:rsidRPr="007B5BE6">
        <w:t xml:space="preserve">. In these settings, older people </w:t>
      </w:r>
      <w:r w:rsidR="002B0190" w:rsidRPr="007B5BE6">
        <w:t xml:space="preserve">experience </w:t>
      </w:r>
      <w:r w:rsidR="00796019" w:rsidRPr="007B5BE6">
        <w:t xml:space="preserve">circumstances </w:t>
      </w:r>
      <w:r w:rsidRPr="007B5BE6">
        <w:t xml:space="preserve">identified as </w:t>
      </w:r>
      <w:r w:rsidR="00796019" w:rsidRPr="007B5BE6">
        <w:t>increasing the</w:t>
      </w:r>
      <w:r w:rsidRPr="007B5BE6">
        <w:t xml:space="preserve"> risk of abuse or </w:t>
      </w:r>
      <w:r w:rsidR="0031090E" w:rsidRPr="007B5BE6">
        <w:t>they</w:t>
      </w:r>
      <w:r w:rsidRPr="007B5BE6">
        <w:t xml:space="preserve"> may face barriers in seeking help, meaning that the response is only reactive and not proactive.</w:t>
      </w:r>
      <w:r w:rsidR="00D52FA0" w:rsidRPr="007B5BE6">
        <w:rPr>
          <w:rStyle w:val="FootnoteReference"/>
        </w:rPr>
        <w:footnoteReference w:id="430"/>
      </w:r>
      <w:r w:rsidRPr="007B5BE6">
        <w:t xml:space="preserve"> One example given was a lack of monitoring around the support needs and capacity of carers once they</w:t>
      </w:r>
      <w:r w:rsidR="002B0190" w:rsidRPr="007B5BE6">
        <w:t xml:space="preserve"> have</w:t>
      </w:r>
      <w:r w:rsidRPr="007B5BE6">
        <w:t xml:space="preserve"> taken on a caring role for an older person.</w:t>
      </w:r>
      <w:r w:rsidR="00D52FA0" w:rsidRPr="007B5BE6">
        <w:rPr>
          <w:rStyle w:val="FootnoteReference"/>
        </w:rPr>
        <w:footnoteReference w:id="431"/>
      </w:r>
    </w:p>
    <w:p w14:paraId="24A328FE" w14:textId="128B565B" w:rsidR="00BD6B07" w:rsidRPr="007B5BE6" w:rsidRDefault="00BD6B07" w:rsidP="00BD6B07">
      <w:pPr>
        <w:pStyle w:val="DotPointTLRI"/>
      </w:pPr>
      <w:r w:rsidRPr="007B5BE6">
        <w:t>The shared service system that is required to respond to the abuse of older people lacks breadth and connections to ensure a ‘wrap-around’ approach</w:t>
      </w:r>
      <w:r w:rsidR="007258D0" w:rsidRPr="007B5BE6">
        <w:t xml:space="preserve">. </w:t>
      </w:r>
      <w:r w:rsidR="000E1D63" w:rsidRPr="007B5BE6">
        <w:t xml:space="preserve">This means that </w:t>
      </w:r>
      <w:r w:rsidRPr="007B5BE6">
        <w:t xml:space="preserve">current </w:t>
      </w:r>
      <w:r w:rsidR="002D41E4" w:rsidRPr="007B5BE6">
        <w:t xml:space="preserve">services under the </w:t>
      </w:r>
      <w:r w:rsidRPr="007B5BE6">
        <w:t xml:space="preserve">specialist </w:t>
      </w:r>
      <w:r w:rsidR="002D41E4" w:rsidRPr="007B5BE6">
        <w:t>response to abuse</w:t>
      </w:r>
      <w:r w:rsidRPr="007B5BE6">
        <w:t xml:space="preserve"> may be unavailable to some older people who may need or wish to seek help, or to other individuals who may be ‘bystanders’ of</w:t>
      </w:r>
      <w:r w:rsidR="008C5564" w:rsidRPr="007B5BE6">
        <w:t xml:space="preserve"> </w:t>
      </w:r>
      <w:r w:rsidRPr="007B5BE6">
        <w:t>abuse and mistreatment of older people and seek to raise concerns</w:t>
      </w:r>
      <w:r w:rsidR="003A53ED" w:rsidRPr="007B5BE6">
        <w:t>.</w:t>
      </w:r>
      <w:r w:rsidR="00EA46C3" w:rsidRPr="007B5BE6">
        <w:t xml:space="preserve"> </w:t>
      </w:r>
      <w:r w:rsidR="00091A2A" w:rsidRPr="007B5BE6">
        <w:t>T</w:t>
      </w:r>
      <w:r w:rsidR="00275A99" w:rsidRPr="007B5BE6">
        <w:t xml:space="preserve">hese deficits were </w:t>
      </w:r>
      <w:r w:rsidR="00091A2A" w:rsidRPr="007B5BE6">
        <w:t xml:space="preserve">of </w:t>
      </w:r>
      <w:r w:rsidRPr="007B5BE6">
        <w:t>particular</w:t>
      </w:r>
      <w:r w:rsidR="00EA46C3" w:rsidRPr="007B5BE6">
        <w:t xml:space="preserve"> concern </w:t>
      </w:r>
      <w:r w:rsidR="00091A2A" w:rsidRPr="007B5BE6">
        <w:t xml:space="preserve">regarding individuals </w:t>
      </w:r>
      <w:r w:rsidRPr="007B5BE6">
        <w:t>who work in service systems who support or interact with older people in settings where risk of abuse is increased</w:t>
      </w:r>
      <w:r w:rsidR="00275A99" w:rsidRPr="007B5BE6">
        <w:t xml:space="preserve">, </w:t>
      </w:r>
      <w:r w:rsidR="00FB340D" w:rsidRPr="007B5BE6">
        <w:t xml:space="preserve">which </w:t>
      </w:r>
      <w:r w:rsidRPr="007B5BE6">
        <w:t>includes aged care</w:t>
      </w:r>
      <w:r w:rsidR="00275A99" w:rsidRPr="007B5BE6">
        <w:t xml:space="preserve"> services</w:t>
      </w:r>
      <w:r w:rsidRPr="007B5BE6">
        <w:t>, health institutions, and services that support financ</w:t>
      </w:r>
      <w:r w:rsidR="00275A99" w:rsidRPr="007B5BE6">
        <w:t>ial</w:t>
      </w:r>
      <w:r w:rsidRPr="007B5BE6">
        <w:t>, personal, and lifestyle</w:t>
      </w:r>
      <w:r w:rsidR="00275A99" w:rsidRPr="007B5BE6">
        <w:t xml:space="preserve"> decisions</w:t>
      </w:r>
      <w:r w:rsidRPr="007B5BE6">
        <w:t>.</w:t>
      </w:r>
      <w:r w:rsidR="00072409" w:rsidRPr="007B5BE6">
        <w:rPr>
          <w:rStyle w:val="FootnoteReference"/>
        </w:rPr>
        <w:footnoteReference w:id="432"/>
      </w:r>
      <w:r w:rsidRPr="007B5BE6">
        <w:t xml:space="preserve">  </w:t>
      </w:r>
    </w:p>
    <w:p w14:paraId="22686E4B" w14:textId="4144EC17" w:rsidR="00BD6B07" w:rsidRPr="007B5BE6" w:rsidRDefault="00A25C33" w:rsidP="00176F85">
      <w:pPr>
        <w:pStyle w:val="NormalNumberedTextTLRI"/>
      </w:pPr>
      <w:r w:rsidRPr="007B5BE6">
        <w:t>While the existing legislative framework</w:t>
      </w:r>
      <w:r w:rsidR="00676223" w:rsidRPr="007B5BE6">
        <w:t>s</w:t>
      </w:r>
      <w:r w:rsidRPr="007B5BE6">
        <w:t xml:space="preserve"> provide </w:t>
      </w:r>
      <w:r w:rsidR="00603E35" w:rsidRPr="007B5BE6">
        <w:t>protection</w:t>
      </w:r>
      <w:r w:rsidRPr="007B5BE6">
        <w:t xml:space="preserve"> </w:t>
      </w:r>
      <w:r w:rsidR="00734C40" w:rsidRPr="007B5BE6">
        <w:t xml:space="preserve">for older people </w:t>
      </w:r>
      <w:r w:rsidRPr="007B5BE6">
        <w:t>in some circumstances (</w:t>
      </w:r>
      <w:r w:rsidR="007745BB" w:rsidRPr="007B5BE6">
        <w:t>for example,</w:t>
      </w:r>
      <w:r w:rsidRPr="007B5BE6">
        <w:t xml:space="preserve"> if </w:t>
      </w:r>
      <w:r w:rsidR="00603E35" w:rsidRPr="007B5BE6">
        <w:t>a</w:t>
      </w:r>
      <w:r w:rsidR="00734C40" w:rsidRPr="007B5BE6">
        <w:t xml:space="preserve">n older </w:t>
      </w:r>
      <w:r w:rsidR="00603E35" w:rsidRPr="007B5BE6">
        <w:t>person has</w:t>
      </w:r>
      <w:r w:rsidRPr="007B5BE6">
        <w:t xml:space="preserve"> impaired </w:t>
      </w:r>
      <w:r w:rsidR="00603E35" w:rsidRPr="007B5BE6">
        <w:t>decision</w:t>
      </w:r>
      <w:r w:rsidRPr="007B5BE6">
        <w:t xml:space="preserve"> making or disability), </w:t>
      </w:r>
      <w:r w:rsidR="00603E35" w:rsidRPr="007B5BE6">
        <w:t>older people who do not fall within those categories are still susceptible to abuse</w:t>
      </w:r>
      <w:r w:rsidR="00FA1C8C" w:rsidRPr="007B5BE6">
        <w:t xml:space="preserve">. </w:t>
      </w:r>
      <w:r w:rsidR="00BD6B07" w:rsidRPr="007B5BE6">
        <w:t xml:space="preserve">For example, it was suggested that older people who do not have </w:t>
      </w:r>
      <w:r w:rsidR="00FA1C8C" w:rsidRPr="007B5BE6">
        <w:t xml:space="preserve">a </w:t>
      </w:r>
      <w:r w:rsidR="006E6FBD" w:rsidRPr="007B5BE6">
        <w:t>decision-making</w:t>
      </w:r>
      <w:r w:rsidR="00BD6B07" w:rsidRPr="007B5BE6">
        <w:t xml:space="preserve"> impairment can still be vulnerable to abuse, including being susceptible to undue influence</w:t>
      </w:r>
      <w:r w:rsidR="00FA1C8C" w:rsidRPr="007B5BE6">
        <w:t xml:space="preserve"> or other financial abuse</w:t>
      </w:r>
      <w:r w:rsidR="00BD6B07" w:rsidRPr="007B5BE6">
        <w:t xml:space="preserve">. This </w:t>
      </w:r>
      <w:r w:rsidR="001F1C41" w:rsidRPr="007B5BE6">
        <w:t xml:space="preserve">susceptibility can be </w:t>
      </w:r>
      <w:r w:rsidR="00DB0FE3" w:rsidRPr="007B5BE6">
        <w:t>heightened</w:t>
      </w:r>
      <w:r w:rsidR="00BD6B07" w:rsidRPr="007B5BE6">
        <w:t xml:space="preserve"> when the older person relies </w:t>
      </w:r>
      <w:r w:rsidR="00BD6B07" w:rsidRPr="00176F85">
        <w:t>on</w:t>
      </w:r>
      <w:r w:rsidR="00BD6B07" w:rsidRPr="007B5BE6">
        <w:t xml:space="preserve"> others for support or care</w:t>
      </w:r>
      <w:r w:rsidR="00D3370E" w:rsidRPr="007B5BE6">
        <w:t>, or when</w:t>
      </w:r>
      <w:r w:rsidR="00DB0FE3" w:rsidRPr="007B5BE6">
        <w:t xml:space="preserve"> </w:t>
      </w:r>
      <w:r w:rsidR="007D09D1" w:rsidRPr="007B5BE6">
        <w:t xml:space="preserve">the </w:t>
      </w:r>
      <w:r w:rsidR="00B35641" w:rsidRPr="007B5BE6">
        <w:t>circumstances</w:t>
      </w:r>
      <w:r w:rsidR="00256C3F" w:rsidRPr="007B5BE6">
        <w:t xml:space="preserve"> involve other factors</w:t>
      </w:r>
      <w:r w:rsidR="00B35641" w:rsidRPr="007B5BE6">
        <w:t xml:space="preserve"> </w:t>
      </w:r>
      <w:r w:rsidR="007D09D1" w:rsidRPr="007B5BE6">
        <w:t xml:space="preserve">that can </w:t>
      </w:r>
      <w:r w:rsidR="000825C8" w:rsidRPr="007B5BE6">
        <w:t xml:space="preserve">increase risk, </w:t>
      </w:r>
      <w:r w:rsidR="00BD6B07" w:rsidRPr="007B5BE6">
        <w:t xml:space="preserve">such as geographical isolation and </w:t>
      </w:r>
      <w:r w:rsidR="00DB0FE3" w:rsidRPr="007B5BE6">
        <w:t xml:space="preserve">low </w:t>
      </w:r>
      <w:r w:rsidR="00BD6B07" w:rsidRPr="007B5BE6">
        <w:t>functional literacy</w:t>
      </w:r>
      <w:r w:rsidR="00010412" w:rsidRPr="007B5BE6">
        <w:t xml:space="preserve"> (</w:t>
      </w:r>
      <w:r w:rsidR="000825C8" w:rsidRPr="007B5BE6">
        <w:t xml:space="preserve">as discussed at </w:t>
      </w:r>
      <w:r w:rsidR="006E498D" w:rsidRPr="007B5BE6">
        <w:t>[2.4.21</w:t>
      </w:r>
      <w:r w:rsidR="003D4B5D" w:rsidRPr="007B5BE6">
        <w:t>]</w:t>
      </w:r>
      <w:r w:rsidR="006E498D" w:rsidRPr="007B5BE6">
        <w:t>–[2.4.24]</w:t>
      </w:r>
      <w:r w:rsidR="00010412" w:rsidRPr="007B5BE6">
        <w:t>)</w:t>
      </w:r>
      <w:r w:rsidR="00BD6B07" w:rsidRPr="007B5BE6">
        <w:t xml:space="preserve">. </w:t>
      </w:r>
      <w:r w:rsidR="00FA1C8C" w:rsidRPr="007B5BE6">
        <w:t>Stakeholders highlighted that c</w:t>
      </w:r>
      <w:r w:rsidR="00BD6B07" w:rsidRPr="007B5BE6">
        <w:t>urrent legal frameworks, do not adequately capture or reflect these factors</w:t>
      </w:r>
      <w:r w:rsidR="001D5175" w:rsidRPr="007B5BE6">
        <w:t>,</w:t>
      </w:r>
      <w:r w:rsidR="00FA1C8C" w:rsidRPr="007B5BE6">
        <w:t xml:space="preserve"> and </w:t>
      </w:r>
      <w:r w:rsidR="00BD6B07" w:rsidRPr="007B5BE6">
        <w:t xml:space="preserve">constitute a ‘blunt’ approach to safeguarding </w:t>
      </w:r>
      <w:r w:rsidR="001D5175" w:rsidRPr="007B5BE6">
        <w:t xml:space="preserve">that </w:t>
      </w:r>
      <w:r w:rsidR="00774CF8" w:rsidRPr="007B5BE6">
        <w:t>was</w:t>
      </w:r>
      <w:r w:rsidR="00BD6B07" w:rsidRPr="007B5BE6">
        <w:t xml:space="preserve"> not sufficiently nuanced.</w:t>
      </w:r>
      <w:r w:rsidR="00072409" w:rsidRPr="007B5BE6">
        <w:rPr>
          <w:rStyle w:val="FootnoteReference"/>
        </w:rPr>
        <w:footnoteReference w:id="433"/>
      </w:r>
      <w:r w:rsidR="00B1530A">
        <w:t xml:space="preserve"> On</w:t>
      </w:r>
      <w:r w:rsidR="006B7314">
        <w:t xml:space="preserve">e stakeholder </w:t>
      </w:r>
      <w:r w:rsidR="0057403F">
        <w:t>observed</w:t>
      </w:r>
      <w:r w:rsidR="006B7314">
        <w:t xml:space="preserve"> that</w:t>
      </w:r>
      <w:r w:rsidR="00546B83">
        <w:t xml:space="preserve"> </w:t>
      </w:r>
      <w:r w:rsidR="00856E35">
        <w:t xml:space="preserve">the </w:t>
      </w:r>
      <w:r w:rsidR="00546B83">
        <w:t xml:space="preserve">existing </w:t>
      </w:r>
      <w:r w:rsidR="00856E35">
        <w:t xml:space="preserve">gaps are </w:t>
      </w:r>
      <w:r w:rsidR="006B7314">
        <w:t>significant</w:t>
      </w:r>
      <w:r w:rsidR="00546B83">
        <w:t>. Therefore,</w:t>
      </w:r>
      <w:r w:rsidR="00856E35">
        <w:t xml:space="preserve"> although </w:t>
      </w:r>
      <w:r w:rsidR="00862A6D">
        <w:t xml:space="preserve">attempts to fix </w:t>
      </w:r>
      <w:proofErr w:type="gramStart"/>
      <w:r w:rsidR="00862A6D">
        <w:t>particular gaps</w:t>
      </w:r>
      <w:proofErr w:type="gramEnd"/>
      <w:r w:rsidR="00862A6D">
        <w:t xml:space="preserve"> </w:t>
      </w:r>
      <w:r w:rsidR="00546B83">
        <w:t>for</w:t>
      </w:r>
      <w:r w:rsidR="00862A6D">
        <w:t xml:space="preserve"> certain cohorts </w:t>
      </w:r>
      <w:r w:rsidR="00A50239">
        <w:t>of older people</w:t>
      </w:r>
      <w:r w:rsidR="00856E35">
        <w:t xml:space="preserve"> have been made,</w:t>
      </w:r>
      <w:r w:rsidR="00546B83">
        <w:t xml:space="preserve"> for example for older people with disability,</w:t>
      </w:r>
      <w:r w:rsidR="00856E35">
        <w:t xml:space="preserve"> </w:t>
      </w:r>
      <w:r w:rsidR="00A50239">
        <w:t xml:space="preserve">in the meantime other older people </w:t>
      </w:r>
      <w:r w:rsidR="00856E35">
        <w:t xml:space="preserve">who do not come within these cohorts </w:t>
      </w:r>
      <w:r w:rsidR="00A50239">
        <w:t xml:space="preserve">are </w:t>
      </w:r>
      <w:r w:rsidR="00A50239">
        <w:lastRenderedPageBreak/>
        <w:t>falling through the gaps that remain</w:t>
      </w:r>
      <w:r w:rsidR="00997DC3">
        <w:t xml:space="preserve">. </w:t>
      </w:r>
      <w:r w:rsidR="001C19AB">
        <w:t xml:space="preserve">It was suggested </w:t>
      </w:r>
      <w:r w:rsidR="00856E35">
        <w:t xml:space="preserve">that </w:t>
      </w:r>
      <w:r w:rsidR="00DE101B">
        <w:t>what was needed a high</w:t>
      </w:r>
      <w:r w:rsidR="00FA1685">
        <w:t>-</w:t>
      </w:r>
      <w:r w:rsidR="00DE101B">
        <w:t>level structural reform</w:t>
      </w:r>
      <w:r w:rsidR="00546B83">
        <w:t xml:space="preserve"> approach</w:t>
      </w:r>
      <w:r w:rsidR="004605FA">
        <w:t xml:space="preserve"> to reflect the broader policy aims behind safeguarding,</w:t>
      </w:r>
      <w:r w:rsidR="00DE101B">
        <w:t xml:space="preserve"> rather than </w:t>
      </w:r>
      <w:r w:rsidR="004605FA">
        <w:t xml:space="preserve">the current approach of </w:t>
      </w:r>
      <w:r w:rsidR="00856E35">
        <w:t>attempt</w:t>
      </w:r>
      <w:r w:rsidR="004605FA">
        <w:t xml:space="preserve">ing to achieve </w:t>
      </w:r>
      <w:r w:rsidR="00546B83">
        <w:t>safeguarding</w:t>
      </w:r>
      <w:r w:rsidR="004605FA">
        <w:t xml:space="preserve"> by</w:t>
      </w:r>
      <w:r w:rsidR="00856E35">
        <w:t xml:space="preserve"> </w:t>
      </w:r>
      <w:r w:rsidR="004605FA">
        <w:t>‘</w:t>
      </w:r>
      <w:r w:rsidR="00856E35">
        <w:t>patch</w:t>
      </w:r>
      <w:r w:rsidR="004605FA">
        <w:t>ing</w:t>
      </w:r>
      <w:r w:rsidR="00856E35">
        <w:t xml:space="preserve"> up</w:t>
      </w:r>
      <w:r w:rsidR="004605FA">
        <w:t>’</w:t>
      </w:r>
      <w:r w:rsidR="0099660C">
        <w:t xml:space="preserve"> or </w:t>
      </w:r>
      <w:r w:rsidR="004605FA">
        <w:t>‘</w:t>
      </w:r>
      <w:r w:rsidR="0099660C">
        <w:t>tinker</w:t>
      </w:r>
      <w:r w:rsidR="004605FA">
        <w:t>ing with’</w:t>
      </w:r>
      <w:r w:rsidR="0099660C">
        <w:t xml:space="preserve"> with what </w:t>
      </w:r>
      <w:r w:rsidR="004605FA">
        <w:t xml:space="preserve">currently </w:t>
      </w:r>
      <w:r w:rsidR="0099660C">
        <w:t xml:space="preserve">exists </w:t>
      </w:r>
      <w:r w:rsidR="00DE101B">
        <w:t>in certain areas of the law</w:t>
      </w:r>
      <w:r w:rsidR="004605FA">
        <w:t xml:space="preserve">. </w:t>
      </w:r>
      <w:r w:rsidR="00D9592F">
        <w:t xml:space="preserve">There was therefore support </w:t>
      </w:r>
      <w:r w:rsidR="002B571B">
        <w:t xml:space="preserve">from stakeholders </w:t>
      </w:r>
      <w:r w:rsidR="00D9592F">
        <w:t xml:space="preserve">for a </w:t>
      </w:r>
      <w:r w:rsidR="00FA1685">
        <w:t xml:space="preserve">more </w:t>
      </w:r>
      <w:r w:rsidR="008B6B9A">
        <w:t xml:space="preserve">holistic </w:t>
      </w:r>
      <w:r w:rsidR="00FA1685">
        <w:t>approach to reform</w:t>
      </w:r>
      <w:r w:rsidR="004C0F85">
        <w:t xml:space="preserve">ing </w:t>
      </w:r>
      <w:r w:rsidR="00FA1685">
        <w:t>the law</w:t>
      </w:r>
      <w:r w:rsidR="00034FF9">
        <w:t xml:space="preserve"> that would </w:t>
      </w:r>
      <w:r w:rsidR="00FA1685">
        <w:t xml:space="preserve">ensure </w:t>
      </w:r>
      <w:r w:rsidR="00BA1521">
        <w:t xml:space="preserve">an approach to safeguarding that recognises </w:t>
      </w:r>
      <w:r w:rsidR="008B6B9A">
        <w:t xml:space="preserve">that </w:t>
      </w:r>
      <w:r w:rsidR="00FA1685">
        <w:t>all older people</w:t>
      </w:r>
      <w:r w:rsidR="00B82EBF">
        <w:t xml:space="preserve"> are important</w:t>
      </w:r>
      <w:r w:rsidR="0018518C">
        <w:t>, irrespective of their circumstances, ability and capacity</w:t>
      </w:r>
      <w:r w:rsidR="001F242E">
        <w:t>, and the complexity of their needs</w:t>
      </w:r>
      <w:r w:rsidR="008B6B9A">
        <w:t>.</w:t>
      </w:r>
      <w:r w:rsidR="00176F85">
        <w:t xml:space="preserve"> </w:t>
      </w:r>
      <w:r w:rsidR="00176F85" w:rsidRPr="007B5BE6">
        <w:t>In addition, it was noted that the current legal categories that offer protections only for some older people can create tension, in that bringing older people, who are in the ‘gaps’, into existing categories, for example attempting to make a person ‘fit’ under existing legislative criteria, can have the inappropriate effect of the system ‘disabling’ people.</w:t>
      </w:r>
      <w:r w:rsidR="008B6B9A" w:rsidRPr="007B5BE6">
        <w:rPr>
          <w:rStyle w:val="FootnoteReference"/>
          <w:sz w:val="20"/>
        </w:rPr>
        <w:footnoteReference w:id="434"/>
      </w:r>
      <w:r w:rsidR="00546B83">
        <w:t xml:space="preserve"> </w:t>
      </w:r>
      <w:r w:rsidR="004605FA">
        <w:t xml:space="preserve"> </w:t>
      </w:r>
    </w:p>
    <w:p w14:paraId="5D1123D3" w14:textId="40ABC3C8" w:rsidR="00BD6B07" w:rsidRPr="007B5BE6" w:rsidRDefault="009607CF" w:rsidP="009F2E31">
      <w:pPr>
        <w:pStyle w:val="NormalNumberedTextTLRI"/>
      </w:pPr>
      <w:r w:rsidRPr="007B5BE6">
        <w:t>Stakeholders also identified that t</w:t>
      </w:r>
      <w:r w:rsidR="00BD6B07" w:rsidRPr="007B5BE6">
        <w:t>he fragmented legal responses</w:t>
      </w:r>
      <w:r w:rsidR="00844AE1" w:rsidRPr="007B5BE6">
        <w:t xml:space="preserve"> also create complexity, both </w:t>
      </w:r>
      <w:r w:rsidR="00BD6B07" w:rsidRPr="007B5BE6">
        <w:t>for</w:t>
      </w:r>
      <w:r w:rsidR="00373040" w:rsidRPr="007B5BE6">
        <w:t xml:space="preserve"> older</w:t>
      </w:r>
      <w:r w:rsidR="00BD6B07" w:rsidRPr="007B5BE6">
        <w:t xml:space="preserve"> people who may </w:t>
      </w:r>
      <w:r w:rsidRPr="007B5BE6">
        <w:t xml:space="preserve">be </w:t>
      </w:r>
      <w:r w:rsidR="00BD6B07" w:rsidRPr="009F2E31">
        <w:t>seeking</w:t>
      </w:r>
      <w:r w:rsidR="00BD6B07" w:rsidRPr="007B5BE6">
        <w:t xml:space="preserve"> help</w:t>
      </w:r>
      <w:r w:rsidR="00844AE1" w:rsidRPr="007B5BE6">
        <w:t xml:space="preserve"> for themselves</w:t>
      </w:r>
      <w:r w:rsidR="00373040" w:rsidRPr="007B5BE6">
        <w:t>,</w:t>
      </w:r>
      <w:r w:rsidR="00BD6B07" w:rsidRPr="007B5BE6">
        <w:t xml:space="preserve"> </w:t>
      </w:r>
      <w:r w:rsidR="00373040" w:rsidRPr="007B5BE6">
        <w:t xml:space="preserve">or those </w:t>
      </w:r>
      <w:r w:rsidR="00844AE1" w:rsidRPr="007B5BE6">
        <w:t xml:space="preserve">people </w:t>
      </w:r>
      <w:r w:rsidR="00373040" w:rsidRPr="007B5BE6">
        <w:t>who seek help</w:t>
      </w:r>
      <w:r w:rsidR="00BD6B07" w:rsidRPr="007B5BE6">
        <w:t xml:space="preserve"> on behalf of an older person. Stakeholders </w:t>
      </w:r>
      <w:r w:rsidR="00981859" w:rsidRPr="007B5BE6">
        <w:t>suggested</w:t>
      </w:r>
      <w:r w:rsidR="00BD6B07" w:rsidRPr="007B5BE6">
        <w:t xml:space="preserve"> that, despite </w:t>
      </w:r>
      <w:r w:rsidR="00981859" w:rsidRPr="007B5BE6">
        <w:t xml:space="preserve">there being legal options </w:t>
      </w:r>
      <w:r w:rsidR="00BD6B07" w:rsidRPr="007B5BE6">
        <w:t xml:space="preserve">available, </w:t>
      </w:r>
      <w:r w:rsidR="00981859" w:rsidRPr="007B5BE6">
        <w:t xml:space="preserve">there is a lack of </w:t>
      </w:r>
      <w:r w:rsidR="00B67818" w:rsidRPr="007B5BE6">
        <w:t xml:space="preserve">community </w:t>
      </w:r>
      <w:r w:rsidR="00BD6B07" w:rsidRPr="007B5BE6">
        <w:t xml:space="preserve">understanding and </w:t>
      </w:r>
      <w:r w:rsidR="00B67818" w:rsidRPr="007B5BE6">
        <w:t xml:space="preserve">challenges in gaining </w:t>
      </w:r>
      <w:r w:rsidR="00BD6B07" w:rsidRPr="007B5BE6">
        <w:t>access</w:t>
      </w:r>
      <w:r w:rsidR="00B67818" w:rsidRPr="007B5BE6">
        <w:t xml:space="preserve"> to them, </w:t>
      </w:r>
      <w:r w:rsidR="00BD6B07" w:rsidRPr="007B5BE6">
        <w:t>leading to confusion</w:t>
      </w:r>
      <w:r w:rsidR="00B67818" w:rsidRPr="007B5BE6">
        <w:t xml:space="preserve"> about </w:t>
      </w:r>
      <w:r w:rsidR="002D6E8F" w:rsidRPr="007B5BE6">
        <w:t>such options</w:t>
      </w:r>
      <w:r w:rsidR="00BD6B07" w:rsidRPr="007B5BE6">
        <w:t xml:space="preserve">. </w:t>
      </w:r>
      <w:r w:rsidR="004934E1" w:rsidRPr="007B5BE6">
        <w:t xml:space="preserve">On this issue, stakeholders shared observations about </w:t>
      </w:r>
      <w:r w:rsidR="00BD6B07" w:rsidRPr="007B5BE6">
        <w:t>people not knowing where to get help, having ‘nowhere to go’ to seek help, o</w:t>
      </w:r>
      <w:r w:rsidR="00903177">
        <w:t xml:space="preserve">r </w:t>
      </w:r>
      <w:r w:rsidR="00C553BF">
        <w:t>feeling like there was no</w:t>
      </w:r>
      <w:r w:rsidR="00BD6B07" w:rsidRPr="007B5BE6">
        <w:t xml:space="preserve"> central point to access an effective or appropriate respo</w:t>
      </w:r>
      <w:r w:rsidR="003632E0">
        <w:t>nse</w:t>
      </w:r>
      <w:r w:rsidR="0090087D">
        <w:t xml:space="preserve"> amongst a ‘minefield</w:t>
      </w:r>
      <w:r w:rsidR="009F2E31">
        <w:t>’ of response</w:t>
      </w:r>
      <w:r w:rsidR="00C553BF">
        <w:t xml:space="preserve"> options, which may or not be available or appropriate in their circumstances</w:t>
      </w:r>
      <w:r w:rsidR="00BD6B07" w:rsidRPr="007B5BE6">
        <w:t xml:space="preserve">. </w:t>
      </w:r>
      <w:r w:rsidR="00631E5A">
        <w:t xml:space="preserve">It was observed that </w:t>
      </w:r>
      <w:r w:rsidR="00851307">
        <w:t xml:space="preserve">while there are services that can provide legal advice and assistance, as well as other support, </w:t>
      </w:r>
      <w:r w:rsidR="00631E5A">
        <w:t>under the existing legal framework</w:t>
      </w:r>
      <w:r w:rsidR="003632E0">
        <w:t>,</w:t>
      </w:r>
      <w:r w:rsidR="00631E5A">
        <w:t xml:space="preserve"> </w:t>
      </w:r>
      <w:r w:rsidR="00D62059">
        <w:t xml:space="preserve">there is no ‘one point of truth’ </w:t>
      </w:r>
      <w:r w:rsidR="00851307">
        <w:t>in terms of getting help through the law.</w:t>
      </w:r>
      <w:r w:rsidR="00072409" w:rsidRPr="007B5BE6">
        <w:rPr>
          <w:rStyle w:val="FootnoteReference"/>
          <w:sz w:val="20"/>
        </w:rPr>
        <w:footnoteReference w:id="435"/>
      </w:r>
      <w:r w:rsidR="009F2E31">
        <w:t xml:space="preserve"> </w:t>
      </w:r>
      <w:r w:rsidR="00063B7A" w:rsidRPr="007B5BE6">
        <w:t>It was also suggested that t</w:t>
      </w:r>
      <w:r w:rsidR="00055FB8" w:rsidRPr="007B5BE6">
        <w:t xml:space="preserve">here is </w:t>
      </w:r>
      <w:r w:rsidR="00BD6B07" w:rsidRPr="009F2E31">
        <w:rPr>
          <w:i/>
          <w:iCs/>
        </w:rPr>
        <w:t xml:space="preserve">not </w:t>
      </w:r>
      <w:r w:rsidR="00BD6B07" w:rsidRPr="007B5BE6">
        <w:t>currently a ‘no wrong door’ approach</w:t>
      </w:r>
      <w:r w:rsidR="00882EF6" w:rsidRPr="007B5BE6">
        <w:rPr>
          <w:rStyle w:val="FootnoteReference"/>
        </w:rPr>
        <w:footnoteReference w:id="436"/>
      </w:r>
      <w:r w:rsidR="007334A9" w:rsidRPr="007B5BE6">
        <w:t xml:space="preserve"> </w:t>
      </w:r>
      <w:r w:rsidR="00BD6B07" w:rsidRPr="007B5BE6">
        <w:t xml:space="preserve">for older people, family members and professionals, </w:t>
      </w:r>
      <w:r w:rsidR="00405E00" w:rsidRPr="007B5BE6">
        <w:t>including</w:t>
      </w:r>
      <w:r w:rsidR="00BD6B07" w:rsidRPr="007B5BE6">
        <w:t xml:space="preserve"> health professionals </w:t>
      </w:r>
      <w:r w:rsidR="00405E00" w:rsidRPr="007B5BE6">
        <w:t>(</w:t>
      </w:r>
      <w:r w:rsidR="00BD6B07" w:rsidRPr="007B5BE6">
        <w:t xml:space="preserve">such as hospital staff and </w:t>
      </w:r>
      <w:r w:rsidR="00405E00" w:rsidRPr="007B5BE6">
        <w:t>G</w:t>
      </w:r>
      <w:r w:rsidR="001B19C1" w:rsidRPr="007B5BE6">
        <w:t>P</w:t>
      </w:r>
      <w:r w:rsidR="00DC4C3C" w:rsidRPr="007B5BE6">
        <w:t>s</w:t>
      </w:r>
      <w:r w:rsidR="004520C4">
        <w:t>)—whereas</w:t>
      </w:r>
      <w:r w:rsidR="0028388C">
        <w:t xml:space="preserve"> there should be </w:t>
      </w:r>
      <w:r w:rsidR="00A773C5">
        <w:t xml:space="preserve">a ‘no barriers’ approach to </w:t>
      </w:r>
      <w:r w:rsidR="006904BE">
        <w:t>legal and other services, such as advocacy</w:t>
      </w:r>
      <w:r w:rsidR="00BD6B07" w:rsidRPr="007B5BE6">
        <w:t>.</w:t>
      </w:r>
      <w:r w:rsidR="003121CC" w:rsidRPr="007B5BE6">
        <w:rPr>
          <w:rStyle w:val="FootnoteReference"/>
        </w:rPr>
        <w:footnoteReference w:id="437"/>
      </w:r>
    </w:p>
    <w:p w14:paraId="75983B8D" w14:textId="36717538" w:rsidR="00BD6B07" w:rsidRPr="007B5BE6" w:rsidRDefault="00BD6B07" w:rsidP="00BD6B07">
      <w:pPr>
        <w:pStyle w:val="NormalNumberedTextTLRI"/>
      </w:pPr>
      <w:r w:rsidRPr="007B5BE6">
        <w:t>A</w:t>
      </w:r>
      <w:r w:rsidR="00DF153C" w:rsidRPr="007B5BE6">
        <w:t>n additional issue</w:t>
      </w:r>
      <w:r w:rsidRPr="007B5BE6">
        <w:t xml:space="preserve"> </w:t>
      </w:r>
      <w:r w:rsidR="001E0EA5" w:rsidRPr="007B5BE6">
        <w:t xml:space="preserve">stakeholders </w:t>
      </w:r>
      <w:r w:rsidRPr="007B5BE6">
        <w:t xml:space="preserve">identified was </w:t>
      </w:r>
      <w:r w:rsidR="00DF153C" w:rsidRPr="007B5BE6">
        <w:t xml:space="preserve">that </w:t>
      </w:r>
      <w:r w:rsidR="001E0EA5" w:rsidRPr="007B5BE6">
        <w:t xml:space="preserve">an </w:t>
      </w:r>
      <w:r w:rsidR="00B906F4" w:rsidRPr="007B5BE6">
        <w:t>o</w:t>
      </w:r>
      <w:r w:rsidRPr="007B5BE6">
        <w:t xml:space="preserve">lder person experiencing abuse may not want </w:t>
      </w:r>
      <w:r w:rsidR="00B906F4" w:rsidRPr="007B5BE6">
        <w:t xml:space="preserve">to access </w:t>
      </w:r>
      <w:r w:rsidR="001E0EA5" w:rsidRPr="007B5BE6">
        <w:t xml:space="preserve">available </w:t>
      </w:r>
      <w:r w:rsidR="00B906F4" w:rsidRPr="007B5BE6">
        <w:t xml:space="preserve">legal </w:t>
      </w:r>
      <w:r w:rsidRPr="007B5BE6">
        <w:t xml:space="preserve">responses or may </w:t>
      </w:r>
      <w:r w:rsidR="00B906F4" w:rsidRPr="007B5BE6">
        <w:t xml:space="preserve">be </w:t>
      </w:r>
      <w:r w:rsidRPr="007B5BE6">
        <w:t>fear</w:t>
      </w:r>
      <w:r w:rsidR="00B906F4" w:rsidRPr="007B5BE6">
        <w:t>ful about</w:t>
      </w:r>
      <w:r w:rsidRPr="007B5BE6">
        <w:t xml:space="preserve"> the consequences of </w:t>
      </w:r>
      <w:r w:rsidR="00B906F4" w:rsidRPr="007B5BE6">
        <w:t>seeking help</w:t>
      </w:r>
      <w:r w:rsidRPr="007B5BE6">
        <w:t xml:space="preserve">. </w:t>
      </w:r>
      <w:r w:rsidR="007F5671" w:rsidRPr="007B5BE6">
        <w:t xml:space="preserve">This may be </w:t>
      </w:r>
      <w:r w:rsidR="001257C4" w:rsidRPr="007B5BE6">
        <w:t>due to</w:t>
      </w:r>
      <w:r w:rsidRPr="007B5BE6">
        <w:t xml:space="preserve"> </w:t>
      </w:r>
      <w:r w:rsidR="00B906F4" w:rsidRPr="007B5BE6">
        <w:t xml:space="preserve">concerns about the potential </w:t>
      </w:r>
      <w:r w:rsidRPr="007B5BE6">
        <w:t xml:space="preserve">consequences for family members </w:t>
      </w:r>
      <w:r w:rsidR="00EB4876" w:rsidRPr="007B5BE6">
        <w:t>if</w:t>
      </w:r>
      <w:r w:rsidRPr="007B5BE6">
        <w:t xml:space="preserve"> </w:t>
      </w:r>
      <w:r w:rsidR="007F5671" w:rsidRPr="007B5BE6">
        <w:t xml:space="preserve">an older person </w:t>
      </w:r>
      <w:r w:rsidRPr="007B5BE6">
        <w:t>report</w:t>
      </w:r>
      <w:r w:rsidR="00EB4876" w:rsidRPr="007B5BE6">
        <w:t>ed</w:t>
      </w:r>
      <w:r w:rsidRPr="007B5BE6">
        <w:t xml:space="preserve"> </w:t>
      </w:r>
      <w:r w:rsidR="007F5671" w:rsidRPr="007B5BE6">
        <w:t xml:space="preserve">abuse </w:t>
      </w:r>
      <w:r w:rsidRPr="007B5BE6">
        <w:t>to police, such as</w:t>
      </w:r>
      <w:r w:rsidR="007F5671" w:rsidRPr="007B5BE6">
        <w:t xml:space="preserve"> a court making a</w:t>
      </w:r>
      <w:r w:rsidRPr="007B5BE6">
        <w:t xml:space="preserve"> family violence order </w:t>
      </w:r>
      <w:r w:rsidR="009C2EF8" w:rsidRPr="007B5BE6">
        <w:t xml:space="preserve">or </w:t>
      </w:r>
      <w:r w:rsidRPr="007B5BE6">
        <w:t xml:space="preserve">restraint order </w:t>
      </w:r>
      <w:r w:rsidR="009C2EF8" w:rsidRPr="007B5BE6">
        <w:t xml:space="preserve">(if the respective legislative criteria applied), </w:t>
      </w:r>
      <w:r w:rsidRPr="007B5BE6">
        <w:t xml:space="preserve">or </w:t>
      </w:r>
      <w:r w:rsidR="00034B98" w:rsidRPr="007B5BE6">
        <w:t xml:space="preserve">police charging a family member with a </w:t>
      </w:r>
      <w:r w:rsidRPr="007B5BE6">
        <w:t xml:space="preserve">criminal </w:t>
      </w:r>
      <w:r w:rsidR="00034B98" w:rsidRPr="007B5BE6">
        <w:t>offence</w:t>
      </w:r>
      <w:r w:rsidR="00EB4876" w:rsidRPr="007B5BE6">
        <w:t xml:space="preserve">. In other contexts, this may be </w:t>
      </w:r>
      <w:r w:rsidR="001257C4" w:rsidRPr="007B5BE6">
        <w:t>due to</w:t>
      </w:r>
      <w:r w:rsidR="00EB4876" w:rsidRPr="007B5BE6">
        <w:t xml:space="preserve"> fear of t</w:t>
      </w:r>
      <w:r w:rsidRPr="007B5BE6">
        <w:t xml:space="preserve">he consequences </w:t>
      </w:r>
      <w:r w:rsidR="00EB4876" w:rsidRPr="007B5BE6">
        <w:t>if an older person or a family member ma</w:t>
      </w:r>
      <w:r w:rsidR="001E1219" w:rsidRPr="007B5BE6">
        <w:t>kes</w:t>
      </w:r>
      <w:r w:rsidR="00EB4876" w:rsidRPr="007B5BE6">
        <w:t xml:space="preserve"> </w:t>
      </w:r>
      <w:r w:rsidRPr="007B5BE6">
        <w:t>a complaint about treatment in an aged care</w:t>
      </w:r>
      <w:r w:rsidR="00EB4876" w:rsidRPr="007B5BE6">
        <w:t xml:space="preserve"> institution or service context, </w:t>
      </w:r>
      <w:r w:rsidRPr="007B5BE6">
        <w:t xml:space="preserve">such as a loss </w:t>
      </w:r>
      <w:r w:rsidR="00E56134" w:rsidRPr="007B5BE6">
        <w:t xml:space="preserve">of </w:t>
      </w:r>
      <w:r w:rsidR="001E1219" w:rsidRPr="007B5BE6">
        <w:t xml:space="preserve">funded </w:t>
      </w:r>
      <w:r w:rsidRPr="007B5BE6">
        <w:t xml:space="preserve">services or </w:t>
      </w:r>
      <w:r w:rsidR="00EB4876" w:rsidRPr="007B5BE6">
        <w:t>residential care</w:t>
      </w:r>
      <w:r w:rsidRPr="007B5BE6">
        <w:t>.</w:t>
      </w:r>
      <w:r w:rsidR="003121CC" w:rsidRPr="007B5BE6">
        <w:rPr>
          <w:rStyle w:val="FootnoteReference"/>
        </w:rPr>
        <w:footnoteReference w:id="438"/>
      </w:r>
    </w:p>
    <w:p w14:paraId="44AC7546" w14:textId="352A626F" w:rsidR="0063656F" w:rsidRDefault="00BD6B07" w:rsidP="00BD6B07">
      <w:pPr>
        <w:pStyle w:val="NormalNumberedTextTLRI"/>
      </w:pPr>
      <w:r w:rsidRPr="007B5BE6">
        <w:t xml:space="preserve">In addition, the </w:t>
      </w:r>
      <w:r w:rsidR="7BC5EDEB" w:rsidRPr="007B5BE6">
        <w:t xml:space="preserve">lack of a comprehensive framework for linking </w:t>
      </w:r>
      <w:r w:rsidR="7E91BBBD" w:rsidRPr="007B5BE6">
        <w:t>people</w:t>
      </w:r>
      <w:r w:rsidR="7BC5EDEB" w:rsidRPr="007B5BE6">
        <w:t xml:space="preserve"> with currently </w:t>
      </w:r>
      <w:r w:rsidR="1B401E46" w:rsidRPr="007B5BE6">
        <w:t>available</w:t>
      </w:r>
      <w:r w:rsidR="7BC5EDEB" w:rsidRPr="007B5BE6">
        <w:t xml:space="preserve"> </w:t>
      </w:r>
      <w:r w:rsidR="00BD7901" w:rsidRPr="007B5BE6">
        <w:t xml:space="preserve">response </w:t>
      </w:r>
      <w:r w:rsidR="501EE72A" w:rsidRPr="007B5BE6">
        <w:t>mechanisms</w:t>
      </w:r>
      <w:r w:rsidR="7BC5EDEB" w:rsidRPr="007B5BE6">
        <w:t xml:space="preserve"> was seen to reduce the </w:t>
      </w:r>
      <w:r w:rsidRPr="007B5BE6">
        <w:t>strength or ‘reach’ of response</w:t>
      </w:r>
      <w:r w:rsidR="255BF12B" w:rsidRPr="007B5BE6">
        <w:t>s</w:t>
      </w:r>
      <w:r w:rsidRPr="007B5BE6">
        <w:t xml:space="preserve"> when an older person seeks help, </w:t>
      </w:r>
      <w:r w:rsidR="00C71A88" w:rsidRPr="007B5BE6">
        <w:t xml:space="preserve">reports </w:t>
      </w:r>
      <w:r w:rsidRPr="007B5BE6">
        <w:t xml:space="preserve">abuse or a </w:t>
      </w:r>
      <w:r w:rsidR="00C71A88" w:rsidRPr="007B5BE6">
        <w:t xml:space="preserve">makes a </w:t>
      </w:r>
      <w:r w:rsidRPr="007B5BE6">
        <w:t>complaint about treatment</w:t>
      </w:r>
      <w:r w:rsidR="00F76525" w:rsidRPr="007B5BE6">
        <w:t>.</w:t>
      </w:r>
      <w:r w:rsidRPr="007B5BE6">
        <w:t xml:space="preserve"> This was reflected in </w:t>
      </w:r>
      <w:r w:rsidR="004440BC" w:rsidRPr="007B5BE6">
        <w:t xml:space="preserve">stakeholder </w:t>
      </w:r>
      <w:r w:rsidRPr="007B5BE6">
        <w:t>comments a</w:t>
      </w:r>
      <w:r w:rsidR="4E9976CC" w:rsidRPr="007B5BE6">
        <w:t>bout the</w:t>
      </w:r>
      <w:r w:rsidRPr="007B5BE6">
        <w:t xml:space="preserve"> limitations </w:t>
      </w:r>
      <w:r w:rsidR="3F5C7794" w:rsidRPr="007B5BE6">
        <w:t>in</w:t>
      </w:r>
      <w:r w:rsidRPr="007B5BE6">
        <w:t xml:space="preserve"> </w:t>
      </w:r>
      <w:r w:rsidR="004440BC" w:rsidRPr="007B5BE6">
        <w:t xml:space="preserve">the actions that could be taken by </w:t>
      </w:r>
      <w:r w:rsidRPr="007B5BE6">
        <w:t>different protective agencies</w:t>
      </w:r>
      <w:r w:rsidR="5ECBE9F0" w:rsidRPr="007B5BE6">
        <w:t xml:space="preserve">, as well as the variations </w:t>
      </w:r>
      <w:r w:rsidR="004440BC" w:rsidRPr="007B5BE6">
        <w:t>in existing responses</w:t>
      </w:r>
      <w:r w:rsidRPr="007B5BE6">
        <w:t>.</w:t>
      </w:r>
      <w:r w:rsidR="003121CC" w:rsidRPr="007B5BE6">
        <w:rPr>
          <w:rStyle w:val="FootnoteReference"/>
        </w:rPr>
        <w:footnoteReference w:id="439"/>
      </w:r>
    </w:p>
    <w:p w14:paraId="360F071B" w14:textId="77777777" w:rsidR="0063656F" w:rsidRDefault="0063656F">
      <w:pPr>
        <w:spacing w:after="200" w:line="276" w:lineRule="auto"/>
        <w:jc w:val="left"/>
        <w:rPr>
          <w:rFonts w:eastAsia="Times" w:cs="Times New Roman"/>
          <w:szCs w:val="20"/>
        </w:rPr>
      </w:pPr>
      <w:r>
        <w:br w:type="page"/>
      </w:r>
    </w:p>
    <w:p w14:paraId="74DF82BB" w14:textId="54ED2164" w:rsidR="00BD6B07" w:rsidRPr="007B5BE6" w:rsidRDefault="00F84E20" w:rsidP="00DD3704">
      <w:pPr>
        <w:pStyle w:val="NormalNumberedTextTLRI"/>
      </w:pPr>
      <w:r w:rsidRPr="007B5BE6">
        <w:lastRenderedPageBreak/>
        <w:t>S</w:t>
      </w:r>
      <w:r w:rsidR="00BD6B07" w:rsidRPr="007B5BE6">
        <w:t xml:space="preserve">takeholders also identified </w:t>
      </w:r>
      <w:r w:rsidR="00CE2A1D" w:rsidRPr="007B5BE6">
        <w:t xml:space="preserve">deficiencies in </w:t>
      </w:r>
      <w:r w:rsidR="00BD6B07" w:rsidRPr="007B5BE6">
        <w:t>the</w:t>
      </w:r>
      <w:r w:rsidR="00CE2A1D" w:rsidRPr="007B5BE6">
        <w:t xml:space="preserve"> </w:t>
      </w:r>
      <w:r w:rsidR="00BD6B07" w:rsidRPr="007B5BE6">
        <w:t xml:space="preserve">current legal framework </w:t>
      </w:r>
      <w:r w:rsidR="006F5889" w:rsidRPr="007B5BE6">
        <w:t>arising</w:t>
      </w:r>
      <w:r w:rsidR="00CE2A1D" w:rsidRPr="007B5BE6">
        <w:t xml:space="preserve"> from</w:t>
      </w:r>
      <w:r w:rsidR="006F5889" w:rsidRPr="007B5BE6">
        <w:t xml:space="preserve"> </w:t>
      </w:r>
      <w:r w:rsidR="00A22710" w:rsidRPr="007B5BE6">
        <w:t xml:space="preserve">the </w:t>
      </w:r>
      <w:r w:rsidR="006F5889" w:rsidRPr="007B5BE6">
        <w:t xml:space="preserve">lack of an overarching </w:t>
      </w:r>
      <w:r w:rsidR="00230808" w:rsidRPr="007B5BE6">
        <w:t>approach</w:t>
      </w:r>
      <w:r w:rsidR="00493A07" w:rsidRPr="007B5BE6">
        <w:t xml:space="preserve">, which were manifested in </w:t>
      </w:r>
      <w:r w:rsidR="00BD6B07" w:rsidRPr="007B5BE6">
        <w:t xml:space="preserve">issues around reporting, detecting and investigating abuse </w:t>
      </w:r>
      <w:r w:rsidR="001E5764" w:rsidRPr="007B5BE6">
        <w:t>that impacted the</w:t>
      </w:r>
      <w:r w:rsidR="00BD6B07" w:rsidRPr="007B5BE6">
        <w:t xml:space="preserve"> operation of </w:t>
      </w:r>
      <w:r w:rsidR="00CE1C8B" w:rsidRPr="007B5BE6">
        <w:t xml:space="preserve">the </w:t>
      </w:r>
      <w:r w:rsidR="00BD6B07" w:rsidRPr="007B5BE6">
        <w:t xml:space="preserve">various responses </w:t>
      </w:r>
      <w:r w:rsidR="00493A07" w:rsidRPr="007B5BE6">
        <w:t xml:space="preserve">currently available under the </w:t>
      </w:r>
      <w:r w:rsidR="00C049B6" w:rsidRPr="007B5BE6">
        <w:t>framework</w:t>
      </w:r>
      <w:r w:rsidR="00BD6B07" w:rsidRPr="007B5BE6">
        <w:t>.</w:t>
      </w:r>
      <w:r w:rsidR="003121CC" w:rsidRPr="007B5BE6">
        <w:rPr>
          <w:rStyle w:val="FootnoteReference"/>
        </w:rPr>
        <w:footnoteReference w:id="440"/>
      </w:r>
      <w:r w:rsidR="00DD3704" w:rsidRPr="007B5BE6">
        <w:t xml:space="preserve"> </w:t>
      </w:r>
      <w:r w:rsidR="00BD6B07" w:rsidRPr="007B5BE6">
        <w:t>Stakeholders identified numerous concern</w:t>
      </w:r>
      <w:r w:rsidR="00E8172A" w:rsidRPr="007B5BE6">
        <w:t>s</w:t>
      </w:r>
      <w:r w:rsidR="00BD6B07" w:rsidRPr="007B5BE6">
        <w:t>, including:</w:t>
      </w:r>
    </w:p>
    <w:p w14:paraId="3DA742AF" w14:textId="0A95FD8A" w:rsidR="00BD6B07" w:rsidRPr="007B5BE6" w:rsidRDefault="00BD6B07" w:rsidP="00BD6B07">
      <w:pPr>
        <w:pStyle w:val="DotPointTLRI"/>
      </w:pPr>
      <w:r w:rsidRPr="007B5BE6">
        <w:t xml:space="preserve">While some older people are visible under the current </w:t>
      </w:r>
      <w:r w:rsidR="00315C92" w:rsidRPr="007B5BE6">
        <w:t xml:space="preserve">legal </w:t>
      </w:r>
      <w:r w:rsidRPr="007B5BE6">
        <w:t>framework in terms of their capacity (mental, social and economic) to seek</w:t>
      </w:r>
      <w:r w:rsidR="00523781" w:rsidRPr="007B5BE6">
        <w:t xml:space="preserve">, </w:t>
      </w:r>
      <w:r w:rsidRPr="007B5BE6">
        <w:t>and act on</w:t>
      </w:r>
      <w:r w:rsidR="00523781" w:rsidRPr="007B5BE6">
        <w:t>,</w:t>
      </w:r>
      <w:r w:rsidRPr="007B5BE6">
        <w:t xml:space="preserve"> the help available, there are many older people who are at risk of being abused but are </w:t>
      </w:r>
      <w:r w:rsidR="00C049B6" w:rsidRPr="007B5BE6">
        <w:t>invisible</w:t>
      </w:r>
      <w:r w:rsidR="00D91846" w:rsidRPr="007B5BE6">
        <w:t xml:space="preserve">. There is </w:t>
      </w:r>
      <w:r w:rsidRPr="007B5BE6">
        <w:t>little sense of the extent of this ‘invisible’ cohort.</w:t>
      </w:r>
      <w:r w:rsidR="003121CC" w:rsidRPr="007B5BE6">
        <w:rPr>
          <w:rStyle w:val="FootnoteReference"/>
        </w:rPr>
        <w:footnoteReference w:id="441"/>
      </w:r>
    </w:p>
    <w:p w14:paraId="54B60C10" w14:textId="6B5FB551" w:rsidR="00BD6B07" w:rsidRPr="007B5BE6" w:rsidRDefault="00BD6B07" w:rsidP="00BD6B07">
      <w:pPr>
        <w:pStyle w:val="DotPointTLRI"/>
      </w:pPr>
      <w:r w:rsidRPr="007B5BE6">
        <w:t xml:space="preserve">Some older people will be slipping through the gaps between current responses, and where the responses are available, they mostly do not engage or </w:t>
      </w:r>
      <w:r w:rsidR="00EA584A" w:rsidRPr="007B5BE6">
        <w:t>the issues do not ‘</w:t>
      </w:r>
      <w:r w:rsidRPr="007B5BE6">
        <w:t>crystallise</w:t>
      </w:r>
      <w:r w:rsidR="00EA584A" w:rsidRPr="007B5BE6">
        <w:t>’ as abuse</w:t>
      </w:r>
      <w:r w:rsidRPr="007B5BE6">
        <w:t xml:space="preserve"> until ‘crisis point’ is reached, often where irretrievable loss has occurred.</w:t>
      </w:r>
      <w:r w:rsidR="003121CC" w:rsidRPr="007B5BE6">
        <w:rPr>
          <w:rStyle w:val="FootnoteReference"/>
        </w:rPr>
        <w:footnoteReference w:id="442"/>
      </w:r>
      <w:r w:rsidRPr="007B5BE6">
        <w:t xml:space="preserve"> Having mechanisms for seeking help</w:t>
      </w:r>
      <w:r w:rsidR="00D4230B" w:rsidRPr="007B5BE6">
        <w:t>,</w:t>
      </w:r>
      <w:r w:rsidRPr="007B5BE6">
        <w:t xml:space="preserve"> and providing access to legal responses</w:t>
      </w:r>
      <w:r w:rsidR="00DD4D16" w:rsidRPr="007B5BE6">
        <w:t xml:space="preserve">, promotes early intervention and </w:t>
      </w:r>
      <w:r w:rsidRPr="007B5BE6">
        <w:t>ensures that older people understand their position and have the confidence and capacity, with appropriate supports, to take steps to protect themselves from harm and preserve their assets.</w:t>
      </w:r>
      <w:r w:rsidR="003121CC" w:rsidRPr="007B5BE6">
        <w:rPr>
          <w:rStyle w:val="FootnoteReference"/>
        </w:rPr>
        <w:footnoteReference w:id="443"/>
      </w:r>
    </w:p>
    <w:p w14:paraId="20F39226" w14:textId="60184C77" w:rsidR="00C207BA" w:rsidRPr="007B5BE6" w:rsidRDefault="0048422F" w:rsidP="001F64EF">
      <w:pPr>
        <w:pStyle w:val="Headingunnumbered"/>
        <w:spacing w:before="360"/>
      </w:pPr>
      <w:bookmarkStart w:id="555" w:name="_Toc212561781"/>
      <w:r w:rsidRPr="007B5BE6">
        <w:t xml:space="preserve">The </w:t>
      </w:r>
      <w:r w:rsidR="00C207BA" w:rsidRPr="007B5BE6">
        <w:t>complex</w:t>
      </w:r>
      <w:r w:rsidRPr="007B5BE6">
        <w:t>ity</w:t>
      </w:r>
      <w:r w:rsidR="00C207BA" w:rsidRPr="007B5BE6">
        <w:t xml:space="preserve"> and changing </w:t>
      </w:r>
      <w:r w:rsidRPr="007B5BE6">
        <w:t xml:space="preserve">nature of the </w:t>
      </w:r>
      <w:r w:rsidR="00C207BA" w:rsidRPr="007B5BE6">
        <w:t>legal and service landscape</w:t>
      </w:r>
      <w:bookmarkEnd w:id="555"/>
      <w:r w:rsidR="00C207BA" w:rsidRPr="007B5BE6">
        <w:t xml:space="preserve"> </w:t>
      </w:r>
    </w:p>
    <w:p w14:paraId="3B3A77D3" w14:textId="2612642A" w:rsidR="00C207BA" w:rsidRPr="007B5BE6" w:rsidRDefault="00774E2D" w:rsidP="00C207BA">
      <w:pPr>
        <w:pStyle w:val="NormalNumberedTextTLRI"/>
      </w:pPr>
      <w:r w:rsidRPr="007B5BE6">
        <w:t>A</w:t>
      </w:r>
      <w:r w:rsidR="009E3926" w:rsidRPr="007B5BE6">
        <w:t xml:space="preserve">n additional </w:t>
      </w:r>
      <w:r w:rsidR="00995E7D" w:rsidRPr="007B5BE6">
        <w:t>implication</w:t>
      </w:r>
      <w:r w:rsidR="00B710BE" w:rsidRPr="007B5BE6">
        <w:t xml:space="preserve">, identified by </w:t>
      </w:r>
      <w:r w:rsidR="0060255F" w:rsidRPr="007B5BE6">
        <w:t>stakeholders</w:t>
      </w:r>
      <w:r w:rsidR="00B710BE" w:rsidRPr="007B5BE6">
        <w:t xml:space="preserve">, </w:t>
      </w:r>
      <w:r w:rsidR="006F79FC" w:rsidRPr="007B5BE6">
        <w:t xml:space="preserve">linked to the </w:t>
      </w:r>
      <w:r w:rsidR="009E3926" w:rsidRPr="007B5BE6">
        <w:t xml:space="preserve">absence of </w:t>
      </w:r>
      <w:r w:rsidR="00BB6674" w:rsidRPr="007B5BE6">
        <w:t xml:space="preserve">an overarching safeguarding legal framework </w:t>
      </w:r>
      <w:r w:rsidR="00202DB1" w:rsidRPr="007B5BE6">
        <w:t>was</w:t>
      </w:r>
      <w:r w:rsidR="00755B01" w:rsidRPr="007B5BE6">
        <w:t xml:space="preserve"> </w:t>
      </w:r>
      <w:r w:rsidR="00F207C8" w:rsidRPr="007B5BE6">
        <w:t>the complexity of the</w:t>
      </w:r>
      <w:r w:rsidR="00E850CD" w:rsidRPr="007B5BE6">
        <w:t xml:space="preserve"> legal and service system responses</w:t>
      </w:r>
      <w:r w:rsidR="00C207BA" w:rsidRPr="007B5BE6">
        <w:t>.</w:t>
      </w:r>
      <w:r w:rsidR="003121CC" w:rsidRPr="007B5BE6">
        <w:rPr>
          <w:rStyle w:val="FootnoteReference"/>
        </w:rPr>
        <w:footnoteReference w:id="444"/>
      </w:r>
      <w:r w:rsidR="00C207BA" w:rsidRPr="007B5BE6">
        <w:t xml:space="preserve"> </w:t>
      </w:r>
      <w:r w:rsidR="00593B09" w:rsidRPr="007B5BE6">
        <w:t>C</w:t>
      </w:r>
      <w:r w:rsidR="007F2454" w:rsidRPr="007B5BE6">
        <w:t>oncern</w:t>
      </w:r>
      <w:r w:rsidR="00824250" w:rsidRPr="007B5BE6">
        <w:t xml:space="preserve">s were expressed </w:t>
      </w:r>
      <w:r w:rsidR="007F2454" w:rsidRPr="007B5BE6">
        <w:t>that</w:t>
      </w:r>
      <w:r w:rsidR="00824250" w:rsidRPr="007B5BE6">
        <w:t>,</w:t>
      </w:r>
      <w:r w:rsidR="007F2454" w:rsidRPr="007B5BE6">
        <w:t xml:space="preserve"> instead of providing a clear avenue to </w:t>
      </w:r>
      <w:r w:rsidR="00110A00" w:rsidRPr="007B5BE6">
        <w:t xml:space="preserve">respond to the abuse of older people, </w:t>
      </w:r>
      <w:r w:rsidR="00B94DED" w:rsidRPr="007B5BE6">
        <w:t xml:space="preserve">recent and multiple </w:t>
      </w:r>
      <w:r w:rsidR="00110A00" w:rsidRPr="007B5BE6">
        <w:t>c</w:t>
      </w:r>
      <w:r w:rsidR="007F2454" w:rsidRPr="007B5BE6">
        <w:t xml:space="preserve">hanges </w:t>
      </w:r>
      <w:r w:rsidR="009012BD" w:rsidRPr="007B5BE6">
        <w:t>in</w:t>
      </w:r>
      <w:r w:rsidR="007F2454" w:rsidRPr="007B5BE6">
        <w:t xml:space="preserve"> specific </w:t>
      </w:r>
      <w:r w:rsidR="00FB7060" w:rsidRPr="007B5BE6">
        <w:t>and confi</w:t>
      </w:r>
      <w:r w:rsidR="009012BD" w:rsidRPr="007B5BE6">
        <w:t>ned contexts</w:t>
      </w:r>
      <w:r w:rsidR="00FB7060" w:rsidRPr="007B5BE6">
        <w:t xml:space="preserve"> </w:t>
      </w:r>
      <w:r w:rsidR="00E8172A" w:rsidRPr="007B5BE6">
        <w:t>may</w:t>
      </w:r>
      <w:r w:rsidR="00FB7060" w:rsidRPr="007B5BE6">
        <w:t>,</w:t>
      </w:r>
      <w:r w:rsidR="00E8172A" w:rsidRPr="007B5BE6">
        <w:t xml:space="preserve"> </w:t>
      </w:r>
      <w:r w:rsidR="00FB58E3" w:rsidRPr="007B5BE6">
        <w:t>in fact</w:t>
      </w:r>
      <w:r w:rsidR="00FB7060" w:rsidRPr="007B5BE6">
        <w:t>,</w:t>
      </w:r>
      <w:r w:rsidR="004264B5" w:rsidRPr="007B5BE6">
        <w:t xml:space="preserve"> </w:t>
      </w:r>
      <w:r w:rsidR="00E8172A" w:rsidRPr="007B5BE6">
        <w:t xml:space="preserve">have </w:t>
      </w:r>
      <w:r w:rsidR="00110A00" w:rsidRPr="007B5BE6">
        <w:t xml:space="preserve">made it more difficult </w:t>
      </w:r>
      <w:r w:rsidR="00FB7060" w:rsidRPr="007B5BE6">
        <w:t xml:space="preserve">for people </w:t>
      </w:r>
      <w:r w:rsidR="00110A00" w:rsidRPr="007B5BE6">
        <w:t>to know which</w:t>
      </w:r>
      <w:r w:rsidR="00FB58E3" w:rsidRPr="007B5BE6">
        <w:t xml:space="preserve"> of</w:t>
      </w:r>
      <w:r w:rsidR="00110A00" w:rsidRPr="007B5BE6">
        <w:t xml:space="preserve"> </w:t>
      </w:r>
      <w:r w:rsidR="00EB7631" w:rsidRPr="007B5BE6">
        <w:t xml:space="preserve">the </w:t>
      </w:r>
      <w:r w:rsidR="00110A00" w:rsidRPr="007B5BE6">
        <w:t>laws and associated service delivery framework</w:t>
      </w:r>
      <w:r w:rsidR="00D04029" w:rsidRPr="007B5BE6">
        <w:t>s</w:t>
      </w:r>
      <w:r w:rsidR="00110A00" w:rsidRPr="007B5BE6">
        <w:t xml:space="preserve"> </w:t>
      </w:r>
      <w:r w:rsidR="00FB58E3" w:rsidRPr="007B5BE6">
        <w:t>a</w:t>
      </w:r>
      <w:r w:rsidR="00633B48" w:rsidRPr="007B5BE6">
        <w:t>ppl</w:t>
      </w:r>
      <w:r w:rsidR="00110A00" w:rsidRPr="007B5BE6">
        <w:t>y</w:t>
      </w:r>
      <w:r w:rsidR="00B6628F" w:rsidRPr="007B5BE6">
        <w:t xml:space="preserve"> </w:t>
      </w:r>
      <w:r w:rsidR="00967B6E" w:rsidRPr="007B5BE6">
        <w:t>in their particular</w:t>
      </w:r>
      <w:r w:rsidR="00B6628F" w:rsidRPr="007B5BE6">
        <w:t xml:space="preserve"> circumstances</w:t>
      </w:r>
      <w:r w:rsidR="00C207BA" w:rsidRPr="007B5BE6">
        <w:t xml:space="preserve">. </w:t>
      </w:r>
      <w:r w:rsidR="005A60C8" w:rsidRPr="007B5BE6">
        <w:t>S</w:t>
      </w:r>
      <w:r w:rsidR="00C207BA" w:rsidRPr="007B5BE6">
        <w:t>takeholder</w:t>
      </w:r>
      <w:r w:rsidR="006A701B" w:rsidRPr="007B5BE6">
        <w:t>s</w:t>
      </w:r>
      <w:r w:rsidR="00C207BA" w:rsidRPr="007B5BE6">
        <w:t xml:space="preserve"> who raised this point, </w:t>
      </w:r>
      <w:r w:rsidR="004264B5" w:rsidRPr="007B5BE6">
        <w:t xml:space="preserve">identified </w:t>
      </w:r>
      <w:r w:rsidR="005A60C8" w:rsidRPr="007B5BE6">
        <w:t xml:space="preserve">a range of </w:t>
      </w:r>
      <w:r w:rsidR="00C207BA" w:rsidRPr="007B5BE6">
        <w:t>policy and law reform contexts</w:t>
      </w:r>
      <w:r w:rsidR="005A60C8" w:rsidRPr="007B5BE6">
        <w:t xml:space="preserve"> as examples, as follows</w:t>
      </w:r>
      <w:r w:rsidR="00C207BA" w:rsidRPr="007B5BE6">
        <w:t>:</w:t>
      </w:r>
    </w:p>
    <w:p w14:paraId="4D13A016" w14:textId="77777777" w:rsidR="00C207BA" w:rsidRPr="007B5BE6" w:rsidRDefault="00C207BA" w:rsidP="00C207BA">
      <w:pPr>
        <w:pStyle w:val="DotPointTLRI"/>
      </w:pPr>
      <w:r w:rsidRPr="007B5BE6">
        <w:t xml:space="preserve">recent and planned reforms to guardianship and administration laws in Tasmania, including the introduction of measures aimed at strengthening safeguarding against abuse of people affected by these laws; </w:t>
      </w:r>
    </w:p>
    <w:p w14:paraId="04F13BF2" w14:textId="77777777" w:rsidR="00C207BA" w:rsidRPr="007B5BE6" w:rsidRDefault="00C207BA" w:rsidP="00C207BA">
      <w:pPr>
        <w:pStyle w:val="DotPointTLRI"/>
      </w:pPr>
      <w:r w:rsidRPr="007B5BE6">
        <w:t xml:space="preserve">introduction of new legislation focused on rights, inclusion and safeguarding of people with disability, which establishes a new Disability Commissioner; </w:t>
      </w:r>
    </w:p>
    <w:p w14:paraId="35955F1F" w14:textId="77777777" w:rsidR="00C207BA" w:rsidRPr="007B5BE6" w:rsidRDefault="00C207BA" w:rsidP="00C207BA">
      <w:pPr>
        <w:pStyle w:val="DotPointTLRI"/>
      </w:pPr>
      <w:r w:rsidRPr="007B5BE6">
        <w:t>national reviews of state and territory legislation governing enduring powers of attorney;</w:t>
      </w:r>
    </w:p>
    <w:p w14:paraId="3E6F088C" w14:textId="0B6544BA" w:rsidR="00C207BA" w:rsidRPr="007B5BE6" w:rsidRDefault="00C207BA" w:rsidP="00C207BA">
      <w:pPr>
        <w:pStyle w:val="DotPointTLRI"/>
      </w:pPr>
      <w:r w:rsidRPr="007B5BE6">
        <w:t>recent reforms to Commonwealth aged care legislation, including safeguarding mechanisms and changes to the serious incident reporting scheme;</w:t>
      </w:r>
      <w:r w:rsidR="00C13258" w:rsidRPr="007B5BE6">
        <w:t xml:space="preserve"> and</w:t>
      </w:r>
    </w:p>
    <w:p w14:paraId="3DA6E963" w14:textId="449996AD" w:rsidR="006A701B" w:rsidRPr="007B5BE6" w:rsidRDefault="00C207BA" w:rsidP="00C207BA">
      <w:pPr>
        <w:pStyle w:val="DotPointTLRI"/>
      </w:pPr>
      <w:r w:rsidRPr="007B5BE6">
        <w:t xml:space="preserve">ongoing consideration of recommendations made by the </w:t>
      </w:r>
      <w:r w:rsidRPr="007B5BE6">
        <w:rPr>
          <w:i/>
          <w:iCs/>
        </w:rPr>
        <w:t>Royal Commission into Violence, Abuse, Neglect and Exploitation of People with Disability</w:t>
      </w:r>
      <w:r w:rsidRPr="007B5BE6">
        <w:t xml:space="preserve"> focused on safeguarding</w:t>
      </w:r>
      <w:r w:rsidR="00C13258" w:rsidRPr="007B5BE6">
        <w:t>.</w:t>
      </w:r>
      <w:r w:rsidR="00C95FA7" w:rsidRPr="007B5BE6">
        <w:rPr>
          <w:rStyle w:val="FootnoteReference"/>
        </w:rPr>
        <w:footnoteReference w:id="445"/>
      </w:r>
    </w:p>
    <w:p w14:paraId="44A7A5FF" w14:textId="4A6A0DC2" w:rsidR="00C207BA" w:rsidRPr="007B5BE6" w:rsidRDefault="00C13258" w:rsidP="000F6E15">
      <w:r w:rsidRPr="007B5BE6">
        <w:t xml:space="preserve">The TLRI notes these </w:t>
      </w:r>
      <w:r w:rsidR="00270954" w:rsidRPr="007B5BE6">
        <w:t>changes</w:t>
      </w:r>
      <w:r w:rsidR="00EB21B5" w:rsidRPr="007B5BE6">
        <w:t xml:space="preserve"> </w:t>
      </w:r>
      <w:r w:rsidR="00270954" w:rsidRPr="007B5BE6">
        <w:t xml:space="preserve">and </w:t>
      </w:r>
      <w:r w:rsidR="000A04E1" w:rsidRPr="007B5BE6">
        <w:t xml:space="preserve">the </w:t>
      </w:r>
      <w:r w:rsidR="0079678E" w:rsidRPr="007B5BE6">
        <w:t xml:space="preserve">resulting </w:t>
      </w:r>
      <w:r w:rsidR="00270954" w:rsidRPr="007B5BE6">
        <w:t xml:space="preserve">complexities </w:t>
      </w:r>
      <w:r w:rsidR="0079678E" w:rsidRPr="007B5BE6">
        <w:t>in</w:t>
      </w:r>
      <w:r w:rsidR="00EB21B5" w:rsidRPr="007B5BE6">
        <w:t xml:space="preserve"> </w:t>
      </w:r>
      <w:r w:rsidR="00270954" w:rsidRPr="007B5BE6">
        <w:t xml:space="preserve">the </w:t>
      </w:r>
      <w:r w:rsidR="009B5808" w:rsidRPr="007B5BE6">
        <w:t xml:space="preserve">policy and law reform context for </w:t>
      </w:r>
      <w:r w:rsidR="002B41F8" w:rsidRPr="007B5BE6">
        <w:t xml:space="preserve">responses that may affect </w:t>
      </w:r>
      <w:r w:rsidR="0075071B" w:rsidRPr="007B5BE6">
        <w:t>older people</w:t>
      </w:r>
      <w:r w:rsidR="00A66391" w:rsidRPr="007B5BE6">
        <w:t xml:space="preserve"> in Tasmania</w:t>
      </w:r>
      <w:r w:rsidR="000A04E1" w:rsidRPr="007B5BE6">
        <w:t>. The TLRI also notes</w:t>
      </w:r>
      <w:r w:rsidR="00392EE9" w:rsidRPr="007B5BE6">
        <w:t xml:space="preserve"> other</w:t>
      </w:r>
      <w:r w:rsidR="00270954" w:rsidRPr="007B5BE6">
        <w:t xml:space="preserve"> recent </w:t>
      </w:r>
      <w:r w:rsidR="000A04E1" w:rsidRPr="007B5BE6">
        <w:t xml:space="preserve">relevant </w:t>
      </w:r>
      <w:r w:rsidR="00270954" w:rsidRPr="007B5BE6">
        <w:t>developments</w:t>
      </w:r>
      <w:r w:rsidR="00152FA5" w:rsidRPr="007B5BE6">
        <w:t xml:space="preserve">, </w:t>
      </w:r>
      <w:r w:rsidR="0075071B" w:rsidRPr="007B5BE6">
        <w:t xml:space="preserve">for example, the </w:t>
      </w:r>
      <w:r w:rsidR="000139DE" w:rsidRPr="007B5BE6">
        <w:t xml:space="preserve">introduction of the </w:t>
      </w:r>
      <w:r w:rsidR="000139DE" w:rsidRPr="007B5BE6">
        <w:rPr>
          <w:i/>
        </w:rPr>
        <w:t>OPCAT Implementation Act 2021</w:t>
      </w:r>
      <w:r w:rsidR="000139DE" w:rsidRPr="007B5BE6">
        <w:t xml:space="preserve"> (Tas) and </w:t>
      </w:r>
      <w:r w:rsidR="00834F46" w:rsidRPr="007B5BE6">
        <w:t xml:space="preserve">implementation activities of </w:t>
      </w:r>
      <w:r w:rsidR="000139DE" w:rsidRPr="007B5BE6">
        <w:t>the Tasmanian</w:t>
      </w:r>
      <w:r w:rsidR="00303078" w:rsidRPr="007B5BE6">
        <w:rPr>
          <w:rFonts w:eastAsia="Times New Roman" w:cs="Times New Roman"/>
        </w:rPr>
        <w:t xml:space="preserve"> National Prevention Mechanism (‘</w:t>
      </w:r>
      <w:r w:rsidR="000139DE" w:rsidRPr="007B5BE6">
        <w:t>NPM</w:t>
      </w:r>
      <w:r w:rsidR="00303078" w:rsidRPr="007B5BE6">
        <w:t>’)</w:t>
      </w:r>
      <w:r w:rsidR="00C207BA" w:rsidRPr="007B5BE6">
        <w:t>.</w:t>
      </w:r>
      <w:r w:rsidR="007944E9" w:rsidRPr="007B5BE6">
        <w:rPr>
          <w:rStyle w:val="FootnoteReference"/>
        </w:rPr>
        <w:footnoteReference w:id="446"/>
      </w:r>
      <w:r w:rsidR="00C207BA" w:rsidRPr="007B5BE6">
        <w:t xml:space="preserve"> </w:t>
      </w:r>
    </w:p>
    <w:p w14:paraId="11081ACC" w14:textId="6D0E0DED" w:rsidR="00BA4A64" w:rsidRPr="007B5BE6" w:rsidRDefault="00BA4A64" w:rsidP="001F64EF">
      <w:pPr>
        <w:pStyle w:val="Headingunnumbered"/>
        <w:spacing w:before="360"/>
      </w:pPr>
      <w:bookmarkStart w:id="556" w:name="_Toc201307006"/>
      <w:bookmarkStart w:id="557" w:name="_Toc212561782"/>
      <w:r w:rsidRPr="007B5BE6">
        <w:lastRenderedPageBreak/>
        <w:t xml:space="preserve">Tasmanian service systems: barriers to </w:t>
      </w:r>
      <w:r w:rsidR="00E60878" w:rsidRPr="007B5BE6">
        <w:t xml:space="preserve">accessing </w:t>
      </w:r>
      <w:r w:rsidRPr="007B5BE6">
        <w:t>legal responses</w:t>
      </w:r>
      <w:bookmarkEnd w:id="556"/>
      <w:bookmarkEnd w:id="557"/>
      <w:r w:rsidRPr="007B5BE6">
        <w:t xml:space="preserve"> </w:t>
      </w:r>
    </w:p>
    <w:p w14:paraId="4D61E7B2" w14:textId="52CA3DC1" w:rsidR="00DF4C06" w:rsidRPr="007B5BE6" w:rsidRDefault="00BA4A64" w:rsidP="00B2693D">
      <w:pPr>
        <w:pStyle w:val="NormalNumberedTextTLRI"/>
      </w:pPr>
      <w:r w:rsidRPr="007B5BE6">
        <w:t>Services and programs under Tasmania’s specialist service system response were supported and commended</w:t>
      </w:r>
      <w:r w:rsidR="00F31D40" w:rsidRPr="007B5BE6">
        <w:t xml:space="preserve"> </w:t>
      </w:r>
      <w:r w:rsidR="00EB5655" w:rsidRPr="007B5BE6">
        <w:t xml:space="preserve">by stakeholders </w:t>
      </w:r>
      <w:r w:rsidRPr="007B5BE6">
        <w:t>as a vital part of the response to the abuse of older people.</w:t>
      </w:r>
      <w:r w:rsidR="00427BC1" w:rsidRPr="007B5BE6">
        <w:t xml:space="preserve"> </w:t>
      </w:r>
    </w:p>
    <w:p w14:paraId="07403200" w14:textId="5609EA2E" w:rsidR="00BA4A64" w:rsidRPr="007B5BE6" w:rsidRDefault="00BA4A64" w:rsidP="00B2693D">
      <w:pPr>
        <w:pStyle w:val="NormalNumberedTextTLRI"/>
      </w:pPr>
      <w:r w:rsidRPr="007B5BE6">
        <w:t xml:space="preserve">However, </w:t>
      </w:r>
      <w:r w:rsidR="00427BC1" w:rsidRPr="007B5BE6">
        <w:t>a theme</w:t>
      </w:r>
      <w:r w:rsidR="00757D1F" w:rsidRPr="007B5BE6">
        <w:t xml:space="preserve"> that </w:t>
      </w:r>
      <w:r w:rsidR="00F31D40" w:rsidRPr="007B5BE6">
        <w:t xml:space="preserve">emerged </w:t>
      </w:r>
      <w:r w:rsidR="00BC18ED" w:rsidRPr="007B5BE6">
        <w:t xml:space="preserve">in </w:t>
      </w:r>
      <w:r w:rsidR="00EB5655" w:rsidRPr="007B5BE6">
        <w:t xml:space="preserve">stakeholder interviews </w:t>
      </w:r>
      <w:r w:rsidR="00F31D40" w:rsidRPr="007B5BE6">
        <w:t xml:space="preserve">was that </w:t>
      </w:r>
      <w:r w:rsidR="00757D1F" w:rsidRPr="007B5BE6">
        <w:t xml:space="preserve">there </w:t>
      </w:r>
      <w:r w:rsidR="00F31D40" w:rsidRPr="007B5BE6">
        <w:t>we</w:t>
      </w:r>
      <w:r w:rsidR="00757D1F" w:rsidRPr="007B5BE6">
        <w:t xml:space="preserve">re </w:t>
      </w:r>
      <w:r w:rsidRPr="007B5BE6">
        <w:t>limit</w:t>
      </w:r>
      <w:r w:rsidR="009A0A78" w:rsidRPr="007B5BE6">
        <w:t>s</w:t>
      </w:r>
      <w:r w:rsidRPr="007B5BE6">
        <w:t xml:space="preserve"> </w:t>
      </w:r>
      <w:r w:rsidR="00171C25" w:rsidRPr="007B5BE6">
        <w:t>on the ability of</w:t>
      </w:r>
      <w:r w:rsidRPr="007B5BE6">
        <w:t xml:space="preserve"> </w:t>
      </w:r>
      <w:r w:rsidR="00F31D40" w:rsidRPr="007B5BE6">
        <w:t xml:space="preserve">the specialist service system </w:t>
      </w:r>
      <w:r w:rsidR="00757D1F" w:rsidRPr="007B5BE6">
        <w:t>to</w:t>
      </w:r>
      <w:r w:rsidRPr="007B5BE6">
        <w:t xml:space="preserve"> </w:t>
      </w:r>
      <w:r w:rsidR="00F31D40" w:rsidRPr="007B5BE6">
        <w:t xml:space="preserve">appropriately </w:t>
      </w:r>
      <w:r w:rsidRPr="007B5BE6">
        <w:t xml:space="preserve">link people </w:t>
      </w:r>
      <w:r w:rsidR="00F31D40" w:rsidRPr="007B5BE6">
        <w:t>with an available</w:t>
      </w:r>
      <w:r w:rsidRPr="007B5BE6">
        <w:t xml:space="preserve"> legal response</w:t>
      </w:r>
      <w:r w:rsidR="00826C8D" w:rsidRPr="007B5BE6">
        <w:t xml:space="preserve">. </w:t>
      </w:r>
      <w:r w:rsidR="004B2361" w:rsidRPr="007B5BE6">
        <w:t xml:space="preserve">This </w:t>
      </w:r>
      <w:r w:rsidR="00826C8D" w:rsidRPr="007B5BE6">
        <w:t>wa</w:t>
      </w:r>
      <w:r w:rsidR="004B2361" w:rsidRPr="007B5BE6">
        <w:t xml:space="preserve">s a particular concern, </w:t>
      </w:r>
      <w:r w:rsidR="007144D2" w:rsidRPr="007B5BE6">
        <w:t>given</w:t>
      </w:r>
      <w:r w:rsidRPr="007B5BE6">
        <w:t xml:space="preserve"> the complex, nuanced and wide-ranging circumstances in which abuse commonly occurs and the barriers that can operate to discourage or prevent help-seeking.</w:t>
      </w:r>
      <w:r w:rsidR="007944E9" w:rsidRPr="007B5BE6">
        <w:rPr>
          <w:rStyle w:val="FootnoteReference"/>
        </w:rPr>
        <w:footnoteReference w:id="447"/>
      </w:r>
      <w:r w:rsidRPr="007B5BE6">
        <w:t xml:space="preserve"> </w:t>
      </w:r>
      <w:r w:rsidR="00171C25" w:rsidRPr="007B5BE6">
        <w:t>Further, i</w:t>
      </w:r>
      <w:r w:rsidRPr="007B5BE6">
        <w:t>t was noted</w:t>
      </w:r>
      <w:r w:rsidR="00EB5655" w:rsidRPr="007B5BE6">
        <w:t xml:space="preserve"> </w:t>
      </w:r>
      <w:r w:rsidRPr="007B5BE6">
        <w:t>that</w:t>
      </w:r>
      <w:r w:rsidR="007509A2" w:rsidRPr="007B5BE6">
        <w:t>,</w:t>
      </w:r>
      <w:r w:rsidRPr="007B5BE6">
        <w:t xml:space="preserve"> even when the specialist service response did work </w:t>
      </w:r>
      <w:r w:rsidR="007509A2" w:rsidRPr="007B5BE6">
        <w:t xml:space="preserve">as intended </w:t>
      </w:r>
      <w:r w:rsidRPr="007B5BE6">
        <w:t xml:space="preserve">to link a person into </w:t>
      </w:r>
      <w:r w:rsidR="007509A2" w:rsidRPr="007B5BE6">
        <w:t>a</w:t>
      </w:r>
      <w:r w:rsidRPr="007B5BE6">
        <w:t xml:space="preserve"> legal response,</w:t>
      </w:r>
      <w:r w:rsidR="00B2693D" w:rsidRPr="007B5BE6">
        <w:t xml:space="preserve"> the</w:t>
      </w:r>
      <w:r w:rsidRPr="007B5BE6">
        <w:t xml:space="preserve"> options under the law were limited or did not </w:t>
      </w:r>
      <w:r w:rsidR="009E3394" w:rsidRPr="007B5BE6">
        <w:t xml:space="preserve">involve </w:t>
      </w:r>
      <w:r w:rsidRPr="007B5BE6">
        <w:t xml:space="preserve">an outcome that was </w:t>
      </w:r>
      <w:r w:rsidR="009E3394" w:rsidRPr="007B5BE6">
        <w:t xml:space="preserve">always </w:t>
      </w:r>
      <w:r w:rsidRPr="007B5BE6">
        <w:t>wanted by the older person</w:t>
      </w:r>
      <w:r w:rsidR="00130124" w:rsidRPr="007B5BE6">
        <w:t>,</w:t>
      </w:r>
      <w:r w:rsidRPr="007B5BE6">
        <w:t xml:space="preserve"> or met their support needs</w:t>
      </w:r>
      <w:r w:rsidR="00841554" w:rsidRPr="007B5BE6">
        <w:t>.</w:t>
      </w:r>
    </w:p>
    <w:p w14:paraId="44CADD67" w14:textId="7FAFA0E7" w:rsidR="00BA4A64" w:rsidRPr="007B5BE6" w:rsidRDefault="00BA4A64" w:rsidP="001F64EF">
      <w:pPr>
        <w:pStyle w:val="Sub-HeadingTLRI"/>
        <w:spacing w:before="360"/>
      </w:pPr>
      <w:bookmarkStart w:id="558" w:name="_Toc201307007"/>
      <w:bookmarkStart w:id="559" w:name="_Toc212561783"/>
      <w:r w:rsidRPr="007B5BE6">
        <w:t>Limits of information, referral and advice</w:t>
      </w:r>
      <w:bookmarkEnd w:id="558"/>
      <w:bookmarkEnd w:id="559"/>
      <w:r w:rsidRPr="007B5BE6">
        <w:t xml:space="preserve"> </w:t>
      </w:r>
    </w:p>
    <w:p w14:paraId="77C92AD4" w14:textId="28547C0F" w:rsidR="00571ED8" w:rsidRPr="007B5BE6" w:rsidRDefault="00215945" w:rsidP="00342269">
      <w:pPr>
        <w:pStyle w:val="NormalNumberedTextTLRI"/>
      </w:pPr>
      <w:r w:rsidRPr="007B5BE6">
        <w:t>Current specialist responses such as the</w:t>
      </w:r>
      <w:r w:rsidR="003E2447" w:rsidRPr="007B5BE6">
        <w:t xml:space="preserve"> Tasmanian</w:t>
      </w:r>
      <w:r w:rsidRPr="007B5BE6">
        <w:t xml:space="preserve"> Elder Abuse Helpline </w:t>
      </w:r>
      <w:r w:rsidR="003E2447" w:rsidRPr="007B5BE6">
        <w:t xml:space="preserve">(the </w:t>
      </w:r>
      <w:r w:rsidR="00130124" w:rsidRPr="007B5BE6">
        <w:t>‘</w:t>
      </w:r>
      <w:r w:rsidR="003E2447" w:rsidRPr="007B5BE6">
        <w:t xml:space="preserve">Helpline’) </w:t>
      </w:r>
      <w:r w:rsidRPr="007B5BE6">
        <w:t xml:space="preserve">and </w:t>
      </w:r>
      <w:r w:rsidR="003E2447" w:rsidRPr="007B5BE6">
        <w:t>Senior Assist</w:t>
      </w:r>
      <w:r w:rsidR="00576077" w:rsidRPr="007B5BE6">
        <w:t xml:space="preserve"> (Tasmania Legal Aid)</w:t>
      </w:r>
      <w:r w:rsidRPr="007B5BE6">
        <w:t xml:space="preserve"> are focused on information, referral and advice, and are consent (capacity) based. </w:t>
      </w:r>
      <w:r w:rsidR="0072514E" w:rsidRPr="007B5BE6">
        <w:t xml:space="preserve">Data from the Helpline </w:t>
      </w:r>
      <w:r w:rsidR="00B21D14" w:rsidRPr="007B5BE6">
        <w:t xml:space="preserve">included information on </w:t>
      </w:r>
      <w:r w:rsidR="00571ED8" w:rsidRPr="007B5BE6">
        <w:rPr>
          <w:b/>
          <w:bCs/>
          <w:u w:val="single"/>
        </w:rPr>
        <w:t xml:space="preserve">responses </w:t>
      </w:r>
      <w:r w:rsidR="00571ED8" w:rsidRPr="007B5BE6">
        <w:t>discussed as part of the call to the Helpline.</w:t>
      </w:r>
      <w:r w:rsidR="0041478D" w:rsidRPr="007B5BE6">
        <w:rPr>
          <w:rStyle w:val="FootnoteReference"/>
        </w:rPr>
        <w:footnoteReference w:id="448"/>
      </w:r>
      <w:r w:rsidR="00571ED8" w:rsidRPr="007B5BE6">
        <w:t xml:space="preserve"> Table </w:t>
      </w:r>
      <w:r w:rsidR="00A13491" w:rsidRPr="007B5BE6">
        <w:t>4.3</w:t>
      </w:r>
      <w:r w:rsidR="00571ED8" w:rsidRPr="007B5BE6">
        <w:t xml:space="preserve"> shows three main categories of responses discussed and lists examples under each category. It was not indicated in the data whether these referrals were </w:t>
      </w:r>
      <w:r w:rsidR="008E7108" w:rsidRPr="007B5BE6">
        <w:t>made</w:t>
      </w:r>
      <w:r w:rsidR="00571ED8" w:rsidRPr="007B5BE6">
        <w:t xml:space="preserve"> or taken up by the caller (when the </w:t>
      </w:r>
      <w:r w:rsidR="00F236B6" w:rsidRPr="007B5BE6">
        <w:t xml:space="preserve">caller was the </w:t>
      </w:r>
      <w:r w:rsidR="00571ED8" w:rsidRPr="007B5BE6">
        <w:t xml:space="preserve">older person in question). </w:t>
      </w:r>
    </w:p>
    <w:p w14:paraId="27B72C72" w14:textId="77777777" w:rsidR="005000A9" w:rsidRDefault="005000A9">
      <w:pPr>
        <w:spacing w:after="200" w:line="276" w:lineRule="auto"/>
        <w:jc w:val="left"/>
        <w:rPr>
          <w:b/>
          <w:bCs/>
        </w:rPr>
      </w:pPr>
      <w:r>
        <w:rPr>
          <w:b/>
          <w:bCs/>
        </w:rPr>
        <w:br w:type="page"/>
      </w:r>
    </w:p>
    <w:p w14:paraId="7B7CFF6C" w14:textId="789C856A" w:rsidR="00571ED8" w:rsidRPr="007B5BE6" w:rsidRDefault="003C1D3E" w:rsidP="00BB7987">
      <w:pPr>
        <w:spacing w:before="240" w:after="240"/>
        <w:rPr>
          <w:b/>
          <w:bCs/>
        </w:rPr>
      </w:pPr>
      <w:r w:rsidRPr="007B5BE6">
        <w:rPr>
          <w:b/>
          <w:bCs/>
        </w:rPr>
        <w:lastRenderedPageBreak/>
        <w:t>Table</w:t>
      </w:r>
      <w:r w:rsidR="00571ED8" w:rsidRPr="007B5BE6">
        <w:rPr>
          <w:b/>
          <w:bCs/>
        </w:rPr>
        <w:t xml:space="preserve"> </w:t>
      </w:r>
      <w:r w:rsidR="00A13491" w:rsidRPr="007B5BE6">
        <w:rPr>
          <w:b/>
          <w:bCs/>
        </w:rPr>
        <w:t>4.3:</w:t>
      </w:r>
      <w:r w:rsidR="00571ED8" w:rsidRPr="007B5BE6">
        <w:rPr>
          <w:b/>
          <w:bCs/>
        </w:rPr>
        <w:t xml:space="preserve"> Helpline </w:t>
      </w:r>
      <w:r w:rsidR="003E2447" w:rsidRPr="007B5BE6">
        <w:rPr>
          <w:b/>
          <w:bCs/>
        </w:rPr>
        <w:t>c</w:t>
      </w:r>
      <w:r w:rsidR="00571ED8" w:rsidRPr="007B5BE6">
        <w:rPr>
          <w:b/>
          <w:bCs/>
        </w:rPr>
        <w:t>alls, 1 July 2022</w:t>
      </w:r>
      <w:r w:rsidR="00EF443A" w:rsidRPr="007B5BE6">
        <w:rPr>
          <w:b/>
          <w:bCs/>
        </w:rPr>
        <w:t>–</w:t>
      </w:r>
      <w:r w:rsidR="00571ED8" w:rsidRPr="007B5BE6">
        <w:rPr>
          <w:b/>
          <w:bCs/>
        </w:rPr>
        <w:t>30 June 2023 (</w:t>
      </w:r>
      <w:r w:rsidR="00F236B6" w:rsidRPr="007B5BE6">
        <w:rPr>
          <w:b/>
          <w:bCs/>
        </w:rPr>
        <w:t xml:space="preserve">examples of </w:t>
      </w:r>
      <w:r w:rsidR="00571ED8" w:rsidRPr="007B5BE6">
        <w:rPr>
          <w:b/>
          <w:bCs/>
        </w:rPr>
        <w:t>responses discussed)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466"/>
        <w:gridCol w:w="3006"/>
      </w:tblGrid>
      <w:tr w:rsidR="00571ED8" w:rsidRPr="007B5BE6" w14:paraId="4289F722" w14:textId="77777777" w:rsidTr="00375018">
        <w:trPr>
          <w:tblHeader/>
        </w:trPr>
        <w:tc>
          <w:tcPr>
            <w:tcW w:w="3544" w:type="dxa"/>
            <w:tcBorders>
              <w:top w:val="single" w:sz="8" w:space="0" w:color="auto"/>
              <w:bottom w:val="single" w:sz="8" w:space="0" w:color="auto"/>
            </w:tcBorders>
            <w:shd w:val="clear" w:color="auto" w:fill="FFFFFF" w:themeFill="background1"/>
          </w:tcPr>
          <w:p w14:paraId="055FCE8B" w14:textId="77777777" w:rsidR="00571ED8" w:rsidRPr="007B5BE6" w:rsidRDefault="00571ED8" w:rsidP="00E37E26">
            <w:pPr>
              <w:rPr>
                <w:b/>
                <w:bCs/>
                <w:sz w:val="20"/>
                <w:szCs w:val="20"/>
              </w:rPr>
            </w:pPr>
            <w:r w:rsidRPr="007B5BE6">
              <w:rPr>
                <w:b/>
                <w:bCs/>
                <w:sz w:val="20"/>
                <w:szCs w:val="20"/>
              </w:rPr>
              <w:t xml:space="preserve">Informal response (93.52%) </w:t>
            </w:r>
          </w:p>
        </w:tc>
        <w:tc>
          <w:tcPr>
            <w:tcW w:w="2466" w:type="dxa"/>
            <w:tcBorders>
              <w:top w:val="single" w:sz="8" w:space="0" w:color="auto"/>
              <w:bottom w:val="single" w:sz="8" w:space="0" w:color="auto"/>
            </w:tcBorders>
            <w:shd w:val="clear" w:color="auto" w:fill="FFFFFF" w:themeFill="background1"/>
          </w:tcPr>
          <w:p w14:paraId="47836B29" w14:textId="77777777" w:rsidR="00571ED8" w:rsidRPr="007B5BE6" w:rsidRDefault="00571ED8" w:rsidP="00E37E26">
            <w:pPr>
              <w:jc w:val="left"/>
              <w:rPr>
                <w:b/>
                <w:bCs/>
                <w:sz w:val="20"/>
                <w:szCs w:val="20"/>
              </w:rPr>
            </w:pPr>
            <w:r w:rsidRPr="007B5BE6">
              <w:rPr>
                <w:b/>
                <w:bCs/>
                <w:sz w:val="20"/>
                <w:szCs w:val="20"/>
              </w:rPr>
              <w:t>Formal information or referral (87.32%)</w:t>
            </w:r>
          </w:p>
        </w:tc>
        <w:tc>
          <w:tcPr>
            <w:tcW w:w="3006" w:type="dxa"/>
            <w:tcBorders>
              <w:top w:val="single" w:sz="8" w:space="0" w:color="auto"/>
              <w:bottom w:val="single" w:sz="8" w:space="0" w:color="auto"/>
            </w:tcBorders>
            <w:shd w:val="clear" w:color="auto" w:fill="FFFFFF" w:themeFill="background1"/>
          </w:tcPr>
          <w:p w14:paraId="17B2D45F" w14:textId="77777777" w:rsidR="00571ED8" w:rsidRPr="007B5BE6" w:rsidRDefault="00571ED8" w:rsidP="00E37E26">
            <w:pPr>
              <w:jc w:val="left"/>
              <w:rPr>
                <w:b/>
                <w:bCs/>
                <w:sz w:val="20"/>
                <w:szCs w:val="20"/>
              </w:rPr>
            </w:pPr>
            <w:r w:rsidRPr="007B5BE6">
              <w:rPr>
                <w:b/>
                <w:bCs/>
                <w:sz w:val="20"/>
                <w:szCs w:val="20"/>
              </w:rPr>
              <w:t>Protective information or referral (79.15%)</w:t>
            </w:r>
          </w:p>
        </w:tc>
      </w:tr>
      <w:tr w:rsidR="00571ED8" w:rsidRPr="007B5BE6" w14:paraId="40A2A0E6" w14:textId="77777777" w:rsidTr="00963B5A">
        <w:tc>
          <w:tcPr>
            <w:tcW w:w="3544" w:type="dxa"/>
            <w:tcBorders>
              <w:top w:val="single" w:sz="8" w:space="0" w:color="auto"/>
            </w:tcBorders>
          </w:tcPr>
          <w:p w14:paraId="41DABD27" w14:textId="3C169BCC" w:rsidR="00571ED8" w:rsidRPr="007B5BE6" w:rsidRDefault="00963B5A" w:rsidP="0004503A">
            <w:pPr>
              <w:jc w:val="left"/>
              <w:rPr>
                <w:sz w:val="20"/>
                <w:szCs w:val="20"/>
              </w:rPr>
            </w:pPr>
            <w:r w:rsidRPr="007B5BE6">
              <w:rPr>
                <w:sz w:val="20"/>
                <w:szCs w:val="20"/>
              </w:rPr>
              <w:t xml:space="preserve">‘Information on rights provided’ (to older person or </w:t>
            </w:r>
            <w:proofErr w:type="gramStart"/>
            <w:r w:rsidRPr="007B5BE6">
              <w:rPr>
                <w:sz w:val="20"/>
                <w:szCs w:val="20"/>
              </w:rPr>
              <w:t>other</w:t>
            </w:r>
            <w:proofErr w:type="gramEnd"/>
            <w:r w:rsidRPr="007B5BE6">
              <w:rPr>
                <w:sz w:val="20"/>
                <w:szCs w:val="20"/>
              </w:rPr>
              <w:t xml:space="preserve"> person as caller)</w:t>
            </w:r>
            <w:r w:rsidRPr="007B5BE6">
              <w:rPr>
                <w:rStyle w:val="FootnoteReference"/>
                <w:sz w:val="20"/>
                <w:szCs w:val="20"/>
              </w:rPr>
              <w:footnoteReference w:id="449"/>
            </w:r>
          </w:p>
        </w:tc>
        <w:tc>
          <w:tcPr>
            <w:tcW w:w="2466" w:type="dxa"/>
            <w:tcBorders>
              <w:top w:val="single" w:sz="8" w:space="0" w:color="auto"/>
            </w:tcBorders>
          </w:tcPr>
          <w:p w14:paraId="7F9746EC" w14:textId="77777777" w:rsidR="00571ED8" w:rsidRPr="007B5BE6" w:rsidRDefault="00571ED8" w:rsidP="0004503A">
            <w:pPr>
              <w:jc w:val="left"/>
              <w:rPr>
                <w:sz w:val="20"/>
                <w:szCs w:val="20"/>
              </w:rPr>
            </w:pPr>
            <w:r w:rsidRPr="007B5BE6">
              <w:rPr>
                <w:sz w:val="20"/>
                <w:szCs w:val="20"/>
              </w:rPr>
              <w:t xml:space="preserve">Advocacy </w:t>
            </w:r>
          </w:p>
        </w:tc>
        <w:tc>
          <w:tcPr>
            <w:tcW w:w="3006" w:type="dxa"/>
            <w:tcBorders>
              <w:top w:val="single" w:sz="8" w:space="0" w:color="auto"/>
            </w:tcBorders>
          </w:tcPr>
          <w:p w14:paraId="6988D00E" w14:textId="77777777" w:rsidR="00571ED8" w:rsidRPr="007B5BE6" w:rsidRDefault="00571ED8" w:rsidP="0004503A">
            <w:pPr>
              <w:jc w:val="left"/>
              <w:rPr>
                <w:sz w:val="20"/>
                <w:szCs w:val="20"/>
              </w:rPr>
            </w:pPr>
            <w:r w:rsidRPr="007B5BE6">
              <w:rPr>
                <w:sz w:val="20"/>
                <w:szCs w:val="20"/>
              </w:rPr>
              <w:t>Police</w:t>
            </w:r>
          </w:p>
        </w:tc>
      </w:tr>
      <w:tr w:rsidR="00571ED8" w:rsidRPr="007B5BE6" w14:paraId="2F1F10C9" w14:textId="77777777" w:rsidTr="00963B5A">
        <w:trPr>
          <w:trHeight w:val="746"/>
        </w:trPr>
        <w:tc>
          <w:tcPr>
            <w:tcW w:w="3544" w:type="dxa"/>
          </w:tcPr>
          <w:p w14:paraId="3A035C0A" w14:textId="0C153609" w:rsidR="00571ED8" w:rsidRPr="007B5BE6" w:rsidRDefault="00963B5A" w:rsidP="0004503A">
            <w:pPr>
              <w:jc w:val="left"/>
              <w:rPr>
                <w:sz w:val="20"/>
                <w:szCs w:val="20"/>
              </w:rPr>
            </w:pPr>
            <w:r w:rsidRPr="007B5BE6">
              <w:rPr>
                <w:sz w:val="20"/>
                <w:szCs w:val="20"/>
              </w:rPr>
              <w:t>‘Information on self-advocacy’</w:t>
            </w:r>
          </w:p>
        </w:tc>
        <w:tc>
          <w:tcPr>
            <w:tcW w:w="2466" w:type="dxa"/>
          </w:tcPr>
          <w:p w14:paraId="2DEEC639" w14:textId="77777777" w:rsidR="00571ED8" w:rsidRPr="007B5BE6" w:rsidRDefault="00571ED8" w:rsidP="0004503A">
            <w:pPr>
              <w:jc w:val="left"/>
              <w:rPr>
                <w:sz w:val="20"/>
                <w:szCs w:val="20"/>
              </w:rPr>
            </w:pPr>
            <w:r w:rsidRPr="007B5BE6">
              <w:rPr>
                <w:sz w:val="20"/>
                <w:szCs w:val="20"/>
              </w:rPr>
              <w:t xml:space="preserve">Advocacy Tasmania </w:t>
            </w:r>
          </w:p>
        </w:tc>
        <w:tc>
          <w:tcPr>
            <w:tcW w:w="3006" w:type="dxa"/>
          </w:tcPr>
          <w:p w14:paraId="3C374356" w14:textId="30FCE6D2" w:rsidR="00571ED8" w:rsidRPr="007B5BE6" w:rsidRDefault="00571ED8" w:rsidP="0004503A">
            <w:pPr>
              <w:jc w:val="left"/>
              <w:rPr>
                <w:sz w:val="20"/>
                <w:szCs w:val="20"/>
              </w:rPr>
            </w:pPr>
            <w:r w:rsidRPr="007B5BE6">
              <w:rPr>
                <w:sz w:val="20"/>
                <w:szCs w:val="20"/>
              </w:rPr>
              <w:t>TASCAT</w:t>
            </w:r>
            <w:r w:rsidR="007E08B4" w:rsidRPr="007B5BE6">
              <w:rPr>
                <w:rStyle w:val="FootnoteReference"/>
                <w:sz w:val="20"/>
                <w:szCs w:val="20"/>
              </w:rPr>
              <w:footnoteReference w:id="450"/>
            </w:r>
          </w:p>
        </w:tc>
      </w:tr>
      <w:tr w:rsidR="00571ED8" w:rsidRPr="007B5BE6" w14:paraId="7B43229A" w14:textId="77777777" w:rsidTr="00963B5A">
        <w:tc>
          <w:tcPr>
            <w:tcW w:w="3544" w:type="dxa"/>
          </w:tcPr>
          <w:p w14:paraId="55D3C0FD" w14:textId="273DE209" w:rsidR="00571ED8" w:rsidRPr="007B5BE6" w:rsidRDefault="00571ED8" w:rsidP="0004503A">
            <w:pPr>
              <w:jc w:val="left"/>
              <w:rPr>
                <w:sz w:val="20"/>
                <w:szCs w:val="20"/>
              </w:rPr>
            </w:pPr>
          </w:p>
        </w:tc>
        <w:tc>
          <w:tcPr>
            <w:tcW w:w="2466" w:type="dxa"/>
          </w:tcPr>
          <w:p w14:paraId="379F9F2C" w14:textId="77777777" w:rsidR="00571ED8" w:rsidRPr="007B5BE6" w:rsidRDefault="00571ED8" w:rsidP="0004503A">
            <w:pPr>
              <w:jc w:val="left"/>
              <w:rPr>
                <w:sz w:val="20"/>
                <w:szCs w:val="20"/>
              </w:rPr>
            </w:pPr>
            <w:r w:rsidRPr="007B5BE6">
              <w:rPr>
                <w:sz w:val="20"/>
                <w:szCs w:val="20"/>
              </w:rPr>
              <w:t>Senior Assist</w:t>
            </w:r>
          </w:p>
        </w:tc>
        <w:tc>
          <w:tcPr>
            <w:tcW w:w="3006" w:type="dxa"/>
          </w:tcPr>
          <w:p w14:paraId="01AA3F18" w14:textId="77777777" w:rsidR="00571ED8" w:rsidRPr="007B5BE6" w:rsidRDefault="00571ED8" w:rsidP="0004503A">
            <w:pPr>
              <w:jc w:val="left"/>
              <w:rPr>
                <w:sz w:val="20"/>
                <w:szCs w:val="20"/>
              </w:rPr>
            </w:pPr>
            <w:r w:rsidRPr="007B5BE6">
              <w:rPr>
                <w:sz w:val="20"/>
                <w:szCs w:val="20"/>
              </w:rPr>
              <w:t>Office of the Public Guardian</w:t>
            </w:r>
          </w:p>
        </w:tc>
      </w:tr>
      <w:tr w:rsidR="00571ED8" w:rsidRPr="007B5BE6" w14:paraId="763951B0" w14:textId="77777777" w:rsidTr="00963B5A">
        <w:tc>
          <w:tcPr>
            <w:tcW w:w="3544" w:type="dxa"/>
          </w:tcPr>
          <w:p w14:paraId="59937890" w14:textId="77777777" w:rsidR="00571ED8" w:rsidRPr="007B5BE6" w:rsidRDefault="00571ED8" w:rsidP="0004503A">
            <w:pPr>
              <w:jc w:val="left"/>
              <w:rPr>
                <w:sz w:val="20"/>
                <w:szCs w:val="20"/>
              </w:rPr>
            </w:pPr>
          </w:p>
        </w:tc>
        <w:tc>
          <w:tcPr>
            <w:tcW w:w="2466" w:type="dxa"/>
          </w:tcPr>
          <w:p w14:paraId="0985130B" w14:textId="77777777" w:rsidR="00571ED8" w:rsidRPr="007B5BE6" w:rsidRDefault="00571ED8" w:rsidP="0004503A">
            <w:pPr>
              <w:jc w:val="left"/>
              <w:rPr>
                <w:sz w:val="20"/>
                <w:szCs w:val="20"/>
              </w:rPr>
            </w:pPr>
            <w:r w:rsidRPr="007B5BE6">
              <w:rPr>
                <w:sz w:val="20"/>
                <w:szCs w:val="20"/>
              </w:rPr>
              <w:t>Relationships Australia</w:t>
            </w:r>
          </w:p>
        </w:tc>
        <w:tc>
          <w:tcPr>
            <w:tcW w:w="3006" w:type="dxa"/>
          </w:tcPr>
          <w:p w14:paraId="51384198" w14:textId="77777777" w:rsidR="00571ED8" w:rsidRPr="007B5BE6" w:rsidRDefault="00571ED8" w:rsidP="0004503A">
            <w:pPr>
              <w:jc w:val="left"/>
              <w:rPr>
                <w:sz w:val="20"/>
                <w:szCs w:val="20"/>
              </w:rPr>
            </w:pPr>
            <w:r w:rsidRPr="007B5BE6">
              <w:rPr>
                <w:sz w:val="20"/>
                <w:szCs w:val="20"/>
              </w:rPr>
              <w:t>Aged Care Quality &amp; Safety Commission</w:t>
            </w:r>
          </w:p>
        </w:tc>
      </w:tr>
      <w:tr w:rsidR="00571ED8" w:rsidRPr="007B5BE6" w14:paraId="27046C9F" w14:textId="77777777" w:rsidTr="00963B5A">
        <w:tc>
          <w:tcPr>
            <w:tcW w:w="3544" w:type="dxa"/>
          </w:tcPr>
          <w:p w14:paraId="0FFFB53E" w14:textId="77777777" w:rsidR="00571ED8" w:rsidRPr="007B5BE6" w:rsidRDefault="00571ED8" w:rsidP="0004503A">
            <w:pPr>
              <w:jc w:val="left"/>
              <w:rPr>
                <w:sz w:val="20"/>
                <w:szCs w:val="20"/>
              </w:rPr>
            </w:pPr>
          </w:p>
        </w:tc>
        <w:tc>
          <w:tcPr>
            <w:tcW w:w="2466" w:type="dxa"/>
          </w:tcPr>
          <w:p w14:paraId="5FD8B901" w14:textId="77777777" w:rsidR="00571ED8" w:rsidRPr="007B5BE6" w:rsidRDefault="00571ED8" w:rsidP="0004503A">
            <w:pPr>
              <w:jc w:val="left"/>
              <w:rPr>
                <w:sz w:val="20"/>
                <w:szCs w:val="20"/>
              </w:rPr>
            </w:pPr>
            <w:r w:rsidRPr="007B5BE6">
              <w:rPr>
                <w:sz w:val="20"/>
                <w:szCs w:val="20"/>
              </w:rPr>
              <w:t>Community Social Work</w:t>
            </w:r>
          </w:p>
        </w:tc>
        <w:tc>
          <w:tcPr>
            <w:tcW w:w="3006" w:type="dxa"/>
          </w:tcPr>
          <w:p w14:paraId="183E3F05" w14:textId="77777777" w:rsidR="00571ED8" w:rsidRPr="007B5BE6" w:rsidRDefault="00571ED8" w:rsidP="0004503A">
            <w:pPr>
              <w:jc w:val="left"/>
              <w:rPr>
                <w:sz w:val="20"/>
                <w:szCs w:val="20"/>
              </w:rPr>
            </w:pPr>
            <w:r w:rsidRPr="007B5BE6">
              <w:rPr>
                <w:sz w:val="20"/>
                <w:szCs w:val="20"/>
              </w:rPr>
              <w:t>Legal Aid Commission</w:t>
            </w:r>
          </w:p>
        </w:tc>
      </w:tr>
      <w:tr w:rsidR="00571ED8" w:rsidRPr="007B5BE6" w14:paraId="67B482C2" w14:textId="77777777" w:rsidTr="00963B5A">
        <w:tc>
          <w:tcPr>
            <w:tcW w:w="3544" w:type="dxa"/>
          </w:tcPr>
          <w:p w14:paraId="6FC7E660" w14:textId="77777777" w:rsidR="00571ED8" w:rsidRPr="007B5BE6" w:rsidRDefault="00571ED8" w:rsidP="0004503A">
            <w:pPr>
              <w:jc w:val="left"/>
              <w:rPr>
                <w:sz w:val="20"/>
                <w:szCs w:val="20"/>
              </w:rPr>
            </w:pPr>
          </w:p>
        </w:tc>
        <w:tc>
          <w:tcPr>
            <w:tcW w:w="2466" w:type="dxa"/>
          </w:tcPr>
          <w:p w14:paraId="62DDF02D" w14:textId="08F21203" w:rsidR="00571ED8" w:rsidRPr="007B5BE6" w:rsidRDefault="00571ED8" w:rsidP="0004503A">
            <w:pPr>
              <w:jc w:val="left"/>
              <w:rPr>
                <w:sz w:val="20"/>
                <w:szCs w:val="20"/>
              </w:rPr>
            </w:pPr>
            <w:r w:rsidRPr="007B5BE6">
              <w:rPr>
                <w:sz w:val="20"/>
                <w:szCs w:val="20"/>
              </w:rPr>
              <w:t xml:space="preserve">Family </w:t>
            </w:r>
            <w:r w:rsidR="00916D3D" w:rsidRPr="007B5BE6">
              <w:rPr>
                <w:sz w:val="20"/>
                <w:szCs w:val="20"/>
              </w:rPr>
              <w:t>V</w:t>
            </w:r>
            <w:r w:rsidRPr="007B5BE6">
              <w:rPr>
                <w:sz w:val="20"/>
                <w:szCs w:val="20"/>
              </w:rPr>
              <w:t xml:space="preserve">iolence </w:t>
            </w:r>
            <w:r w:rsidR="00916D3D" w:rsidRPr="007B5BE6">
              <w:rPr>
                <w:sz w:val="20"/>
                <w:szCs w:val="20"/>
              </w:rPr>
              <w:t>C</w:t>
            </w:r>
            <w:r w:rsidRPr="007B5BE6">
              <w:rPr>
                <w:sz w:val="20"/>
                <w:szCs w:val="20"/>
              </w:rPr>
              <w:t xml:space="preserve">ounselling and </w:t>
            </w:r>
            <w:r w:rsidR="00916D3D" w:rsidRPr="007B5BE6">
              <w:rPr>
                <w:sz w:val="20"/>
                <w:szCs w:val="20"/>
              </w:rPr>
              <w:t>S</w:t>
            </w:r>
            <w:r w:rsidRPr="007B5BE6">
              <w:rPr>
                <w:sz w:val="20"/>
                <w:szCs w:val="20"/>
              </w:rPr>
              <w:t xml:space="preserve">upport </w:t>
            </w:r>
            <w:r w:rsidR="00916D3D" w:rsidRPr="007B5BE6">
              <w:rPr>
                <w:sz w:val="20"/>
                <w:szCs w:val="20"/>
              </w:rPr>
              <w:t>S</w:t>
            </w:r>
            <w:r w:rsidRPr="007B5BE6">
              <w:rPr>
                <w:sz w:val="20"/>
                <w:szCs w:val="20"/>
              </w:rPr>
              <w:t>ervice</w:t>
            </w:r>
          </w:p>
        </w:tc>
        <w:tc>
          <w:tcPr>
            <w:tcW w:w="3006" w:type="dxa"/>
          </w:tcPr>
          <w:p w14:paraId="7753DF90" w14:textId="77777777" w:rsidR="00571ED8" w:rsidRPr="007B5BE6" w:rsidRDefault="00571ED8" w:rsidP="0004503A">
            <w:pPr>
              <w:jc w:val="left"/>
              <w:rPr>
                <w:sz w:val="20"/>
                <w:szCs w:val="20"/>
              </w:rPr>
            </w:pPr>
            <w:r w:rsidRPr="007B5BE6">
              <w:rPr>
                <w:sz w:val="20"/>
                <w:szCs w:val="20"/>
              </w:rPr>
              <w:t>Community Legal Service</w:t>
            </w:r>
          </w:p>
        </w:tc>
      </w:tr>
      <w:tr w:rsidR="00571ED8" w:rsidRPr="007B5BE6" w14:paraId="60C9B4A8" w14:textId="77777777" w:rsidTr="00963B5A">
        <w:tc>
          <w:tcPr>
            <w:tcW w:w="3544" w:type="dxa"/>
          </w:tcPr>
          <w:p w14:paraId="1309389A" w14:textId="77777777" w:rsidR="00571ED8" w:rsidRPr="007B5BE6" w:rsidRDefault="00571ED8" w:rsidP="0004503A">
            <w:pPr>
              <w:jc w:val="left"/>
              <w:rPr>
                <w:sz w:val="20"/>
                <w:szCs w:val="20"/>
              </w:rPr>
            </w:pPr>
          </w:p>
        </w:tc>
        <w:tc>
          <w:tcPr>
            <w:tcW w:w="2466" w:type="dxa"/>
          </w:tcPr>
          <w:p w14:paraId="63CD238A" w14:textId="77777777" w:rsidR="00571ED8" w:rsidRPr="007B5BE6" w:rsidRDefault="00571ED8" w:rsidP="0004503A">
            <w:pPr>
              <w:jc w:val="left"/>
              <w:rPr>
                <w:sz w:val="20"/>
                <w:szCs w:val="20"/>
              </w:rPr>
            </w:pPr>
            <w:r w:rsidRPr="007B5BE6">
              <w:rPr>
                <w:sz w:val="20"/>
                <w:szCs w:val="20"/>
              </w:rPr>
              <w:t>My Aged Care</w:t>
            </w:r>
          </w:p>
        </w:tc>
        <w:tc>
          <w:tcPr>
            <w:tcW w:w="3006" w:type="dxa"/>
          </w:tcPr>
          <w:p w14:paraId="4FD95CCB" w14:textId="77777777" w:rsidR="00571ED8" w:rsidRPr="007B5BE6" w:rsidRDefault="00571ED8" w:rsidP="0004503A">
            <w:pPr>
              <w:jc w:val="left"/>
              <w:rPr>
                <w:sz w:val="20"/>
                <w:szCs w:val="20"/>
              </w:rPr>
            </w:pPr>
            <w:r w:rsidRPr="007B5BE6">
              <w:rPr>
                <w:sz w:val="20"/>
                <w:szCs w:val="20"/>
              </w:rPr>
              <w:t xml:space="preserve">Women’s Legal Service </w:t>
            </w:r>
          </w:p>
        </w:tc>
      </w:tr>
      <w:tr w:rsidR="00571ED8" w:rsidRPr="007B5BE6" w14:paraId="68F42249" w14:textId="77777777" w:rsidTr="00963B5A">
        <w:tc>
          <w:tcPr>
            <w:tcW w:w="3544" w:type="dxa"/>
          </w:tcPr>
          <w:p w14:paraId="352473DD" w14:textId="77777777" w:rsidR="00571ED8" w:rsidRPr="007B5BE6" w:rsidRDefault="00571ED8" w:rsidP="0004503A">
            <w:pPr>
              <w:jc w:val="left"/>
              <w:rPr>
                <w:sz w:val="20"/>
                <w:szCs w:val="20"/>
              </w:rPr>
            </w:pPr>
          </w:p>
        </w:tc>
        <w:tc>
          <w:tcPr>
            <w:tcW w:w="2466" w:type="dxa"/>
          </w:tcPr>
          <w:p w14:paraId="527DAF2A" w14:textId="77777777" w:rsidR="00571ED8" w:rsidRPr="007B5BE6" w:rsidRDefault="00571ED8" w:rsidP="0004503A">
            <w:pPr>
              <w:jc w:val="left"/>
              <w:rPr>
                <w:sz w:val="20"/>
                <w:szCs w:val="20"/>
              </w:rPr>
            </w:pPr>
            <w:r w:rsidRPr="007B5BE6">
              <w:rPr>
                <w:sz w:val="20"/>
                <w:szCs w:val="20"/>
              </w:rPr>
              <w:t>Home Care Packages</w:t>
            </w:r>
          </w:p>
        </w:tc>
        <w:tc>
          <w:tcPr>
            <w:tcW w:w="3006" w:type="dxa"/>
          </w:tcPr>
          <w:p w14:paraId="3AB5BBD8" w14:textId="77777777" w:rsidR="00571ED8" w:rsidRPr="007B5BE6" w:rsidRDefault="00571ED8" w:rsidP="0004503A">
            <w:pPr>
              <w:jc w:val="left"/>
              <w:rPr>
                <w:sz w:val="20"/>
                <w:szCs w:val="20"/>
              </w:rPr>
            </w:pPr>
            <w:r w:rsidRPr="007B5BE6">
              <w:rPr>
                <w:sz w:val="20"/>
                <w:szCs w:val="20"/>
              </w:rPr>
              <w:t xml:space="preserve">Private Legal </w:t>
            </w:r>
          </w:p>
        </w:tc>
      </w:tr>
      <w:tr w:rsidR="00571ED8" w:rsidRPr="007B5BE6" w14:paraId="48C69137" w14:textId="77777777" w:rsidTr="00963B5A">
        <w:tc>
          <w:tcPr>
            <w:tcW w:w="3544" w:type="dxa"/>
          </w:tcPr>
          <w:p w14:paraId="78D43C08" w14:textId="77777777" w:rsidR="00571ED8" w:rsidRPr="007B5BE6" w:rsidRDefault="00571ED8" w:rsidP="0004503A">
            <w:pPr>
              <w:jc w:val="left"/>
              <w:rPr>
                <w:sz w:val="20"/>
                <w:szCs w:val="20"/>
              </w:rPr>
            </w:pPr>
          </w:p>
        </w:tc>
        <w:tc>
          <w:tcPr>
            <w:tcW w:w="2466" w:type="dxa"/>
          </w:tcPr>
          <w:p w14:paraId="0110063B" w14:textId="0EB67170" w:rsidR="00571ED8" w:rsidRPr="007B5BE6" w:rsidRDefault="00571ED8" w:rsidP="0004503A">
            <w:pPr>
              <w:jc w:val="left"/>
              <w:rPr>
                <w:sz w:val="20"/>
                <w:szCs w:val="20"/>
              </w:rPr>
            </w:pPr>
            <w:r w:rsidRPr="007B5BE6">
              <w:rPr>
                <w:sz w:val="20"/>
                <w:szCs w:val="20"/>
              </w:rPr>
              <w:t>CHSP</w:t>
            </w:r>
            <w:r w:rsidR="007E08B4" w:rsidRPr="007B5BE6">
              <w:rPr>
                <w:rStyle w:val="FootnoteReference"/>
                <w:sz w:val="20"/>
                <w:szCs w:val="20"/>
              </w:rPr>
              <w:footnoteReference w:id="451"/>
            </w:r>
          </w:p>
        </w:tc>
        <w:tc>
          <w:tcPr>
            <w:tcW w:w="3006" w:type="dxa"/>
          </w:tcPr>
          <w:p w14:paraId="5ECBBAB5" w14:textId="77777777" w:rsidR="00571ED8" w:rsidRPr="007B5BE6" w:rsidRDefault="00571ED8" w:rsidP="0004503A">
            <w:pPr>
              <w:jc w:val="left"/>
              <w:rPr>
                <w:sz w:val="20"/>
                <w:szCs w:val="20"/>
              </w:rPr>
            </w:pPr>
            <w:r w:rsidRPr="007B5BE6">
              <w:rPr>
                <w:sz w:val="20"/>
                <w:szCs w:val="20"/>
              </w:rPr>
              <w:t>Mental Health Helpline</w:t>
            </w:r>
          </w:p>
        </w:tc>
      </w:tr>
      <w:tr w:rsidR="00571ED8" w:rsidRPr="007B5BE6" w14:paraId="5551757D" w14:textId="77777777" w:rsidTr="00963B5A">
        <w:tc>
          <w:tcPr>
            <w:tcW w:w="3544" w:type="dxa"/>
            <w:tcBorders>
              <w:bottom w:val="single" w:sz="4" w:space="0" w:color="auto"/>
            </w:tcBorders>
          </w:tcPr>
          <w:p w14:paraId="04BDB9A9" w14:textId="77777777" w:rsidR="00571ED8" w:rsidRPr="007B5BE6" w:rsidRDefault="00571ED8" w:rsidP="0004503A">
            <w:pPr>
              <w:jc w:val="left"/>
              <w:rPr>
                <w:sz w:val="20"/>
                <w:szCs w:val="20"/>
              </w:rPr>
            </w:pPr>
          </w:p>
        </w:tc>
        <w:tc>
          <w:tcPr>
            <w:tcW w:w="2466" w:type="dxa"/>
            <w:tcBorders>
              <w:bottom w:val="single" w:sz="4" w:space="0" w:color="auto"/>
            </w:tcBorders>
          </w:tcPr>
          <w:p w14:paraId="7D88313A" w14:textId="77777777" w:rsidR="00571ED8" w:rsidRPr="007B5BE6" w:rsidRDefault="00571ED8" w:rsidP="0004503A">
            <w:pPr>
              <w:jc w:val="left"/>
              <w:rPr>
                <w:sz w:val="20"/>
                <w:szCs w:val="20"/>
              </w:rPr>
            </w:pPr>
          </w:p>
        </w:tc>
        <w:tc>
          <w:tcPr>
            <w:tcW w:w="3006" w:type="dxa"/>
            <w:tcBorders>
              <w:bottom w:val="single" w:sz="4" w:space="0" w:color="auto"/>
            </w:tcBorders>
          </w:tcPr>
          <w:p w14:paraId="6CD57E0C" w14:textId="77777777" w:rsidR="00571ED8" w:rsidRPr="007B5BE6" w:rsidRDefault="00571ED8" w:rsidP="0004503A">
            <w:pPr>
              <w:jc w:val="left"/>
              <w:rPr>
                <w:sz w:val="20"/>
                <w:szCs w:val="20"/>
              </w:rPr>
            </w:pPr>
            <w:r w:rsidRPr="007B5BE6">
              <w:rPr>
                <w:sz w:val="20"/>
                <w:szCs w:val="20"/>
              </w:rPr>
              <w:t xml:space="preserve">Australian Financial Complaints Authority </w:t>
            </w:r>
          </w:p>
        </w:tc>
      </w:tr>
    </w:tbl>
    <w:p w14:paraId="359C831F" w14:textId="4C585C75" w:rsidR="00BA4A64" w:rsidRPr="007B5BE6" w:rsidRDefault="009D0B18" w:rsidP="00BA4A64">
      <w:pPr>
        <w:pStyle w:val="NormalNumberedTextTLRI"/>
      </w:pPr>
      <w:r w:rsidRPr="007B5BE6">
        <w:t xml:space="preserve">As well </w:t>
      </w:r>
      <w:r w:rsidR="00725398" w:rsidRPr="007B5BE6">
        <w:t xml:space="preserve">acknowledging </w:t>
      </w:r>
      <w:r w:rsidRPr="007B5BE6">
        <w:t>the strengths of this response model, s</w:t>
      </w:r>
      <w:r w:rsidR="00794256" w:rsidRPr="007B5BE6">
        <w:t>takeholder</w:t>
      </w:r>
      <w:r w:rsidRPr="007B5BE6">
        <w:t xml:space="preserve">s also </w:t>
      </w:r>
      <w:r w:rsidR="00E723B0" w:rsidRPr="007B5BE6">
        <w:t>identified potential</w:t>
      </w:r>
      <w:r w:rsidR="00BA4A64" w:rsidRPr="007B5BE6">
        <w:t xml:space="preserve"> issues </w:t>
      </w:r>
      <w:r w:rsidR="00725398" w:rsidRPr="007B5BE6">
        <w:t xml:space="preserve">regarding </w:t>
      </w:r>
      <w:r w:rsidR="00381BCB" w:rsidRPr="007B5BE6">
        <w:t>its</w:t>
      </w:r>
      <w:r w:rsidR="00725398" w:rsidRPr="007B5BE6">
        <w:t xml:space="preserve"> limitations</w:t>
      </w:r>
      <w:r w:rsidR="00BA4A64" w:rsidRPr="007B5BE6">
        <w:t>. In relation to the Helpline, stakeholder</w:t>
      </w:r>
      <w:r w:rsidR="000D655A" w:rsidRPr="007B5BE6">
        <w:t>s</w:t>
      </w:r>
      <w:r w:rsidR="00BA4A64" w:rsidRPr="007B5BE6">
        <w:t xml:space="preserve"> noted that:</w:t>
      </w:r>
    </w:p>
    <w:p w14:paraId="505F19C6" w14:textId="1893DE5F" w:rsidR="00BA4A64" w:rsidRPr="007B5BE6" w:rsidRDefault="000D655A" w:rsidP="00BA4A64">
      <w:pPr>
        <w:pStyle w:val="DotPointTLRI"/>
      </w:pPr>
      <w:r w:rsidRPr="007B5BE6">
        <w:t xml:space="preserve">It </w:t>
      </w:r>
      <w:r w:rsidR="0018231B" w:rsidRPr="007B5BE6">
        <w:t>is</w:t>
      </w:r>
      <w:r w:rsidR="00BA4A64" w:rsidRPr="007B5BE6">
        <w:t xml:space="preserve"> based on information and </w:t>
      </w:r>
      <w:r w:rsidR="00776317" w:rsidRPr="007B5BE6">
        <w:t xml:space="preserve">referral, is </w:t>
      </w:r>
      <w:r w:rsidR="00BA4A64" w:rsidRPr="007B5BE6">
        <w:t>consent</w:t>
      </w:r>
      <w:r w:rsidR="003B4C72" w:rsidRPr="007B5BE6">
        <w:t>-</w:t>
      </w:r>
      <w:r w:rsidR="00BA4A64" w:rsidRPr="007B5BE6">
        <w:t>based and ha</w:t>
      </w:r>
      <w:r w:rsidR="00381BCB" w:rsidRPr="007B5BE6">
        <w:t>s</w:t>
      </w:r>
      <w:r w:rsidR="00BA4A64" w:rsidRPr="007B5BE6">
        <w:t xml:space="preserve"> no reporting function. It was noted that in a case</w:t>
      </w:r>
      <w:r w:rsidR="00381BCB" w:rsidRPr="007B5BE6">
        <w:t>,</w:t>
      </w:r>
      <w:r w:rsidR="00BA4A64" w:rsidRPr="007B5BE6">
        <w:t xml:space="preserve"> </w:t>
      </w:r>
      <w:r w:rsidR="00381BCB" w:rsidRPr="007B5BE6">
        <w:t>such as</w:t>
      </w:r>
      <w:r w:rsidR="00BA714A" w:rsidRPr="007B5BE6">
        <w:t xml:space="preserve"> the case</w:t>
      </w:r>
      <w:r w:rsidR="00381BCB" w:rsidRPr="007B5BE6">
        <w:t xml:space="preserve"> involving the death of </w:t>
      </w:r>
      <w:r w:rsidR="00BA4A64" w:rsidRPr="007B5BE6">
        <w:t>Mrs Mac</w:t>
      </w:r>
      <w:r w:rsidR="00EC6097" w:rsidRPr="007B5BE6">
        <w:t>k</w:t>
      </w:r>
      <w:r w:rsidR="00BA4A64" w:rsidRPr="007B5BE6">
        <w:t xml:space="preserve">ozdi who had dementia, her family took over all contact and everything to do with her life, and so there was a need </w:t>
      </w:r>
      <w:r w:rsidR="00BA714A" w:rsidRPr="007B5BE6">
        <w:t xml:space="preserve">for </w:t>
      </w:r>
      <w:r w:rsidR="00F61E21" w:rsidRPr="007B5BE6">
        <w:t>‘</w:t>
      </w:r>
      <w:r w:rsidR="00BA4A64" w:rsidRPr="007B5BE6">
        <w:t>someone independent</w:t>
      </w:r>
      <w:r w:rsidR="00F61E21" w:rsidRPr="007B5BE6">
        <w:t>’</w:t>
      </w:r>
      <w:r w:rsidR="00BA4A64" w:rsidRPr="007B5BE6">
        <w:t xml:space="preserve"> to take on </w:t>
      </w:r>
      <w:r w:rsidR="00F61E21" w:rsidRPr="007B5BE6">
        <w:t xml:space="preserve">an </w:t>
      </w:r>
      <w:r w:rsidR="00BA4A64" w:rsidRPr="007B5BE6">
        <w:t xml:space="preserve">investigation. </w:t>
      </w:r>
    </w:p>
    <w:p w14:paraId="3EAE5DEE" w14:textId="0257B33C" w:rsidR="00BA4A64" w:rsidRPr="007B5BE6" w:rsidRDefault="00BA4A64">
      <w:pPr>
        <w:pStyle w:val="DotPointTLRI"/>
      </w:pPr>
      <w:r w:rsidRPr="007B5BE6">
        <w:t>Advocacy Tas</w:t>
      </w:r>
      <w:r w:rsidR="00F311F7" w:rsidRPr="007B5BE6">
        <w:t>mania</w:t>
      </w:r>
      <w:r w:rsidR="00DC6374" w:rsidRPr="007B5BE6">
        <w:t xml:space="preserve"> has</w:t>
      </w:r>
      <w:r w:rsidRPr="007B5BE6">
        <w:t xml:space="preserve"> a firm stance on people’s right</w:t>
      </w:r>
      <w:r w:rsidR="00F61E21" w:rsidRPr="007B5BE6">
        <w:t>s</w:t>
      </w:r>
      <w:r w:rsidRPr="007B5BE6">
        <w:t xml:space="preserve"> to </w:t>
      </w:r>
      <w:r w:rsidR="00F311F7" w:rsidRPr="007B5BE6">
        <w:t>self-determination</w:t>
      </w:r>
      <w:r w:rsidRPr="007B5BE6">
        <w:t xml:space="preserve"> and </w:t>
      </w:r>
      <w:r w:rsidR="00F61E21" w:rsidRPr="007B5BE6">
        <w:t xml:space="preserve">that </w:t>
      </w:r>
      <w:r w:rsidR="002D75C7" w:rsidRPr="007B5BE6">
        <w:t>decision-making</w:t>
      </w:r>
      <w:r w:rsidRPr="007B5BE6">
        <w:t xml:space="preserve"> control </w:t>
      </w:r>
      <w:r w:rsidR="00F61E21" w:rsidRPr="007B5BE6">
        <w:t xml:space="preserve">should be </w:t>
      </w:r>
      <w:r w:rsidRPr="007B5BE6">
        <w:t>in the hands of the older person</w:t>
      </w:r>
      <w:r w:rsidR="00D06641" w:rsidRPr="007B5BE6">
        <w:t>. The Helpline has a</w:t>
      </w:r>
      <w:r w:rsidR="005401E1" w:rsidRPr="007B5BE6">
        <w:t xml:space="preserve"> </w:t>
      </w:r>
      <w:r w:rsidR="00A93E78" w:rsidRPr="007B5BE6">
        <w:t xml:space="preserve">focus </w:t>
      </w:r>
      <w:r w:rsidR="00FB31B7" w:rsidRPr="007B5BE6">
        <w:t>on referral</w:t>
      </w:r>
      <w:r w:rsidRPr="007B5BE6">
        <w:t xml:space="preserve"> and information only</w:t>
      </w:r>
      <w:r w:rsidR="00531984" w:rsidRPr="007B5BE6">
        <w:t xml:space="preserve">. However, older people who are experiencing abuse do not typically call the Helpline. This means that in </w:t>
      </w:r>
      <w:r w:rsidR="004242B7" w:rsidRPr="007B5BE6">
        <w:t>many cases, it is the not the older person themselves who rings the Helpline, but a</w:t>
      </w:r>
      <w:r w:rsidR="00D06641" w:rsidRPr="007B5BE6">
        <w:t xml:space="preserve">nother person who rings </w:t>
      </w:r>
      <w:r w:rsidR="002B3F2B" w:rsidRPr="007B5BE6">
        <w:t xml:space="preserve">with a concern about an older person. In such cases, information or referral links </w:t>
      </w:r>
      <w:r w:rsidR="00EC5C20" w:rsidRPr="007B5BE6">
        <w:t xml:space="preserve">are not </w:t>
      </w:r>
      <w:r w:rsidR="002B3F2B" w:rsidRPr="007B5BE6">
        <w:t>provided directly</w:t>
      </w:r>
      <w:r w:rsidR="00EC5C20" w:rsidRPr="007B5BE6">
        <w:t xml:space="preserve"> to the older </w:t>
      </w:r>
      <w:r w:rsidR="00CC3EC6" w:rsidRPr="007B5BE6">
        <w:t>person and</w:t>
      </w:r>
      <w:r w:rsidR="00EC5C20" w:rsidRPr="007B5BE6">
        <w:t xml:space="preserve"> may not ultimately be </w:t>
      </w:r>
      <w:r w:rsidR="00D92EE7" w:rsidRPr="007B5BE6">
        <w:t>passed on</w:t>
      </w:r>
      <w:r w:rsidR="00EC5C20" w:rsidRPr="007B5BE6">
        <w:t xml:space="preserve"> by the caller to</w:t>
      </w:r>
      <w:r w:rsidR="002B3F2B" w:rsidRPr="007B5BE6">
        <w:t xml:space="preserve"> the older person</w:t>
      </w:r>
      <w:r w:rsidRPr="007B5BE6">
        <w:t>.</w:t>
      </w:r>
      <w:r w:rsidR="00531984" w:rsidRPr="007B5BE6">
        <w:t xml:space="preserve"> </w:t>
      </w:r>
      <w:r w:rsidR="00CC3EC6" w:rsidRPr="007B5BE6">
        <w:t xml:space="preserve">Even where an older person does call the Helpline themselves, </w:t>
      </w:r>
      <w:r w:rsidR="00053ED6" w:rsidRPr="007B5BE6">
        <w:t>the responses available</w:t>
      </w:r>
      <w:r w:rsidR="00FB7DEE" w:rsidRPr="007B5BE6">
        <w:t xml:space="preserve"> </w:t>
      </w:r>
      <w:r w:rsidR="00CC3EC6" w:rsidRPr="007B5BE6">
        <w:t xml:space="preserve">to them </w:t>
      </w:r>
      <w:r w:rsidR="00FB7DEE" w:rsidRPr="007B5BE6">
        <w:t>are limited</w:t>
      </w:r>
      <w:r w:rsidRPr="007B5BE6">
        <w:t xml:space="preserve">. </w:t>
      </w:r>
    </w:p>
    <w:p w14:paraId="42565432" w14:textId="76FBD929" w:rsidR="00BA4A64" w:rsidRPr="007B5BE6" w:rsidRDefault="00A26C7C" w:rsidP="00BA4A64">
      <w:pPr>
        <w:pStyle w:val="DotPointTLRI"/>
      </w:pPr>
      <w:r w:rsidRPr="007B5BE6">
        <w:t xml:space="preserve">An older person who has </w:t>
      </w:r>
      <w:r w:rsidR="00BA4A64" w:rsidRPr="007B5BE6">
        <w:t xml:space="preserve">dementia or limited capacity is </w:t>
      </w:r>
      <w:r w:rsidR="008E45E6" w:rsidRPr="007B5BE6">
        <w:t xml:space="preserve">typically </w:t>
      </w:r>
      <w:r w:rsidR="00BA4A64" w:rsidRPr="007B5BE6">
        <w:t>reliant o</w:t>
      </w:r>
      <w:r w:rsidR="0055147A" w:rsidRPr="007B5BE6">
        <w:t>n</w:t>
      </w:r>
      <w:r w:rsidR="00BA4A64" w:rsidRPr="007B5BE6">
        <w:t xml:space="preserve"> family member</w:t>
      </w:r>
      <w:r w:rsidR="0055147A" w:rsidRPr="007B5BE6">
        <w:t>s as carers</w:t>
      </w:r>
      <w:r w:rsidR="00F14A87" w:rsidRPr="007B5BE6">
        <w:t xml:space="preserve"> </w:t>
      </w:r>
      <w:r w:rsidR="00CD5DF7" w:rsidRPr="007B5BE6">
        <w:t>who</w:t>
      </w:r>
      <w:r w:rsidR="00F14A87" w:rsidRPr="007B5BE6">
        <w:t xml:space="preserve">, in some cases, </w:t>
      </w:r>
      <w:r w:rsidR="00CD5DF7" w:rsidRPr="007B5BE6">
        <w:t xml:space="preserve">may be the person who is </w:t>
      </w:r>
      <w:r w:rsidR="00BA4A64" w:rsidRPr="007B5BE6">
        <w:t>abusing</w:t>
      </w:r>
      <w:r w:rsidR="00CD5DF7" w:rsidRPr="007B5BE6">
        <w:t xml:space="preserve"> the</w:t>
      </w:r>
      <w:r w:rsidR="00F14A87" w:rsidRPr="007B5BE6">
        <w:t xml:space="preserve"> older person</w:t>
      </w:r>
      <w:r w:rsidR="00C84271" w:rsidRPr="007B5BE6">
        <w:t xml:space="preserve"> </w:t>
      </w:r>
      <w:r w:rsidR="00BD30E9" w:rsidRPr="007B5BE6">
        <w:t>and act</w:t>
      </w:r>
      <w:r w:rsidR="005B49B6" w:rsidRPr="007B5BE6">
        <w:t>ing</w:t>
      </w:r>
      <w:r w:rsidR="00BD30E9" w:rsidRPr="007B5BE6">
        <w:t xml:space="preserve"> as </w:t>
      </w:r>
      <w:r w:rsidR="005B49B6" w:rsidRPr="007B5BE6">
        <w:t>a</w:t>
      </w:r>
      <w:r w:rsidR="0055147A" w:rsidRPr="007B5BE6">
        <w:t xml:space="preserve"> </w:t>
      </w:r>
      <w:r w:rsidR="005B49B6" w:rsidRPr="007B5BE6">
        <w:t>‘</w:t>
      </w:r>
      <w:r w:rsidR="0055147A" w:rsidRPr="007B5BE6">
        <w:t>gatekeeper</w:t>
      </w:r>
      <w:r w:rsidR="00BD30E9" w:rsidRPr="007B5BE6">
        <w:t>’, preventing a</w:t>
      </w:r>
      <w:r w:rsidR="009A49E5" w:rsidRPr="007B5BE6">
        <w:t xml:space="preserve">ccess to services or </w:t>
      </w:r>
      <w:r w:rsidR="0055147A" w:rsidRPr="007B5BE6">
        <w:t>assistance</w:t>
      </w:r>
      <w:r w:rsidR="00C84271" w:rsidRPr="007B5BE6">
        <w:t>. I</w:t>
      </w:r>
      <w:r w:rsidR="008D45A9" w:rsidRPr="007B5BE6">
        <w:t xml:space="preserve">n these circumstances, </w:t>
      </w:r>
      <w:r w:rsidR="0055147A" w:rsidRPr="007B5BE6">
        <w:t xml:space="preserve">the older person is </w:t>
      </w:r>
      <w:r w:rsidR="00BA4A64" w:rsidRPr="007B5BE6">
        <w:t>unlikely to be able to call</w:t>
      </w:r>
      <w:r w:rsidR="00C84271" w:rsidRPr="007B5BE6">
        <w:t xml:space="preserve"> the</w:t>
      </w:r>
      <w:r w:rsidR="00BA4A64" w:rsidRPr="007B5BE6">
        <w:t xml:space="preserve"> Helpline.</w:t>
      </w:r>
      <w:r w:rsidR="00446C75" w:rsidRPr="007B5BE6">
        <w:rPr>
          <w:rStyle w:val="FootnoteReference"/>
        </w:rPr>
        <w:footnoteReference w:id="452"/>
      </w:r>
      <w:r w:rsidR="00BA4A64" w:rsidRPr="007B5BE6">
        <w:t xml:space="preserve"> </w:t>
      </w:r>
    </w:p>
    <w:p w14:paraId="6BD0CB82" w14:textId="284DA891" w:rsidR="00BA4A64" w:rsidRPr="007B5BE6" w:rsidRDefault="00BA4A64" w:rsidP="00BA4A64">
      <w:pPr>
        <w:pStyle w:val="NormalNumberedTextTLRI"/>
      </w:pPr>
      <w:r w:rsidRPr="007B5BE6">
        <w:lastRenderedPageBreak/>
        <w:t xml:space="preserve">In relation to Senior Assist, stakeholders </w:t>
      </w:r>
      <w:r w:rsidR="008629C9" w:rsidRPr="007B5BE6">
        <w:t>noted</w:t>
      </w:r>
      <w:r w:rsidRPr="007B5BE6">
        <w:t xml:space="preserve"> that:</w:t>
      </w:r>
    </w:p>
    <w:p w14:paraId="441C1CAF" w14:textId="4139A7D6" w:rsidR="00BA4A64" w:rsidRPr="007B5BE6" w:rsidRDefault="00870A79" w:rsidP="00BA4A64">
      <w:pPr>
        <w:pStyle w:val="DotPointTLRI"/>
      </w:pPr>
      <w:r w:rsidRPr="007B5BE6">
        <w:t>It is</w:t>
      </w:r>
      <w:r w:rsidR="00D22ED1" w:rsidRPr="007B5BE6">
        <w:t xml:space="preserve"> the only dedicated specialist legal response service for abuse of older people</w:t>
      </w:r>
      <w:r w:rsidRPr="007B5BE6">
        <w:t xml:space="preserve">; however, </w:t>
      </w:r>
      <w:r w:rsidR="00D22ED1" w:rsidRPr="007B5BE6">
        <w:t>i</w:t>
      </w:r>
      <w:r w:rsidR="00BA4A64" w:rsidRPr="007B5BE6">
        <w:t xml:space="preserve">t can only </w:t>
      </w:r>
      <w:r w:rsidR="00553FD1" w:rsidRPr="007B5BE6">
        <w:t>assist, as clients,</w:t>
      </w:r>
      <w:r w:rsidR="00F672CF" w:rsidRPr="007B5BE6">
        <w:t xml:space="preserve"> older people who have capacity</w:t>
      </w:r>
      <w:r w:rsidR="00781A60" w:rsidRPr="007B5BE6">
        <w:t xml:space="preserve">. This </w:t>
      </w:r>
      <w:r w:rsidR="00553FD1" w:rsidRPr="007B5BE6">
        <w:t xml:space="preserve">requirement </w:t>
      </w:r>
      <w:r w:rsidR="00CC6022" w:rsidRPr="007B5BE6">
        <w:t xml:space="preserve">excludes </w:t>
      </w:r>
      <w:r w:rsidR="00814AEE" w:rsidRPr="007B5BE6">
        <w:t>a large demographic of older people who are at risk of abuse.</w:t>
      </w:r>
      <w:r w:rsidR="00BA4A64" w:rsidRPr="007B5BE6">
        <w:t xml:space="preserve"> </w:t>
      </w:r>
    </w:p>
    <w:p w14:paraId="11D6C1BA" w14:textId="58D90D2E" w:rsidR="00BA4A64" w:rsidRPr="007B5BE6" w:rsidRDefault="00BA4A64">
      <w:pPr>
        <w:pStyle w:val="DotPointTLRI"/>
      </w:pPr>
      <w:r w:rsidRPr="007B5BE6">
        <w:t>There are constraints</w:t>
      </w:r>
      <w:r w:rsidR="00814AEE" w:rsidRPr="007B5BE6">
        <w:t xml:space="preserve"> on </w:t>
      </w:r>
      <w:r w:rsidR="007D6DEC" w:rsidRPr="007B5BE6">
        <w:t xml:space="preserve">the </w:t>
      </w:r>
      <w:r w:rsidR="00814AEE" w:rsidRPr="007B5BE6">
        <w:t>responses that can be provided</w:t>
      </w:r>
      <w:r w:rsidRPr="007B5BE6">
        <w:t xml:space="preserve"> due to the limited scope of service</w:t>
      </w:r>
      <w:r w:rsidR="007D6DEC" w:rsidRPr="007B5BE6">
        <w:t>s</w:t>
      </w:r>
      <w:r w:rsidRPr="007B5BE6">
        <w:t xml:space="preserve"> available</w:t>
      </w:r>
      <w:r w:rsidR="00D36A4B" w:rsidRPr="007B5BE6">
        <w:t xml:space="preserve"> and challenges with current referral processes</w:t>
      </w:r>
      <w:r w:rsidRPr="007B5BE6">
        <w:t>. For example, Senior Assist can</w:t>
      </w:r>
      <w:r w:rsidR="00814AEE" w:rsidRPr="007B5BE6">
        <w:t xml:space="preserve">not </w:t>
      </w:r>
      <w:r w:rsidRPr="007B5BE6">
        <w:t xml:space="preserve">refer </w:t>
      </w:r>
      <w:r w:rsidR="00814AEE" w:rsidRPr="007B5BE6">
        <w:t xml:space="preserve">matters </w:t>
      </w:r>
      <w:r w:rsidR="00DA70A8" w:rsidRPr="007B5BE6">
        <w:t xml:space="preserve">to </w:t>
      </w:r>
      <w:r w:rsidR="007D6DEC" w:rsidRPr="007B5BE6">
        <w:t>the Tasmanian Civil and Administrative Tribunal (‘</w:t>
      </w:r>
      <w:r w:rsidRPr="007B5BE6">
        <w:t>TASCAT</w:t>
      </w:r>
      <w:r w:rsidR="007D6DEC" w:rsidRPr="007B5BE6">
        <w:t>’)</w:t>
      </w:r>
      <w:r w:rsidRPr="007B5BE6">
        <w:t xml:space="preserve">, </w:t>
      </w:r>
      <w:r w:rsidR="00814AEE" w:rsidRPr="007B5BE6">
        <w:t xml:space="preserve">meaning that if </w:t>
      </w:r>
      <w:r w:rsidR="00DA70A8" w:rsidRPr="007B5BE6">
        <w:t xml:space="preserve">agencies </w:t>
      </w:r>
      <w:r w:rsidR="000E0E6D" w:rsidRPr="007B5BE6">
        <w:t xml:space="preserve">or individuals </w:t>
      </w:r>
      <w:r w:rsidRPr="007B5BE6">
        <w:t xml:space="preserve">contact </w:t>
      </w:r>
      <w:r w:rsidR="00571015" w:rsidRPr="007B5BE6">
        <w:t>Senior Assist</w:t>
      </w:r>
      <w:r w:rsidRPr="007B5BE6">
        <w:t xml:space="preserve"> with concerns</w:t>
      </w:r>
      <w:r w:rsidR="007D6DEC" w:rsidRPr="007B5BE6">
        <w:t>,</w:t>
      </w:r>
      <w:r w:rsidRPr="007B5BE6">
        <w:t xml:space="preserve"> </w:t>
      </w:r>
      <w:r w:rsidR="00DA70A8" w:rsidRPr="007B5BE6">
        <w:t xml:space="preserve">all that can be done is to </w:t>
      </w:r>
      <w:r w:rsidR="005D2484" w:rsidRPr="007B5BE6">
        <w:t xml:space="preserve">provide information and </w:t>
      </w:r>
      <w:r w:rsidR="00DA70A8" w:rsidRPr="007B5BE6">
        <w:t xml:space="preserve">encourage </w:t>
      </w:r>
      <w:r w:rsidR="000E0E6D" w:rsidRPr="007B5BE6">
        <w:t>them to</w:t>
      </w:r>
      <w:r w:rsidR="00C156C9" w:rsidRPr="007B5BE6">
        <w:t xml:space="preserve"> make a</w:t>
      </w:r>
      <w:r w:rsidR="000E0E6D" w:rsidRPr="007B5BE6">
        <w:t xml:space="preserve"> refer</w:t>
      </w:r>
      <w:r w:rsidR="00C156C9" w:rsidRPr="007B5BE6">
        <w:t xml:space="preserve">ral </w:t>
      </w:r>
      <w:r w:rsidR="00DA70A8" w:rsidRPr="007B5BE6">
        <w:t xml:space="preserve">to </w:t>
      </w:r>
      <w:r w:rsidR="005D2484" w:rsidRPr="007B5BE6">
        <w:t>TASCAT</w:t>
      </w:r>
      <w:r w:rsidR="00DB0480" w:rsidRPr="007B5BE6">
        <w:t>, with it being up to the agency or individual to decide whether to do so</w:t>
      </w:r>
      <w:r w:rsidR="00C156C9" w:rsidRPr="007B5BE6">
        <w:t>. However, there was a sense that</w:t>
      </w:r>
      <w:r w:rsidR="00DB0480" w:rsidRPr="007B5BE6">
        <w:t xml:space="preserve"> this</w:t>
      </w:r>
      <w:r w:rsidR="001B22B5" w:rsidRPr="007B5BE6">
        <w:t xml:space="preserve"> was</w:t>
      </w:r>
      <w:r w:rsidR="00DB0480" w:rsidRPr="007B5BE6">
        <w:t xml:space="preserve"> rarely </w:t>
      </w:r>
      <w:r w:rsidR="001B22B5" w:rsidRPr="007B5BE6">
        <w:t>followed up</w:t>
      </w:r>
      <w:r w:rsidR="00DB0480" w:rsidRPr="007B5BE6">
        <w:t>.</w:t>
      </w:r>
      <w:r w:rsidR="00D36A4B" w:rsidRPr="007B5BE6">
        <w:t xml:space="preserve"> </w:t>
      </w:r>
      <w:r w:rsidR="00FA19FA" w:rsidRPr="007B5BE6">
        <w:t xml:space="preserve">The use of referral </w:t>
      </w:r>
      <w:r w:rsidR="007566DF" w:rsidRPr="007B5BE6">
        <w:t xml:space="preserve">pathways by </w:t>
      </w:r>
      <w:r w:rsidR="001E2A65" w:rsidRPr="007B5BE6">
        <w:t xml:space="preserve">key agencies </w:t>
      </w:r>
      <w:r w:rsidR="0081446F" w:rsidRPr="007B5BE6">
        <w:t>who form part of the response to abuse</w:t>
      </w:r>
      <w:r w:rsidR="00BF5375" w:rsidRPr="007B5BE6">
        <w:t xml:space="preserve"> </w:t>
      </w:r>
      <w:r w:rsidR="00FA19FA" w:rsidRPr="007B5BE6">
        <w:t xml:space="preserve">of older people </w:t>
      </w:r>
      <w:r w:rsidR="00BF5375" w:rsidRPr="007B5BE6">
        <w:t>can fluctuate over time</w:t>
      </w:r>
      <w:r w:rsidR="00FA19FA" w:rsidRPr="007B5BE6">
        <w:t>, suggesting that such pathways that are aimed to provide access to services, such as Senior Assist, may not be operating as intended.</w:t>
      </w:r>
      <w:r w:rsidR="00446C75" w:rsidRPr="007B5BE6">
        <w:rPr>
          <w:rStyle w:val="FootnoteReference"/>
        </w:rPr>
        <w:footnoteReference w:id="453"/>
      </w:r>
    </w:p>
    <w:p w14:paraId="76D2A57A" w14:textId="036D0009" w:rsidR="00BA4A64" w:rsidRPr="007B5BE6" w:rsidRDefault="00BA4A64" w:rsidP="00AE2D56">
      <w:pPr>
        <w:pStyle w:val="Sub-HeadingTLRI"/>
        <w:spacing w:before="360"/>
      </w:pPr>
      <w:bookmarkStart w:id="560" w:name="_Toc201307008"/>
      <w:bookmarkStart w:id="561" w:name="_Toc212561784"/>
      <w:r w:rsidRPr="007B5BE6">
        <w:t>Constraints on detection, reporting and investigation to support</w:t>
      </w:r>
      <w:bookmarkEnd w:id="560"/>
      <w:r w:rsidRPr="007B5BE6">
        <w:t xml:space="preserve"> </w:t>
      </w:r>
      <w:r w:rsidR="00387E12" w:rsidRPr="007B5BE6">
        <w:t>legal responses</w:t>
      </w:r>
      <w:bookmarkEnd w:id="561"/>
    </w:p>
    <w:p w14:paraId="0A234045" w14:textId="77593046" w:rsidR="00BA4A64" w:rsidRPr="007B5BE6" w:rsidRDefault="004B06DB" w:rsidP="00BA4A64">
      <w:pPr>
        <w:pStyle w:val="NormalNumberedTextTLRI"/>
      </w:pPr>
      <w:r w:rsidRPr="007B5BE6">
        <w:t>A</w:t>
      </w:r>
      <w:r w:rsidR="00E87215" w:rsidRPr="007B5BE6">
        <w:t xml:space="preserve"> key gap</w:t>
      </w:r>
      <w:r w:rsidR="00E63FA5" w:rsidRPr="007B5BE6">
        <w:t>,</w:t>
      </w:r>
      <w:r w:rsidR="00E87215" w:rsidRPr="007B5BE6">
        <w:t xml:space="preserve"> </w:t>
      </w:r>
      <w:r w:rsidR="00E63FA5" w:rsidRPr="007B5BE6">
        <w:t xml:space="preserve">at the service level, that </w:t>
      </w:r>
      <w:r w:rsidR="00AF581B" w:rsidRPr="007B5BE6">
        <w:t xml:space="preserve">was identified </w:t>
      </w:r>
      <w:r w:rsidR="00E63FA5" w:rsidRPr="007B5BE6">
        <w:t xml:space="preserve">as a barrier to accessing legal responses </w:t>
      </w:r>
      <w:r w:rsidR="004542EE" w:rsidRPr="007B5BE6">
        <w:t xml:space="preserve">was that </w:t>
      </w:r>
      <w:r w:rsidR="00440DC6" w:rsidRPr="007B5BE6">
        <w:t>p</w:t>
      </w:r>
      <w:r w:rsidR="00BA4A64" w:rsidRPr="007B5BE6">
        <w:t>revention, detection and investigation of abuse occur in an informal, localised manner with responses working across a spectrum of services and service providers. Th</w:t>
      </w:r>
      <w:r w:rsidR="007356EE" w:rsidRPr="007B5BE6">
        <w:t xml:space="preserve">is was identified to be </w:t>
      </w:r>
      <w:r w:rsidR="00BA4A64" w:rsidRPr="007B5BE6">
        <w:t>a challenge because interagency relationships often rely on informal partnerships rather than formal structures, frameworks or agreements</w:t>
      </w:r>
      <w:r w:rsidR="00FC4353" w:rsidRPr="007B5BE6">
        <w:t>. As such there can be an</w:t>
      </w:r>
      <w:r w:rsidR="00BA4A64" w:rsidRPr="007B5BE6">
        <w:t xml:space="preserve"> overreliance on the personnel fulfilling key roles</w:t>
      </w:r>
      <w:r w:rsidR="00FC4353" w:rsidRPr="007B5BE6">
        <w:t>,</w:t>
      </w:r>
      <w:r w:rsidR="00BA4A64" w:rsidRPr="007B5BE6">
        <w:t xml:space="preserve"> with informal arrangements lacking consistency and having a risk of dilution over time </w:t>
      </w:r>
      <w:r w:rsidR="00FC4353" w:rsidRPr="007B5BE6">
        <w:t xml:space="preserve">due to </w:t>
      </w:r>
      <w:r w:rsidR="00BA4A64" w:rsidRPr="007B5BE6">
        <w:t>staff turnover.</w:t>
      </w:r>
      <w:r w:rsidR="00807689" w:rsidRPr="007B5BE6">
        <w:rPr>
          <w:rStyle w:val="FootnoteReference"/>
        </w:rPr>
        <w:footnoteReference w:id="454"/>
      </w:r>
      <w:r w:rsidR="00BA4A64" w:rsidRPr="007B5BE6">
        <w:t xml:space="preserve"> </w:t>
      </w:r>
    </w:p>
    <w:p w14:paraId="05654FCB" w14:textId="6703E3FF" w:rsidR="00BA4A64" w:rsidRPr="007B5BE6" w:rsidRDefault="00FC4353" w:rsidP="00BA4A64">
      <w:pPr>
        <w:pStyle w:val="NormalNumberedTextTLRI"/>
      </w:pPr>
      <w:r w:rsidRPr="007B5BE6">
        <w:t>Stakeholders also identified a</w:t>
      </w:r>
      <w:r w:rsidR="00BA4A64" w:rsidRPr="007B5BE6">
        <w:t xml:space="preserve">dditional issues </w:t>
      </w:r>
      <w:r w:rsidR="00AD03D4" w:rsidRPr="007B5BE6">
        <w:t>regarding detection, reporting and investigation</w:t>
      </w:r>
      <w:r w:rsidR="00F43DE6" w:rsidRPr="007B5BE6">
        <w:t>:</w:t>
      </w:r>
    </w:p>
    <w:p w14:paraId="1AB2BF1E" w14:textId="1B4EA00E" w:rsidR="00BA4A64" w:rsidRPr="007B5BE6" w:rsidRDefault="00A05F78" w:rsidP="00BA4A64">
      <w:pPr>
        <w:pStyle w:val="DotPointTLRI"/>
      </w:pPr>
      <w:r w:rsidRPr="007B5BE6">
        <w:t xml:space="preserve">Some of the </w:t>
      </w:r>
      <w:r w:rsidR="00BA4A64" w:rsidRPr="007B5BE6">
        <w:t xml:space="preserve">conduct </w:t>
      </w:r>
      <w:r w:rsidR="00617867" w:rsidRPr="007B5BE6">
        <w:t>that can comprise</w:t>
      </w:r>
      <w:r w:rsidRPr="007B5BE6">
        <w:t xml:space="preserve"> abuse of </w:t>
      </w:r>
      <w:r w:rsidR="00617867" w:rsidRPr="007B5BE6">
        <w:t xml:space="preserve">an </w:t>
      </w:r>
      <w:r w:rsidRPr="007B5BE6">
        <w:t>older pe</w:t>
      </w:r>
      <w:r w:rsidR="00617867" w:rsidRPr="007B5BE6">
        <w:t>rson</w:t>
      </w:r>
      <w:r w:rsidRPr="007B5BE6">
        <w:t xml:space="preserve"> is not captured </w:t>
      </w:r>
      <w:r w:rsidR="00AF5B8F" w:rsidRPr="007B5BE6">
        <w:t xml:space="preserve">within the </w:t>
      </w:r>
      <w:r w:rsidRPr="007B5BE6">
        <w:t xml:space="preserve">current law, so </w:t>
      </w:r>
      <w:r w:rsidR="00BA4A64" w:rsidRPr="007B5BE6">
        <w:t xml:space="preserve">there is no law enforcement agency to </w:t>
      </w:r>
      <w:r w:rsidRPr="007B5BE6">
        <w:t>investigate</w:t>
      </w:r>
      <w:r w:rsidR="00BC07FF" w:rsidRPr="007B5BE6">
        <w:t xml:space="preserve"> when allegations are made</w:t>
      </w:r>
      <w:r w:rsidRPr="007B5BE6">
        <w:t>,</w:t>
      </w:r>
      <w:r w:rsidR="00BA4A64" w:rsidRPr="007B5BE6">
        <w:t xml:space="preserve"> </w:t>
      </w:r>
      <w:r w:rsidRPr="007B5BE6">
        <w:t>n</w:t>
      </w:r>
      <w:r w:rsidR="00BA4A64" w:rsidRPr="007B5BE6">
        <w:t xml:space="preserve">or </w:t>
      </w:r>
      <w:r w:rsidR="00AF5B8F" w:rsidRPr="007B5BE6">
        <w:t xml:space="preserve">is </w:t>
      </w:r>
      <w:r w:rsidR="00BA4A64" w:rsidRPr="007B5BE6">
        <w:t>it within an</w:t>
      </w:r>
      <w:r w:rsidRPr="007B5BE6">
        <w:t>y</w:t>
      </w:r>
      <w:r w:rsidR="00BA4A64" w:rsidRPr="007B5BE6">
        <w:t xml:space="preserve"> agency’s remit and expertise </w:t>
      </w:r>
      <w:r w:rsidRPr="007B5BE6">
        <w:t xml:space="preserve">to </w:t>
      </w:r>
      <w:r w:rsidR="00BA4A64" w:rsidRPr="007B5BE6">
        <w:t>prosecut</w:t>
      </w:r>
      <w:r w:rsidRPr="007B5BE6">
        <w:t>e such matters</w:t>
      </w:r>
      <w:r w:rsidR="00BA4A64" w:rsidRPr="007B5BE6">
        <w:t xml:space="preserve">. </w:t>
      </w:r>
    </w:p>
    <w:p w14:paraId="565AA75B" w14:textId="2E0FEE1B" w:rsidR="00BA4A64" w:rsidRPr="007B5BE6" w:rsidRDefault="00A05F78" w:rsidP="00BA4A64">
      <w:pPr>
        <w:pStyle w:val="DotPointTLRI"/>
      </w:pPr>
      <w:r w:rsidRPr="007B5BE6">
        <w:t xml:space="preserve">The current responses </w:t>
      </w:r>
      <w:r w:rsidR="00C91EF9" w:rsidRPr="007B5BE6">
        <w:t xml:space="preserve">to abuse of an older person </w:t>
      </w:r>
      <w:r w:rsidRPr="007B5BE6">
        <w:t xml:space="preserve">are </w:t>
      </w:r>
      <w:r w:rsidR="00BA4A64" w:rsidRPr="007B5BE6">
        <w:t>consent</w:t>
      </w:r>
      <w:r w:rsidR="003B4C72" w:rsidRPr="007B5BE6">
        <w:t>-</w:t>
      </w:r>
      <w:r w:rsidR="00BA4A64" w:rsidRPr="007B5BE6">
        <w:t xml:space="preserve">based, </w:t>
      </w:r>
      <w:r w:rsidR="00C91EF9" w:rsidRPr="007B5BE6">
        <w:t>meaning large</w:t>
      </w:r>
      <w:r w:rsidR="00BA4A64" w:rsidRPr="007B5BE6">
        <w:t xml:space="preserve"> amount of work is required to establish trust</w:t>
      </w:r>
      <w:r w:rsidR="00984346" w:rsidRPr="007B5BE6">
        <w:t xml:space="preserve"> </w:t>
      </w:r>
      <w:proofErr w:type="gramStart"/>
      <w:r w:rsidR="00984346" w:rsidRPr="007B5BE6">
        <w:t>in order</w:t>
      </w:r>
      <w:r w:rsidR="001E2308" w:rsidRPr="007B5BE6">
        <w:t xml:space="preserve"> to</w:t>
      </w:r>
      <w:proofErr w:type="gramEnd"/>
      <w:r w:rsidR="001E2308" w:rsidRPr="007B5BE6">
        <w:t xml:space="preserve"> support an older person to pursue legal avenues for assistance</w:t>
      </w:r>
      <w:r w:rsidR="00BA4A64" w:rsidRPr="007B5BE6">
        <w:t>.</w:t>
      </w:r>
      <w:r w:rsidR="004A6986" w:rsidRPr="007B5BE6">
        <w:t xml:space="preserve"> For example,</w:t>
      </w:r>
      <w:r w:rsidR="00E85938" w:rsidRPr="007B5BE6">
        <w:t xml:space="preserve"> most</w:t>
      </w:r>
      <w:r w:rsidR="004A6986" w:rsidRPr="007B5BE6">
        <w:t xml:space="preserve"> services </w:t>
      </w:r>
      <w:r w:rsidR="006F0C9A" w:rsidRPr="007B5BE6">
        <w:t xml:space="preserve">currently </w:t>
      </w:r>
      <w:r w:rsidR="004A6986" w:rsidRPr="007B5BE6">
        <w:t>can only give information or advice and then it is up to</w:t>
      </w:r>
      <w:r w:rsidR="006F0C9A" w:rsidRPr="007B5BE6">
        <w:t xml:space="preserve"> an</w:t>
      </w:r>
      <w:r w:rsidR="004A6986" w:rsidRPr="007B5BE6">
        <w:t xml:space="preserve"> individual to act, for example</w:t>
      </w:r>
      <w:r w:rsidR="006F0C9A" w:rsidRPr="007B5BE6">
        <w:t>,</w:t>
      </w:r>
      <w:r w:rsidR="004A6986" w:rsidRPr="007B5BE6">
        <w:t xml:space="preserve"> by calling the police.</w:t>
      </w:r>
      <w:r w:rsidR="004A6986" w:rsidRPr="007B5BE6">
        <w:rPr>
          <w:rStyle w:val="FootnoteReference"/>
        </w:rPr>
        <w:t xml:space="preserve"> </w:t>
      </w:r>
    </w:p>
    <w:p w14:paraId="6ED33682" w14:textId="46DB0DBA" w:rsidR="00BA4A64" w:rsidRPr="007B5BE6" w:rsidRDefault="00BA4A64" w:rsidP="00BA4A64">
      <w:pPr>
        <w:pStyle w:val="DotPointTLRI"/>
      </w:pPr>
      <w:r w:rsidRPr="007B5BE6">
        <w:t xml:space="preserve">There is no body to investigate abuses of </w:t>
      </w:r>
      <w:r w:rsidR="00984346" w:rsidRPr="007B5BE6">
        <w:t>powers of attorney</w:t>
      </w:r>
      <w:r w:rsidRPr="007B5BE6">
        <w:t>. This is beyond the remit of police</w:t>
      </w:r>
      <w:r w:rsidR="00355108" w:rsidRPr="007B5BE6">
        <w:t>; therefore</w:t>
      </w:r>
      <w:r w:rsidR="001A728C" w:rsidRPr="007B5BE6">
        <w:t>,</w:t>
      </w:r>
      <w:r w:rsidR="00355108" w:rsidRPr="007B5BE6">
        <w:t xml:space="preserve"> </w:t>
      </w:r>
      <w:r w:rsidRPr="007B5BE6">
        <w:t xml:space="preserve">an independent investigation unit </w:t>
      </w:r>
      <w:r w:rsidR="00984346" w:rsidRPr="007B5BE6">
        <w:t xml:space="preserve">is </w:t>
      </w:r>
      <w:r w:rsidRPr="007B5BE6">
        <w:t xml:space="preserve">needed. </w:t>
      </w:r>
    </w:p>
    <w:p w14:paraId="37DEFB02" w14:textId="10060147" w:rsidR="00BA4A64" w:rsidRPr="007B5BE6" w:rsidRDefault="00BA4A64" w:rsidP="00BA4A64">
      <w:pPr>
        <w:pStyle w:val="DotPointTLRI"/>
      </w:pPr>
      <w:r w:rsidRPr="007B5BE6">
        <w:t xml:space="preserve">There are limited </w:t>
      </w:r>
      <w:r w:rsidR="001D54FC" w:rsidRPr="007B5BE6">
        <w:t xml:space="preserve">options for </w:t>
      </w:r>
      <w:r w:rsidRPr="007B5BE6">
        <w:t>reporting</w:t>
      </w:r>
      <w:r w:rsidR="00D0395B" w:rsidRPr="007B5BE6">
        <w:t xml:space="preserve"> </w:t>
      </w:r>
      <w:r w:rsidRPr="007B5BE6">
        <w:t>to TASCAT</w:t>
      </w:r>
      <w:r w:rsidR="00165385" w:rsidRPr="007B5BE6">
        <w:t xml:space="preserve"> </w:t>
      </w:r>
      <w:r w:rsidR="002349C8" w:rsidRPr="007B5BE6">
        <w:t>due to</w:t>
      </w:r>
      <w:r w:rsidR="00165385" w:rsidRPr="007B5BE6">
        <w:t xml:space="preserve"> its </w:t>
      </w:r>
      <w:r w:rsidR="002349C8" w:rsidRPr="007B5BE6">
        <w:t xml:space="preserve">legislative </w:t>
      </w:r>
      <w:r w:rsidR="00165385" w:rsidRPr="007B5BE6">
        <w:t>remit</w:t>
      </w:r>
      <w:r w:rsidRPr="007B5BE6">
        <w:t>.</w:t>
      </w:r>
    </w:p>
    <w:p w14:paraId="252EAA81" w14:textId="1E5A4C9A" w:rsidR="00BA4A64" w:rsidRPr="007B5BE6" w:rsidRDefault="00BA4A64" w:rsidP="00BA4A64">
      <w:pPr>
        <w:pStyle w:val="DotPointTLRI"/>
      </w:pPr>
      <w:r w:rsidRPr="007B5BE6">
        <w:t xml:space="preserve">There is a lack of monitoring in relation to </w:t>
      </w:r>
      <w:r w:rsidR="006F0C9A" w:rsidRPr="007B5BE6">
        <w:t>the capacity of people who are carers for older people</w:t>
      </w:r>
      <w:r w:rsidRPr="007B5BE6">
        <w:t xml:space="preserve">. </w:t>
      </w:r>
    </w:p>
    <w:p w14:paraId="0A4FE252" w14:textId="6D1E35C3" w:rsidR="00BA4A64" w:rsidRPr="007B5BE6" w:rsidRDefault="00BA4A64" w:rsidP="00BA4A64">
      <w:pPr>
        <w:pStyle w:val="DotPointTLRI"/>
      </w:pPr>
      <w:r w:rsidRPr="007B5BE6">
        <w:t>A police response brings a particular framing to the response, and it is very hard</w:t>
      </w:r>
      <w:r w:rsidR="00E47A16" w:rsidRPr="007B5BE6">
        <w:t xml:space="preserve"> for an older person</w:t>
      </w:r>
      <w:r w:rsidRPr="007B5BE6">
        <w:t xml:space="preserve"> to </w:t>
      </w:r>
      <w:r w:rsidR="00E47A16" w:rsidRPr="007B5BE6">
        <w:t>‘</w:t>
      </w:r>
      <w:r w:rsidRPr="007B5BE6">
        <w:t>report your own family member</w:t>
      </w:r>
      <w:r w:rsidR="00E47A16" w:rsidRPr="007B5BE6">
        <w:t>’</w:t>
      </w:r>
      <w:r w:rsidRPr="007B5BE6">
        <w:t xml:space="preserve">.  </w:t>
      </w:r>
    </w:p>
    <w:p w14:paraId="35AA2248" w14:textId="2632FCB0" w:rsidR="00BA4A64" w:rsidRPr="007B5BE6" w:rsidRDefault="00BA4A64" w:rsidP="00BA4A64">
      <w:pPr>
        <w:pStyle w:val="DotPointTLRI"/>
      </w:pPr>
      <w:r w:rsidRPr="007B5BE6">
        <w:t xml:space="preserve">The burden </w:t>
      </w:r>
      <w:r w:rsidR="002349C8" w:rsidRPr="007B5BE6">
        <w:t xml:space="preserve">to pursue a legal response </w:t>
      </w:r>
      <w:r w:rsidRPr="007B5BE6">
        <w:t xml:space="preserve">is placed on the person who has reported. </w:t>
      </w:r>
    </w:p>
    <w:p w14:paraId="5AF1EA5D" w14:textId="18D26906" w:rsidR="00BA4A64" w:rsidRPr="007B5BE6" w:rsidRDefault="00BA4A64" w:rsidP="00BA4A64">
      <w:pPr>
        <w:pStyle w:val="DotPointTLRI"/>
      </w:pPr>
      <w:r w:rsidRPr="007B5BE6">
        <w:t xml:space="preserve">A person’s cognitive state and </w:t>
      </w:r>
      <w:r w:rsidR="00CB5426" w:rsidRPr="007B5BE6">
        <w:t xml:space="preserve">their care needs (including </w:t>
      </w:r>
      <w:r w:rsidRPr="007B5BE6">
        <w:t>who they rel</w:t>
      </w:r>
      <w:r w:rsidR="00CB5426" w:rsidRPr="007B5BE6">
        <w:t>y</w:t>
      </w:r>
      <w:r w:rsidRPr="007B5BE6">
        <w:t xml:space="preserve"> on for care</w:t>
      </w:r>
      <w:r w:rsidR="00CB5426" w:rsidRPr="007B5BE6">
        <w:t>)</w:t>
      </w:r>
      <w:r w:rsidRPr="007B5BE6">
        <w:t xml:space="preserve"> will affect</w:t>
      </w:r>
      <w:r w:rsidR="001D54FC" w:rsidRPr="007B5BE6">
        <w:t xml:space="preserve"> the likelihood of</w:t>
      </w:r>
      <w:r w:rsidRPr="007B5BE6">
        <w:t xml:space="preserve"> reporting. </w:t>
      </w:r>
    </w:p>
    <w:p w14:paraId="0DB8D332" w14:textId="3BA2F93D" w:rsidR="00BA4A64" w:rsidRPr="007B5BE6" w:rsidRDefault="004A6986" w:rsidP="00BA4A64">
      <w:pPr>
        <w:pStyle w:val="DotPointTLRI"/>
      </w:pPr>
      <w:r w:rsidRPr="007B5BE6">
        <w:t xml:space="preserve">People </w:t>
      </w:r>
      <w:r w:rsidR="00BA4A64" w:rsidRPr="007B5BE6">
        <w:t xml:space="preserve">with cognitive impairment </w:t>
      </w:r>
      <w:r w:rsidRPr="007B5BE6">
        <w:t xml:space="preserve">have support needs in reporting matters and </w:t>
      </w:r>
      <w:r w:rsidR="00821A21" w:rsidRPr="007B5BE6">
        <w:t xml:space="preserve">going through the </w:t>
      </w:r>
      <w:r w:rsidR="00BA4A64" w:rsidRPr="007B5BE6">
        <w:t>criminal justice system</w:t>
      </w:r>
      <w:r w:rsidR="00821A21" w:rsidRPr="007B5BE6">
        <w:t>.</w:t>
      </w:r>
      <w:r w:rsidR="00BA4A64" w:rsidRPr="007B5BE6">
        <w:t xml:space="preserve"> </w:t>
      </w:r>
    </w:p>
    <w:p w14:paraId="068ADDBD" w14:textId="49DBA36D" w:rsidR="00BA4A64" w:rsidRPr="007B5BE6" w:rsidRDefault="00BA4A64" w:rsidP="00BA4A64">
      <w:pPr>
        <w:pStyle w:val="DotPointTLRI"/>
      </w:pPr>
      <w:r w:rsidRPr="007B5BE6">
        <w:lastRenderedPageBreak/>
        <w:t>There are limits on who can</w:t>
      </w:r>
      <w:r w:rsidR="00D82C76" w:rsidRPr="007B5BE6">
        <w:t xml:space="preserve"> </w:t>
      </w:r>
      <w:r w:rsidRPr="007B5BE6">
        <w:t>refer a person to the witness intermediary program, with a referral only able to be made by police</w:t>
      </w:r>
      <w:r w:rsidR="001D54FC" w:rsidRPr="007B5BE6">
        <w:t>. T</w:t>
      </w:r>
      <w:r w:rsidRPr="007B5BE6">
        <w:t xml:space="preserve">his means </w:t>
      </w:r>
      <w:r w:rsidR="001D54FC" w:rsidRPr="007B5BE6">
        <w:t xml:space="preserve">that </w:t>
      </w:r>
      <w:r w:rsidRPr="007B5BE6">
        <w:t>the only referral pathway for this program is through a criminal matter that is being pursued by police.</w:t>
      </w:r>
      <w:r w:rsidR="00E16952" w:rsidRPr="007B5BE6">
        <w:rPr>
          <w:rStyle w:val="FootnoteReference"/>
        </w:rPr>
        <w:footnoteReference w:id="455"/>
      </w:r>
    </w:p>
    <w:p w14:paraId="0F94E498" w14:textId="32CC909E" w:rsidR="00BA4A64" w:rsidRPr="007B5BE6" w:rsidRDefault="00F03076" w:rsidP="00AE2D56">
      <w:pPr>
        <w:pStyle w:val="Sub-HeadingTLRI"/>
        <w:spacing w:before="360"/>
      </w:pPr>
      <w:bookmarkStart w:id="562" w:name="_Toc201307010"/>
      <w:bookmarkStart w:id="563" w:name="_Toc212561785"/>
      <w:r w:rsidRPr="007B5BE6">
        <w:t>Knowledge gaps</w:t>
      </w:r>
      <w:r w:rsidR="00EE0E5E" w:rsidRPr="007B5BE6">
        <w:t>,</w:t>
      </w:r>
      <w:r w:rsidRPr="007B5BE6">
        <w:t xml:space="preserve"> and </w:t>
      </w:r>
      <w:r w:rsidR="0024381E" w:rsidRPr="007B5BE6">
        <w:t>‘</w:t>
      </w:r>
      <w:r w:rsidRPr="007B5BE6">
        <w:t>d</w:t>
      </w:r>
      <w:r w:rsidR="00BA4A64" w:rsidRPr="007B5BE6">
        <w:t>isconnect</w:t>
      </w:r>
      <w:r w:rsidR="0024381E" w:rsidRPr="007B5BE6">
        <w:t>’</w:t>
      </w:r>
      <w:r w:rsidR="00BA4A64" w:rsidRPr="007B5BE6">
        <w:t xml:space="preserve"> between service sectors for older people and the specialist service response</w:t>
      </w:r>
      <w:bookmarkEnd w:id="562"/>
      <w:bookmarkEnd w:id="563"/>
    </w:p>
    <w:p w14:paraId="5E125DAE" w14:textId="6FAC8684" w:rsidR="00BA4A64" w:rsidRPr="007B5BE6" w:rsidRDefault="00FB74B9" w:rsidP="00BA4A64">
      <w:pPr>
        <w:pStyle w:val="NormalNumberedTextTLRI"/>
      </w:pPr>
      <w:r w:rsidRPr="007B5BE6">
        <w:t xml:space="preserve">Related to </w:t>
      </w:r>
      <w:r w:rsidR="000A5AA6" w:rsidRPr="007B5BE6">
        <w:t xml:space="preserve">concerns about </w:t>
      </w:r>
      <w:r w:rsidR="00DC62DB" w:rsidRPr="007B5BE6">
        <w:t xml:space="preserve">limited </w:t>
      </w:r>
      <w:r w:rsidR="00D72225" w:rsidRPr="007B5BE6">
        <w:t xml:space="preserve">response </w:t>
      </w:r>
      <w:r w:rsidR="00DC62DB" w:rsidRPr="007B5BE6">
        <w:t xml:space="preserve">options </w:t>
      </w:r>
      <w:r w:rsidR="00D72225" w:rsidRPr="007B5BE6">
        <w:t xml:space="preserve">in </w:t>
      </w:r>
      <w:r w:rsidR="000A5AA6" w:rsidRPr="007B5BE6">
        <w:t>s</w:t>
      </w:r>
      <w:r w:rsidRPr="007B5BE6">
        <w:t>ervice</w:t>
      </w:r>
      <w:r w:rsidR="005E1E35" w:rsidRPr="007B5BE6">
        <w:t>s</w:t>
      </w:r>
      <w:r w:rsidR="00DC62DB" w:rsidRPr="007B5BE6">
        <w:t xml:space="preserve"> </w:t>
      </w:r>
      <w:r w:rsidR="00840355" w:rsidRPr="007B5BE6">
        <w:t>that provide support to older peop</w:t>
      </w:r>
      <w:r w:rsidR="000A5AA6" w:rsidRPr="007B5BE6">
        <w:t>le when there are concerns about abus</w:t>
      </w:r>
      <w:r w:rsidR="00EF6F45" w:rsidRPr="007B5BE6">
        <w:t>e</w:t>
      </w:r>
      <w:r w:rsidR="000A5AA6" w:rsidRPr="007B5BE6">
        <w:t xml:space="preserve">, </w:t>
      </w:r>
      <w:r w:rsidR="00EF6F45" w:rsidRPr="007B5BE6">
        <w:t xml:space="preserve">stakeholders also identified </w:t>
      </w:r>
      <w:r w:rsidR="000A5AA6" w:rsidRPr="007B5BE6">
        <w:t>g</w:t>
      </w:r>
      <w:r w:rsidR="00BA4A64" w:rsidRPr="007B5BE6">
        <w:t xml:space="preserve">aps in service systems that do not currently form part of the specialist service response to the abuse of older </w:t>
      </w:r>
      <w:proofErr w:type="gramStart"/>
      <w:r w:rsidR="00BA4A64" w:rsidRPr="007B5BE6">
        <w:t>people, but</w:t>
      </w:r>
      <w:proofErr w:type="gramEnd"/>
      <w:r w:rsidR="00BA4A64" w:rsidRPr="007B5BE6">
        <w:t xml:space="preserve"> are service ‘touch points’ for older people in the community. These include</w:t>
      </w:r>
      <w:r w:rsidR="00EE489C" w:rsidRPr="007B5BE6">
        <w:t>d</w:t>
      </w:r>
      <w:r w:rsidR="00BA4A64" w:rsidRPr="007B5BE6">
        <w:t>:</w:t>
      </w:r>
    </w:p>
    <w:p w14:paraId="01A0BA7A" w14:textId="48B15723" w:rsidR="00BA4A64" w:rsidRPr="007B5BE6" w:rsidRDefault="00BA4A64" w:rsidP="00BA4A64">
      <w:pPr>
        <w:pStyle w:val="DotPointTLRI"/>
      </w:pPr>
      <w:r w:rsidRPr="007B5BE6">
        <w:t xml:space="preserve">health services, including hospitals, </w:t>
      </w:r>
      <w:r w:rsidR="00A024A6" w:rsidRPr="007B5BE6">
        <w:t>GPs</w:t>
      </w:r>
      <w:r w:rsidR="00063B7A" w:rsidRPr="007B5BE6">
        <w:t xml:space="preserve"> and </w:t>
      </w:r>
      <w:r w:rsidRPr="007B5BE6">
        <w:t>geriatric practitioners;</w:t>
      </w:r>
    </w:p>
    <w:p w14:paraId="0E1E7AC5" w14:textId="77777777" w:rsidR="00BA4A64" w:rsidRPr="007B5BE6" w:rsidRDefault="00BA4A64" w:rsidP="00BA4A64">
      <w:pPr>
        <w:pStyle w:val="DotPointTLRI"/>
      </w:pPr>
      <w:r w:rsidRPr="007B5BE6">
        <w:t xml:space="preserve">banking, financial and property services; </w:t>
      </w:r>
    </w:p>
    <w:p w14:paraId="42587DA2" w14:textId="6C09C404" w:rsidR="00BA4A64" w:rsidRPr="007B5BE6" w:rsidRDefault="00BA4A64" w:rsidP="00BA4A64">
      <w:pPr>
        <w:pStyle w:val="DotPointTLRI"/>
      </w:pPr>
      <w:r w:rsidRPr="007B5BE6">
        <w:t xml:space="preserve">social services, including support systems for carers; </w:t>
      </w:r>
      <w:r w:rsidR="004C410F" w:rsidRPr="007B5BE6">
        <w:t xml:space="preserve">and </w:t>
      </w:r>
    </w:p>
    <w:p w14:paraId="57D87951" w14:textId="77777777" w:rsidR="00BA4A64" w:rsidRPr="007B5BE6" w:rsidRDefault="00BA4A64" w:rsidP="00BA4A64">
      <w:pPr>
        <w:pStyle w:val="DotPointTLRI"/>
      </w:pPr>
      <w:r w:rsidRPr="007B5BE6">
        <w:t>aged care services.</w:t>
      </w:r>
    </w:p>
    <w:p w14:paraId="26B30945" w14:textId="325EFA93" w:rsidR="00BA4A64" w:rsidRPr="007B5BE6" w:rsidRDefault="00BA4A64" w:rsidP="00BA4A64">
      <w:pPr>
        <w:pStyle w:val="NormalNumberedTextTLRI"/>
      </w:pPr>
      <w:r w:rsidRPr="007B5BE6">
        <w:t xml:space="preserve">The central gap </w:t>
      </w:r>
      <w:r w:rsidR="009C4C44" w:rsidRPr="007B5BE6">
        <w:t xml:space="preserve">identified, regarding this issue, </w:t>
      </w:r>
      <w:r w:rsidRPr="007B5BE6">
        <w:t xml:space="preserve">was a lack of knowledge </w:t>
      </w:r>
      <w:r w:rsidR="00BA443B" w:rsidRPr="007B5BE6">
        <w:t xml:space="preserve">within </w:t>
      </w:r>
      <w:r w:rsidR="00146090" w:rsidRPr="007B5BE6">
        <w:t xml:space="preserve">these service systems </w:t>
      </w:r>
      <w:r w:rsidRPr="007B5BE6">
        <w:t>of</w:t>
      </w:r>
      <w:r w:rsidR="00C6557D" w:rsidRPr="007B5BE6">
        <w:t xml:space="preserve"> the </w:t>
      </w:r>
      <w:r w:rsidRPr="007B5BE6">
        <w:t xml:space="preserve">options </w:t>
      </w:r>
      <w:r w:rsidR="00146090" w:rsidRPr="007B5BE6">
        <w:t xml:space="preserve">(albeit limited, in the ways described at </w:t>
      </w:r>
      <w:r w:rsidR="00C711BA" w:rsidRPr="007B5BE6">
        <w:t>[4.3.1</w:t>
      </w:r>
      <w:r w:rsidR="00BD7434" w:rsidRPr="007B5BE6">
        <w:t>5]–[</w:t>
      </w:r>
      <w:r w:rsidR="002677B1" w:rsidRPr="007B5BE6">
        <w:t>4.3.20])</w:t>
      </w:r>
      <w:r w:rsidR="00146090" w:rsidRPr="007B5BE6">
        <w:t xml:space="preserve"> </w:t>
      </w:r>
      <w:r w:rsidR="00C6557D" w:rsidRPr="007B5BE6">
        <w:t xml:space="preserve">that </w:t>
      </w:r>
      <w:r w:rsidRPr="007B5BE6">
        <w:t xml:space="preserve">are currently available for reporting the abuse of older people, and associated lack of procedures and pathways to support reporting. </w:t>
      </w:r>
      <w:r w:rsidR="00DC62DB" w:rsidRPr="007B5BE6">
        <w:t>For example, o</w:t>
      </w:r>
      <w:r w:rsidRPr="007B5BE6">
        <w:t xml:space="preserve">ne stakeholder expressed this concern regarding </w:t>
      </w:r>
      <w:r w:rsidR="001F4523" w:rsidRPr="007B5BE6">
        <w:t>GPs</w:t>
      </w:r>
      <w:r w:rsidRPr="007B5BE6">
        <w:t>:</w:t>
      </w:r>
    </w:p>
    <w:p w14:paraId="3D7764AC" w14:textId="11117EBB" w:rsidR="00BA4A64" w:rsidRPr="007B5BE6" w:rsidRDefault="00BA4A64" w:rsidP="001112C7">
      <w:pPr>
        <w:pStyle w:val="Indentedquote"/>
        <w:rPr>
          <w:sz w:val="20"/>
          <w:szCs w:val="20"/>
        </w:rPr>
      </w:pPr>
      <w:r w:rsidRPr="007B5BE6">
        <w:rPr>
          <w:sz w:val="20"/>
          <w:szCs w:val="20"/>
        </w:rPr>
        <w:t>But I'm sure there are older people who get seen by GPs and in hospitals where they see either obvious neglect where … they have sores that they absolutely shouldn't have … think ‘maybe is abuse’ … but I don't know whether is that recorded anywhere and</w:t>
      </w:r>
      <w:r w:rsidR="00B353D9" w:rsidRPr="007B5BE6">
        <w:rPr>
          <w:sz w:val="20"/>
          <w:szCs w:val="20"/>
        </w:rPr>
        <w:t>,</w:t>
      </w:r>
      <w:r w:rsidRPr="007B5BE6">
        <w:rPr>
          <w:sz w:val="20"/>
          <w:szCs w:val="20"/>
        </w:rPr>
        <w:t xml:space="preserve"> if it is</w:t>
      </w:r>
      <w:r w:rsidR="00B353D9" w:rsidRPr="007B5BE6">
        <w:rPr>
          <w:sz w:val="20"/>
          <w:szCs w:val="20"/>
        </w:rPr>
        <w:t>,</w:t>
      </w:r>
      <w:r w:rsidRPr="007B5BE6">
        <w:rPr>
          <w:sz w:val="20"/>
          <w:szCs w:val="20"/>
        </w:rPr>
        <w:t xml:space="preserve"> then do they do anything, what do they do about it actually … and is it just up to each individual</w:t>
      </w:r>
      <w:r w:rsidR="00B353D9" w:rsidRPr="007B5BE6">
        <w:rPr>
          <w:sz w:val="20"/>
          <w:szCs w:val="20"/>
        </w:rPr>
        <w:t>?</w:t>
      </w:r>
      <w:r w:rsidRPr="007B5BE6">
        <w:rPr>
          <w:sz w:val="20"/>
          <w:szCs w:val="20"/>
        </w:rPr>
        <w:t xml:space="preserve"> </w:t>
      </w:r>
      <w:r w:rsidR="00B353D9" w:rsidRPr="007B5BE6">
        <w:rPr>
          <w:sz w:val="20"/>
          <w:szCs w:val="20"/>
        </w:rPr>
        <w:t>B</w:t>
      </w:r>
      <w:r w:rsidRPr="007B5BE6">
        <w:rPr>
          <w:sz w:val="20"/>
          <w:szCs w:val="20"/>
        </w:rPr>
        <w:t>ut that's feels like a gap to me … .</w:t>
      </w:r>
      <w:r w:rsidR="00807689" w:rsidRPr="007B5BE6">
        <w:rPr>
          <w:rStyle w:val="FootnoteReference"/>
          <w:sz w:val="20"/>
          <w:szCs w:val="20"/>
        </w:rPr>
        <w:footnoteReference w:id="456"/>
      </w:r>
    </w:p>
    <w:p w14:paraId="285DF4B3" w14:textId="77777777" w:rsidR="00BA4A64" w:rsidRPr="007B5BE6" w:rsidRDefault="00BA4A64" w:rsidP="00BA4A64">
      <w:pPr>
        <w:pStyle w:val="NormalNumberedTextTLRI"/>
      </w:pPr>
      <w:r w:rsidRPr="007B5BE6">
        <w:t>Other gaps identified were:</w:t>
      </w:r>
    </w:p>
    <w:p w14:paraId="3781452E" w14:textId="68149703" w:rsidR="00BA4A64" w:rsidRPr="007B5BE6" w:rsidRDefault="00BA4A64" w:rsidP="00BA4A64">
      <w:pPr>
        <w:pStyle w:val="DotPointTLRI"/>
      </w:pPr>
      <w:r w:rsidRPr="007B5BE6">
        <w:t xml:space="preserve">gaps in the knowledge and understanding of the nature and dynamics of abuse, for example among aged care workers and </w:t>
      </w:r>
      <w:r w:rsidR="005221D6" w:rsidRPr="007B5BE6">
        <w:t>GPs</w:t>
      </w:r>
      <w:r w:rsidRPr="007B5BE6">
        <w:t>;</w:t>
      </w:r>
    </w:p>
    <w:p w14:paraId="7547BA7E" w14:textId="24AD4FBE" w:rsidR="00BA4A64" w:rsidRPr="007B5BE6" w:rsidRDefault="001F6CA4" w:rsidP="00BA4A64">
      <w:pPr>
        <w:pStyle w:val="DotPointTLRI"/>
      </w:pPr>
      <w:r w:rsidRPr="007B5BE6">
        <w:t xml:space="preserve">the </w:t>
      </w:r>
      <w:r w:rsidR="00BA4A64" w:rsidRPr="007B5BE6">
        <w:t xml:space="preserve">absence of safeguarding mechanisms at key stages where abuse might be </w:t>
      </w:r>
      <w:r w:rsidRPr="007B5BE6">
        <w:t xml:space="preserve">occurring </w:t>
      </w:r>
      <w:r w:rsidR="009707A6" w:rsidRPr="007B5BE6">
        <w:t xml:space="preserve">or </w:t>
      </w:r>
      <w:r w:rsidR="00BA4A64" w:rsidRPr="007B5BE6">
        <w:t>evident, such as regist</w:t>
      </w:r>
      <w:r w:rsidR="009707A6" w:rsidRPr="007B5BE6">
        <w:t>e</w:t>
      </w:r>
      <w:r w:rsidR="00BA4A64" w:rsidRPr="007B5BE6">
        <w:t>r</w:t>
      </w:r>
      <w:r w:rsidR="009707A6" w:rsidRPr="007B5BE6">
        <w:t>ing</w:t>
      </w:r>
      <w:r w:rsidR="00BA4A64" w:rsidRPr="007B5BE6">
        <w:t xml:space="preserve"> </w:t>
      </w:r>
      <w:r w:rsidR="00422DC5" w:rsidRPr="007B5BE6">
        <w:t xml:space="preserve">funds </w:t>
      </w:r>
      <w:r w:rsidR="00BA4A64" w:rsidRPr="007B5BE6">
        <w:t>transfer</w:t>
      </w:r>
      <w:r w:rsidR="00422DC5" w:rsidRPr="007B5BE6">
        <w:t>s</w:t>
      </w:r>
      <w:r w:rsidR="00BA4A64" w:rsidRPr="007B5BE6">
        <w:t>, property transactions</w:t>
      </w:r>
      <w:r w:rsidR="009707A6" w:rsidRPr="007B5BE6">
        <w:t>,</w:t>
      </w:r>
      <w:r w:rsidR="00BA4A64" w:rsidRPr="007B5BE6">
        <w:t xml:space="preserve"> or regist</w:t>
      </w:r>
      <w:r w:rsidR="009707A6" w:rsidRPr="007B5BE6">
        <w:t>ering</w:t>
      </w:r>
      <w:r w:rsidR="00BA4A64" w:rsidRPr="007B5BE6">
        <w:t xml:space="preserve"> powers of attorney or guardianship documents;</w:t>
      </w:r>
    </w:p>
    <w:p w14:paraId="5BCA6A3C" w14:textId="4B559CE0" w:rsidR="00BA4A64" w:rsidRPr="007B5BE6" w:rsidRDefault="00BA4A64" w:rsidP="00BA4A64">
      <w:pPr>
        <w:pStyle w:val="DotPointTLRI"/>
      </w:pPr>
      <w:r w:rsidRPr="007B5BE6">
        <w:t xml:space="preserve">lack of training in key areas </w:t>
      </w:r>
      <w:r w:rsidR="00422DC5" w:rsidRPr="007B5BE6">
        <w:t xml:space="preserve">to </w:t>
      </w:r>
      <w:r w:rsidRPr="007B5BE6">
        <w:t>inform</w:t>
      </w:r>
      <w:r w:rsidR="00422DC5" w:rsidRPr="007B5BE6">
        <w:t xml:space="preserve"> </w:t>
      </w:r>
      <w:r w:rsidR="00583D35" w:rsidRPr="007B5BE6">
        <w:t xml:space="preserve">relevant professionals’ </w:t>
      </w:r>
      <w:r w:rsidR="00422DC5" w:rsidRPr="007B5BE6">
        <w:t>understanding of the</w:t>
      </w:r>
      <w:r w:rsidRPr="007B5BE6">
        <w:t xml:space="preserve"> factors relevant to </w:t>
      </w:r>
      <w:r w:rsidR="00583D35" w:rsidRPr="007B5BE6">
        <w:t xml:space="preserve">the </w:t>
      </w:r>
      <w:r w:rsidRPr="007B5BE6">
        <w:t xml:space="preserve">risk of abuse, including </w:t>
      </w:r>
      <w:r w:rsidR="00422DC5" w:rsidRPr="007B5BE6">
        <w:t>for GPs</w:t>
      </w:r>
      <w:r w:rsidRPr="007B5BE6">
        <w:t xml:space="preserve"> undertaking capacity assessments or dementia screening;</w:t>
      </w:r>
      <w:r w:rsidR="005221D6" w:rsidRPr="007B5BE6">
        <w:t xml:space="preserve"> and </w:t>
      </w:r>
    </w:p>
    <w:p w14:paraId="4930483F" w14:textId="2A50024B" w:rsidR="00897E7E" w:rsidRDefault="00BA4A64" w:rsidP="005221D6">
      <w:pPr>
        <w:pStyle w:val="DotPointTLRI"/>
        <w:rPr>
          <w:sz w:val="20"/>
          <w:szCs w:val="20"/>
        </w:rPr>
      </w:pPr>
      <w:r w:rsidRPr="007B5BE6">
        <w:t>constraints on the time that GPs have for appointments under the Medicare system to proper</w:t>
      </w:r>
      <w:r w:rsidR="00583D35" w:rsidRPr="007B5BE6">
        <w:t>ly</w:t>
      </w:r>
      <w:r w:rsidRPr="007B5BE6">
        <w:t xml:space="preserve"> consider</w:t>
      </w:r>
      <w:r w:rsidR="00583D35" w:rsidRPr="007B5BE6">
        <w:t xml:space="preserve"> </w:t>
      </w:r>
      <w:r w:rsidRPr="007B5BE6">
        <w:t>issues beyond the immediate appointment purpose</w:t>
      </w:r>
      <w:r w:rsidR="00BB6F5C" w:rsidRPr="007B5BE6">
        <w:t>, which may</w:t>
      </w:r>
      <w:r w:rsidRPr="007B5BE6">
        <w:t xml:space="preserve"> raise a concern around </w:t>
      </w:r>
      <w:r w:rsidR="00583D35" w:rsidRPr="007B5BE6">
        <w:t xml:space="preserve">whether an older person is experiencing </w:t>
      </w:r>
      <w:r w:rsidRPr="007B5BE6">
        <w:t>abuse</w:t>
      </w:r>
      <w:r w:rsidR="00364C0C" w:rsidRPr="007B5BE6">
        <w:t xml:space="preserve">, meaning that </w:t>
      </w:r>
      <w:r w:rsidR="005221D6" w:rsidRPr="007B5BE6">
        <w:t>‘GPs</w:t>
      </w:r>
      <w:r w:rsidRPr="007B5BE6">
        <w:t xml:space="preserve"> don't have time anymore to get to know people</w:t>
      </w:r>
      <w:r w:rsidR="001D7D09" w:rsidRPr="007B5BE6">
        <w:t>, a</w:t>
      </w:r>
      <w:r w:rsidRPr="007B5BE6">
        <w:t xml:space="preserve">nd a geriatrician would only … be </w:t>
      </w:r>
      <w:r w:rsidR="00F130F5" w:rsidRPr="007B5BE6">
        <w:t xml:space="preserve">[involved] </w:t>
      </w:r>
      <w:r w:rsidRPr="007B5BE6">
        <w:t>if there was something significant, like</w:t>
      </w:r>
      <w:r w:rsidR="005221D6" w:rsidRPr="007B5BE6">
        <w:t xml:space="preserve"> … </w:t>
      </w:r>
      <w:r w:rsidRPr="007B5BE6">
        <w:t xml:space="preserve">this person </w:t>
      </w:r>
      <w:r w:rsidR="00F130F5" w:rsidRPr="007B5BE6">
        <w:t xml:space="preserve">[is] </w:t>
      </w:r>
      <w:r w:rsidRPr="007B5BE6">
        <w:t>starting to maybe lose their capacity, or we need to look into the possibility of dementia</w:t>
      </w:r>
      <w:r w:rsidR="00F130F5" w:rsidRPr="007B5BE6">
        <w:t>,</w:t>
      </w:r>
      <w:r w:rsidRPr="007B5BE6">
        <w:t xml:space="preserve"> or there's some other significant potential health issue</w:t>
      </w:r>
      <w:r w:rsidR="001F4523" w:rsidRPr="007B5BE6">
        <w:t>’</w:t>
      </w:r>
      <w:r w:rsidRPr="007B5BE6">
        <w:rPr>
          <w:sz w:val="20"/>
          <w:szCs w:val="20"/>
        </w:rPr>
        <w:t>.</w:t>
      </w:r>
      <w:r w:rsidR="00807689" w:rsidRPr="007B5BE6">
        <w:rPr>
          <w:rStyle w:val="FootnoteReference"/>
          <w:sz w:val="20"/>
          <w:szCs w:val="20"/>
        </w:rPr>
        <w:footnoteReference w:id="457"/>
      </w:r>
    </w:p>
    <w:p w14:paraId="5A74C612" w14:textId="77777777" w:rsidR="00897E7E" w:rsidRDefault="00897E7E">
      <w:pPr>
        <w:spacing w:after="200" w:line="276" w:lineRule="auto"/>
        <w:jc w:val="left"/>
        <w:rPr>
          <w:rFonts w:eastAsia="Times New Roman" w:cs="Times New Roman"/>
          <w:sz w:val="20"/>
          <w:szCs w:val="20"/>
        </w:rPr>
      </w:pPr>
      <w:r>
        <w:rPr>
          <w:sz w:val="20"/>
          <w:szCs w:val="20"/>
        </w:rPr>
        <w:br w:type="page"/>
      </w:r>
    </w:p>
    <w:p w14:paraId="5BE1EA9D" w14:textId="34D123AF" w:rsidR="003977BD" w:rsidRPr="007B5BE6" w:rsidRDefault="00DD6936" w:rsidP="003977BD">
      <w:pPr>
        <w:numPr>
          <w:ilvl w:val="2"/>
          <w:numId w:val="2"/>
        </w:numPr>
        <w:tabs>
          <w:tab w:val="left" w:pos="851"/>
        </w:tabs>
        <w:spacing w:before="220"/>
        <w:rPr>
          <w:rFonts w:eastAsia="Times" w:cs="Times New Roman"/>
          <w:szCs w:val="20"/>
        </w:rPr>
      </w:pPr>
      <w:r w:rsidRPr="007B5BE6">
        <w:lastRenderedPageBreak/>
        <w:t xml:space="preserve">A further </w:t>
      </w:r>
      <w:r w:rsidR="00B95B99" w:rsidRPr="007B5BE6">
        <w:t xml:space="preserve">key gap identified </w:t>
      </w:r>
      <w:r w:rsidRPr="007B5BE6">
        <w:t>by stakeholders interviewed by t</w:t>
      </w:r>
      <w:r w:rsidR="00B95B99" w:rsidRPr="007B5BE6">
        <w:t>he TLRI</w:t>
      </w:r>
      <w:r w:rsidRPr="007B5BE6">
        <w:t xml:space="preserve"> </w:t>
      </w:r>
      <w:r w:rsidR="00B95B99" w:rsidRPr="007B5BE6">
        <w:t xml:space="preserve">was the need for more education and training to better inform the Tasmanian community about the abuse of older people and the responses that are available. </w:t>
      </w:r>
      <w:r w:rsidR="003977BD" w:rsidRPr="007B5BE6">
        <w:rPr>
          <w:rFonts w:eastAsia="Times" w:cs="Times New Roman"/>
          <w:szCs w:val="20"/>
        </w:rPr>
        <w:t>Stakeholders identified the benefits of community education</w:t>
      </w:r>
      <w:r w:rsidR="00337540" w:rsidRPr="007B5BE6">
        <w:rPr>
          <w:rFonts w:eastAsia="Times" w:cs="Times New Roman"/>
          <w:szCs w:val="20"/>
        </w:rPr>
        <w:t>,</w:t>
      </w:r>
      <w:r w:rsidR="003977BD" w:rsidRPr="007B5BE6">
        <w:rPr>
          <w:rFonts w:eastAsia="Times" w:cs="Times New Roman"/>
          <w:szCs w:val="20"/>
        </w:rPr>
        <w:t xml:space="preserve"> acknowledg</w:t>
      </w:r>
      <w:r w:rsidR="00337540" w:rsidRPr="007B5BE6">
        <w:rPr>
          <w:rFonts w:eastAsia="Times" w:cs="Times New Roman"/>
          <w:szCs w:val="20"/>
        </w:rPr>
        <w:t>ing</w:t>
      </w:r>
      <w:r w:rsidR="003977BD" w:rsidRPr="007B5BE6">
        <w:rPr>
          <w:rFonts w:eastAsia="Times" w:cs="Times New Roman"/>
          <w:szCs w:val="20"/>
        </w:rPr>
        <w:t xml:space="preserve"> the community education initiatives that are already in place</w:t>
      </w:r>
      <w:r w:rsidR="00337540" w:rsidRPr="007B5BE6">
        <w:rPr>
          <w:rFonts w:eastAsia="Times" w:cs="Times New Roman"/>
          <w:szCs w:val="20"/>
        </w:rPr>
        <w:t xml:space="preserve"> in Tasmania.</w:t>
      </w:r>
      <w:r w:rsidR="00807689" w:rsidRPr="007B5BE6">
        <w:rPr>
          <w:rStyle w:val="FootnoteReference"/>
          <w:rFonts w:eastAsia="Times" w:cs="Times New Roman"/>
          <w:szCs w:val="20"/>
        </w:rPr>
        <w:footnoteReference w:id="458"/>
      </w:r>
      <w:r w:rsidR="003977BD" w:rsidRPr="007B5BE6">
        <w:rPr>
          <w:rFonts w:eastAsia="Times" w:cs="Times New Roman"/>
          <w:szCs w:val="20"/>
        </w:rPr>
        <w:t xml:space="preserve"> </w:t>
      </w:r>
      <w:r w:rsidR="00337540" w:rsidRPr="007B5BE6">
        <w:rPr>
          <w:rFonts w:eastAsia="Times" w:cs="Times New Roman"/>
          <w:szCs w:val="20"/>
        </w:rPr>
        <w:t xml:space="preserve">Examples included </w:t>
      </w:r>
      <w:r w:rsidR="003977BD" w:rsidRPr="007B5BE6">
        <w:rPr>
          <w:rFonts w:eastAsia="Times" w:cs="Times New Roman"/>
          <w:szCs w:val="20"/>
        </w:rPr>
        <w:t xml:space="preserve">the Tasmanian Government’s </w:t>
      </w:r>
      <w:r w:rsidR="003977BD" w:rsidRPr="007B5BE6">
        <w:rPr>
          <w:rFonts w:eastAsia="Times" w:cs="Times New Roman"/>
          <w:i/>
          <w:iCs/>
          <w:szCs w:val="20"/>
        </w:rPr>
        <w:t>‘It’s okay to ask the question’</w:t>
      </w:r>
      <w:r w:rsidR="003977BD" w:rsidRPr="007B5BE6">
        <w:rPr>
          <w:rFonts w:eastAsia="Times" w:cs="Times New Roman"/>
          <w:szCs w:val="20"/>
        </w:rPr>
        <w:t xml:space="preserve"> community education campaign,</w:t>
      </w:r>
      <w:r w:rsidR="00CA6340" w:rsidRPr="007B5BE6">
        <w:rPr>
          <w:rStyle w:val="FootnoteReference"/>
          <w:rFonts w:eastAsia="Times" w:cs="Times New Roman"/>
          <w:szCs w:val="20"/>
        </w:rPr>
        <w:footnoteReference w:id="459"/>
      </w:r>
      <w:r w:rsidR="003977BD" w:rsidRPr="007B5BE6">
        <w:rPr>
          <w:rFonts w:eastAsia="Times" w:cs="Times New Roman"/>
          <w:szCs w:val="20"/>
        </w:rPr>
        <w:t xml:space="preserve"> the University of Tasmania free online dementia courses,</w:t>
      </w:r>
      <w:r w:rsidR="00FC6987" w:rsidRPr="007B5BE6">
        <w:rPr>
          <w:rStyle w:val="FootnoteReference"/>
          <w:rFonts w:eastAsia="Times" w:cs="Times New Roman"/>
          <w:szCs w:val="20"/>
        </w:rPr>
        <w:footnoteReference w:id="460"/>
      </w:r>
      <w:r w:rsidR="003977BD" w:rsidRPr="007B5BE6">
        <w:rPr>
          <w:rFonts w:eastAsia="Times" w:cs="Times New Roman"/>
          <w:szCs w:val="20"/>
        </w:rPr>
        <w:t xml:space="preserve"> Care2Serve Carer Gateway resources</w:t>
      </w:r>
      <w:r w:rsidR="00FC6987" w:rsidRPr="007B5BE6">
        <w:rPr>
          <w:rStyle w:val="FootnoteReference"/>
          <w:rFonts w:eastAsia="Times" w:cs="Times New Roman"/>
          <w:szCs w:val="20"/>
        </w:rPr>
        <w:footnoteReference w:id="461"/>
      </w:r>
      <w:r w:rsidR="003977BD" w:rsidRPr="007B5BE6">
        <w:rPr>
          <w:rFonts w:eastAsia="Times" w:cs="Times New Roman"/>
          <w:szCs w:val="20"/>
        </w:rPr>
        <w:t xml:space="preserve"> and online modules ‘</w:t>
      </w:r>
      <w:r w:rsidR="003977BD" w:rsidRPr="007B5BE6">
        <w:rPr>
          <w:rFonts w:eastAsia="Times" w:cs="Times New Roman"/>
          <w:i/>
          <w:iCs/>
          <w:szCs w:val="20"/>
        </w:rPr>
        <w:t>Caring for Older Tasmanians</w:t>
      </w:r>
      <w:r w:rsidR="003977BD" w:rsidRPr="007B5BE6">
        <w:rPr>
          <w:rFonts w:eastAsia="Times" w:cs="Times New Roman"/>
          <w:szCs w:val="20"/>
        </w:rPr>
        <w:t>’ designed by Carers Tasmania/Care2Serve to assist members of the community to effectively care for older Tasmanian</w:t>
      </w:r>
      <w:r w:rsidR="004C07AF" w:rsidRPr="007B5BE6">
        <w:rPr>
          <w:rFonts w:eastAsia="Times" w:cs="Times New Roman"/>
          <w:szCs w:val="20"/>
        </w:rPr>
        <w:t>s</w:t>
      </w:r>
      <w:r w:rsidR="003977BD" w:rsidRPr="007B5BE6">
        <w:rPr>
          <w:rFonts w:eastAsia="Times" w:cs="Times New Roman"/>
          <w:szCs w:val="20"/>
        </w:rPr>
        <w:t>.</w:t>
      </w:r>
      <w:r w:rsidR="000D3528" w:rsidRPr="007B5BE6">
        <w:rPr>
          <w:rStyle w:val="FootnoteReference"/>
          <w:rFonts w:eastAsia="Times" w:cs="Times New Roman"/>
          <w:szCs w:val="20"/>
        </w:rPr>
        <w:footnoteReference w:id="462"/>
      </w:r>
    </w:p>
    <w:p w14:paraId="04F260C8" w14:textId="3A1B23D4" w:rsidR="003977BD" w:rsidRPr="007B5BE6" w:rsidRDefault="003977BD" w:rsidP="003977BD">
      <w:pPr>
        <w:numPr>
          <w:ilvl w:val="2"/>
          <w:numId w:val="2"/>
        </w:numPr>
        <w:tabs>
          <w:tab w:val="left" w:pos="851"/>
        </w:tabs>
        <w:spacing w:before="220"/>
        <w:rPr>
          <w:rFonts w:eastAsia="Times" w:cs="Times New Roman"/>
          <w:szCs w:val="20"/>
        </w:rPr>
      </w:pPr>
      <w:r w:rsidRPr="007B5BE6">
        <w:rPr>
          <w:rFonts w:eastAsia="Times" w:cs="Times New Roman"/>
          <w:szCs w:val="20"/>
        </w:rPr>
        <w:t xml:space="preserve">However, stakeholders also identified </w:t>
      </w:r>
      <w:r w:rsidR="00C46D34" w:rsidRPr="007B5BE6">
        <w:rPr>
          <w:rFonts w:eastAsia="Times" w:cs="Times New Roman"/>
          <w:szCs w:val="20"/>
        </w:rPr>
        <w:t>areas</w:t>
      </w:r>
      <w:r w:rsidRPr="007B5BE6">
        <w:rPr>
          <w:rFonts w:eastAsia="Times" w:cs="Times New Roman"/>
          <w:szCs w:val="20"/>
        </w:rPr>
        <w:t xml:space="preserve"> where further community education </w:t>
      </w:r>
      <w:r w:rsidR="00C46D34" w:rsidRPr="007B5BE6">
        <w:rPr>
          <w:rFonts w:eastAsia="Times" w:cs="Times New Roman"/>
          <w:szCs w:val="20"/>
        </w:rPr>
        <w:t>was needed</w:t>
      </w:r>
      <w:r w:rsidR="009C0527" w:rsidRPr="007B5BE6">
        <w:rPr>
          <w:rFonts w:eastAsia="Times" w:cs="Times New Roman"/>
          <w:szCs w:val="20"/>
        </w:rPr>
        <w:t>.</w:t>
      </w:r>
      <w:r w:rsidR="00C46D34" w:rsidRPr="007B5BE6">
        <w:rPr>
          <w:rFonts w:eastAsia="Times" w:cs="Times New Roman"/>
          <w:szCs w:val="20"/>
        </w:rPr>
        <w:t xml:space="preserve"> Examples included more </w:t>
      </w:r>
      <w:r w:rsidRPr="007B5BE6">
        <w:rPr>
          <w:rFonts w:eastAsia="Times" w:cs="Times New Roman"/>
          <w:szCs w:val="20"/>
        </w:rPr>
        <w:t>targeted</w:t>
      </w:r>
      <w:r w:rsidR="00C46D34" w:rsidRPr="007B5BE6">
        <w:rPr>
          <w:rFonts w:eastAsia="Times" w:cs="Times New Roman"/>
          <w:szCs w:val="20"/>
        </w:rPr>
        <w:t xml:space="preserve"> community education for</w:t>
      </w:r>
      <w:r w:rsidRPr="007B5BE6">
        <w:rPr>
          <w:rFonts w:eastAsia="Times" w:cs="Times New Roman"/>
          <w:szCs w:val="20"/>
        </w:rPr>
        <w:t>:</w:t>
      </w:r>
    </w:p>
    <w:p w14:paraId="617780AB" w14:textId="57D9BDE6"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 xml:space="preserve">all members of the community on ‘how we think about abuse of older people’, </w:t>
      </w:r>
      <w:r w:rsidR="00A12905" w:rsidRPr="007B5BE6">
        <w:rPr>
          <w:rFonts w:eastAsia="Times New Roman" w:cs="Times New Roman"/>
        </w:rPr>
        <w:t xml:space="preserve">including </w:t>
      </w:r>
      <w:r w:rsidRPr="007B5BE6">
        <w:rPr>
          <w:rFonts w:eastAsia="Times New Roman" w:cs="Times New Roman"/>
        </w:rPr>
        <w:t xml:space="preserve">having conversations </w:t>
      </w:r>
      <w:r w:rsidR="000E017B" w:rsidRPr="007B5BE6">
        <w:rPr>
          <w:rFonts w:eastAsia="Times New Roman" w:cs="Times New Roman"/>
        </w:rPr>
        <w:t xml:space="preserve">to </w:t>
      </w:r>
      <w:r w:rsidRPr="007B5BE6">
        <w:rPr>
          <w:rFonts w:eastAsia="Times New Roman" w:cs="Times New Roman"/>
        </w:rPr>
        <w:t>increas</w:t>
      </w:r>
      <w:r w:rsidR="000E017B" w:rsidRPr="007B5BE6">
        <w:rPr>
          <w:rFonts w:eastAsia="Times New Roman" w:cs="Times New Roman"/>
        </w:rPr>
        <w:t>e</w:t>
      </w:r>
      <w:r w:rsidRPr="007B5BE6">
        <w:rPr>
          <w:rFonts w:eastAsia="Times New Roman" w:cs="Times New Roman"/>
        </w:rPr>
        <w:t xml:space="preserve"> visibility</w:t>
      </w:r>
      <w:r w:rsidR="000E017B" w:rsidRPr="007B5BE6">
        <w:rPr>
          <w:rFonts w:eastAsia="Times New Roman" w:cs="Times New Roman"/>
        </w:rPr>
        <w:t xml:space="preserve"> and </w:t>
      </w:r>
      <w:r w:rsidRPr="007B5BE6">
        <w:rPr>
          <w:rFonts w:eastAsia="Times New Roman" w:cs="Times New Roman"/>
        </w:rPr>
        <w:t>awareness of abuse</w:t>
      </w:r>
      <w:r w:rsidR="00D10DCF" w:rsidRPr="007B5BE6">
        <w:rPr>
          <w:rFonts w:eastAsia="Times New Roman" w:cs="Times New Roman"/>
        </w:rPr>
        <w:t>, and capacity-building around</w:t>
      </w:r>
      <w:r w:rsidRPr="007B5BE6">
        <w:rPr>
          <w:rFonts w:eastAsia="Times New Roman" w:cs="Times New Roman"/>
        </w:rPr>
        <w:t xml:space="preserve"> recognis</w:t>
      </w:r>
      <w:r w:rsidR="00E4565A" w:rsidRPr="007B5BE6">
        <w:rPr>
          <w:rFonts w:eastAsia="Times New Roman" w:cs="Times New Roman"/>
        </w:rPr>
        <w:t>ing</w:t>
      </w:r>
      <w:r w:rsidRPr="007B5BE6">
        <w:rPr>
          <w:rFonts w:eastAsia="Times New Roman" w:cs="Times New Roman"/>
        </w:rPr>
        <w:t xml:space="preserve"> when behaviour may be abusive and chang</w:t>
      </w:r>
      <w:r w:rsidR="00E4565A" w:rsidRPr="007B5BE6">
        <w:rPr>
          <w:rFonts w:eastAsia="Times New Roman" w:cs="Times New Roman"/>
        </w:rPr>
        <w:t>ing</w:t>
      </w:r>
      <w:r w:rsidRPr="007B5BE6">
        <w:rPr>
          <w:rFonts w:eastAsia="Times New Roman" w:cs="Times New Roman"/>
        </w:rPr>
        <w:t xml:space="preserve"> abusive behaviour;</w:t>
      </w:r>
    </w:p>
    <w:p w14:paraId="408FF9D0" w14:textId="092A4EC3"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older people, with a focus on legal instruments that are needed for ‘planning ahead’, such as a will</w:t>
      </w:r>
      <w:r w:rsidR="00E4565A" w:rsidRPr="007B5BE6">
        <w:rPr>
          <w:rFonts w:eastAsia="Times New Roman" w:cs="Times New Roman"/>
        </w:rPr>
        <w:t>s</w:t>
      </w:r>
      <w:r w:rsidRPr="007B5BE6">
        <w:rPr>
          <w:rFonts w:eastAsia="Times New Roman" w:cs="Times New Roman"/>
        </w:rPr>
        <w:t>, power</w:t>
      </w:r>
      <w:r w:rsidR="00E4565A" w:rsidRPr="007B5BE6">
        <w:rPr>
          <w:rFonts w:eastAsia="Times New Roman" w:cs="Times New Roman"/>
        </w:rPr>
        <w:t>s</w:t>
      </w:r>
      <w:r w:rsidRPr="007B5BE6">
        <w:rPr>
          <w:rFonts w:eastAsia="Times New Roman" w:cs="Times New Roman"/>
        </w:rPr>
        <w:t xml:space="preserve"> of attorney, guardianship orders, </w:t>
      </w:r>
      <w:r w:rsidR="00E4565A" w:rsidRPr="007B5BE6">
        <w:rPr>
          <w:rFonts w:eastAsia="Times New Roman" w:cs="Times New Roman"/>
        </w:rPr>
        <w:t xml:space="preserve">and </w:t>
      </w:r>
      <w:r w:rsidRPr="007B5BE6">
        <w:rPr>
          <w:rFonts w:eastAsia="Times New Roman" w:cs="Times New Roman"/>
        </w:rPr>
        <w:t xml:space="preserve">advance care directives; </w:t>
      </w:r>
    </w:p>
    <w:p w14:paraId="6E6F644C" w14:textId="57571392"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 xml:space="preserve">older people and their family members on ‘financial literacy’, including </w:t>
      </w:r>
      <w:r w:rsidR="00E4565A" w:rsidRPr="007B5BE6">
        <w:rPr>
          <w:rFonts w:eastAsia="Times New Roman" w:cs="Times New Roman"/>
        </w:rPr>
        <w:t xml:space="preserve">the consequences of dealing with </w:t>
      </w:r>
      <w:r w:rsidR="00D33F59" w:rsidRPr="007B5BE6">
        <w:rPr>
          <w:rFonts w:eastAsia="Times New Roman" w:cs="Times New Roman"/>
        </w:rPr>
        <w:t xml:space="preserve">older people’s </w:t>
      </w:r>
      <w:r w:rsidR="00E4565A" w:rsidRPr="007B5BE6">
        <w:rPr>
          <w:rFonts w:eastAsia="Times New Roman" w:cs="Times New Roman"/>
        </w:rPr>
        <w:t xml:space="preserve">assets for </w:t>
      </w:r>
      <w:r w:rsidR="00D33F59" w:rsidRPr="007B5BE6">
        <w:rPr>
          <w:rFonts w:eastAsia="Times New Roman" w:cs="Times New Roman"/>
        </w:rPr>
        <w:t xml:space="preserve">their eligibility to </w:t>
      </w:r>
      <w:r w:rsidR="00E4565A" w:rsidRPr="007B5BE6">
        <w:rPr>
          <w:rFonts w:eastAsia="Times New Roman" w:cs="Times New Roman"/>
        </w:rPr>
        <w:t>rece</w:t>
      </w:r>
      <w:r w:rsidR="00D33F59" w:rsidRPr="007B5BE6">
        <w:rPr>
          <w:rFonts w:eastAsia="Times New Roman" w:cs="Times New Roman"/>
        </w:rPr>
        <w:t>ive</w:t>
      </w:r>
      <w:r w:rsidR="00E4565A" w:rsidRPr="007B5BE6">
        <w:rPr>
          <w:rFonts w:eastAsia="Times New Roman" w:cs="Times New Roman"/>
        </w:rPr>
        <w:t xml:space="preserve"> funded </w:t>
      </w:r>
      <w:r w:rsidRPr="007B5BE6">
        <w:rPr>
          <w:rFonts w:eastAsia="Times New Roman" w:cs="Times New Roman"/>
        </w:rPr>
        <w:t xml:space="preserve">aged care </w:t>
      </w:r>
      <w:r w:rsidR="00E4565A" w:rsidRPr="007B5BE6">
        <w:rPr>
          <w:rFonts w:eastAsia="Times New Roman" w:cs="Times New Roman"/>
        </w:rPr>
        <w:t>services</w:t>
      </w:r>
      <w:r w:rsidRPr="007B5BE6">
        <w:rPr>
          <w:rFonts w:eastAsia="Times New Roman" w:cs="Times New Roman"/>
        </w:rPr>
        <w:t xml:space="preserve">; and </w:t>
      </w:r>
    </w:p>
    <w:p w14:paraId="4267993E" w14:textId="75ED9C5E"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families</w:t>
      </w:r>
      <w:r w:rsidR="00D9727E" w:rsidRPr="007B5BE6">
        <w:rPr>
          <w:rFonts w:eastAsia="Times New Roman" w:cs="Times New Roman"/>
        </w:rPr>
        <w:t xml:space="preserve">, including </w:t>
      </w:r>
      <w:r w:rsidRPr="007B5BE6">
        <w:rPr>
          <w:rFonts w:eastAsia="Times New Roman" w:cs="Times New Roman"/>
        </w:rPr>
        <w:t xml:space="preserve">what to do when </w:t>
      </w:r>
      <w:r w:rsidR="00D9727E" w:rsidRPr="007B5BE6">
        <w:rPr>
          <w:rFonts w:eastAsia="Times New Roman" w:cs="Times New Roman"/>
        </w:rPr>
        <w:t xml:space="preserve">family members </w:t>
      </w:r>
      <w:r w:rsidRPr="007B5BE6">
        <w:rPr>
          <w:rFonts w:eastAsia="Times New Roman" w:cs="Times New Roman"/>
        </w:rPr>
        <w:t>feel overwhelmed and need more support when caring</w:t>
      </w:r>
      <w:r w:rsidR="00D9727E" w:rsidRPr="007B5BE6">
        <w:rPr>
          <w:rFonts w:eastAsia="Times New Roman" w:cs="Times New Roman"/>
        </w:rPr>
        <w:t xml:space="preserve"> for,</w:t>
      </w:r>
      <w:r w:rsidRPr="007B5BE6">
        <w:rPr>
          <w:rFonts w:eastAsia="Times New Roman" w:cs="Times New Roman"/>
        </w:rPr>
        <w:t xml:space="preserve"> or making decisions</w:t>
      </w:r>
      <w:r w:rsidR="00D9727E" w:rsidRPr="007B5BE6">
        <w:rPr>
          <w:rFonts w:eastAsia="Times New Roman" w:cs="Times New Roman"/>
        </w:rPr>
        <w:t>,</w:t>
      </w:r>
      <w:r w:rsidRPr="007B5BE6">
        <w:rPr>
          <w:rFonts w:eastAsia="Times New Roman" w:cs="Times New Roman"/>
        </w:rPr>
        <w:t xml:space="preserve"> that affect an older person.</w:t>
      </w:r>
      <w:r w:rsidR="00922292" w:rsidRPr="007B5BE6">
        <w:rPr>
          <w:rStyle w:val="FootnoteReference"/>
          <w:rFonts w:eastAsia="Times New Roman" w:cs="Times New Roman"/>
        </w:rPr>
        <w:footnoteReference w:id="463"/>
      </w:r>
    </w:p>
    <w:p w14:paraId="1B6EAD14" w14:textId="040512DF" w:rsidR="003977BD" w:rsidRPr="007B5BE6" w:rsidRDefault="003977BD" w:rsidP="003977BD">
      <w:pPr>
        <w:numPr>
          <w:ilvl w:val="2"/>
          <w:numId w:val="2"/>
        </w:numPr>
        <w:tabs>
          <w:tab w:val="left" w:pos="851"/>
        </w:tabs>
        <w:spacing w:before="220"/>
        <w:rPr>
          <w:rFonts w:eastAsia="Times" w:cs="Times New Roman"/>
          <w:szCs w:val="20"/>
        </w:rPr>
      </w:pPr>
      <w:r w:rsidRPr="007B5BE6">
        <w:rPr>
          <w:rFonts w:eastAsia="Times" w:cs="Times New Roman"/>
          <w:szCs w:val="20"/>
        </w:rPr>
        <w:t xml:space="preserve">A need for educative reform was particularly highlighted to address </w:t>
      </w:r>
      <w:r w:rsidR="0024381E" w:rsidRPr="007B5BE6">
        <w:rPr>
          <w:rFonts w:eastAsia="Times" w:cs="Times New Roman"/>
          <w:szCs w:val="20"/>
        </w:rPr>
        <w:t xml:space="preserve">the </w:t>
      </w:r>
      <w:r w:rsidRPr="007B5BE6">
        <w:rPr>
          <w:rFonts w:eastAsia="Times" w:cs="Times New Roman"/>
          <w:szCs w:val="20"/>
        </w:rPr>
        <w:t xml:space="preserve">identified knowledge gaps and </w:t>
      </w:r>
      <w:r w:rsidR="0024381E" w:rsidRPr="007B5BE6">
        <w:rPr>
          <w:rFonts w:eastAsia="Times" w:cs="Times New Roman"/>
          <w:szCs w:val="20"/>
        </w:rPr>
        <w:t>‘</w:t>
      </w:r>
      <w:r w:rsidRPr="007B5BE6">
        <w:rPr>
          <w:rFonts w:eastAsia="Times" w:cs="Times New Roman"/>
          <w:szCs w:val="20"/>
        </w:rPr>
        <w:t>disconnect</w:t>
      </w:r>
      <w:r w:rsidR="0024381E" w:rsidRPr="007B5BE6">
        <w:rPr>
          <w:rFonts w:eastAsia="Times" w:cs="Times New Roman"/>
          <w:szCs w:val="20"/>
        </w:rPr>
        <w:t>’</w:t>
      </w:r>
      <w:r w:rsidRPr="007B5BE6">
        <w:rPr>
          <w:rFonts w:eastAsia="Times" w:cs="Times New Roman"/>
          <w:szCs w:val="20"/>
        </w:rPr>
        <w:t xml:space="preserve"> between service systems for older people and the specialist service response where there is abuse (or concerns about abuse). </w:t>
      </w:r>
      <w:r w:rsidR="005736F9" w:rsidRPr="007B5BE6">
        <w:rPr>
          <w:rFonts w:eastAsia="Times" w:cs="Times New Roman"/>
          <w:szCs w:val="20"/>
        </w:rPr>
        <w:t>A</w:t>
      </w:r>
      <w:r w:rsidR="00C97C1B" w:rsidRPr="007B5BE6">
        <w:rPr>
          <w:rFonts w:eastAsia="Times" w:cs="Times New Roman"/>
          <w:szCs w:val="20"/>
        </w:rPr>
        <w:t xml:space="preserve">s noted at </w:t>
      </w:r>
      <w:r w:rsidR="005736F9" w:rsidRPr="007B5BE6">
        <w:rPr>
          <w:rFonts w:eastAsia="Times" w:cs="Times New Roman"/>
          <w:szCs w:val="20"/>
        </w:rPr>
        <w:t>[4.3.21], these include:</w:t>
      </w:r>
      <w:r w:rsidRPr="007B5BE6">
        <w:rPr>
          <w:rFonts w:eastAsia="Times" w:cs="Times New Roman"/>
          <w:szCs w:val="20"/>
        </w:rPr>
        <w:t xml:space="preserve"> </w:t>
      </w:r>
    </w:p>
    <w:p w14:paraId="7FF28BAA" w14:textId="7C7B9FE0"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 xml:space="preserve">health services, including hospitals, </w:t>
      </w:r>
      <w:r w:rsidR="00C97C1B" w:rsidRPr="007B5BE6">
        <w:rPr>
          <w:rFonts w:eastAsia="Times New Roman" w:cs="Times New Roman"/>
        </w:rPr>
        <w:t>GPs</w:t>
      </w:r>
      <w:r w:rsidRPr="007B5BE6">
        <w:rPr>
          <w:rFonts w:eastAsia="Times New Roman" w:cs="Times New Roman"/>
        </w:rPr>
        <w:t>, geriatric practitioners;</w:t>
      </w:r>
    </w:p>
    <w:p w14:paraId="16E4E9D4" w14:textId="77777777"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 xml:space="preserve">banking, financial and property services; </w:t>
      </w:r>
    </w:p>
    <w:p w14:paraId="66EB213C" w14:textId="77777777"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 xml:space="preserve">social services, including support systems for carers; </w:t>
      </w:r>
    </w:p>
    <w:p w14:paraId="6566F5FA" w14:textId="4B14014F" w:rsidR="003977BD" w:rsidRPr="007B5BE6" w:rsidRDefault="003977BD" w:rsidP="003977BD">
      <w:pPr>
        <w:numPr>
          <w:ilvl w:val="0"/>
          <w:numId w:val="1"/>
        </w:numPr>
        <w:spacing w:after="120"/>
        <w:rPr>
          <w:rFonts w:eastAsia="Times New Roman" w:cs="Times New Roman"/>
        </w:rPr>
      </w:pPr>
      <w:r w:rsidRPr="007B5BE6">
        <w:rPr>
          <w:rFonts w:eastAsia="Times New Roman" w:cs="Times New Roman"/>
        </w:rPr>
        <w:t>aged care services.</w:t>
      </w:r>
      <w:r w:rsidR="00C51D4B" w:rsidRPr="007B5BE6">
        <w:rPr>
          <w:rStyle w:val="FootnoteReference"/>
          <w:rFonts w:eastAsia="Times New Roman" w:cs="Times New Roman"/>
        </w:rPr>
        <w:footnoteReference w:id="464"/>
      </w:r>
    </w:p>
    <w:p w14:paraId="39F76956" w14:textId="043AB404" w:rsidR="0029354D" w:rsidRPr="007B5BE6" w:rsidRDefault="00FE2E87" w:rsidP="003977BD">
      <w:pPr>
        <w:numPr>
          <w:ilvl w:val="2"/>
          <w:numId w:val="2"/>
        </w:numPr>
        <w:tabs>
          <w:tab w:val="left" w:pos="851"/>
        </w:tabs>
        <w:spacing w:before="220"/>
        <w:rPr>
          <w:rFonts w:eastAsia="Times" w:cs="Times New Roman"/>
          <w:szCs w:val="20"/>
        </w:rPr>
      </w:pPr>
      <w:r w:rsidRPr="007B5BE6">
        <w:rPr>
          <w:rFonts w:eastAsia="Times" w:cs="Times New Roman"/>
          <w:szCs w:val="20"/>
        </w:rPr>
        <w:lastRenderedPageBreak/>
        <w:t>A s</w:t>
      </w:r>
      <w:r w:rsidR="003977BD" w:rsidRPr="007B5BE6">
        <w:rPr>
          <w:rFonts w:eastAsia="Times" w:cs="Times New Roman"/>
          <w:szCs w:val="20"/>
        </w:rPr>
        <w:t xml:space="preserve">takeholder also emphasised the importance of collaborative approaches, not only at the state level, between Tasmanian agencies working across different parts of legal and service </w:t>
      </w:r>
      <w:r w:rsidR="00F61099" w:rsidRPr="007B5BE6">
        <w:rPr>
          <w:rFonts w:eastAsia="Times" w:cs="Times New Roman"/>
          <w:szCs w:val="20"/>
        </w:rPr>
        <w:t xml:space="preserve">system </w:t>
      </w:r>
      <w:r w:rsidR="003977BD" w:rsidRPr="007B5BE6">
        <w:rPr>
          <w:rFonts w:eastAsia="Times" w:cs="Times New Roman"/>
          <w:szCs w:val="20"/>
        </w:rPr>
        <w:t xml:space="preserve">responses, but </w:t>
      </w:r>
      <w:r w:rsidR="00C27565" w:rsidRPr="007B5BE6">
        <w:rPr>
          <w:rFonts w:eastAsia="Times" w:cs="Times New Roman"/>
          <w:szCs w:val="20"/>
        </w:rPr>
        <w:t xml:space="preserve">also </w:t>
      </w:r>
      <w:r w:rsidR="003977BD" w:rsidRPr="007B5BE6">
        <w:rPr>
          <w:rFonts w:eastAsia="Times" w:cs="Times New Roman"/>
          <w:szCs w:val="20"/>
        </w:rPr>
        <w:t>between state and Commonwealth agencies and systems.</w:t>
      </w:r>
      <w:r w:rsidR="00C51D4B" w:rsidRPr="007B5BE6">
        <w:rPr>
          <w:rStyle w:val="FootnoteReference"/>
          <w:rFonts w:eastAsia="Times" w:cs="Times New Roman"/>
          <w:szCs w:val="20"/>
        </w:rPr>
        <w:footnoteReference w:id="465"/>
      </w:r>
      <w:r w:rsidR="003977BD" w:rsidRPr="007B5BE6">
        <w:rPr>
          <w:rFonts w:eastAsia="Times" w:cs="Times New Roman"/>
          <w:szCs w:val="20"/>
        </w:rPr>
        <w:t xml:space="preserve"> </w:t>
      </w:r>
    </w:p>
    <w:p w14:paraId="55F8B03A" w14:textId="4222CA49" w:rsidR="003977BD" w:rsidRPr="007B5BE6" w:rsidRDefault="00F61099" w:rsidP="005F7BEF">
      <w:pPr>
        <w:numPr>
          <w:ilvl w:val="2"/>
          <w:numId w:val="2"/>
        </w:numPr>
        <w:tabs>
          <w:tab w:val="left" w:pos="851"/>
        </w:tabs>
        <w:spacing w:before="220"/>
        <w:rPr>
          <w:rFonts w:eastAsia="Times"/>
          <w:szCs w:val="20"/>
        </w:rPr>
      </w:pPr>
      <w:r w:rsidRPr="007B5BE6">
        <w:rPr>
          <w:rFonts w:eastAsia="Times" w:cs="Times New Roman"/>
          <w:szCs w:val="20"/>
        </w:rPr>
        <w:t>A</w:t>
      </w:r>
      <w:r w:rsidR="005D307B" w:rsidRPr="007B5BE6">
        <w:rPr>
          <w:rFonts w:eastAsia="Times" w:cs="Times New Roman"/>
          <w:szCs w:val="20"/>
        </w:rPr>
        <w:t>s characterised by one</w:t>
      </w:r>
      <w:r w:rsidR="000C0714" w:rsidRPr="007B5BE6">
        <w:rPr>
          <w:rFonts w:eastAsia="Times" w:cs="Times New Roman"/>
          <w:szCs w:val="20"/>
        </w:rPr>
        <w:t xml:space="preserve"> stakeholder</w:t>
      </w:r>
      <w:r w:rsidR="005D307B" w:rsidRPr="007B5BE6">
        <w:rPr>
          <w:rFonts w:eastAsia="Times" w:cs="Times New Roman"/>
          <w:szCs w:val="20"/>
        </w:rPr>
        <w:t>,</w:t>
      </w:r>
      <w:r w:rsidR="001F3255" w:rsidRPr="007B5BE6">
        <w:rPr>
          <w:rFonts w:eastAsia="Times" w:cs="Times New Roman"/>
          <w:szCs w:val="20"/>
        </w:rPr>
        <w:t xml:space="preserve"> community education</w:t>
      </w:r>
      <w:r w:rsidR="000C0714" w:rsidRPr="007B5BE6">
        <w:rPr>
          <w:rFonts w:eastAsia="Times" w:cs="Times New Roman"/>
          <w:szCs w:val="20"/>
        </w:rPr>
        <w:t xml:space="preserve"> </w:t>
      </w:r>
      <w:r w:rsidR="005D307B" w:rsidRPr="007B5BE6">
        <w:rPr>
          <w:rFonts w:eastAsia="Times" w:cs="Times New Roman"/>
          <w:szCs w:val="20"/>
        </w:rPr>
        <w:t>i</w:t>
      </w:r>
      <w:r w:rsidR="003977BD" w:rsidRPr="007B5BE6">
        <w:rPr>
          <w:rFonts w:eastAsia="Times" w:cs="Times New Roman"/>
          <w:szCs w:val="20"/>
        </w:rPr>
        <w:t xml:space="preserve">s </w:t>
      </w:r>
      <w:r w:rsidR="000C0714" w:rsidRPr="007B5BE6">
        <w:rPr>
          <w:rFonts w:eastAsia="Times" w:cs="Times New Roman"/>
          <w:szCs w:val="20"/>
        </w:rPr>
        <w:t>‘</w:t>
      </w:r>
      <w:r w:rsidR="003977BD" w:rsidRPr="007B5BE6">
        <w:rPr>
          <w:rFonts w:eastAsia="Times" w:cs="Times New Roman"/>
          <w:szCs w:val="20"/>
        </w:rPr>
        <w:t>safeguarding</w:t>
      </w:r>
      <w:r w:rsidR="000C0714" w:rsidRPr="007B5BE6">
        <w:rPr>
          <w:rFonts w:eastAsia="Times" w:cs="Times New Roman"/>
          <w:szCs w:val="20"/>
        </w:rPr>
        <w:t>’</w:t>
      </w:r>
      <w:r w:rsidR="003977BD" w:rsidRPr="007B5BE6">
        <w:rPr>
          <w:rFonts w:eastAsia="Times" w:cs="Times New Roman"/>
          <w:szCs w:val="20"/>
        </w:rPr>
        <w:t>.</w:t>
      </w:r>
      <w:r w:rsidR="00C51D4B" w:rsidRPr="007B5BE6">
        <w:rPr>
          <w:rStyle w:val="FootnoteReference"/>
          <w:rFonts w:eastAsia="Times" w:cs="Times New Roman"/>
          <w:szCs w:val="20"/>
        </w:rPr>
        <w:footnoteReference w:id="466"/>
      </w:r>
      <w:r w:rsidR="003977BD" w:rsidRPr="007B5BE6">
        <w:rPr>
          <w:rFonts w:eastAsia="Times" w:cs="Times New Roman"/>
          <w:szCs w:val="20"/>
        </w:rPr>
        <w:t xml:space="preserve"> It was further suggested by </w:t>
      </w:r>
      <w:r w:rsidR="001F3255" w:rsidRPr="007B5BE6">
        <w:rPr>
          <w:rFonts w:eastAsia="Times" w:cs="Times New Roman"/>
          <w:szCs w:val="20"/>
        </w:rPr>
        <w:t>another</w:t>
      </w:r>
      <w:r w:rsidR="003977BD" w:rsidRPr="007B5BE6">
        <w:rPr>
          <w:rFonts w:eastAsia="Times" w:cs="Times New Roman"/>
          <w:szCs w:val="20"/>
        </w:rPr>
        <w:t xml:space="preserve"> stakeholder that a ‘whole population approach’ should be taken to community education</w:t>
      </w:r>
      <w:r w:rsidR="00F0764B" w:rsidRPr="007B5BE6">
        <w:rPr>
          <w:rFonts w:eastAsia="Times" w:cs="Times New Roman"/>
          <w:szCs w:val="20"/>
        </w:rPr>
        <w:t xml:space="preserve">, </w:t>
      </w:r>
      <w:r w:rsidR="0043600C" w:rsidRPr="007B5BE6">
        <w:rPr>
          <w:rFonts w:eastAsia="Times" w:cs="Times New Roman"/>
          <w:szCs w:val="20"/>
        </w:rPr>
        <w:t>because</w:t>
      </w:r>
      <w:r w:rsidR="00F0764B" w:rsidRPr="007B5BE6">
        <w:rPr>
          <w:rFonts w:eastAsia="Times" w:cs="Times New Roman"/>
          <w:szCs w:val="20"/>
        </w:rPr>
        <w:t xml:space="preserve"> such an approach </w:t>
      </w:r>
      <w:r w:rsidR="00F118FC" w:rsidRPr="007B5BE6">
        <w:rPr>
          <w:rFonts w:eastAsia="Times" w:cs="Times New Roman"/>
          <w:szCs w:val="20"/>
        </w:rPr>
        <w:t xml:space="preserve">could operate in many </w:t>
      </w:r>
      <w:r w:rsidR="003977BD" w:rsidRPr="007B5BE6">
        <w:rPr>
          <w:rFonts w:eastAsia="Times" w:cs="Times New Roman"/>
          <w:szCs w:val="20"/>
        </w:rPr>
        <w:t>different ways to prevent or minimise the risk of abuse of an older person, address barriers for seeking help and support services</w:t>
      </w:r>
      <w:r w:rsidR="005D307B" w:rsidRPr="007B5BE6">
        <w:rPr>
          <w:rFonts w:eastAsia="Times" w:cs="Times New Roman"/>
          <w:szCs w:val="20"/>
        </w:rPr>
        <w:t>,</w:t>
      </w:r>
      <w:r w:rsidR="003977BD" w:rsidRPr="007B5BE6">
        <w:rPr>
          <w:rFonts w:eastAsia="Times" w:cs="Times New Roman"/>
          <w:szCs w:val="20"/>
        </w:rPr>
        <w:t xml:space="preserve"> and facilitate engagement with any legal response that may be available.</w:t>
      </w:r>
      <w:r w:rsidR="00C51D4B" w:rsidRPr="007B5BE6">
        <w:rPr>
          <w:rStyle w:val="FootnoteReference"/>
          <w:rFonts w:eastAsia="Times" w:cs="Times New Roman"/>
          <w:szCs w:val="20"/>
        </w:rPr>
        <w:footnoteReference w:id="467"/>
      </w:r>
      <w:r w:rsidR="003977BD" w:rsidRPr="007B5BE6">
        <w:rPr>
          <w:rFonts w:eastAsia="Times" w:cs="Times New Roman"/>
          <w:szCs w:val="20"/>
        </w:rPr>
        <w:t xml:space="preserve"> </w:t>
      </w:r>
    </w:p>
    <w:p w14:paraId="0D0FAB85" w14:textId="1542BFD1" w:rsidR="00B040CB" w:rsidRPr="007B5BE6" w:rsidRDefault="00CF2087" w:rsidP="00AE2D56">
      <w:pPr>
        <w:pStyle w:val="Headingunnumbered"/>
        <w:spacing w:before="360"/>
      </w:pPr>
      <w:bookmarkStart w:id="564" w:name="_Toc212561786"/>
      <w:r w:rsidRPr="007B5BE6">
        <w:t>The need for an overarching approach</w:t>
      </w:r>
      <w:bookmarkEnd w:id="564"/>
    </w:p>
    <w:p w14:paraId="16C78739" w14:textId="1DDEEEC7" w:rsidR="0048422F" w:rsidRPr="007B5BE6" w:rsidRDefault="00A915C7" w:rsidP="0096001C">
      <w:pPr>
        <w:numPr>
          <w:ilvl w:val="2"/>
          <w:numId w:val="2"/>
        </w:numPr>
        <w:tabs>
          <w:tab w:val="left" w:pos="851"/>
        </w:tabs>
        <w:spacing w:before="220"/>
        <w:rPr>
          <w:rFonts w:eastAsia="Times" w:cs="Times New Roman"/>
          <w:szCs w:val="20"/>
        </w:rPr>
      </w:pPr>
      <w:r w:rsidRPr="007B5BE6">
        <w:rPr>
          <w:rFonts w:eastAsia="Times" w:cs="Times New Roman"/>
          <w:szCs w:val="20"/>
        </w:rPr>
        <w:t xml:space="preserve">As noted, </w:t>
      </w:r>
      <w:r w:rsidR="0043600C" w:rsidRPr="007B5BE6">
        <w:rPr>
          <w:rFonts w:eastAsia="Times" w:cs="Times New Roman"/>
          <w:szCs w:val="20"/>
        </w:rPr>
        <w:t>a key theme</w:t>
      </w:r>
      <w:r w:rsidR="006E4D78" w:rsidRPr="007B5BE6">
        <w:rPr>
          <w:rFonts w:eastAsia="Times" w:cs="Times New Roman"/>
          <w:szCs w:val="20"/>
        </w:rPr>
        <w:t>,</w:t>
      </w:r>
      <w:r w:rsidR="0043600C" w:rsidRPr="007B5BE6">
        <w:rPr>
          <w:rFonts w:eastAsia="Times" w:cs="Times New Roman"/>
          <w:szCs w:val="20"/>
        </w:rPr>
        <w:t xml:space="preserve"> from the TLRI’s interviews with </w:t>
      </w:r>
      <w:r w:rsidR="00EB5655" w:rsidRPr="007B5BE6">
        <w:rPr>
          <w:rFonts w:eastAsia="Times" w:cs="Times New Roman"/>
          <w:szCs w:val="20"/>
        </w:rPr>
        <w:t>stakeholder</w:t>
      </w:r>
      <w:r w:rsidR="00444972" w:rsidRPr="007B5BE6">
        <w:rPr>
          <w:rFonts w:eastAsia="Times" w:cs="Times New Roman"/>
          <w:szCs w:val="20"/>
        </w:rPr>
        <w:t>s</w:t>
      </w:r>
      <w:r w:rsidR="006E4D78" w:rsidRPr="007B5BE6">
        <w:rPr>
          <w:rFonts w:eastAsia="Times" w:cs="Times New Roman"/>
          <w:szCs w:val="20"/>
        </w:rPr>
        <w:t>,</w:t>
      </w:r>
      <w:r w:rsidR="0043600C" w:rsidRPr="007B5BE6">
        <w:rPr>
          <w:rFonts w:eastAsia="Times" w:cs="Times New Roman"/>
          <w:szCs w:val="20"/>
        </w:rPr>
        <w:t xml:space="preserve"> was </w:t>
      </w:r>
      <w:r w:rsidR="0096001C" w:rsidRPr="007B5BE6">
        <w:rPr>
          <w:rFonts w:eastAsia="Times" w:cs="Times New Roman"/>
          <w:szCs w:val="20"/>
        </w:rPr>
        <w:t xml:space="preserve">support for an overarching approach to safeguarding older people. </w:t>
      </w:r>
      <w:r w:rsidR="00FF62BA" w:rsidRPr="007B5BE6">
        <w:rPr>
          <w:rFonts w:eastAsia="Times" w:cs="Times New Roman"/>
          <w:szCs w:val="20"/>
        </w:rPr>
        <w:t>Stakeholder v</w:t>
      </w:r>
      <w:r w:rsidR="0044499E" w:rsidRPr="007B5BE6">
        <w:rPr>
          <w:rFonts w:eastAsia="Times" w:cs="Times New Roman"/>
          <w:szCs w:val="20"/>
        </w:rPr>
        <w:t>iews</w:t>
      </w:r>
      <w:r w:rsidR="0048422F" w:rsidRPr="007B5BE6">
        <w:rPr>
          <w:rFonts w:eastAsia="Times" w:cs="Times New Roman"/>
          <w:szCs w:val="20"/>
        </w:rPr>
        <w:t xml:space="preserve"> expressed on the general scope and operation of a more overarching approach to safeguarding of older </w:t>
      </w:r>
      <w:r w:rsidR="0023195A" w:rsidRPr="007B5BE6">
        <w:rPr>
          <w:rFonts w:eastAsia="Times" w:cs="Times New Roman"/>
          <w:szCs w:val="20"/>
        </w:rPr>
        <w:t>people indicated that</w:t>
      </w:r>
      <w:r w:rsidR="0048422F" w:rsidRPr="007B5BE6">
        <w:rPr>
          <w:rFonts w:eastAsia="Times" w:cs="Times New Roman"/>
          <w:szCs w:val="20"/>
        </w:rPr>
        <w:t>:</w:t>
      </w:r>
    </w:p>
    <w:p w14:paraId="7F9B41B0" w14:textId="2C7017A8" w:rsidR="0048422F" w:rsidRPr="007B5BE6" w:rsidRDefault="00D40724" w:rsidP="0048422F">
      <w:pPr>
        <w:numPr>
          <w:ilvl w:val="0"/>
          <w:numId w:val="1"/>
        </w:numPr>
        <w:spacing w:after="120"/>
        <w:rPr>
          <w:rFonts w:eastAsia="Times New Roman" w:cs="Times New Roman"/>
        </w:rPr>
      </w:pPr>
      <w:r w:rsidRPr="007B5BE6">
        <w:rPr>
          <w:rFonts w:eastAsia="Times New Roman" w:cs="Times New Roman"/>
        </w:rPr>
        <w:t>L</w:t>
      </w:r>
      <w:r w:rsidR="0048422F" w:rsidRPr="007B5BE6">
        <w:rPr>
          <w:rFonts w:eastAsia="Times New Roman" w:cs="Times New Roman"/>
        </w:rPr>
        <w:t>aws aimed at protecti</w:t>
      </w:r>
      <w:r w:rsidR="00FF62BA" w:rsidRPr="007B5BE6">
        <w:rPr>
          <w:rFonts w:eastAsia="Times New Roman" w:cs="Times New Roman"/>
        </w:rPr>
        <w:t xml:space="preserve">ng older people </w:t>
      </w:r>
      <w:r w:rsidR="0048422F" w:rsidRPr="007B5BE6">
        <w:rPr>
          <w:rFonts w:eastAsia="Times New Roman" w:cs="Times New Roman"/>
        </w:rPr>
        <w:t xml:space="preserve">from harm and upholding </w:t>
      </w:r>
      <w:r w:rsidR="00FF62BA" w:rsidRPr="007B5BE6">
        <w:rPr>
          <w:rFonts w:eastAsia="Times New Roman" w:cs="Times New Roman"/>
        </w:rPr>
        <w:t xml:space="preserve">their </w:t>
      </w:r>
      <w:r w:rsidR="0048422F" w:rsidRPr="007B5BE6">
        <w:rPr>
          <w:rFonts w:eastAsia="Times New Roman" w:cs="Times New Roman"/>
        </w:rPr>
        <w:t>rights</w:t>
      </w:r>
      <w:r w:rsidRPr="007B5BE6">
        <w:rPr>
          <w:rFonts w:eastAsia="Times New Roman" w:cs="Times New Roman"/>
        </w:rPr>
        <w:t xml:space="preserve"> require a broader focus than </w:t>
      </w:r>
      <w:r w:rsidR="007F72FD" w:rsidRPr="007B5BE6">
        <w:rPr>
          <w:rFonts w:eastAsia="Times New Roman" w:cs="Times New Roman"/>
        </w:rPr>
        <w:t xml:space="preserve">one that is limited to </w:t>
      </w:r>
      <w:r w:rsidR="0048422F" w:rsidRPr="007B5BE6">
        <w:rPr>
          <w:rFonts w:eastAsia="Times New Roman" w:cs="Times New Roman"/>
        </w:rPr>
        <w:t>people with impaired decision-making ability.</w:t>
      </w:r>
      <w:r w:rsidR="00C51D4B" w:rsidRPr="007B5BE6">
        <w:rPr>
          <w:rStyle w:val="FootnoteReference"/>
          <w:rFonts w:eastAsia="Times New Roman" w:cs="Times New Roman"/>
        </w:rPr>
        <w:footnoteReference w:id="468"/>
      </w:r>
      <w:r w:rsidR="0048422F" w:rsidRPr="007B5BE6">
        <w:rPr>
          <w:rFonts w:eastAsia="Times New Roman" w:cs="Times New Roman"/>
        </w:rPr>
        <w:t xml:space="preserve"> </w:t>
      </w:r>
    </w:p>
    <w:p w14:paraId="0233EEAF" w14:textId="00BFA9CE" w:rsidR="0048422F" w:rsidRPr="007B5BE6" w:rsidRDefault="0048422F" w:rsidP="0048422F">
      <w:pPr>
        <w:numPr>
          <w:ilvl w:val="0"/>
          <w:numId w:val="1"/>
        </w:numPr>
        <w:spacing w:after="120"/>
        <w:rPr>
          <w:rFonts w:eastAsia="Times New Roman" w:cs="Times New Roman"/>
        </w:rPr>
      </w:pPr>
      <w:r w:rsidRPr="007B5BE6">
        <w:rPr>
          <w:rFonts w:eastAsia="Times New Roman" w:cs="Times New Roman"/>
        </w:rPr>
        <w:t xml:space="preserve">There is a need for an entity to be able to receive and respond to </w:t>
      </w:r>
      <w:r w:rsidR="007F72FD" w:rsidRPr="007B5BE6">
        <w:rPr>
          <w:rFonts w:eastAsia="Times New Roman" w:cs="Times New Roman"/>
        </w:rPr>
        <w:t xml:space="preserve">the </w:t>
      </w:r>
      <w:r w:rsidRPr="007B5BE6">
        <w:rPr>
          <w:rFonts w:eastAsia="Times New Roman" w:cs="Times New Roman"/>
        </w:rPr>
        <w:t>abuse of older people, which is separate from a justice response via Tasmania Police, but can link in with</w:t>
      </w:r>
      <w:r w:rsidR="006A04A7" w:rsidRPr="007B5BE6">
        <w:rPr>
          <w:rFonts w:eastAsia="Times New Roman" w:cs="Times New Roman"/>
        </w:rPr>
        <w:t xml:space="preserve"> a service, such as Tasmania Police, when such</w:t>
      </w:r>
      <w:r w:rsidRPr="007B5BE6">
        <w:rPr>
          <w:rFonts w:eastAsia="Times New Roman" w:cs="Times New Roman"/>
        </w:rPr>
        <w:t xml:space="preserve"> a </w:t>
      </w:r>
      <w:r w:rsidR="006A04A7" w:rsidRPr="007B5BE6">
        <w:rPr>
          <w:rFonts w:eastAsia="Times New Roman" w:cs="Times New Roman"/>
        </w:rPr>
        <w:t xml:space="preserve">response </w:t>
      </w:r>
      <w:r w:rsidR="006E4D78" w:rsidRPr="007B5BE6">
        <w:rPr>
          <w:rFonts w:eastAsia="Times New Roman" w:cs="Times New Roman"/>
        </w:rPr>
        <w:t xml:space="preserve">is </w:t>
      </w:r>
      <w:r w:rsidRPr="007B5BE6">
        <w:rPr>
          <w:rFonts w:eastAsia="Times New Roman" w:cs="Times New Roman"/>
        </w:rPr>
        <w:t>needed (for example, powers of entry</w:t>
      </w:r>
      <w:r w:rsidR="005A1384" w:rsidRPr="007B5BE6">
        <w:rPr>
          <w:rFonts w:eastAsia="Times New Roman" w:cs="Times New Roman"/>
        </w:rPr>
        <w:t xml:space="preserve"> for </w:t>
      </w:r>
      <w:r w:rsidR="007D67AF" w:rsidRPr="007B5BE6">
        <w:rPr>
          <w:rFonts w:eastAsia="Times New Roman" w:cs="Times New Roman"/>
        </w:rPr>
        <w:t>relevant officers of agencies,</w:t>
      </w:r>
      <w:r w:rsidRPr="007B5BE6">
        <w:rPr>
          <w:rFonts w:eastAsia="Times New Roman" w:cs="Times New Roman"/>
        </w:rPr>
        <w:t xml:space="preserve"> or referral of matters that may </w:t>
      </w:r>
      <w:r w:rsidR="006A04A7" w:rsidRPr="007B5BE6">
        <w:rPr>
          <w:rFonts w:eastAsia="Times New Roman" w:cs="Times New Roman"/>
        </w:rPr>
        <w:t xml:space="preserve">involve suspected </w:t>
      </w:r>
      <w:r w:rsidRPr="007B5BE6">
        <w:rPr>
          <w:rFonts w:eastAsia="Times New Roman" w:cs="Times New Roman"/>
        </w:rPr>
        <w:t xml:space="preserve">criminal </w:t>
      </w:r>
      <w:r w:rsidR="006A04A7" w:rsidRPr="007B5BE6">
        <w:rPr>
          <w:rFonts w:eastAsia="Times New Roman" w:cs="Times New Roman"/>
        </w:rPr>
        <w:t xml:space="preserve">behaviour </w:t>
      </w:r>
      <w:r w:rsidRPr="007B5BE6">
        <w:rPr>
          <w:rFonts w:eastAsia="Times New Roman" w:cs="Times New Roman"/>
        </w:rPr>
        <w:t>to other relevant agencies).</w:t>
      </w:r>
      <w:r w:rsidR="00C51D4B" w:rsidRPr="007B5BE6">
        <w:rPr>
          <w:rStyle w:val="FootnoteReference"/>
          <w:rFonts w:eastAsia="Times New Roman" w:cs="Times New Roman"/>
        </w:rPr>
        <w:footnoteReference w:id="469"/>
      </w:r>
    </w:p>
    <w:p w14:paraId="1D5858DD" w14:textId="1BF190E1" w:rsidR="0048422F" w:rsidRPr="007B5BE6" w:rsidRDefault="0048422F" w:rsidP="0048422F">
      <w:pPr>
        <w:numPr>
          <w:ilvl w:val="0"/>
          <w:numId w:val="1"/>
        </w:numPr>
        <w:spacing w:after="120"/>
        <w:rPr>
          <w:rFonts w:eastAsia="Times New Roman" w:cs="Times New Roman"/>
        </w:rPr>
      </w:pPr>
      <w:r w:rsidRPr="007B5BE6">
        <w:rPr>
          <w:rFonts w:eastAsia="Times New Roman" w:cs="Times New Roman"/>
        </w:rPr>
        <w:t>Any overarching safeguarding approach should operate as ‘one gateway’ to receive all reported concerns</w:t>
      </w:r>
      <w:r w:rsidR="007D67AF" w:rsidRPr="007B5BE6">
        <w:rPr>
          <w:rFonts w:eastAsia="Times New Roman" w:cs="Times New Roman"/>
        </w:rPr>
        <w:t xml:space="preserve"> of abuse of an older person</w:t>
      </w:r>
      <w:r w:rsidRPr="007B5BE6">
        <w:rPr>
          <w:rFonts w:eastAsia="Times New Roman" w:cs="Times New Roman"/>
        </w:rPr>
        <w:t>, which can then be triaged or referred using current referral pathways</w:t>
      </w:r>
      <w:r w:rsidR="00B200A5" w:rsidRPr="007B5BE6">
        <w:rPr>
          <w:rFonts w:eastAsia="Times New Roman" w:cs="Times New Roman"/>
        </w:rPr>
        <w:t xml:space="preserve">. The approach should include </w:t>
      </w:r>
      <w:r w:rsidRPr="007B5BE6">
        <w:rPr>
          <w:rFonts w:eastAsia="Times New Roman" w:cs="Times New Roman"/>
        </w:rPr>
        <w:t xml:space="preserve">community education </w:t>
      </w:r>
      <w:r w:rsidR="00B200A5" w:rsidRPr="007B5BE6">
        <w:rPr>
          <w:rFonts w:eastAsia="Times New Roman" w:cs="Times New Roman"/>
        </w:rPr>
        <w:t>as</w:t>
      </w:r>
      <w:r w:rsidRPr="007B5BE6">
        <w:rPr>
          <w:rFonts w:eastAsia="Times New Roman" w:cs="Times New Roman"/>
        </w:rPr>
        <w:t xml:space="preserve"> a key component</w:t>
      </w:r>
      <w:r w:rsidR="00EA2BEF" w:rsidRPr="007B5BE6">
        <w:rPr>
          <w:rFonts w:eastAsia="Times New Roman" w:cs="Times New Roman"/>
        </w:rPr>
        <w:t>.</w:t>
      </w:r>
      <w:r w:rsidR="00C51D4B" w:rsidRPr="007B5BE6">
        <w:rPr>
          <w:rStyle w:val="FootnoteReference"/>
          <w:rFonts w:eastAsia="Times New Roman" w:cs="Times New Roman"/>
        </w:rPr>
        <w:footnoteReference w:id="470"/>
      </w:r>
      <w:r w:rsidR="0088497B" w:rsidRPr="007B5BE6">
        <w:rPr>
          <w:rFonts w:eastAsia="Times New Roman" w:cs="Times New Roman"/>
        </w:rPr>
        <w:t xml:space="preserve"> For example, one stakeholder said:</w:t>
      </w:r>
    </w:p>
    <w:p w14:paraId="2EFB1DC4" w14:textId="21C571E5" w:rsidR="007E03D3" w:rsidRPr="007B5BE6" w:rsidRDefault="0048422F" w:rsidP="003D451B">
      <w:pPr>
        <w:pStyle w:val="Indentedquote"/>
        <w:ind w:left="1440"/>
        <w:rPr>
          <w:sz w:val="20"/>
          <w:szCs w:val="20"/>
        </w:rPr>
      </w:pPr>
      <w:r w:rsidRPr="007B5BE6">
        <w:rPr>
          <w:sz w:val="20"/>
          <w:szCs w:val="20"/>
        </w:rPr>
        <w:t>I believe there should be a gateway</w:t>
      </w:r>
      <w:r w:rsidR="00B200A5" w:rsidRPr="007B5BE6">
        <w:rPr>
          <w:sz w:val="20"/>
          <w:szCs w:val="20"/>
        </w:rPr>
        <w:t>,</w:t>
      </w:r>
      <w:r w:rsidRPr="007B5BE6">
        <w:rPr>
          <w:sz w:val="20"/>
          <w:szCs w:val="20"/>
        </w:rPr>
        <w:t xml:space="preserve"> for </w:t>
      </w:r>
      <w:r w:rsidR="00B200A5" w:rsidRPr="007B5BE6">
        <w:rPr>
          <w:sz w:val="20"/>
          <w:szCs w:val="20"/>
        </w:rPr>
        <w:t xml:space="preserve">want </w:t>
      </w:r>
      <w:r w:rsidRPr="007B5BE6">
        <w:rPr>
          <w:sz w:val="20"/>
          <w:szCs w:val="20"/>
        </w:rPr>
        <w:t xml:space="preserve">of </w:t>
      </w:r>
      <w:r w:rsidR="00B200A5" w:rsidRPr="007B5BE6">
        <w:rPr>
          <w:sz w:val="20"/>
          <w:szCs w:val="20"/>
        </w:rPr>
        <w:t>a</w:t>
      </w:r>
      <w:r w:rsidRPr="007B5BE6">
        <w:rPr>
          <w:sz w:val="20"/>
          <w:szCs w:val="20"/>
        </w:rPr>
        <w:t xml:space="preserve"> better term</w:t>
      </w:r>
      <w:r w:rsidR="00EA2BEF" w:rsidRPr="007B5BE6">
        <w:rPr>
          <w:sz w:val="20"/>
          <w:szCs w:val="20"/>
        </w:rPr>
        <w:t xml:space="preserve"> … i</w:t>
      </w:r>
      <w:r w:rsidRPr="007B5BE6">
        <w:rPr>
          <w:sz w:val="20"/>
          <w:szCs w:val="20"/>
        </w:rPr>
        <w:t xml:space="preserve">t should be a gateway </w:t>
      </w:r>
      <w:r w:rsidR="00EA2BEF" w:rsidRPr="007B5BE6">
        <w:rPr>
          <w:sz w:val="20"/>
          <w:szCs w:val="20"/>
        </w:rPr>
        <w:t>… bec</w:t>
      </w:r>
      <w:r w:rsidRPr="007B5BE6">
        <w:rPr>
          <w:sz w:val="20"/>
          <w:szCs w:val="20"/>
        </w:rPr>
        <w:t xml:space="preserve">ause I think that would be a way of general oversight so people aren't lost in between the individual silos and they have almost </w:t>
      </w:r>
      <w:r w:rsidR="00EA2BEF" w:rsidRPr="007B5BE6">
        <w:rPr>
          <w:sz w:val="20"/>
          <w:szCs w:val="20"/>
        </w:rPr>
        <w:t xml:space="preserve">[have] </w:t>
      </w:r>
      <w:r w:rsidRPr="007B5BE6">
        <w:rPr>
          <w:sz w:val="20"/>
          <w:szCs w:val="20"/>
        </w:rPr>
        <w:t>a warm referral</w:t>
      </w:r>
      <w:r w:rsidR="00EA2BEF" w:rsidRPr="007B5BE6">
        <w:rPr>
          <w:sz w:val="20"/>
          <w:szCs w:val="20"/>
        </w:rPr>
        <w:t xml:space="preserve">, [a] </w:t>
      </w:r>
      <w:r w:rsidRPr="007B5BE6">
        <w:rPr>
          <w:sz w:val="20"/>
          <w:szCs w:val="20"/>
        </w:rPr>
        <w:t>warm hand over to the right area that can support them.</w:t>
      </w:r>
      <w:r w:rsidR="00C51D4B" w:rsidRPr="007B5BE6">
        <w:rPr>
          <w:rStyle w:val="FootnoteReference"/>
          <w:sz w:val="20"/>
          <w:szCs w:val="20"/>
        </w:rPr>
        <w:footnoteReference w:id="471"/>
      </w:r>
      <w:r w:rsidR="0044499E" w:rsidRPr="007B5BE6" w:rsidDel="0048422F">
        <w:rPr>
          <w:sz w:val="20"/>
          <w:szCs w:val="20"/>
        </w:rPr>
        <w:t xml:space="preserve"> </w:t>
      </w:r>
    </w:p>
    <w:p w14:paraId="3873A6AE" w14:textId="29A16060" w:rsidR="00D8555B" w:rsidRPr="007B5BE6" w:rsidRDefault="00D8555B" w:rsidP="00AE2D56">
      <w:pPr>
        <w:pStyle w:val="Sub-HeadingTLRI"/>
        <w:spacing w:before="360"/>
        <w:rPr>
          <w:b w:val="0"/>
          <w:i w:val="0"/>
        </w:rPr>
      </w:pPr>
      <w:bookmarkStart w:id="565" w:name="_Toc212561787"/>
      <w:r w:rsidRPr="007B5BE6">
        <w:t>Benefits of an overarching approach</w:t>
      </w:r>
      <w:bookmarkEnd w:id="565"/>
      <w:r w:rsidRPr="007B5BE6">
        <w:t xml:space="preserve"> </w:t>
      </w:r>
    </w:p>
    <w:p w14:paraId="47CE2DDD" w14:textId="6669F477" w:rsidR="00D8555B" w:rsidRPr="007B5BE6" w:rsidRDefault="0044499E" w:rsidP="00D8555B">
      <w:pPr>
        <w:numPr>
          <w:ilvl w:val="2"/>
          <w:numId w:val="2"/>
        </w:numPr>
        <w:tabs>
          <w:tab w:val="left" w:pos="851"/>
        </w:tabs>
        <w:spacing w:before="220"/>
        <w:rPr>
          <w:rFonts w:eastAsia="Times" w:cs="Times New Roman"/>
          <w:szCs w:val="20"/>
        </w:rPr>
      </w:pPr>
      <w:r w:rsidRPr="007B5BE6">
        <w:rPr>
          <w:rFonts w:eastAsia="Times" w:cs="Times New Roman"/>
          <w:szCs w:val="20"/>
        </w:rPr>
        <w:t>S</w:t>
      </w:r>
      <w:r w:rsidR="00D8555B" w:rsidRPr="007B5BE6">
        <w:rPr>
          <w:rFonts w:eastAsia="Times" w:cs="Times New Roman"/>
          <w:szCs w:val="20"/>
        </w:rPr>
        <w:t>takeholders identified numerous benefits of an</w:t>
      </w:r>
      <w:r w:rsidR="00BE305B" w:rsidRPr="007B5BE6">
        <w:rPr>
          <w:rFonts w:eastAsia="Times" w:cs="Times New Roman"/>
          <w:szCs w:val="20"/>
        </w:rPr>
        <w:t xml:space="preserve"> overarching</w:t>
      </w:r>
      <w:r w:rsidR="008B4573" w:rsidRPr="007B5BE6">
        <w:rPr>
          <w:rFonts w:eastAsia="Times" w:cs="Times New Roman"/>
          <w:szCs w:val="20"/>
        </w:rPr>
        <w:t xml:space="preserve"> </w:t>
      </w:r>
      <w:r w:rsidR="00D8555B" w:rsidRPr="007B5BE6">
        <w:rPr>
          <w:rFonts w:eastAsia="Times" w:cs="Times New Roman"/>
          <w:szCs w:val="20"/>
        </w:rPr>
        <w:t>approach to safeguarding against the abuse of older people</w:t>
      </w:r>
      <w:r w:rsidR="000E7A8F" w:rsidRPr="007B5BE6">
        <w:rPr>
          <w:rFonts w:eastAsia="Times" w:cs="Times New Roman"/>
          <w:szCs w:val="20"/>
        </w:rPr>
        <w:t xml:space="preserve">, </w:t>
      </w:r>
      <w:r w:rsidR="00B82BE2" w:rsidRPr="007B5BE6">
        <w:rPr>
          <w:rFonts w:eastAsia="Times" w:cs="Times New Roman"/>
          <w:szCs w:val="20"/>
        </w:rPr>
        <w:t xml:space="preserve">underpinned </w:t>
      </w:r>
      <w:r w:rsidR="00154C3F" w:rsidRPr="007B5BE6">
        <w:rPr>
          <w:rFonts w:eastAsia="Times" w:cs="Times New Roman"/>
          <w:szCs w:val="20"/>
        </w:rPr>
        <w:t xml:space="preserve">by a </w:t>
      </w:r>
      <w:r w:rsidR="00A950E3" w:rsidRPr="007B5BE6">
        <w:rPr>
          <w:rFonts w:eastAsia="Times" w:cs="Times New Roman"/>
          <w:szCs w:val="20"/>
        </w:rPr>
        <w:t>‘subject-specific’</w:t>
      </w:r>
      <w:r w:rsidR="00154C3F" w:rsidRPr="007B5BE6">
        <w:rPr>
          <w:rFonts w:eastAsia="Times" w:cs="Times New Roman"/>
          <w:szCs w:val="20"/>
        </w:rPr>
        <w:t xml:space="preserve"> framework</w:t>
      </w:r>
      <w:r w:rsidR="00CC0270" w:rsidRPr="007B5BE6">
        <w:rPr>
          <w:rFonts w:eastAsia="Times" w:cs="Times New Roman"/>
          <w:szCs w:val="20"/>
        </w:rPr>
        <w:t>, meaning</w:t>
      </w:r>
      <w:r w:rsidR="00B82BE2" w:rsidRPr="007B5BE6">
        <w:rPr>
          <w:rFonts w:eastAsia="Times" w:cs="Times New Roman"/>
          <w:szCs w:val="20"/>
        </w:rPr>
        <w:t xml:space="preserve"> that</w:t>
      </w:r>
      <w:r w:rsidR="00CC0270" w:rsidRPr="007B5BE6">
        <w:rPr>
          <w:rFonts w:eastAsia="Times" w:cs="Times New Roman"/>
          <w:szCs w:val="20"/>
        </w:rPr>
        <w:t xml:space="preserve"> it </w:t>
      </w:r>
      <w:r w:rsidR="00426393" w:rsidRPr="007B5BE6">
        <w:rPr>
          <w:rFonts w:eastAsia="Times" w:cs="Times New Roman"/>
          <w:szCs w:val="20"/>
        </w:rPr>
        <w:t xml:space="preserve">has a dedicated focus </w:t>
      </w:r>
      <w:proofErr w:type="gramStart"/>
      <w:r w:rsidR="00426393" w:rsidRPr="007B5BE6">
        <w:rPr>
          <w:rFonts w:eastAsia="Times" w:cs="Times New Roman"/>
          <w:szCs w:val="20"/>
        </w:rPr>
        <w:t xml:space="preserve">on the </w:t>
      </w:r>
      <w:r w:rsidR="008B4573" w:rsidRPr="007B5BE6">
        <w:rPr>
          <w:rFonts w:eastAsia="Times" w:cs="Times New Roman"/>
          <w:szCs w:val="20"/>
        </w:rPr>
        <w:t>subject of the</w:t>
      </w:r>
      <w:proofErr w:type="gramEnd"/>
      <w:r w:rsidR="008B4573" w:rsidRPr="007B5BE6">
        <w:rPr>
          <w:rFonts w:eastAsia="Times" w:cs="Times New Roman"/>
          <w:szCs w:val="20"/>
        </w:rPr>
        <w:t xml:space="preserve"> abuse of older people</w:t>
      </w:r>
      <w:r w:rsidRPr="007B5BE6">
        <w:rPr>
          <w:rFonts w:eastAsia="Times" w:cs="Times New Roman"/>
          <w:szCs w:val="20"/>
        </w:rPr>
        <w:t>. These included that</w:t>
      </w:r>
      <w:r w:rsidR="00D8555B" w:rsidRPr="007B5BE6">
        <w:rPr>
          <w:rFonts w:eastAsia="Times" w:cs="Times New Roman"/>
          <w:szCs w:val="20"/>
        </w:rPr>
        <w:t>:</w:t>
      </w:r>
    </w:p>
    <w:p w14:paraId="4BC24A28" w14:textId="6612E090"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It allows for the development of a response that includes trauma-informed care and expertise regarding older people</w:t>
      </w:r>
      <w:r w:rsidR="00871D5D" w:rsidRPr="007B5BE6">
        <w:rPr>
          <w:rFonts w:eastAsia="Times New Roman" w:cs="Times New Roman"/>
        </w:rPr>
        <w:t>,</w:t>
      </w:r>
      <w:r w:rsidRPr="007B5BE6">
        <w:rPr>
          <w:rFonts w:eastAsia="Times New Roman" w:cs="Times New Roman"/>
        </w:rPr>
        <w:t xml:space="preserve"> and their circumstances and experiences specific to the Tasmanian context.</w:t>
      </w:r>
      <w:r w:rsidR="00C51D4B" w:rsidRPr="007B5BE6">
        <w:rPr>
          <w:rStyle w:val="FootnoteReference"/>
          <w:rFonts w:eastAsia="Times New Roman" w:cs="Times New Roman"/>
        </w:rPr>
        <w:footnoteReference w:id="472"/>
      </w:r>
      <w:r w:rsidRPr="007B5BE6">
        <w:rPr>
          <w:rFonts w:eastAsia="Times New Roman" w:cs="Times New Roman"/>
        </w:rPr>
        <w:t xml:space="preserve"> </w:t>
      </w:r>
    </w:p>
    <w:p w14:paraId="77A3B652" w14:textId="307B2B73"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Having an entity or a body that is independent from other bodies and from the </w:t>
      </w:r>
      <w:r w:rsidR="009E74C9" w:rsidRPr="007B5BE6">
        <w:rPr>
          <w:rFonts w:eastAsia="Times New Roman" w:cs="Times New Roman"/>
        </w:rPr>
        <w:t xml:space="preserve">older </w:t>
      </w:r>
      <w:r w:rsidRPr="007B5BE6">
        <w:rPr>
          <w:rFonts w:eastAsia="Times New Roman" w:cs="Times New Roman"/>
        </w:rPr>
        <w:t>person provides some separation from any intervention that may occur</w:t>
      </w:r>
      <w:r w:rsidR="009E74C9" w:rsidRPr="007B5BE6">
        <w:rPr>
          <w:rFonts w:eastAsia="Times New Roman" w:cs="Times New Roman"/>
        </w:rPr>
        <w:t xml:space="preserve">. This could therefore </w:t>
      </w:r>
      <w:r w:rsidRPr="007B5BE6">
        <w:rPr>
          <w:rFonts w:eastAsia="Times New Roman" w:cs="Times New Roman"/>
        </w:rPr>
        <w:t xml:space="preserve">assist in </w:t>
      </w:r>
      <w:r w:rsidRPr="007B5BE6">
        <w:rPr>
          <w:rFonts w:eastAsia="Times New Roman" w:cs="Times New Roman"/>
        </w:rPr>
        <w:lastRenderedPageBreak/>
        <w:t xml:space="preserve">reducing </w:t>
      </w:r>
      <w:r w:rsidR="009E74C9" w:rsidRPr="007B5BE6">
        <w:rPr>
          <w:rFonts w:eastAsia="Times New Roman" w:cs="Times New Roman"/>
        </w:rPr>
        <w:t xml:space="preserve">an older person’s </w:t>
      </w:r>
      <w:r w:rsidRPr="007B5BE6">
        <w:rPr>
          <w:rFonts w:eastAsia="Times New Roman" w:cs="Times New Roman"/>
        </w:rPr>
        <w:t xml:space="preserve">concerns about being blamed </w:t>
      </w:r>
      <w:r w:rsidR="00752BAC" w:rsidRPr="007B5BE6">
        <w:rPr>
          <w:rFonts w:eastAsia="Times New Roman" w:cs="Times New Roman"/>
        </w:rPr>
        <w:t xml:space="preserve">by, </w:t>
      </w:r>
      <w:r w:rsidRPr="007B5BE6">
        <w:rPr>
          <w:rFonts w:eastAsia="Times New Roman" w:cs="Times New Roman"/>
        </w:rPr>
        <w:t xml:space="preserve">or </w:t>
      </w:r>
      <w:r w:rsidR="009E74C9" w:rsidRPr="007B5BE6">
        <w:rPr>
          <w:rFonts w:eastAsia="Times New Roman" w:cs="Times New Roman"/>
        </w:rPr>
        <w:t xml:space="preserve">experiencing </w:t>
      </w:r>
      <w:r w:rsidRPr="007B5BE6">
        <w:rPr>
          <w:rFonts w:eastAsia="Times New Roman" w:cs="Times New Roman"/>
        </w:rPr>
        <w:t xml:space="preserve">retaliation </w:t>
      </w:r>
      <w:r w:rsidR="00752BAC" w:rsidRPr="007B5BE6">
        <w:rPr>
          <w:rFonts w:eastAsia="Times New Roman" w:cs="Times New Roman"/>
        </w:rPr>
        <w:t>from,</w:t>
      </w:r>
      <w:r w:rsidRPr="007B5BE6">
        <w:rPr>
          <w:rFonts w:eastAsia="Times New Roman" w:cs="Times New Roman"/>
        </w:rPr>
        <w:t xml:space="preserve"> family members</w:t>
      </w:r>
      <w:r w:rsidR="005807AE" w:rsidRPr="007B5BE6">
        <w:rPr>
          <w:rFonts w:eastAsia="Times New Roman" w:cs="Times New Roman"/>
        </w:rPr>
        <w:t xml:space="preserve"> </w:t>
      </w:r>
      <w:r w:rsidR="00441C3C" w:rsidRPr="007B5BE6">
        <w:rPr>
          <w:rFonts w:eastAsia="Times New Roman" w:cs="Times New Roman"/>
        </w:rPr>
        <w:t>following any</w:t>
      </w:r>
      <w:r w:rsidR="00B75FDF" w:rsidRPr="007B5BE6">
        <w:rPr>
          <w:rFonts w:eastAsia="Times New Roman" w:cs="Times New Roman"/>
        </w:rPr>
        <w:t xml:space="preserve"> service or </w:t>
      </w:r>
      <w:r w:rsidR="002004A7" w:rsidRPr="007B5BE6">
        <w:rPr>
          <w:rFonts w:eastAsia="Times New Roman" w:cs="Times New Roman"/>
        </w:rPr>
        <w:t>legal response</w:t>
      </w:r>
      <w:r w:rsidR="00752BAC" w:rsidRPr="007B5BE6">
        <w:rPr>
          <w:rFonts w:eastAsia="Times New Roman" w:cs="Times New Roman"/>
        </w:rPr>
        <w:t xml:space="preserve">; </w:t>
      </w:r>
      <w:r w:rsidR="00C51D4B" w:rsidRPr="007B5BE6">
        <w:rPr>
          <w:rFonts w:eastAsia="Times New Roman" w:cs="Times New Roman"/>
        </w:rPr>
        <w:t>thus,</w:t>
      </w:r>
      <w:r w:rsidR="002004A7" w:rsidRPr="007B5BE6">
        <w:rPr>
          <w:rFonts w:eastAsia="Times New Roman" w:cs="Times New Roman"/>
        </w:rPr>
        <w:t xml:space="preserve"> alleviat</w:t>
      </w:r>
      <w:r w:rsidR="00752BAC" w:rsidRPr="007B5BE6">
        <w:rPr>
          <w:rFonts w:eastAsia="Times New Roman" w:cs="Times New Roman"/>
        </w:rPr>
        <w:t>ing</w:t>
      </w:r>
      <w:r w:rsidR="002004A7" w:rsidRPr="007B5BE6">
        <w:rPr>
          <w:rFonts w:eastAsia="Times New Roman" w:cs="Times New Roman"/>
        </w:rPr>
        <w:t xml:space="preserve"> s</w:t>
      </w:r>
      <w:r w:rsidRPr="007B5BE6">
        <w:rPr>
          <w:rFonts w:eastAsia="Times New Roman" w:cs="Times New Roman"/>
        </w:rPr>
        <w:t>ome of the pressure and burden</w:t>
      </w:r>
      <w:r w:rsidR="002004A7" w:rsidRPr="007B5BE6">
        <w:rPr>
          <w:rFonts w:eastAsia="Times New Roman" w:cs="Times New Roman"/>
        </w:rPr>
        <w:t xml:space="preserve"> felt by older people </w:t>
      </w:r>
      <w:r w:rsidR="00BD3267" w:rsidRPr="007B5BE6">
        <w:rPr>
          <w:rFonts w:eastAsia="Times New Roman" w:cs="Times New Roman"/>
        </w:rPr>
        <w:t>that can operate as a barrier for seeking intervention under the current legal framework</w:t>
      </w:r>
      <w:r w:rsidR="00FC4E5F" w:rsidRPr="007B5BE6">
        <w:rPr>
          <w:rFonts w:eastAsia="Times New Roman" w:cs="Times New Roman"/>
        </w:rPr>
        <w:t xml:space="preserve">. </w:t>
      </w:r>
      <w:r w:rsidR="00CE4387" w:rsidRPr="007B5BE6">
        <w:rPr>
          <w:rFonts w:eastAsia="Times New Roman" w:cs="Times New Roman"/>
        </w:rPr>
        <w:t>For</w:t>
      </w:r>
      <w:r w:rsidRPr="007B5BE6">
        <w:rPr>
          <w:rFonts w:eastAsia="Times New Roman" w:cs="Times New Roman"/>
        </w:rPr>
        <w:t xml:space="preserve"> example</w:t>
      </w:r>
      <w:r w:rsidR="00CE4387" w:rsidRPr="007B5BE6">
        <w:rPr>
          <w:rFonts w:eastAsia="Times New Roman" w:cs="Times New Roman"/>
        </w:rPr>
        <w:t xml:space="preserve">, stakeholders identified such barriers </w:t>
      </w:r>
      <w:r w:rsidRPr="007B5BE6">
        <w:rPr>
          <w:rFonts w:eastAsia="Times New Roman" w:cs="Times New Roman"/>
        </w:rPr>
        <w:t>regarding restraint orders.</w:t>
      </w:r>
      <w:r w:rsidR="00C51D4B" w:rsidRPr="007B5BE6">
        <w:rPr>
          <w:rStyle w:val="FootnoteReference"/>
          <w:rFonts w:eastAsia="Times New Roman" w:cs="Times New Roman"/>
        </w:rPr>
        <w:footnoteReference w:id="473"/>
      </w:r>
      <w:r w:rsidRPr="007B5BE6">
        <w:rPr>
          <w:rFonts w:eastAsia="Times New Roman" w:cs="Times New Roman"/>
        </w:rPr>
        <w:t xml:space="preserve"> </w:t>
      </w:r>
    </w:p>
    <w:p w14:paraId="5E96672A" w14:textId="3E929010"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It can be empowering for an older person to have options when they are experiencing abuse.</w:t>
      </w:r>
      <w:r w:rsidR="00457A87" w:rsidRPr="007B5BE6">
        <w:rPr>
          <w:rStyle w:val="FootnoteReference"/>
          <w:rFonts w:eastAsia="Times New Roman" w:cs="Times New Roman"/>
        </w:rPr>
        <w:footnoteReference w:id="474"/>
      </w:r>
    </w:p>
    <w:p w14:paraId="4B00AE5E" w14:textId="20ED99C5"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It sends a message </w:t>
      </w:r>
      <w:r w:rsidR="00D03E33" w:rsidRPr="007B5BE6">
        <w:rPr>
          <w:rFonts w:eastAsia="Times New Roman" w:cs="Times New Roman"/>
        </w:rPr>
        <w:t xml:space="preserve">about acceptable standards, both </w:t>
      </w:r>
      <w:r w:rsidRPr="007B5BE6">
        <w:rPr>
          <w:rFonts w:eastAsia="Times New Roman" w:cs="Times New Roman"/>
        </w:rPr>
        <w:t>to the community and to people who may perpetrate abuse.</w:t>
      </w:r>
      <w:r w:rsidR="00457A87" w:rsidRPr="007B5BE6">
        <w:rPr>
          <w:rStyle w:val="FootnoteReference"/>
          <w:rFonts w:eastAsia="Times New Roman" w:cs="Times New Roman"/>
        </w:rPr>
        <w:footnoteReference w:id="475"/>
      </w:r>
    </w:p>
    <w:p w14:paraId="742E2C81" w14:textId="33E4ED93"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It provides a central point </w:t>
      </w:r>
      <w:r w:rsidR="00E34497" w:rsidRPr="007B5BE6">
        <w:rPr>
          <w:rFonts w:eastAsia="Times New Roman" w:cs="Times New Roman"/>
        </w:rPr>
        <w:t xml:space="preserve">for </w:t>
      </w:r>
      <w:r w:rsidR="00271B05" w:rsidRPr="007B5BE6">
        <w:rPr>
          <w:rFonts w:eastAsia="Times New Roman" w:cs="Times New Roman"/>
        </w:rPr>
        <w:t xml:space="preserve">all </w:t>
      </w:r>
      <w:r w:rsidRPr="007B5BE6">
        <w:rPr>
          <w:rFonts w:eastAsia="Times New Roman" w:cs="Times New Roman"/>
        </w:rPr>
        <w:t xml:space="preserve">people </w:t>
      </w:r>
      <w:r w:rsidR="00E34497" w:rsidRPr="007B5BE6">
        <w:rPr>
          <w:rFonts w:eastAsia="Times New Roman" w:cs="Times New Roman"/>
        </w:rPr>
        <w:t xml:space="preserve">to </w:t>
      </w:r>
      <w:r w:rsidRPr="007B5BE6">
        <w:rPr>
          <w:rFonts w:eastAsia="Times New Roman" w:cs="Times New Roman"/>
        </w:rPr>
        <w:t>report concerns</w:t>
      </w:r>
      <w:r w:rsidR="00271B05" w:rsidRPr="007B5BE6">
        <w:rPr>
          <w:rFonts w:eastAsia="Times New Roman" w:cs="Times New Roman"/>
        </w:rPr>
        <w:t xml:space="preserve"> about suspected abuse of an older person</w:t>
      </w:r>
      <w:r w:rsidRPr="007B5BE6">
        <w:rPr>
          <w:rFonts w:eastAsia="Times New Roman" w:cs="Times New Roman"/>
        </w:rPr>
        <w:t xml:space="preserve">, </w:t>
      </w:r>
      <w:r w:rsidR="00271B05" w:rsidRPr="007B5BE6">
        <w:rPr>
          <w:rFonts w:eastAsia="Times New Roman" w:cs="Times New Roman"/>
        </w:rPr>
        <w:t xml:space="preserve">and for older people </w:t>
      </w:r>
      <w:r w:rsidR="00515F20" w:rsidRPr="007B5BE6">
        <w:rPr>
          <w:rFonts w:eastAsia="Times New Roman" w:cs="Times New Roman"/>
        </w:rPr>
        <w:t xml:space="preserve">to </w:t>
      </w:r>
      <w:r w:rsidRPr="007B5BE6">
        <w:rPr>
          <w:rFonts w:eastAsia="Times New Roman" w:cs="Times New Roman"/>
        </w:rPr>
        <w:t>get assistance (if sought) and receive a response (if consented to).</w:t>
      </w:r>
      <w:r w:rsidR="00457A87" w:rsidRPr="007B5BE6">
        <w:rPr>
          <w:rStyle w:val="FootnoteReference"/>
          <w:rFonts w:eastAsia="Times New Roman" w:cs="Times New Roman"/>
        </w:rPr>
        <w:footnoteReference w:id="476"/>
      </w:r>
    </w:p>
    <w:p w14:paraId="2A6E4155" w14:textId="744E3E4B"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It ensures that there is a visible shared service system.</w:t>
      </w:r>
      <w:r w:rsidR="00457A87" w:rsidRPr="007B5BE6">
        <w:rPr>
          <w:rStyle w:val="FootnoteReference"/>
          <w:rFonts w:eastAsia="Times New Roman" w:cs="Times New Roman"/>
        </w:rPr>
        <w:footnoteReference w:id="477"/>
      </w:r>
    </w:p>
    <w:p w14:paraId="62CD2614" w14:textId="3D36017A"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It facilitates </w:t>
      </w:r>
      <w:r w:rsidR="004D46FB" w:rsidRPr="007B5BE6">
        <w:rPr>
          <w:rFonts w:eastAsia="Times New Roman" w:cs="Times New Roman"/>
        </w:rPr>
        <w:t>a more holistic approach to</w:t>
      </w:r>
      <w:r w:rsidR="005603AE" w:rsidRPr="007B5BE6">
        <w:rPr>
          <w:rFonts w:eastAsia="Times New Roman" w:cs="Times New Roman"/>
        </w:rPr>
        <w:t xml:space="preserve"> delivering</w:t>
      </w:r>
      <w:r w:rsidRPr="007B5BE6">
        <w:rPr>
          <w:rFonts w:eastAsia="Times New Roman" w:cs="Times New Roman"/>
        </w:rPr>
        <w:t xml:space="preserve"> community education around </w:t>
      </w:r>
      <w:r w:rsidR="004D46FB" w:rsidRPr="007B5BE6">
        <w:rPr>
          <w:rFonts w:eastAsia="Times New Roman" w:cs="Times New Roman"/>
        </w:rPr>
        <w:t>the abuse of older people</w:t>
      </w:r>
      <w:r w:rsidRPr="007B5BE6">
        <w:rPr>
          <w:rFonts w:eastAsia="Times New Roman" w:cs="Times New Roman"/>
        </w:rPr>
        <w:t>, especially</w:t>
      </w:r>
      <w:r w:rsidR="004D46FB" w:rsidRPr="007B5BE6">
        <w:rPr>
          <w:rFonts w:eastAsia="Times New Roman" w:cs="Times New Roman"/>
        </w:rPr>
        <w:t xml:space="preserve"> </w:t>
      </w:r>
      <w:r w:rsidR="00F9259E" w:rsidRPr="007B5BE6">
        <w:rPr>
          <w:rFonts w:eastAsia="Times New Roman" w:cs="Times New Roman"/>
        </w:rPr>
        <w:t>for</w:t>
      </w:r>
      <w:r w:rsidRPr="007B5BE6">
        <w:rPr>
          <w:rFonts w:eastAsia="Times New Roman" w:cs="Times New Roman"/>
        </w:rPr>
        <w:t xml:space="preserve"> people who may be at risk of perpetrating abuse, or </w:t>
      </w:r>
      <w:r w:rsidR="00ED0D55" w:rsidRPr="007B5BE6">
        <w:rPr>
          <w:rFonts w:eastAsia="Times New Roman" w:cs="Times New Roman"/>
        </w:rPr>
        <w:t xml:space="preserve">people </w:t>
      </w:r>
      <w:r w:rsidR="0004666C" w:rsidRPr="007B5BE6">
        <w:rPr>
          <w:rFonts w:eastAsia="Times New Roman" w:cs="Times New Roman"/>
        </w:rPr>
        <w:t xml:space="preserve">in </w:t>
      </w:r>
      <w:r w:rsidR="0061413C" w:rsidRPr="007B5BE6">
        <w:rPr>
          <w:rFonts w:eastAsia="Times New Roman" w:cs="Times New Roman"/>
        </w:rPr>
        <w:t xml:space="preserve">specific </w:t>
      </w:r>
      <w:r w:rsidR="0004666C" w:rsidRPr="007B5BE6">
        <w:rPr>
          <w:rFonts w:eastAsia="Times New Roman" w:cs="Times New Roman"/>
        </w:rPr>
        <w:t>contexts</w:t>
      </w:r>
      <w:r w:rsidR="004F4746" w:rsidRPr="007B5BE6">
        <w:rPr>
          <w:rFonts w:eastAsia="Times New Roman" w:cs="Times New Roman"/>
        </w:rPr>
        <w:t xml:space="preserve"> </w:t>
      </w:r>
      <w:r w:rsidR="00CA63A9" w:rsidRPr="007B5BE6">
        <w:rPr>
          <w:rFonts w:eastAsia="Times New Roman" w:cs="Times New Roman"/>
        </w:rPr>
        <w:t xml:space="preserve">identified by stakeholders as </w:t>
      </w:r>
      <w:r w:rsidR="00FE6477" w:rsidRPr="007B5BE6">
        <w:rPr>
          <w:rFonts w:eastAsia="Times New Roman" w:cs="Times New Roman"/>
        </w:rPr>
        <w:t xml:space="preserve">being prone </w:t>
      </w:r>
      <w:r w:rsidR="00ED6943" w:rsidRPr="007B5BE6">
        <w:rPr>
          <w:rFonts w:eastAsia="Times New Roman" w:cs="Times New Roman"/>
        </w:rPr>
        <w:t>for abusive beh</w:t>
      </w:r>
      <w:r w:rsidR="0078113E" w:rsidRPr="007B5BE6">
        <w:rPr>
          <w:rFonts w:eastAsia="Times New Roman" w:cs="Times New Roman"/>
        </w:rPr>
        <w:t xml:space="preserve">aviours to </w:t>
      </w:r>
      <w:r w:rsidR="00FE6477" w:rsidRPr="007B5BE6">
        <w:rPr>
          <w:rFonts w:eastAsia="Times New Roman" w:cs="Times New Roman"/>
        </w:rPr>
        <w:t>develop</w:t>
      </w:r>
      <w:r w:rsidRPr="007B5BE6">
        <w:rPr>
          <w:rFonts w:eastAsia="Times New Roman" w:cs="Times New Roman"/>
        </w:rPr>
        <w:t xml:space="preserve">, for example </w:t>
      </w:r>
      <w:r w:rsidR="00D71EBE" w:rsidRPr="007B5BE6">
        <w:rPr>
          <w:rFonts w:eastAsia="Times New Roman" w:cs="Times New Roman"/>
        </w:rPr>
        <w:t xml:space="preserve">when </w:t>
      </w:r>
      <w:r w:rsidR="00E7037C" w:rsidRPr="007B5BE6">
        <w:rPr>
          <w:rFonts w:eastAsia="Times New Roman" w:cs="Times New Roman"/>
        </w:rPr>
        <w:t xml:space="preserve">people </w:t>
      </w:r>
      <w:r w:rsidR="00D71EBE" w:rsidRPr="007B5BE6">
        <w:rPr>
          <w:rFonts w:eastAsia="Times New Roman" w:cs="Times New Roman"/>
        </w:rPr>
        <w:t>have</w:t>
      </w:r>
      <w:r w:rsidR="00E7037C" w:rsidRPr="007B5BE6">
        <w:rPr>
          <w:rFonts w:eastAsia="Times New Roman" w:cs="Times New Roman"/>
        </w:rPr>
        <w:t xml:space="preserve"> </w:t>
      </w:r>
      <w:r w:rsidRPr="007B5BE6">
        <w:rPr>
          <w:rFonts w:eastAsia="Times New Roman" w:cs="Times New Roman"/>
        </w:rPr>
        <w:t>decision</w:t>
      </w:r>
      <w:r w:rsidR="00E7037C" w:rsidRPr="007B5BE6">
        <w:rPr>
          <w:rFonts w:eastAsia="Times New Roman" w:cs="Times New Roman"/>
        </w:rPr>
        <w:t>-</w:t>
      </w:r>
      <w:r w:rsidRPr="007B5BE6">
        <w:rPr>
          <w:rFonts w:eastAsia="Times New Roman" w:cs="Times New Roman"/>
        </w:rPr>
        <w:t>making power</w:t>
      </w:r>
      <w:r w:rsidR="0061413C" w:rsidRPr="007B5BE6">
        <w:rPr>
          <w:rFonts w:eastAsia="Times New Roman" w:cs="Times New Roman"/>
        </w:rPr>
        <w:t>s</w:t>
      </w:r>
      <w:r w:rsidRPr="007B5BE6">
        <w:rPr>
          <w:rFonts w:eastAsia="Times New Roman" w:cs="Times New Roman"/>
        </w:rPr>
        <w:t xml:space="preserve"> </w:t>
      </w:r>
      <w:r w:rsidR="00D71EBE" w:rsidRPr="007B5BE6">
        <w:rPr>
          <w:rFonts w:eastAsia="Times New Roman" w:cs="Times New Roman"/>
        </w:rPr>
        <w:t xml:space="preserve">or </w:t>
      </w:r>
      <w:r w:rsidRPr="007B5BE6">
        <w:rPr>
          <w:rFonts w:eastAsia="Times New Roman" w:cs="Times New Roman"/>
        </w:rPr>
        <w:t>care</w:t>
      </w:r>
      <w:r w:rsidR="00E7037C" w:rsidRPr="007B5BE6">
        <w:rPr>
          <w:rFonts w:eastAsia="Times New Roman" w:cs="Times New Roman"/>
        </w:rPr>
        <w:t xml:space="preserve">r </w:t>
      </w:r>
      <w:r w:rsidR="00F9259E" w:rsidRPr="007B5BE6">
        <w:rPr>
          <w:rFonts w:eastAsia="Times New Roman" w:cs="Times New Roman"/>
        </w:rPr>
        <w:t>responsibilities</w:t>
      </w:r>
      <w:r w:rsidR="0061413C" w:rsidRPr="007B5BE6">
        <w:rPr>
          <w:rFonts w:eastAsia="Times New Roman" w:cs="Times New Roman"/>
        </w:rPr>
        <w:t xml:space="preserve"> for older people</w:t>
      </w:r>
      <w:r w:rsidR="00FE6477" w:rsidRPr="007B5BE6">
        <w:rPr>
          <w:rFonts w:eastAsia="Times New Roman" w:cs="Times New Roman"/>
        </w:rPr>
        <w:t xml:space="preserve"> </w:t>
      </w:r>
      <w:r w:rsidRPr="007B5BE6">
        <w:rPr>
          <w:rFonts w:eastAsia="Times New Roman" w:cs="Times New Roman"/>
        </w:rPr>
        <w:t>(</w:t>
      </w:r>
      <w:r w:rsidR="00E808EF" w:rsidRPr="007B5BE6">
        <w:rPr>
          <w:rFonts w:eastAsia="Times New Roman" w:cs="Times New Roman"/>
        </w:rPr>
        <w:t>for example,</w:t>
      </w:r>
      <w:r w:rsidR="00FE6477" w:rsidRPr="007B5BE6">
        <w:rPr>
          <w:rFonts w:eastAsia="Times New Roman" w:cs="Times New Roman"/>
        </w:rPr>
        <w:t xml:space="preserve"> ideas discussed </w:t>
      </w:r>
      <w:r w:rsidR="008E0DDB" w:rsidRPr="007B5BE6">
        <w:rPr>
          <w:rFonts w:eastAsia="Times New Roman" w:cs="Times New Roman"/>
        </w:rPr>
        <w:t>around some abusive behaviours developing via</w:t>
      </w:r>
      <w:r w:rsidR="00E808EF" w:rsidRPr="007B5BE6">
        <w:rPr>
          <w:rFonts w:eastAsia="Times New Roman" w:cs="Times New Roman"/>
        </w:rPr>
        <w:t xml:space="preserve"> </w:t>
      </w:r>
      <w:r w:rsidR="009D6111" w:rsidRPr="007B5BE6">
        <w:rPr>
          <w:rFonts w:eastAsia="Times New Roman" w:cs="Times New Roman"/>
        </w:rPr>
        <w:t xml:space="preserve">a </w:t>
      </w:r>
      <w:r w:rsidRPr="007B5BE6">
        <w:rPr>
          <w:rFonts w:eastAsia="Times New Roman" w:cs="Times New Roman"/>
        </w:rPr>
        <w:t xml:space="preserve">‘slippery slope’ and </w:t>
      </w:r>
      <w:r w:rsidR="008E0DDB" w:rsidRPr="007B5BE6">
        <w:rPr>
          <w:rFonts w:eastAsia="Times New Roman" w:cs="Times New Roman"/>
        </w:rPr>
        <w:t xml:space="preserve">as </w:t>
      </w:r>
      <w:r w:rsidRPr="007B5BE6">
        <w:rPr>
          <w:rFonts w:eastAsia="Times New Roman" w:cs="Times New Roman"/>
        </w:rPr>
        <w:t>‘aggressive help’).</w:t>
      </w:r>
      <w:r w:rsidR="00457A87" w:rsidRPr="007B5BE6">
        <w:rPr>
          <w:rStyle w:val="FootnoteReference"/>
          <w:rFonts w:eastAsia="Times New Roman" w:cs="Times New Roman"/>
        </w:rPr>
        <w:footnoteReference w:id="478"/>
      </w:r>
      <w:r w:rsidRPr="007B5BE6">
        <w:rPr>
          <w:rFonts w:eastAsia="Times New Roman" w:cs="Times New Roman"/>
        </w:rPr>
        <w:t xml:space="preserve"> </w:t>
      </w:r>
    </w:p>
    <w:p w14:paraId="733AC30D" w14:textId="6F02E856"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It is amenable to current and ongoing policy developments in Tasmania and can be </w:t>
      </w:r>
      <w:r w:rsidR="00AD646A" w:rsidRPr="007B5BE6">
        <w:rPr>
          <w:rFonts w:eastAsia="Times New Roman" w:cs="Times New Roman"/>
        </w:rPr>
        <w:t xml:space="preserve">modelled </w:t>
      </w:r>
      <w:r w:rsidRPr="007B5BE6">
        <w:rPr>
          <w:rFonts w:eastAsia="Times New Roman" w:cs="Times New Roman"/>
        </w:rPr>
        <w:t>on existing frameworks that promote people’s rights, consistent with and following reforms to other Tasmanian legislation (</w:t>
      </w:r>
      <w:r w:rsidR="0056583D" w:rsidRPr="007B5BE6">
        <w:rPr>
          <w:rFonts w:eastAsia="Times New Roman" w:cs="Times New Roman"/>
        </w:rPr>
        <w:t xml:space="preserve">including the introduction of </w:t>
      </w:r>
      <w:r w:rsidR="00145AD8" w:rsidRPr="007B5BE6">
        <w:rPr>
          <w:rFonts w:eastAsia="Times New Roman" w:cs="Times New Roman"/>
        </w:rPr>
        <w:t xml:space="preserve">new </w:t>
      </w:r>
      <w:r w:rsidRPr="007B5BE6">
        <w:rPr>
          <w:rFonts w:eastAsia="Times New Roman" w:cs="Times New Roman"/>
        </w:rPr>
        <w:t>supported decision-making model and other amendments to guardianship and administration laws</w:t>
      </w:r>
      <w:r w:rsidR="007B18C2" w:rsidRPr="007B5BE6">
        <w:rPr>
          <w:rFonts w:eastAsia="Times New Roman" w:cs="Times New Roman"/>
        </w:rPr>
        <w:t>,</w:t>
      </w:r>
      <w:r w:rsidRPr="007B5BE6">
        <w:rPr>
          <w:rFonts w:eastAsia="Times New Roman" w:cs="Times New Roman"/>
        </w:rPr>
        <w:t xml:space="preserve"> and </w:t>
      </w:r>
      <w:r w:rsidR="007B18C2" w:rsidRPr="007B5BE6">
        <w:rPr>
          <w:rFonts w:eastAsia="Times New Roman" w:cs="Times New Roman"/>
        </w:rPr>
        <w:t xml:space="preserve">the </w:t>
      </w:r>
      <w:r w:rsidRPr="007B5BE6">
        <w:rPr>
          <w:rFonts w:eastAsia="Times New Roman" w:cs="Times New Roman"/>
        </w:rPr>
        <w:t>introduction of the new Disability Commissioner role</w:t>
      </w:r>
      <w:r w:rsidR="006A6C8E" w:rsidRPr="007B5BE6">
        <w:rPr>
          <w:rFonts w:eastAsia="Times New Roman" w:cs="Times New Roman"/>
        </w:rPr>
        <w:t>, underpinned</w:t>
      </w:r>
      <w:r w:rsidRPr="007B5BE6">
        <w:rPr>
          <w:rFonts w:eastAsia="Times New Roman" w:cs="Times New Roman"/>
        </w:rPr>
        <w:t xml:space="preserve"> by disability rights, inclusion and safeguarding legislation).</w:t>
      </w:r>
      <w:r w:rsidR="00457A87" w:rsidRPr="007B5BE6">
        <w:rPr>
          <w:rStyle w:val="FootnoteReference"/>
          <w:rFonts w:eastAsia="Times New Roman" w:cs="Times New Roman"/>
        </w:rPr>
        <w:footnoteReference w:id="479"/>
      </w:r>
    </w:p>
    <w:p w14:paraId="3059B83E" w14:textId="73EBB739"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It would enhance the </w:t>
      </w:r>
      <w:r w:rsidR="00A009D1" w:rsidRPr="007B5BE6">
        <w:rPr>
          <w:rFonts w:eastAsia="Times New Roman" w:cs="Times New Roman"/>
        </w:rPr>
        <w:t xml:space="preserve">current </w:t>
      </w:r>
      <w:r w:rsidRPr="007B5BE6">
        <w:rPr>
          <w:rFonts w:eastAsia="Times New Roman" w:cs="Times New Roman"/>
        </w:rPr>
        <w:t xml:space="preserve">legislative framework to provide a response to </w:t>
      </w:r>
      <w:r w:rsidR="00A009D1" w:rsidRPr="007B5BE6">
        <w:rPr>
          <w:rFonts w:eastAsia="Times New Roman" w:cs="Times New Roman"/>
        </w:rPr>
        <w:t xml:space="preserve">the </w:t>
      </w:r>
      <w:r w:rsidRPr="007B5BE6">
        <w:rPr>
          <w:rFonts w:eastAsia="Times New Roman" w:cs="Times New Roman"/>
        </w:rPr>
        <w:t>abuse of older people at an earlier stage</w:t>
      </w:r>
      <w:r w:rsidR="00A009D1" w:rsidRPr="007B5BE6">
        <w:rPr>
          <w:rFonts w:eastAsia="Times New Roman" w:cs="Times New Roman"/>
        </w:rPr>
        <w:t xml:space="preserve">, </w:t>
      </w:r>
      <w:r w:rsidR="002C3946" w:rsidRPr="007B5BE6">
        <w:rPr>
          <w:rFonts w:eastAsia="Times New Roman" w:cs="Times New Roman"/>
        </w:rPr>
        <w:t xml:space="preserve">thereby having the potential to </w:t>
      </w:r>
      <w:r w:rsidRPr="007B5BE6">
        <w:rPr>
          <w:rFonts w:eastAsia="Times New Roman" w:cs="Times New Roman"/>
        </w:rPr>
        <w:t>include a human services response</w:t>
      </w:r>
      <w:r w:rsidR="009424C6" w:rsidRPr="007B5BE6">
        <w:rPr>
          <w:rFonts w:eastAsia="Times New Roman" w:cs="Times New Roman"/>
        </w:rPr>
        <w:t>; whereas</w:t>
      </w:r>
      <w:r w:rsidR="00C17CBB" w:rsidRPr="007B5BE6">
        <w:rPr>
          <w:rFonts w:eastAsia="Times New Roman" w:cs="Times New Roman"/>
        </w:rPr>
        <w:t xml:space="preserve"> </w:t>
      </w:r>
      <w:r w:rsidRPr="007B5BE6">
        <w:rPr>
          <w:rFonts w:eastAsia="Times New Roman" w:cs="Times New Roman"/>
        </w:rPr>
        <w:t>criminal sanctions function more as a tertiary justice response.</w:t>
      </w:r>
      <w:r w:rsidR="00457A87" w:rsidRPr="007B5BE6">
        <w:rPr>
          <w:rStyle w:val="FootnoteReference"/>
          <w:rFonts w:eastAsia="Times New Roman" w:cs="Times New Roman"/>
        </w:rPr>
        <w:footnoteReference w:id="480"/>
      </w:r>
    </w:p>
    <w:p w14:paraId="7CFDF95D" w14:textId="7A16D79A" w:rsidR="00D8555B" w:rsidRPr="007B5BE6" w:rsidRDefault="009424C6" w:rsidP="00D8555B">
      <w:pPr>
        <w:numPr>
          <w:ilvl w:val="2"/>
          <w:numId w:val="2"/>
        </w:numPr>
        <w:tabs>
          <w:tab w:val="left" w:pos="851"/>
        </w:tabs>
        <w:spacing w:before="220"/>
        <w:rPr>
          <w:rFonts w:eastAsia="Times" w:cs="Times New Roman"/>
          <w:szCs w:val="20"/>
        </w:rPr>
      </w:pPr>
      <w:r w:rsidRPr="007B5BE6">
        <w:rPr>
          <w:rFonts w:eastAsia="Times" w:cs="Times New Roman"/>
          <w:szCs w:val="20"/>
        </w:rPr>
        <w:t xml:space="preserve">Stakeholders interviewed by the TLRI expressed </w:t>
      </w:r>
      <w:r w:rsidR="00D8555B" w:rsidRPr="007B5BE6">
        <w:rPr>
          <w:rFonts w:eastAsia="Times" w:cs="Times New Roman"/>
          <w:szCs w:val="20"/>
        </w:rPr>
        <w:t xml:space="preserve">some support for the safeguarding models in South Australia </w:t>
      </w:r>
      <w:r w:rsidR="008D6C33" w:rsidRPr="007B5BE6">
        <w:rPr>
          <w:rFonts w:eastAsia="Times" w:cs="Times New Roman"/>
          <w:szCs w:val="20"/>
        </w:rPr>
        <w:t xml:space="preserve">(‘SA’) </w:t>
      </w:r>
      <w:r w:rsidR="00D8555B" w:rsidRPr="007B5BE6">
        <w:rPr>
          <w:rFonts w:eastAsia="Times" w:cs="Times New Roman"/>
          <w:szCs w:val="20"/>
        </w:rPr>
        <w:t>and New South Wales</w:t>
      </w:r>
      <w:r w:rsidR="008D6C33" w:rsidRPr="007B5BE6">
        <w:rPr>
          <w:rFonts w:eastAsia="Times" w:cs="Times New Roman"/>
          <w:szCs w:val="20"/>
        </w:rPr>
        <w:t xml:space="preserve"> (‘NSW’)</w:t>
      </w:r>
      <w:r w:rsidR="00D8555B" w:rsidRPr="007B5BE6">
        <w:rPr>
          <w:rFonts w:eastAsia="Times" w:cs="Times New Roman"/>
          <w:szCs w:val="20"/>
        </w:rPr>
        <w:t xml:space="preserve">, which are discussed at </w:t>
      </w:r>
      <w:r w:rsidR="00195CE3" w:rsidRPr="007B5BE6">
        <w:rPr>
          <w:rFonts w:eastAsia="Times" w:cs="Times New Roman"/>
          <w:szCs w:val="20"/>
        </w:rPr>
        <w:t>[4.4.</w:t>
      </w:r>
      <w:r w:rsidR="008A2824" w:rsidRPr="007B5BE6">
        <w:rPr>
          <w:rFonts w:eastAsia="Times" w:cs="Times New Roman"/>
          <w:szCs w:val="20"/>
        </w:rPr>
        <w:t>5]–[4.4</w:t>
      </w:r>
      <w:r w:rsidR="004B4211" w:rsidRPr="007B5BE6">
        <w:rPr>
          <w:rFonts w:eastAsia="Times" w:cs="Times New Roman"/>
          <w:szCs w:val="20"/>
        </w:rPr>
        <w:t>.</w:t>
      </w:r>
      <w:r w:rsidR="008A2824" w:rsidRPr="007B5BE6">
        <w:rPr>
          <w:rFonts w:eastAsia="Times" w:cs="Times New Roman"/>
          <w:szCs w:val="20"/>
        </w:rPr>
        <w:t>27]</w:t>
      </w:r>
      <w:r w:rsidR="00D8555B" w:rsidRPr="007B5BE6">
        <w:rPr>
          <w:rFonts w:eastAsia="Times" w:cs="Times New Roman"/>
          <w:szCs w:val="20"/>
        </w:rPr>
        <w:t>.</w:t>
      </w:r>
      <w:r w:rsidR="00457A87" w:rsidRPr="007B5BE6">
        <w:rPr>
          <w:rStyle w:val="FootnoteReference"/>
          <w:rFonts w:eastAsia="Times" w:cs="Times New Roman"/>
          <w:szCs w:val="20"/>
        </w:rPr>
        <w:footnoteReference w:id="481"/>
      </w:r>
      <w:r w:rsidR="00D8555B" w:rsidRPr="007B5BE6">
        <w:rPr>
          <w:rFonts w:eastAsia="Times" w:cs="Times New Roman"/>
          <w:szCs w:val="20"/>
        </w:rPr>
        <w:t xml:space="preserve"> Some stakeholders also commented that the </w:t>
      </w:r>
      <w:r w:rsidR="00E65E61" w:rsidRPr="007B5BE6">
        <w:rPr>
          <w:rFonts w:eastAsia="Times" w:cs="Times New Roman"/>
          <w:szCs w:val="20"/>
        </w:rPr>
        <w:t>introduction and commencement</w:t>
      </w:r>
      <w:r w:rsidR="00D8555B" w:rsidRPr="007B5BE6">
        <w:rPr>
          <w:rFonts w:eastAsia="Times" w:cs="Times New Roman"/>
          <w:szCs w:val="20"/>
        </w:rPr>
        <w:t xml:space="preserve"> of the Disability Commissioner role </w:t>
      </w:r>
      <w:r w:rsidR="00E96565">
        <w:rPr>
          <w:rFonts w:eastAsia="Times" w:cs="Times New Roman"/>
          <w:szCs w:val="20"/>
        </w:rPr>
        <w:t xml:space="preserve">in Tasmania </w:t>
      </w:r>
      <w:r w:rsidR="00D8555B" w:rsidRPr="007B5BE6">
        <w:rPr>
          <w:rFonts w:eastAsia="Times" w:cs="Times New Roman"/>
          <w:szCs w:val="20"/>
        </w:rPr>
        <w:t xml:space="preserve">was an important new approach that provides for </w:t>
      </w:r>
      <w:r w:rsidR="00A675E2" w:rsidRPr="007B5BE6">
        <w:rPr>
          <w:rFonts w:eastAsia="Times" w:cs="Times New Roman"/>
          <w:szCs w:val="20"/>
        </w:rPr>
        <w:t xml:space="preserve">a </w:t>
      </w:r>
      <w:r w:rsidR="00D8555B" w:rsidRPr="007B5BE6">
        <w:rPr>
          <w:rFonts w:eastAsia="Times" w:cs="Times New Roman"/>
          <w:szCs w:val="20"/>
        </w:rPr>
        <w:t xml:space="preserve">broadened safeguarding </w:t>
      </w:r>
      <w:r w:rsidR="00A675E2" w:rsidRPr="007B5BE6">
        <w:rPr>
          <w:rFonts w:eastAsia="Times" w:cs="Times New Roman"/>
          <w:szCs w:val="20"/>
        </w:rPr>
        <w:t xml:space="preserve">framework </w:t>
      </w:r>
      <w:r w:rsidR="001B4EE6" w:rsidRPr="007B5BE6">
        <w:rPr>
          <w:rFonts w:eastAsia="Times" w:cs="Times New Roman"/>
          <w:szCs w:val="20"/>
        </w:rPr>
        <w:t>focused on</w:t>
      </w:r>
      <w:r w:rsidR="00D8555B" w:rsidRPr="007B5BE6">
        <w:rPr>
          <w:rFonts w:eastAsia="Times" w:cs="Times New Roman"/>
          <w:szCs w:val="20"/>
        </w:rPr>
        <w:t xml:space="preserve"> all people with disability (</w:t>
      </w:r>
      <w:r w:rsidR="00BC7B76" w:rsidRPr="007B5BE6">
        <w:rPr>
          <w:rFonts w:eastAsia="Times" w:cs="Times New Roman"/>
          <w:szCs w:val="20"/>
        </w:rPr>
        <w:t>without an</w:t>
      </w:r>
      <w:r w:rsidR="00D8555B" w:rsidRPr="007B5BE6">
        <w:rPr>
          <w:rFonts w:eastAsia="Times" w:cs="Times New Roman"/>
          <w:szCs w:val="20"/>
        </w:rPr>
        <w:t xml:space="preserve"> age limit)</w:t>
      </w:r>
      <w:r w:rsidR="0091065D" w:rsidRPr="007B5BE6">
        <w:rPr>
          <w:rFonts w:eastAsia="Times" w:cs="Times New Roman"/>
          <w:szCs w:val="20"/>
        </w:rPr>
        <w:t>. It was suggested that</w:t>
      </w:r>
      <w:r w:rsidR="00AD4E52" w:rsidRPr="007B5BE6">
        <w:rPr>
          <w:rFonts w:eastAsia="Times" w:cs="Times New Roman"/>
          <w:szCs w:val="20"/>
        </w:rPr>
        <w:t xml:space="preserve"> there was the potential to </w:t>
      </w:r>
      <w:r w:rsidR="00D8555B" w:rsidRPr="007B5BE6">
        <w:rPr>
          <w:rFonts w:eastAsia="Times" w:cs="Times New Roman"/>
          <w:szCs w:val="20"/>
        </w:rPr>
        <w:t>complement</w:t>
      </w:r>
      <w:r w:rsidR="00AD4E52" w:rsidRPr="007B5BE6">
        <w:rPr>
          <w:rFonts w:eastAsia="Times" w:cs="Times New Roman"/>
          <w:szCs w:val="20"/>
        </w:rPr>
        <w:t xml:space="preserve"> such an approach</w:t>
      </w:r>
      <w:r w:rsidR="00FE18C3" w:rsidRPr="007B5BE6">
        <w:rPr>
          <w:rFonts w:eastAsia="Times" w:cs="Times New Roman"/>
          <w:szCs w:val="20"/>
        </w:rPr>
        <w:t>,</w:t>
      </w:r>
      <w:r w:rsidR="00D8555B" w:rsidRPr="007B5BE6">
        <w:rPr>
          <w:rFonts w:eastAsia="Times" w:cs="Times New Roman"/>
          <w:szCs w:val="20"/>
        </w:rPr>
        <w:t xml:space="preserve"> by </w:t>
      </w:r>
      <w:r w:rsidR="005B2AD1" w:rsidRPr="007B5BE6">
        <w:rPr>
          <w:rFonts w:eastAsia="Times" w:cs="Times New Roman"/>
          <w:szCs w:val="20"/>
        </w:rPr>
        <w:t>consider</w:t>
      </w:r>
      <w:r w:rsidR="00B73EA9" w:rsidRPr="007B5BE6">
        <w:rPr>
          <w:rFonts w:eastAsia="Times" w:cs="Times New Roman"/>
          <w:szCs w:val="20"/>
        </w:rPr>
        <w:t xml:space="preserve">ing </w:t>
      </w:r>
      <w:r w:rsidR="00D8555B" w:rsidRPr="007B5BE6">
        <w:rPr>
          <w:rFonts w:eastAsia="Times" w:cs="Times New Roman"/>
          <w:szCs w:val="20"/>
        </w:rPr>
        <w:t>other factors</w:t>
      </w:r>
      <w:r w:rsidR="0053037B" w:rsidRPr="007B5BE6">
        <w:rPr>
          <w:rFonts w:eastAsia="Times" w:cs="Times New Roman"/>
          <w:szCs w:val="20"/>
        </w:rPr>
        <w:t xml:space="preserve"> and </w:t>
      </w:r>
      <w:r w:rsidR="00B73EA9" w:rsidRPr="007B5BE6">
        <w:rPr>
          <w:rFonts w:eastAsia="Times" w:cs="Times New Roman"/>
          <w:szCs w:val="20"/>
        </w:rPr>
        <w:t xml:space="preserve">contemplating </w:t>
      </w:r>
      <w:r w:rsidR="005154F4" w:rsidRPr="007B5BE6">
        <w:rPr>
          <w:rFonts w:eastAsia="Times" w:cs="Times New Roman"/>
          <w:szCs w:val="20"/>
        </w:rPr>
        <w:t>a</w:t>
      </w:r>
      <w:r w:rsidR="00031663" w:rsidRPr="007B5BE6">
        <w:rPr>
          <w:rFonts w:eastAsia="Times" w:cs="Times New Roman"/>
          <w:szCs w:val="20"/>
        </w:rPr>
        <w:t xml:space="preserve"> further broadened</w:t>
      </w:r>
      <w:r w:rsidR="001B4EE6" w:rsidRPr="007B5BE6">
        <w:rPr>
          <w:rFonts w:eastAsia="Times" w:cs="Times New Roman"/>
          <w:szCs w:val="20"/>
        </w:rPr>
        <w:t xml:space="preserve"> </w:t>
      </w:r>
      <w:r w:rsidR="00D8555B" w:rsidRPr="007B5BE6">
        <w:rPr>
          <w:rFonts w:eastAsia="Times" w:cs="Times New Roman"/>
          <w:szCs w:val="20"/>
        </w:rPr>
        <w:t xml:space="preserve">subject-specific </w:t>
      </w:r>
      <w:r w:rsidR="00A675E2" w:rsidRPr="007B5BE6">
        <w:rPr>
          <w:rFonts w:eastAsia="Times" w:cs="Times New Roman"/>
          <w:szCs w:val="20"/>
        </w:rPr>
        <w:t xml:space="preserve">framework </w:t>
      </w:r>
      <w:r w:rsidR="00D8555B" w:rsidRPr="007B5BE6">
        <w:rPr>
          <w:rFonts w:eastAsia="Times" w:cs="Times New Roman"/>
          <w:szCs w:val="20"/>
        </w:rPr>
        <w:t>for safeguarding both people with disability and older people</w:t>
      </w:r>
      <w:r w:rsidR="0091065D" w:rsidRPr="007B5BE6">
        <w:rPr>
          <w:rFonts w:eastAsia="Times" w:cs="Times New Roman"/>
          <w:szCs w:val="20"/>
        </w:rPr>
        <w:t xml:space="preserve">, including </w:t>
      </w:r>
      <w:r w:rsidR="00CF5C38" w:rsidRPr="007B5BE6">
        <w:rPr>
          <w:rFonts w:eastAsia="Times" w:cs="Times New Roman"/>
          <w:szCs w:val="20"/>
        </w:rPr>
        <w:t>older people</w:t>
      </w:r>
      <w:r w:rsidR="00D8555B" w:rsidRPr="007B5BE6">
        <w:rPr>
          <w:rFonts w:eastAsia="Times" w:cs="Times New Roman"/>
          <w:szCs w:val="20"/>
        </w:rPr>
        <w:t xml:space="preserve"> who do not have disability but may be at risk </w:t>
      </w:r>
      <w:r w:rsidR="00FD2932" w:rsidRPr="007B5BE6">
        <w:rPr>
          <w:rFonts w:eastAsia="Times" w:cs="Times New Roman"/>
          <w:szCs w:val="20"/>
        </w:rPr>
        <w:t xml:space="preserve">of abuse </w:t>
      </w:r>
      <w:r w:rsidR="00D8555B" w:rsidRPr="007B5BE6">
        <w:rPr>
          <w:rFonts w:eastAsia="Times" w:cs="Times New Roman"/>
          <w:szCs w:val="20"/>
        </w:rPr>
        <w:t>for other reasons.</w:t>
      </w:r>
      <w:r w:rsidR="00457A87" w:rsidRPr="007B5BE6">
        <w:rPr>
          <w:rStyle w:val="FootnoteReference"/>
          <w:rFonts w:eastAsia="Times" w:cs="Times New Roman"/>
          <w:szCs w:val="20"/>
        </w:rPr>
        <w:footnoteReference w:id="482"/>
      </w:r>
      <w:r w:rsidR="00D8555B" w:rsidRPr="007B5BE6">
        <w:rPr>
          <w:rFonts w:eastAsia="Times" w:cs="Times New Roman"/>
          <w:szCs w:val="20"/>
        </w:rPr>
        <w:t xml:space="preserve">  </w:t>
      </w:r>
    </w:p>
    <w:p w14:paraId="490AD284" w14:textId="77777777" w:rsidR="00897E7E" w:rsidRDefault="00897E7E">
      <w:pPr>
        <w:spacing w:after="200" w:line="276" w:lineRule="auto"/>
        <w:jc w:val="left"/>
        <w:rPr>
          <w:rFonts w:eastAsia="Times" w:cs="Times New Roman"/>
          <w:b/>
          <w:i/>
          <w:szCs w:val="20"/>
        </w:rPr>
      </w:pPr>
      <w:bookmarkStart w:id="566" w:name="_Toc212561788"/>
      <w:r>
        <w:br w:type="page"/>
      </w:r>
    </w:p>
    <w:p w14:paraId="365452A2" w14:textId="66A0FCB0" w:rsidR="00D8555B" w:rsidRPr="007B5BE6" w:rsidRDefault="00E0712B" w:rsidP="00AE2D56">
      <w:pPr>
        <w:pStyle w:val="Sub-HeadingTLRI"/>
        <w:spacing w:before="360"/>
      </w:pPr>
      <w:r w:rsidRPr="007B5BE6">
        <w:lastRenderedPageBreak/>
        <w:t>The</w:t>
      </w:r>
      <w:r w:rsidR="00D8555B" w:rsidRPr="007B5BE6">
        <w:t xml:space="preserve"> importance of a principled approach to safeguarding</w:t>
      </w:r>
      <w:bookmarkEnd w:id="566"/>
    </w:p>
    <w:p w14:paraId="5BF2CF6A" w14:textId="0ECBDC34" w:rsidR="00D8555B" w:rsidRPr="007B5BE6" w:rsidRDefault="00D8555B" w:rsidP="00D8555B">
      <w:pPr>
        <w:numPr>
          <w:ilvl w:val="2"/>
          <w:numId w:val="2"/>
        </w:numPr>
        <w:tabs>
          <w:tab w:val="left" w:pos="851"/>
        </w:tabs>
        <w:spacing w:before="220"/>
        <w:rPr>
          <w:rFonts w:eastAsia="Times" w:cs="Times New Roman"/>
          <w:szCs w:val="20"/>
        </w:rPr>
      </w:pPr>
      <w:r w:rsidRPr="007B5BE6">
        <w:rPr>
          <w:rFonts w:eastAsia="Times" w:cs="Times New Roman"/>
          <w:szCs w:val="20"/>
        </w:rPr>
        <w:t>Some stakeholders expressed concerns about safeguarding legislation</w:t>
      </w:r>
      <w:r w:rsidR="00031663" w:rsidRPr="007B5BE6">
        <w:rPr>
          <w:rFonts w:eastAsia="Times" w:cs="Times New Roman"/>
          <w:szCs w:val="20"/>
        </w:rPr>
        <w:t xml:space="preserve"> for older people</w:t>
      </w:r>
      <w:r w:rsidR="000166C3" w:rsidRPr="007B5BE6">
        <w:rPr>
          <w:rFonts w:eastAsia="Times" w:cs="Times New Roman"/>
          <w:szCs w:val="20"/>
        </w:rPr>
        <w:t>. One concern was</w:t>
      </w:r>
      <w:r w:rsidRPr="007B5BE6">
        <w:rPr>
          <w:rFonts w:eastAsia="Times" w:cs="Times New Roman"/>
          <w:szCs w:val="20"/>
        </w:rPr>
        <w:t xml:space="preserve"> in terms of the potential for </w:t>
      </w:r>
      <w:r w:rsidR="00031663" w:rsidRPr="007B5BE6">
        <w:rPr>
          <w:rFonts w:eastAsia="Times" w:cs="Times New Roman"/>
          <w:szCs w:val="20"/>
        </w:rPr>
        <w:t>such an approach</w:t>
      </w:r>
      <w:r w:rsidRPr="007B5BE6">
        <w:rPr>
          <w:rFonts w:eastAsia="Times" w:cs="Times New Roman"/>
          <w:szCs w:val="20"/>
        </w:rPr>
        <w:t xml:space="preserve"> to be overly paternalistic, override principles of self-determination and autonomy</w:t>
      </w:r>
      <w:r w:rsidR="00031663" w:rsidRPr="007B5BE6">
        <w:rPr>
          <w:rFonts w:eastAsia="Times" w:cs="Times New Roman"/>
          <w:szCs w:val="20"/>
        </w:rPr>
        <w:t>,</w:t>
      </w:r>
      <w:r w:rsidRPr="007B5BE6">
        <w:rPr>
          <w:rFonts w:eastAsia="Times" w:cs="Times New Roman"/>
          <w:szCs w:val="20"/>
        </w:rPr>
        <w:t xml:space="preserve"> and improperly infringe on older people</w:t>
      </w:r>
      <w:r w:rsidR="00031663" w:rsidRPr="007B5BE6">
        <w:rPr>
          <w:rFonts w:eastAsia="Times" w:cs="Times New Roman"/>
          <w:szCs w:val="20"/>
        </w:rPr>
        <w:t>’s</w:t>
      </w:r>
      <w:r w:rsidRPr="007B5BE6">
        <w:rPr>
          <w:rFonts w:eastAsia="Times" w:cs="Times New Roman"/>
          <w:szCs w:val="20"/>
        </w:rPr>
        <w:t xml:space="preserve"> rights, particularly if it did not include requirements </w:t>
      </w:r>
      <w:r w:rsidR="00031663" w:rsidRPr="007B5BE6">
        <w:rPr>
          <w:rFonts w:eastAsia="Times" w:cs="Times New Roman"/>
          <w:szCs w:val="20"/>
        </w:rPr>
        <w:t xml:space="preserve">for </w:t>
      </w:r>
      <w:r w:rsidRPr="007B5BE6">
        <w:rPr>
          <w:rFonts w:eastAsia="Times" w:cs="Times New Roman"/>
          <w:szCs w:val="20"/>
        </w:rPr>
        <w:t>obtaining</w:t>
      </w:r>
      <w:r w:rsidR="00031663" w:rsidRPr="007B5BE6">
        <w:rPr>
          <w:rFonts w:eastAsia="Times" w:cs="Times New Roman"/>
          <w:szCs w:val="20"/>
        </w:rPr>
        <w:t xml:space="preserve"> an</w:t>
      </w:r>
      <w:r w:rsidRPr="007B5BE6">
        <w:rPr>
          <w:rFonts w:eastAsia="Times" w:cs="Times New Roman"/>
          <w:szCs w:val="20"/>
        </w:rPr>
        <w:t xml:space="preserve"> older </w:t>
      </w:r>
      <w:r w:rsidR="00031663" w:rsidRPr="007B5BE6">
        <w:rPr>
          <w:rFonts w:eastAsia="Times" w:cs="Times New Roman"/>
          <w:szCs w:val="20"/>
        </w:rPr>
        <w:t>person</w:t>
      </w:r>
      <w:r w:rsidRPr="007B5BE6">
        <w:rPr>
          <w:rFonts w:eastAsia="Times" w:cs="Times New Roman"/>
          <w:szCs w:val="20"/>
        </w:rPr>
        <w:t xml:space="preserve">’s consent. It was emphasised </w:t>
      </w:r>
      <w:r w:rsidR="000166C3" w:rsidRPr="007B5BE6">
        <w:rPr>
          <w:rFonts w:eastAsia="Times" w:cs="Times New Roman"/>
          <w:szCs w:val="20"/>
        </w:rPr>
        <w:t xml:space="preserve">by a stakeholder </w:t>
      </w:r>
      <w:r w:rsidRPr="007B5BE6">
        <w:rPr>
          <w:rFonts w:eastAsia="Times" w:cs="Times New Roman"/>
          <w:szCs w:val="20"/>
        </w:rPr>
        <w:t>that self-determination and decision-making control should be in the hands of the older person, and that supported decision making needs to be at the core</w:t>
      </w:r>
      <w:r w:rsidR="00820F38" w:rsidRPr="007B5BE6">
        <w:rPr>
          <w:rFonts w:eastAsia="Times" w:cs="Times New Roman"/>
          <w:szCs w:val="20"/>
        </w:rPr>
        <w:t xml:space="preserve"> of safeguarding,</w:t>
      </w:r>
      <w:r w:rsidRPr="007B5BE6">
        <w:rPr>
          <w:rFonts w:eastAsia="Times" w:cs="Times New Roman"/>
          <w:szCs w:val="20"/>
        </w:rPr>
        <w:t xml:space="preserve"> through a range of mechanisms that allow for consent</w:t>
      </w:r>
      <w:r w:rsidR="00D85166" w:rsidRPr="007B5BE6">
        <w:rPr>
          <w:rFonts w:eastAsia="Times" w:cs="Times New Roman"/>
          <w:szCs w:val="20"/>
        </w:rPr>
        <w:t>-</w:t>
      </w:r>
      <w:r w:rsidRPr="007B5BE6">
        <w:rPr>
          <w:rFonts w:eastAsia="Times" w:cs="Times New Roman"/>
          <w:szCs w:val="20"/>
        </w:rPr>
        <w:t>driven service delivery in a justice framework.</w:t>
      </w:r>
      <w:r w:rsidR="00457A87" w:rsidRPr="007B5BE6">
        <w:rPr>
          <w:rStyle w:val="FootnoteReference"/>
          <w:rFonts w:eastAsia="Times" w:cs="Times New Roman"/>
          <w:szCs w:val="20"/>
        </w:rPr>
        <w:footnoteReference w:id="483"/>
      </w:r>
      <w:r w:rsidRPr="007B5BE6">
        <w:rPr>
          <w:rFonts w:eastAsia="Times" w:cs="Times New Roman"/>
          <w:szCs w:val="20"/>
        </w:rPr>
        <w:t xml:space="preserve"> The inclusion of mandatory reporting was generally not supported </w:t>
      </w:r>
      <w:r w:rsidR="00FB7B4E">
        <w:rPr>
          <w:rFonts w:eastAsia="Times" w:cs="Times New Roman"/>
          <w:szCs w:val="20"/>
        </w:rPr>
        <w:t>(</w:t>
      </w:r>
      <w:r w:rsidR="00E96799" w:rsidRPr="007B5BE6">
        <w:rPr>
          <w:rFonts w:eastAsia="Times" w:cs="Times New Roman"/>
          <w:szCs w:val="20"/>
        </w:rPr>
        <w:t xml:space="preserve">by </w:t>
      </w:r>
      <w:r w:rsidR="00FB7B4E">
        <w:rPr>
          <w:rFonts w:eastAsia="Times" w:cs="Times New Roman"/>
          <w:szCs w:val="20"/>
        </w:rPr>
        <w:t xml:space="preserve">those </w:t>
      </w:r>
      <w:r w:rsidR="00E96799" w:rsidRPr="007B5BE6">
        <w:rPr>
          <w:rFonts w:eastAsia="Times" w:cs="Times New Roman"/>
          <w:szCs w:val="20"/>
        </w:rPr>
        <w:t>stakeholders</w:t>
      </w:r>
      <w:r w:rsidR="002774B6">
        <w:rPr>
          <w:rFonts w:eastAsia="Times" w:cs="Times New Roman"/>
          <w:szCs w:val="20"/>
        </w:rPr>
        <w:t xml:space="preserve"> who discussed the issue)</w:t>
      </w:r>
      <w:r w:rsidR="00E96799" w:rsidRPr="007B5BE6">
        <w:rPr>
          <w:rFonts w:eastAsia="Times" w:cs="Times New Roman"/>
          <w:szCs w:val="20"/>
        </w:rPr>
        <w:t xml:space="preserve"> </w:t>
      </w:r>
      <w:r w:rsidRPr="007B5BE6">
        <w:rPr>
          <w:rFonts w:eastAsia="Times" w:cs="Times New Roman"/>
          <w:szCs w:val="20"/>
        </w:rPr>
        <w:t>as part of any overarching safeguarding approach.</w:t>
      </w:r>
      <w:r w:rsidR="00457A87" w:rsidRPr="007B5BE6">
        <w:rPr>
          <w:rStyle w:val="FootnoteReference"/>
          <w:rFonts w:eastAsia="Times" w:cs="Times New Roman"/>
          <w:szCs w:val="20"/>
        </w:rPr>
        <w:footnoteReference w:id="484"/>
      </w:r>
      <w:r w:rsidRPr="007B5BE6">
        <w:rPr>
          <w:rFonts w:eastAsia="Times" w:cs="Times New Roman"/>
          <w:szCs w:val="20"/>
        </w:rPr>
        <w:t xml:space="preserve"> Concerns </w:t>
      </w:r>
      <w:r w:rsidR="00A07944" w:rsidRPr="007B5BE6">
        <w:rPr>
          <w:rFonts w:eastAsia="Times" w:cs="Times New Roman"/>
          <w:szCs w:val="20"/>
        </w:rPr>
        <w:t xml:space="preserve">were also expressed </w:t>
      </w:r>
      <w:r w:rsidRPr="007B5BE6">
        <w:rPr>
          <w:rFonts w:eastAsia="Times" w:cs="Times New Roman"/>
          <w:szCs w:val="20"/>
        </w:rPr>
        <w:t>that consequences</w:t>
      </w:r>
      <w:r w:rsidR="00A07944" w:rsidRPr="007B5BE6">
        <w:rPr>
          <w:rFonts w:eastAsia="Times" w:cs="Times New Roman"/>
          <w:szCs w:val="20"/>
        </w:rPr>
        <w:t xml:space="preserve"> of mandated approaches</w:t>
      </w:r>
      <w:r w:rsidRPr="007B5BE6">
        <w:rPr>
          <w:rFonts w:eastAsia="Times" w:cs="Times New Roman"/>
          <w:szCs w:val="20"/>
        </w:rPr>
        <w:t xml:space="preserve"> would be too punitive and exacerbate isolation.</w:t>
      </w:r>
      <w:r w:rsidR="00457A87" w:rsidRPr="007B5BE6">
        <w:rPr>
          <w:rStyle w:val="FootnoteReference"/>
          <w:rFonts w:eastAsia="Times" w:cs="Times New Roman"/>
          <w:szCs w:val="20"/>
        </w:rPr>
        <w:footnoteReference w:id="485"/>
      </w:r>
      <w:r w:rsidRPr="007B5BE6">
        <w:rPr>
          <w:rFonts w:eastAsia="Times" w:cs="Times New Roman"/>
          <w:szCs w:val="20"/>
        </w:rPr>
        <w:t xml:space="preserve"> Transparency was identified as a very important principle when considering any decision</w:t>
      </w:r>
      <w:r w:rsidR="008C0137" w:rsidRPr="007B5BE6">
        <w:rPr>
          <w:rFonts w:eastAsia="Times" w:cs="Times New Roman"/>
          <w:szCs w:val="20"/>
        </w:rPr>
        <w:t xml:space="preserve"> </w:t>
      </w:r>
      <w:r w:rsidRPr="007B5BE6">
        <w:rPr>
          <w:rFonts w:eastAsia="Times" w:cs="Times New Roman"/>
          <w:szCs w:val="20"/>
        </w:rPr>
        <w:t>making (by government or other independent bodies) over Tasmanians.</w:t>
      </w:r>
      <w:r w:rsidR="00457A87" w:rsidRPr="007B5BE6">
        <w:rPr>
          <w:rStyle w:val="FootnoteReference"/>
          <w:rFonts w:eastAsia="Times" w:cs="Times New Roman"/>
          <w:szCs w:val="20"/>
        </w:rPr>
        <w:footnoteReference w:id="486"/>
      </w:r>
      <w:r w:rsidRPr="007B5BE6">
        <w:rPr>
          <w:rFonts w:eastAsia="Times" w:cs="Times New Roman"/>
          <w:szCs w:val="20"/>
        </w:rPr>
        <w:t xml:space="preserve"> A </w:t>
      </w:r>
      <w:r w:rsidR="00FC435C" w:rsidRPr="007B5BE6">
        <w:rPr>
          <w:rFonts w:eastAsia="Times" w:cs="Times New Roman"/>
          <w:szCs w:val="20"/>
        </w:rPr>
        <w:t xml:space="preserve">further </w:t>
      </w:r>
      <w:r w:rsidRPr="007B5BE6">
        <w:rPr>
          <w:rFonts w:eastAsia="Times" w:cs="Times New Roman"/>
          <w:szCs w:val="20"/>
        </w:rPr>
        <w:t xml:space="preserve">concern </w:t>
      </w:r>
      <w:r w:rsidR="00FC435C" w:rsidRPr="007B5BE6">
        <w:rPr>
          <w:rFonts w:eastAsia="Times" w:cs="Times New Roman"/>
          <w:szCs w:val="20"/>
        </w:rPr>
        <w:t xml:space="preserve">was that </w:t>
      </w:r>
      <w:r w:rsidRPr="007B5BE6">
        <w:rPr>
          <w:rFonts w:eastAsia="Times" w:cs="Times New Roman"/>
          <w:szCs w:val="20"/>
        </w:rPr>
        <w:t>introducing safeguarding legislation in response to the ‘worst’ cases</w:t>
      </w:r>
      <w:r w:rsidR="00FC435C" w:rsidRPr="007B5BE6">
        <w:rPr>
          <w:rFonts w:eastAsia="Times" w:cs="Times New Roman"/>
          <w:szCs w:val="20"/>
        </w:rPr>
        <w:t xml:space="preserve">, which are the ones usually </w:t>
      </w:r>
      <w:r w:rsidRPr="007B5BE6">
        <w:rPr>
          <w:rFonts w:eastAsia="Times" w:cs="Times New Roman"/>
          <w:szCs w:val="20"/>
        </w:rPr>
        <w:t xml:space="preserve">publicised, may be a disproportionately punitive approach for </w:t>
      </w:r>
      <w:r w:rsidR="00070E10" w:rsidRPr="007B5BE6">
        <w:rPr>
          <w:rFonts w:eastAsia="Times" w:cs="Times New Roman"/>
          <w:szCs w:val="20"/>
        </w:rPr>
        <w:t xml:space="preserve">other cases, given </w:t>
      </w:r>
      <w:r w:rsidRPr="007B5BE6">
        <w:rPr>
          <w:rFonts w:eastAsia="Times" w:cs="Times New Roman"/>
          <w:szCs w:val="20"/>
        </w:rPr>
        <w:t>the nuanced and complex circumstances in which abuse of older people occurs.</w:t>
      </w:r>
      <w:r w:rsidR="00457A87" w:rsidRPr="007B5BE6">
        <w:rPr>
          <w:rStyle w:val="FootnoteReference"/>
          <w:rFonts w:eastAsia="Times" w:cs="Times New Roman"/>
          <w:szCs w:val="20"/>
        </w:rPr>
        <w:footnoteReference w:id="487"/>
      </w:r>
    </w:p>
    <w:p w14:paraId="698511EA" w14:textId="5B40E483" w:rsidR="005C4FDD" w:rsidRPr="005D4C68" w:rsidRDefault="00D8555B" w:rsidP="005D4C68">
      <w:pPr>
        <w:pStyle w:val="NormalNumberedTextTLRI"/>
        <w:rPr>
          <w:rFonts w:eastAsia="Aptos" w:cs="Arial"/>
        </w:rPr>
      </w:pPr>
      <w:r w:rsidRPr="00FE0A25">
        <w:t xml:space="preserve">Many stakeholders </w:t>
      </w:r>
      <w:r w:rsidR="00980029" w:rsidRPr="00FE0A25">
        <w:t>pointed to the</w:t>
      </w:r>
      <w:r w:rsidR="007915CD" w:rsidRPr="00FE0A25">
        <w:t xml:space="preserve"> need to </w:t>
      </w:r>
      <w:r w:rsidRPr="00FE0A25">
        <w:t>balanc</w:t>
      </w:r>
      <w:r w:rsidR="00980029" w:rsidRPr="00FE0A25">
        <w:t xml:space="preserve">e </w:t>
      </w:r>
      <w:r w:rsidRPr="00FE0A25">
        <w:t xml:space="preserve">concerns </w:t>
      </w:r>
      <w:r w:rsidR="008171F4" w:rsidRPr="00FE0A25">
        <w:t>about</w:t>
      </w:r>
      <w:r w:rsidRPr="00FE0A25">
        <w:t xml:space="preserve"> protect</w:t>
      </w:r>
      <w:r w:rsidR="008171F4" w:rsidRPr="00FE0A25">
        <w:t>ing</w:t>
      </w:r>
      <w:r w:rsidRPr="00FE0A25">
        <w:t xml:space="preserve"> </w:t>
      </w:r>
      <w:r w:rsidR="00980029" w:rsidRPr="00FE0A25">
        <w:t xml:space="preserve">older people </w:t>
      </w:r>
      <w:r w:rsidRPr="00FE0A25">
        <w:t xml:space="preserve">with </w:t>
      </w:r>
      <w:r w:rsidR="00E804CB" w:rsidRPr="00FE0A25">
        <w:t xml:space="preserve">fundamental </w:t>
      </w:r>
      <w:r w:rsidRPr="00FE0A25">
        <w:t>principles of autonomy</w:t>
      </w:r>
      <w:r w:rsidR="008171F4" w:rsidRPr="00FE0A25">
        <w:t xml:space="preserve">, self-determination and decision-making </w:t>
      </w:r>
      <w:r w:rsidRPr="00FE0A25">
        <w:t>control</w:t>
      </w:r>
      <w:r w:rsidR="008171F4" w:rsidRPr="00FE0A25">
        <w:t>. One stakeholder</w:t>
      </w:r>
      <w:r w:rsidRPr="00FE0A25">
        <w:t>, for example</w:t>
      </w:r>
      <w:r w:rsidR="008171F4" w:rsidRPr="00FE0A25">
        <w:t xml:space="preserve">, </w:t>
      </w:r>
      <w:r w:rsidR="00365AC4" w:rsidRPr="00FE0A25">
        <w:t>suggested that</w:t>
      </w:r>
      <w:r w:rsidRPr="00FE0A25">
        <w:t xml:space="preserve"> </w:t>
      </w:r>
      <w:r w:rsidR="00101920">
        <w:t xml:space="preserve">upholding the </w:t>
      </w:r>
      <w:r w:rsidRPr="00FE0A25">
        <w:t xml:space="preserve">rights of older adults </w:t>
      </w:r>
      <w:r w:rsidR="00365AC4" w:rsidRPr="00FE0A25">
        <w:t xml:space="preserve">should be balanced </w:t>
      </w:r>
      <w:r w:rsidRPr="00FE0A25">
        <w:t xml:space="preserve">with giving people options to seek help, </w:t>
      </w:r>
      <w:r w:rsidR="00365AC4" w:rsidRPr="00FE0A25">
        <w:t xml:space="preserve">which </w:t>
      </w:r>
      <w:r w:rsidRPr="00FE0A25">
        <w:t xml:space="preserve">was also conceptualised as a </w:t>
      </w:r>
      <w:r w:rsidR="00365AC4" w:rsidRPr="00FE0A25">
        <w:t>‘</w:t>
      </w:r>
      <w:r w:rsidRPr="00FE0A25">
        <w:t>right</w:t>
      </w:r>
      <w:r w:rsidR="00365AC4" w:rsidRPr="00FE0A25">
        <w:t>’</w:t>
      </w:r>
      <w:r w:rsidRPr="00FE0A25">
        <w:t>.</w:t>
      </w:r>
      <w:r w:rsidR="001F756C" w:rsidRPr="007B5BE6">
        <w:rPr>
          <w:rStyle w:val="FootnoteReference"/>
        </w:rPr>
        <w:footnoteReference w:id="488"/>
      </w:r>
      <w:r w:rsidRPr="00FE0A25">
        <w:t xml:space="preserve"> Another stakeholder noted the difficulties inherent in balancing safeguarding and protection </w:t>
      </w:r>
      <w:r w:rsidR="002D17BF" w:rsidRPr="00FE0A25">
        <w:t>with</w:t>
      </w:r>
      <w:r w:rsidRPr="00FE0A25">
        <w:t xml:space="preserve"> rights and preferences.</w:t>
      </w:r>
      <w:r w:rsidR="001F756C" w:rsidRPr="007B5BE6">
        <w:rPr>
          <w:rStyle w:val="FootnoteReference"/>
        </w:rPr>
        <w:footnoteReference w:id="489"/>
      </w:r>
      <w:r w:rsidRPr="00FE0A25">
        <w:t xml:space="preserve"> On the other hand, it was noted </w:t>
      </w:r>
      <w:r w:rsidR="00EA4AF7" w:rsidRPr="00FE0A25">
        <w:t xml:space="preserve">by a stakeholder </w:t>
      </w:r>
      <w:r w:rsidRPr="00FE0A25">
        <w:t>that similar</w:t>
      </w:r>
      <w:r w:rsidR="005E2E14" w:rsidRPr="00FE0A25">
        <w:t xml:space="preserve"> </w:t>
      </w:r>
      <w:r w:rsidR="00C3037C" w:rsidRPr="00FE0A25">
        <w:t xml:space="preserve">complexities and </w:t>
      </w:r>
      <w:r w:rsidRPr="00FE0A25">
        <w:t xml:space="preserve">issues regarding </w:t>
      </w:r>
      <w:r w:rsidR="006E4C8B" w:rsidRPr="00FE0A25">
        <w:t xml:space="preserve">autonomy, </w:t>
      </w:r>
      <w:r w:rsidRPr="00FE0A25">
        <w:t xml:space="preserve">capacity and consent </w:t>
      </w:r>
      <w:r w:rsidR="006E4C8B" w:rsidRPr="00FE0A25">
        <w:t>have been</w:t>
      </w:r>
      <w:r w:rsidRPr="00FE0A25">
        <w:t xml:space="preserve"> </w:t>
      </w:r>
      <w:r w:rsidR="00E75AB1" w:rsidRPr="00FE0A25">
        <w:t>navigated</w:t>
      </w:r>
      <w:r w:rsidRPr="00FE0A25">
        <w:t xml:space="preserve"> regarding</w:t>
      </w:r>
      <w:r w:rsidR="00C86995" w:rsidRPr="00FE0A25">
        <w:t xml:space="preserve"> safeguarding legislation </w:t>
      </w:r>
      <w:r w:rsidRPr="00FE0A25">
        <w:t>in other legal contexts, such as aged care, disability services and human rights.</w:t>
      </w:r>
      <w:r w:rsidR="001F756C" w:rsidRPr="007B5BE6">
        <w:rPr>
          <w:rStyle w:val="FootnoteReference"/>
        </w:rPr>
        <w:footnoteReference w:id="490"/>
      </w:r>
      <w:r w:rsidR="008C765F" w:rsidRPr="00FE0A25">
        <w:t xml:space="preserve"> </w:t>
      </w:r>
      <w:r w:rsidR="001F266A" w:rsidRPr="00FE0A25">
        <w:t>In reflecting on the</w:t>
      </w:r>
      <w:r w:rsidR="00C935AA" w:rsidRPr="00FE0A25">
        <w:t xml:space="preserve">se policy considerations, </w:t>
      </w:r>
      <w:r w:rsidR="0087604D" w:rsidRPr="00FE0A25">
        <w:t xml:space="preserve">this </w:t>
      </w:r>
      <w:r w:rsidR="00203BCA" w:rsidRPr="00FE0A25">
        <w:t xml:space="preserve">stakeholder </w:t>
      </w:r>
      <w:r w:rsidR="00DA5AA0" w:rsidRPr="00FE0A25">
        <w:t>acknowledged the</w:t>
      </w:r>
      <w:r w:rsidR="0087604D" w:rsidRPr="00FE0A25">
        <w:t xml:space="preserve"> validity of these</w:t>
      </w:r>
      <w:r w:rsidR="00DA5AA0" w:rsidRPr="00FE0A25">
        <w:t xml:space="preserve"> concerns</w:t>
      </w:r>
      <w:r w:rsidR="0087604D" w:rsidRPr="00FE0A25">
        <w:t>; however</w:t>
      </w:r>
      <w:r w:rsidR="00FE0A25">
        <w:t xml:space="preserve">, </w:t>
      </w:r>
      <w:r w:rsidR="008438C1">
        <w:t xml:space="preserve">they </w:t>
      </w:r>
      <w:r w:rsidR="00B801BD">
        <w:t xml:space="preserve">observed that </w:t>
      </w:r>
      <w:r w:rsidR="000013E5">
        <w:t xml:space="preserve">the fact that someone was an adult did not necessarily mean that they had the </w:t>
      </w:r>
      <w:r w:rsidRPr="005D4C68">
        <w:rPr>
          <w:rFonts w:eastAsia="Aptos" w:cs="Arial"/>
        </w:rPr>
        <w:t xml:space="preserve">knowledge, skills and capacity to be able to </w:t>
      </w:r>
      <w:r w:rsidR="000013E5" w:rsidRPr="005D4C68">
        <w:rPr>
          <w:rFonts w:eastAsia="Aptos" w:cs="Arial"/>
        </w:rPr>
        <w:t xml:space="preserve">exercise the rights </w:t>
      </w:r>
      <w:r w:rsidR="009173CB">
        <w:rPr>
          <w:rFonts w:eastAsia="Aptos" w:cs="Arial"/>
        </w:rPr>
        <w:t>and protect their interests</w:t>
      </w:r>
      <w:r w:rsidR="00081809">
        <w:rPr>
          <w:rFonts w:eastAsia="Aptos" w:cs="Arial"/>
        </w:rPr>
        <w:t>,</w:t>
      </w:r>
      <w:r w:rsidR="00B40262" w:rsidRPr="005D4C68">
        <w:rPr>
          <w:rFonts w:eastAsia="Aptos" w:cs="Arial"/>
        </w:rPr>
        <w:t xml:space="preserve"> without a level of support or assistance</w:t>
      </w:r>
      <w:r w:rsidR="004060F3" w:rsidRPr="005D4C68">
        <w:rPr>
          <w:rFonts w:eastAsia="Aptos" w:cs="Arial"/>
        </w:rPr>
        <w:t xml:space="preserve">. </w:t>
      </w:r>
      <w:r w:rsidR="0099173F" w:rsidRPr="005D4C68">
        <w:rPr>
          <w:rFonts w:eastAsia="Aptos" w:cs="Arial"/>
        </w:rPr>
        <w:t xml:space="preserve">It was further commented that </w:t>
      </w:r>
      <w:r w:rsidR="00836615">
        <w:rPr>
          <w:rFonts w:eastAsia="Aptos" w:cs="Arial"/>
        </w:rPr>
        <w:t>the</w:t>
      </w:r>
      <w:r w:rsidR="00033C55">
        <w:rPr>
          <w:rFonts w:eastAsia="Aptos" w:cs="Arial"/>
        </w:rPr>
        <w:t xml:space="preserve"> </w:t>
      </w:r>
      <w:r w:rsidR="007850D6">
        <w:rPr>
          <w:rFonts w:eastAsia="Aptos" w:cs="Arial"/>
        </w:rPr>
        <w:t xml:space="preserve">evidence around the prevalence of </w:t>
      </w:r>
      <w:r w:rsidR="00033C55">
        <w:rPr>
          <w:rFonts w:eastAsia="Aptos" w:cs="Arial"/>
        </w:rPr>
        <w:t xml:space="preserve">abuse </w:t>
      </w:r>
      <w:r w:rsidR="00836615">
        <w:rPr>
          <w:rFonts w:eastAsia="Aptos" w:cs="Arial"/>
        </w:rPr>
        <w:t>experienced by</w:t>
      </w:r>
      <w:r w:rsidR="00033C55">
        <w:rPr>
          <w:rFonts w:eastAsia="Aptos" w:cs="Arial"/>
        </w:rPr>
        <w:t xml:space="preserve"> older people </w:t>
      </w:r>
      <w:r w:rsidR="00836615">
        <w:rPr>
          <w:rFonts w:eastAsia="Aptos" w:cs="Arial"/>
        </w:rPr>
        <w:t xml:space="preserve">in the community </w:t>
      </w:r>
      <w:r w:rsidR="003D4620">
        <w:rPr>
          <w:rFonts w:eastAsia="Aptos" w:cs="Arial"/>
        </w:rPr>
        <w:t>suggest</w:t>
      </w:r>
      <w:r w:rsidR="007850D6">
        <w:rPr>
          <w:rFonts w:eastAsia="Aptos" w:cs="Arial"/>
        </w:rPr>
        <w:t>s</w:t>
      </w:r>
      <w:r w:rsidR="003D4620">
        <w:rPr>
          <w:rFonts w:eastAsia="Aptos" w:cs="Arial"/>
        </w:rPr>
        <w:t xml:space="preserve"> that there is</w:t>
      </w:r>
      <w:r w:rsidR="007850D6">
        <w:rPr>
          <w:rFonts w:eastAsia="Aptos" w:cs="Arial"/>
        </w:rPr>
        <w:t>,</w:t>
      </w:r>
      <w:r w:rsidR="003D4620">
        <w:rPr>
          <w:rFonts w:eastAsia="Aptos" w:cs="Arial"/>
        </w:rPr>
        <w:t xml:space="preserve"> in fact</w:t>
      </w:r>
      <w:r w:rsidR="007850D6">
        <w:rPr>
          <w:rFonts w:eastAsia="Aptos" w:cs="Arial"/>
        </w:rPr>
        <w:t>,</w:t>
      </w:r>
      <w:r w:rsidR="003D4620">
        <w:rPr>
          <w:rFonts w:eastAsia="Aptos" w:cs="Arial"/>
        </w:rPr>
        <w:t xml:space="preserve"> a need to </w:t>
      </w:r>
      <w:proofErr w:type="gramStart"/>
      <w:r w:rsidR="003D4620">
        <w:rPr>
          <w:rFonts w:eastAsia="Aptos" w:cs="Arial"/>
        </w:rPr>
        <w:t>give consideration to</w:t>
      </w:r>
      <w:proofErr w:type="gramEnd"/>
      <w:r w:rsidR="003D4620">
        <w:rPr>
          <w:rFonts w:eastAsia="Aptos" w:cs="Arial"/>
        </w:rPr>
        <w:t xml:space="preserve"> </w:t>
      </w:r>
      <w:r w:rsidR="006764D1">
        <w:rPr>
          <w:rFonts w:eastAsia="Aptos" w:cs="Arial"/>
        </w:rPr>
        <w:t xml:space="preserve">such </w:t>
      </w:r>
      <w:r w:rsidR="00A56DEE">
        <w:rPr>
          <w:rFonts w:eastAsia="Aptos" w:cs="Arial"/>
        </w:rPr>
        <w:t>safeguard</w:t>
      </w:r>
      <w:r w:rsidR="003D4620">
        <w:rPr>
          <w:rFonts w:eastAsia="Aptos" w:cs="Arial"/>
        </w:rPr>
        <w:t>ing approaches</w:t>
      </w:r>
      <w:r w:rsidR="004B1E64" w:rsidRPr="005D4C68">
        <w:rPr>
          <w:rFonts w:eastAsia="Aptos" w:cs="Arial"/>
        </w:rPr>
        <w:t xml:space="preserve">. </w:t>
      </w:r>
      <w:r w:rsidR="00515F55">
        <w:rPr>
          <w:rFonts w:eastAsia="Aptos" w:cs="Arial"/>
        </w:rPr>
        <w:t xml:space="preserve">It was suggested that </w:t>
      </w:r>
      <w:r w:rsidR="00CD7FB3">
        <w:rPr>
          <w:rFonts w:eastAsia="Aptos" w:cs="Arial"/>
        </w:rPr>
        <w:t xml:space="preserve">any safeguarding </w:t>
      </w:r>
      <w:r w:rsidR="00C1438B" w:rsidRPr="005D4C68">
        <w:rPr>
          <w:rFonts w:eastAsia="Aptos" w:cs="Arial"/>
        </w:rPr>
        <w:t xml:space="preserve">approach </w:t>
      </w:r>
      <w:r w:rsidR="007850D6">
        <w:rPr>
          <w:rFonts w:eastAsia="Aptos" w:cs="Arial"/>
        </w:rPr>
        <w:t xml:space="preserve">should, therefore, </w:t>
      </w:r>
      <w:r w:rsidR="00C1438B" w:rsidRPr="005D4C68">
        <w:rPr>
          <w:rFonts w:eastAsia="Aptos" w:cs="Arial"/>
        </w:rPr>
        <w:t xml:space="preserve">provide </w:t>
      </w:r>
      <w:r w:rsidR="00094DA2" w:rsidRPr="005D4C68">
        <w:rPr>
          <w:rFonts w:eastAsia="Aptos" w:cs="Arial"/>
        </w:rPr>
        <w:t xml:space="preserve">an older person with </w:t>
      </w:r>
      <w:r w:rsidR="00C1438B" w:rsidRPr="005D4C68">
        <w:rPr>
          <w:rFonts w:eastAsia="Aptos" w:cs="Arial"/>
        </w:rPr>
        <w:t>effective</w:t>
      </w:r>
      <w:r w:rsidR="001B65D5" w:rsidRPr="005D4C68">
        <w:rPr>
          <w:rFonts w:eastAsia="Aptos" w:cs="Arial"/>
        </w:rPr>
        <w:t xml:space="preserve"> protect</w:t>
      </w:r>
      <w:r w:rsidR="00C1438B" w:rsidRPr="005D4C68">
        <w:rPr>
          <w:rFonts w:eastAsia="Aptos" w:cs="Arial"/>
        </w:rPr>
        <w:t xml:space="preserve">ion </w:t>
      </w:r>
      <w:r w:rsidR="001B65D5" w:rsidRPr="005D4C68">
        <w:rPr>
          <w:rFonts w:eastAsia="Aptos" w:cs="Arial"/>
        </w:rPr>
        <w:t>from abuse</w:t>
      </w:r>
      <w:r w:rsidR="00C1438B" w:rsidRPr="005D4C68">
        <w:rPr>
          <w:rFonts w:eastAsia="Aptos" w:cs="Arial"/>
        </w:rPr>
        <w:t>, when needed,</w:t>
      </w:r>
      <w:r w:rsidR="001B65D5" w:rsidRPr="005D4C68">
        <w:rPr>
          <w:rFonts w:eastAsia="Aptos" w:cs="Arial"/>
        </w:rPr>
        <w:t xml:space="preserve"> while at the same time </w:t>
      </w:r>
      <w:r w:rsidR="005A493D" w:rsidRPr="005D4C68">
        <w:rPr>
          <w:rFonts w:eastAsia="Aptos" w:cs="Arial"/>
        </w:rPr>
        <w:t xml:space="preserve">making sure </w:t>
      </w:r>
      <w:r w:rsidR="00BF0E6A" w:rsidRPr="005D4C68">
        <w:rPr>
          <w:rFonts w:eastAsia="Aptos" w:cs="Arial"/>
        </w:rPr>
        <w:t>th</w:t>
      </w:r>
      <w:r w:rsidR="00094DA2" w:rsidRPr="005D4C68">
        <w:rPr>
          <w:rFonts w:eastAsia="Aptos" w:cs="Arial"/>
        </w:rPr>
        <w:t xml:space="preserve">e </w:t>
      </w:r>
      <w:r w:rsidR="00E36640">
        <w:rPr>
          <w:rFonts w:eastAsia="Aptos" w:cs="Arial"/>
        </w:rPr>
        <w:t xml:space="preserve">older </w:t>
      </w:r>
      <w:r w:rsidR="00094DA2" w:rsidRPr="005D4C68">
        <w:rPr>
          <w:rFonts w:eastAsia="Aptos" w:cs="Arial"/>
        </w:rPr>
        <w:t>person’s</w:t>
      </w:r>
      <w:r w:rsidR="00BF0E6A" w:rsidRPr="005D4C68">
        <w:rPr>
          <w:rFonts w:eastAsia="Aptos" w:cs="Arial"/>
        </w:rPr>
        <w:t xml:space="preserve"> </w:t>
      </w:r>
      <w:r w:rsidR="00070F87" w:rsidRPr="005D4C68">
        <w:rPr>
          <w:rFonts w:eastAsia="Aptos" w:cs="Arial"/>
        </w:rPr>
        <w:t>r</w:t>
      </w:r>
      <w:r w:rsidR="00603D55" w:rsidRPr="005D4C68">
        <w:rPr>
          <w:rFonts w:eastAsia="Aptos" w:cs="Arial"/>
        </w:rPr>
        <w:t>ights are respected, including the right to make their own choices, have carriage over their own lives and speak for themselves</w:t>
      </w:r>
      <w:r w:rsidRPr="005D4C68">
        <w:rPr>
          <w:rFonts w:eastAsia="Aptos" w:cs="Arial"/>
        </w:rPr>
        <w:t>.</w:t>
      </w:r>
      <w:r w:rsidR="001F756C" w:rsidRPr="007B5BE6">
        <w:rPr>
          <w:rStyle w:val="FootnoteReference"/>
          <w:rFonts w:eastAsia="Aptos" w:cs="Arial"/>
        </w:rPr>
        <w:footnoteReference w:id="491"/>
      </w:r>
      <w:r w:rsidRPr="005D4C68">
        <w:rPr>
          <w:rFonts w:eastAsia="Aptos" w:cs="Arial"/>
        </w:rPr>
        <w:t xml:space="preserve"> </w:t>
      </w:r>
      <w:r w:rsidR="005C4FDD" w:rsidRPr="005D4C68">
        <w:rPr>
          <w:rFonts w:eastAsia="Aptos" w:cs="Arial"/>
        </w:rPr>
        <w:t>The TLRI observes that</w:t>
      </w:r>
      <w:r w:rsidR="00E71151" w:rsidRPr="005D4C68">
        <w:rPr>
          <w:rFonts w:eastAsia="Aptos" w:cs="Arial"/>
        </w:rPr>
        <w:t xml:space="preserve"> concerns about </w:t>
      </w:r>
      <w:r w:rsidR="0055170E" w:rsidRPr="005D4C68">
        <w:rPr>
          <w:rFonts w:eastAsia="Aptos" w:cs="Arial"/>
        </w:rPr>
        <w:t xml:space="preserve">balancing of autonomy and safety </w:t>
      </w:r>
      <w:r w:rsidR="00214845" w:rsidRPr="005D4C68">
        <w:rPr>
          <w:rFonts w:eastAsia="Aptos" w:cs="Arial"/>
        </w:rPr>
        <w:t xml:space="preserve">can be addressed by ensuring that the </w:t>
      </w:r>
      <w:r w:rsidR="008D53B2" w:rsidRPr="005D4C68">
        <w:rPr>
          <w:rFonts w:eastAsia="Aptos" w:cs="Arial"/>
        </w:rPr>
        <w:t>overarching</w:t>
      </w:r>
      <w:r w:rsidR="00214845" w:rsidRPr="005D4C68">
        <w:rPr>
          <w:rFonts w:eastAsia="Aptos" w:cs="Arial"/>
        </w:rPr>
        <w:t xml:space="preserve"> </w:t>
      </w:r>
      <w:r w:rsidR="008D53B2" w:rsidRPr="005D4C68">
        <w:rPr>
          <w:rFonts w:eastAsia="Aptos" w:cs="Arial"/>
        </w:rPr>
        <w:t>safeguarding</w:t>
      </w:r>
      <w:r w:rsidR="00214845" w:rsidRPr="005D4C68">
        <w:rPr>
          <w:rFonts w:eastAsia="Aptos" w:cs="Arial"/>
        </w:rPr>
        <w:t xml:space="preserve"> approach is guided by </w:t>
      </w:r>
      <w:r w:rsidR="008D53B2" w:rsidRPr="005D4C68">
        <w:rPr>
          <w:rFonts w:eastAsia="Aptos" w:cs="Arial"/>
        </w:rPr>
        <w:t xml:space="preserve">clear </w:t>
      </w:r>
      <w:r w:rsidR="00214845" w:rsidRPr="005D4C68">
        <w:rPr>
          <w:rFonts w:eastAsia="Aptos" w:cs="Arial"/>
        </w:rPr>
        <w:t xml:space="preserve">principles </w:t>
      </w:r>
      <w:r w:rsidR="00D44135" w:rsidRPr="005D4C68">
        <w:rPr>
          <w:rFonts w:eastAsia="Aptos" w:cs="Arial"/>
        </w:rPr>
        <w:t>that are given statutory recognition.</w:t>
      </w:r>
      <w:r w:rsidR="00D44135" w:rsidRPr="007B5BE6">
        <w:rPr>
          <w:rStyle w:val="FootnoteReference"/>
          <w:rFonts w:eastAsia="Aptos" w:cs="Arial"/>
        </w:rPr>
        <w:footnoteReference w:id="492"/>
      </w:r>
    </w:p>
    <w:p w14:paraId="50891288" w14:textId="77777777" w:rsidR="00897E7E" w:rsidRDefault="00897E7E">
      <w:pPr>
        <w:spacing w:after="200" w:line="276" w:lineRule="auto"/>
        <w:jc w:val="left"/>
        <w:rPr>
          <w:rFonts w:eastAsia="Times" w:cs="Times New Roman"/>
          <w:b/>
          <w:i/>
          <w:szCs w:val="20"/>
        </w:rPr>
      </w:pPr>
      <w:bookmarkStart w:id="567" w:name="_Toc212561789"/>
      <w:r>
        <w:br w:type="page"/>
      </w:r>
    </w:p>
    <w:p w14:paraId="74A70F3F" w14:textId="3F3ADEFB" w:rsidR="00D8555B" w:rsidRPr="007B5BE6" w:rsidRDefault="00D8555B" w:rsidP="00AE2D56">
      <w:pPr>
        <w:pStyle w:val="Sub-HeadingTLRI"/>
        <w:spacing w:before="360"/>
      </w:pPr>
      <w:r w:rsidRPr="007B5BE6">
        <w:lastRenderedPageBreak/>
        <w:t>Avoiding duplication and unintended consequences</w:t>
      </w:r>
      <w:bookmarkEnd w:id="567"/>
      <w:r w:rsidRPr="007B5BE6">
        <w:t xml:space="preserve"> </w:t>
      </w:r>
    </w:p>
    <w:p w14:paraId="539ED971" w14:textId="22CC39BB" w:rsidR="00B95AD0" w:rsidRPr="007B5BE6" w:rsidRDefault="00D44135" w:rsidP="00D8555B">
      <w:pPr>
        <w:numPr>
          <w:ilvl w:val="2"/>
          <w:numId w:val="2"/>
        </w:numPr>
        <w:tabs>
          <w:tab w:val="left" w:pos="851"/>
        </w:tabs>
        <w:spacing w:before="220"/>
        <w:rPr>
          <w:rFonts w:eastAsia="Times" w:cs="Times New Roman"/>
          <w:szCs w:val="20"/>
        </w:rPr>
      </w:pPr>
      <w:r w:rsidRPr="007B5BE6">
        <w:rPr>
          <w:rFonts w:eastAsia="Times" w:cs="Times New Roman"/>
          <w:szCs w:val="20"/>
        </w:rPr>
        <w:t>S</w:t>
      </w:r>
      <w:r w:rsidR="00D8555B" w:rsidRPr="007B5BE6">
        <w:rPr>
          <w:rFonts w:eastAsia="Times" w:cs="Times New Roman"/>
          <w:szCs w:val="20"/>
        </w:rPr>
        <w:t xml:space="preserve">ome </w:t>
      </w:r>
      <w:r w:rsidR="00D34973" w:rsidRPr="007B5BE6">
        <w:rPr>
          <w:rFonts w:eastAsia="Times" w:cs="Times New Roman"/>
          <w:szCs w:val="20"/>
        </w:rPr>
        <w:t xml:space="preserve">stakeholders raised </w:t>
      </w:r>
      <w:r w:rsidR="00D8555B" w:rsidRPr="007B5BE6">
        <w:rPr>
          <w:rFonts w:eastAsia="Times" w:cs="Times New Roman"/>
          <w:szCs w:val="20"/>
        </w:rPr>
        <w:t xml:space="preserve">concerns </w:t>
      </w:r>
      <w:r w:rsidR="00D34973" w:rsidRPr="007B5BE6">
        <w:rPr>
          <w:rFonts w:eastAsia="Times" w:cs="Times New Roman"/>
          <w:szCs w:val="20"/>
        </w:rPr>
        <w:t>about</w:t>
      </w:r>
      <w:r w:rsidR="00D8555B" w:rsidRPr="007B5BE6">
        <w:rPr>
          <w:rFonts w:eastAsia="Times" w:cs="Times New Roman"/>
          <w:szCs w:val="20"/>
        </w:rPr>
        <w:t xml:space="preserve"> how adult safeguarding would fit within the current mechanisms in place for responding to the abuse of older people, </w:t>
      </w:r>
      <w:r w:rsidR="009829BA" w:rsidRPr="007B5BE6">
        <w:rPr>
          <w:rFonts w:eastAsia="Times" w:cs="Times New Roman"/>
          <w:szCs w:val="20"/>
        </w:rPr>
        <w:t>even though</w:t>
      </w:r>
      <w:r w:rsidR="001C4A1E" w:rsidRPr="007B5BE6">
        <w:rPr>
          <w:rFonts w:eastAsia="Times" w:cs="Times New Roman"/>
          <w:szCs w:val="20"/>
        </w:rPr>
        <w:t xml:space="preserve"> the</w:t>
      </w:r>
      <w:r w:rsidR="009829BA" w:rsidRPr="007B5BE6">
        <w:rPr>
          <w:rFonts w:eastAsia="Times" w:cs="Times New Roman"/>
          <w:szCs w:val="20"/>
        </w:rPr>
        <w:t>re are</w:t>
      </w:r>
      <w:r w:rsidR="001C4A1E" w:rsidRPr="007B5BE6">
        <w:rPr>
          <w:rFonts w:eastAsia="Times" w:cs="Times New Roman"/>
          <w:szCs w:val="20"/>
        </w:rPr>
        <w:t xml:space="preserve"> limits on the circumstances in which these existing mechanisms may </w:t>
      </w:r>
      <w:r w:rsidR="00D8555B" w:rsidRPr="007B5BE6">
        <w:rPr>
          <w:rFonts w:eastAsia="Times" w:cs="Times New Roman"/>
          <w:szCs w:val="20"/>
        </w:rPr>
        <w:t xml:space="preserve">apply. </w:t>
      </w:r>
      <w:r w:rsidR="0070271D" w:rsidRPr="007B5BE6">
        <w:rPr>
          <w:rFonts w:eastAsia="Times" w:cs="Times New Roman"/>
          <w:szCs w:val="20"/>
        </w:rPr>
        <w:t xml:space="preserve">Concerns </w:t>
      </w:r>
      <w:r w:rsidR="00A3215A" w:rsidRPr="007B5BE6">
        <w:rPr>
          <w:rFonts w:eastAsia="Times" w:cs="Times New Roman"/>
          <w:szCs w:val="20"/>
        </w:rPr>
        <w:t xml:space="preserve">highlighted the </w:t>
      </w:r>
      <w:r w:rsidR="00D8555B" w:rsidRPr="007B5BE6">
        <w:rPr>
          <w:rFonts w:eastAsia="Times" w:cs="Times New Roman"/>
          <w:szCs w:val="20"/>
        </w:rPr>
        <w:t>importance of</w:t>
      </w:r>
      <w:r w:rsidR="00B95AD0" w:rsidRPr="007B5BE6">
        <w:rPr>
          <w:rFonts w:eastAsia="Times" w:cs="Times New Roman"/>
          <w:szCs w:val="20"/>
        </w:rPr>
        <w:t>:</w:t>
      </w:r>
    </w:p>
    <w:p w14:paraId="08D7CAFE" w14:textId="7BC940F3" w:rsidR="00B95AD0" w:rsidRPr="007B5BE6" w:rsidRDefault="004F4146" w:rsidP="00B95AD0">
      <w:pPr>
        <w:pStyle w:val="DotPointTLRI"/>
        <w:rPr>
          <w:rFonts w:eastAsia="Times"/>
        </w:rPr>
      </w:pPr>
      <w:r w:rsidRPr="007B5BE6">
        <w:rPr>
          <w:rFonts w:eastAsia="Times"/>
        </w:rPr>
        <w:t xml:space="preserve">ensuring that </w:t>
      </w:r>
      <w:r w:rsidR="00A3215A" w:rsidRPr="007B5BE6">
        <w:rPr>
          <w:rFonts w:eastAsia="Times"/>
        </w:rPr>
        <w:t xml:space="preserve">any new </w:t>
      </w:r>
      <w:r w:rsidR="00D8555B" w:rsidRPr="007B5BE6">
        <w:rPr>
          <w:rFonts w:eastAsia="Times"/>
        </w:rPr>
        <w:t xml:space="preserve">adult safeguarding </w:t>
      </w:r>
      <w:r w:rsidR="00A3215A" w:rsidRPr="007B5BE6">
        <w:rPr>
          <w:rFonts w:eastAsia="Times"/>
        </w:rPr>
        <w:t xml:space="preserve">response mechanisms </w:t>
      </w:r>
      <w:r w:rsidR="00D8555B" w:rsidRPr="007B5BE6">
        <w:rPr>
          <w:rFonts w:eastAsia="Times"/>
        </w:rPr>
        <w:t>work</w:t>
      </w:r>
      <w:r w:rsidRPr="007B5BE6">
        <w:rPr>
          <w:rFonts w:eastAsia="Times"/>
        </w:rPr>
        <w:t>ed</w:t>
      </w:r>
      <w:r w:rsidR="00D8555B" w:rsidRPr="007B5BE6">
        <w:rPr>
          <w:rFonts w:eastAsia="Times"/>
        </w:rPr>
        <w:t xml:space="preserve"> well with and </w:t>
      </w:r>
      <w:r w:rsidRPr="007B5BE6">
        <w:rPr>
          <w:rFonts w:eastAsia="Times"/>
        </w:rPr>
        <w:t xml:space="preserve">did </w:t>
      </w:r>
      <w:r w:rsidR="00D8555B" w:rsidRPr="007B5BE6">
        <w:rPr>
          <w:rFonts w:eastAsia="Times"/>
        </w:rPr>
        <w:t>not duplicat</w:t>
      </w:r>
      <w:r w:rsidRPr="007B5BE6">
        <w:rPr>
          <w:rFonts w:eastAsia="Times"/>
        </w:rPr>
        <w:t>e</w:t>
      </w:r>
      <w:r w:rsidR="00D8555B" w:rsidRPr="007B5BE6">
        <w:rPr>
          <w:rFonts w:eastAsia="Times"/>
        </w:rPr>
        <w:t xml:space="preserve"> </w:t>
      </w:r>
      <w:r w:rsidRPr="007B5BE6">
        <w:rPr>
          <w:rFonts w:eastAsia="Times"/>
        </w:rPr>
        <w:t xml:space="preserve">those that already </w:t>
      </w:r>
      <w:r w:rsidR="00D8555B" w:rsidRPr="007B5BE6">
        <w:rPr>
          <w:rFonts w:eastAsia="Times"/>
        </w:rPr>
        <w:t>exist</w:t>
      </w:r>
      <w:r w:rsidR="00B95AD0" w:rsidRPr="007B5BE6">
        <w:rPr>
          <w:rFonts w:eastAsia="Times"/>
        </w:rPr>
        <w:t xml:space="preserve">; and </w:t>
      </w:r>
    </w:p>
    <w:p w14:paraId="7FDC48BC" w14:textId="6732C428" w:rsidR="00B95AD0" w:rsidRPr="007B5BE6" w:rsidRDefault="00D8555B" w:rsidP="00B95AD0">
      <w:pPr>
        <w:pStyle w:val="DotPointTLRI"/>
        <w:rPr>
          <w:rFonts w:eastAsia="Times"/>
        </w:rPr>
      </w:pPr>
      <w:r w:rsidRPr="007B5BE6">
        <w:rPr>
          <w:rFonts w:eastAsia="Times"/>
        </w:rPr>
        <w:t>avoiding any unintended consequences such as setting up another silo to add to the existing siloed responses.</w:t>
      </w:r>
      <w:r w:rsidR="00CE6203" w:rsidRPr="007B5BE6">
        <w:rPr>
          <w:rStyle w:val="FootnoteReference"/>
          <w:rFonts w:eastAsia="Times"/>
        </w:rPr>
        <w:footnoteReference w:id="493"/>
      </w:r>
      <w:r w:rsidRPr="007B5BE6">
        <w:rPr>
          <w:rFonts w:eastAsia="Times"/>
        </w:rPr>
        <w:t xml:space="preserve"> </w:t>
      </w:r>
    </w:p>
    <w:p w14:paraId="4800E5E3" w14:textId="01B2DB45" w:rsidR="00D8555B" w:rsidRPr="007B5BE6" w:rsidRDefault="00D8555B" w:rsidP="00C36293">
      <w:r w:rsidRPr="007B5BE6">
        <w:t xml:space="preserve">For example, one stakeholder emphasised that if a reform option of a stand-alone adult safeguarding unit (such as exists in </w:t>
      </w:r>
      <w:r w:rsidR="00E9045E" w:rsidRPr="007B5BE6">
        <w:t>SA</w:t>
      </w:r>
      <w:r w:rsidRPr="007B5BE6">
        <w:t xml:space="preserve">) was </w:t>
      </w:r>
      <w:r w:rsidR="00B314BD" w:rsidRPr="007B5BE6">
        <w:t>contemplated</w:t>
      </w:r>
      <w:r w:rsidRPr="007B5BE6">
        <w:t xml:space="preserve">, </w:t>
      </w:r>
      <w:r w:rsidR="00A21B08" w:rsidRPr="007B5BE6">
        <w:t xml:space="preserve">it was important </w:t>
      </w:r>
      <w:r w:rsidR="002D1B2A" w:rsidRPr="007B5BE6">
        <w:t xml:space="preserve">to ensure that </w:t>
      </w:r>
      <w:r w:rsidR="00B314BD" w:rsidRPr="007B5BE6">
        <w:t xml:space="preserve">this </w:t>
      </w:r>
      <w:proofErr w:type="gramStart"/>
      <w:r w:rsidR="00B314BD" w:rsidRPr="007B5BE6">
        <w:t>particular option</w:t>
      </w:r>
      <w:proofErr w:type="gramEnd"/>
      <w:r w:rsidR="00B314BD" w:rsidRPr="007B5BE6">
        <w:t xml:space="preserve"> was </w:t>
      </w:r>
      <w:r w:rsidR="003F11EB" w:rsidRPr="007B5BE6">
        <w:t xml:space="preserve">needed to </w:t>
      </w:r>
      <w:r w:rsidRPr="007B5BE6">
        <w:t xml:space="preserve">meet the actual demand </w:t>
      </w:r>
      <w:r w:rsidR="000B2FB4" w:rsidRPr="007B5BE6">
        <w:t xml:space="preserve">for safeguarding </w:t>
      </w:r>
      <w:r w:rsidR="00B665FC" w:rsidRPr="007B5BE6">
        <w:t xml:space="preserve">and provide the envisaged benefits </w:t>
      </w:r>
      <w:r w:rsidRPr="007B5BE6">
        <w:t>in the Tasmanian context</w:t>
      </w:r>
      <w:r w:rsidR="009E0AEC" w:rsidRPr="007B5BE6">
        <w:t>, informed by</w:t>
      </w:r>
      <w:r w:rsidR="003F11EB" w:rsidRPr="007B5BE6">
        <w:t xml:space="preserve"> </w:t>
      </w:r>
      <w:r w:rsidRPr="007B5BE6">
        <w:t>careful consideration</w:t>
      </w:r>
      <w:r w:rsidR="00E9045E" w:rsidRPr="007B5BE6">
        <w:t xml:space="preserve"> </w:t>
      </w:r>
      <w:r w:rsidR="009E0AEC" w:rsidRPr="007B5BE6">
        <w:t>of</w:t>
      </w:r>
      <w:r w:rsidR="00E9045E" w:rsidRPr="007B5BE6">
        <w:t xml:space="preserve"> </w:t>
      </w:r>
      <w:proofErr w:type="gramStart"/>
      <w:r w:rsidRPr="007B5BE6">
        <w:t>particular matters</w:t>
      </w:r>
      <w:proofErr w:type="gramEnd"/>
      <w:r w:rsidR="009E0AEC" w:rsidRPr="007B5BE6">
        <w:t xml:space="preserve">. This included a </w:t>
      </w:r>
      <w:r w:rsidRPr="007B5BE6">
        <w:t xml:space="preserve">need to: </w:t>
      </w:r>
    </w:p>
    <w:p w14:paraId="658014FF" w14:textId="74983BF6"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be very clear about the purpose/s of any such standalone unit</w:t>
      </w:r>
      <w:r w:rsidR="00B665FC" w:rsidRPr="007B5BE6">
        <w:rPr>
          <w:rFonts w:eastAsia="Times New Roman" w:cs="Times New Roman"/>
        </w:rPr>
        <w:t xml:space="preserve"> </w:t>
      </w:r>
      <w:r w:rsidR="0009789C" w:rsidRPr="007B5BE6">
        <w:rPr>
          <w:rFonts w:eastAsia="Times New Roman" w:cs="Times New Roman"/>
        </w:rPr>
        <w:t>that may be contemplated</w:t>
      </w:r>
      <w:r w:rsidRPr="007B5BE6">
        <w:rPr>
          <w:rFonts w:eastAsia="Times New Roman" w:cs="Times New Roman"/>
        </w:rPr>
        <w:t>; and</w:t>
      </w:r>
    </w:p>
    <w:p w14:paraId="7DB26B2D" w14:textId="66C5BCFD"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ensure its functions would not result in duplication with other existing legislative complaint mechanisms and the specialist information and referral pathways under the Helpline.</w:t>
      </w:r>
      <w:r w:rsidR="001A019C" w:rsidRPr="007B5BE6">
        <w:rPr>
          <w:rStyle w:val="FootnoteReference"/>
          <w:rFonts w:eastAsia="Times New Roman" w:cs="Times New Roman"/>
        </w:rPr>
        <w:footnoteReference w:id="494"/>
      </w:r>
      <w:r w:rsidRPr="007B5BE6">
        <w:rPr>
          <w:rFonts w:eastAsia="Times New Roman" w:cs="Times New Roman"/>
        </w:rPr>
        <w:t xml:space="preserve">  </w:t>
      </w:r>
    </w:p>
    <w:p w14:paraId="54270145" w14:textId="244362DA" w:rsidR="00E63387" w:rsidRPr="007B5BE6" w:rsidRDefault="00E63387" w:rsidP="00C36293">
      <w:r w:rsidRPr="007B5BE6">
        <w:t>Regarding this, the stakeholder reflected:</w:t>
      </w:r>
    </w:p>
    <w:p w14:paraId="40C696CF" w14:textId="74D8D99A" w:rsidR="00D8555B" w:rsidRPr="007B5BE6" w:rsidRDefault="00D8555B" w:rsidP="00D8555B">
      <w:pPr>
        <w:spacing w:before="220"/>
        <w:ind w:left="720" w:right="720"/>
        <w:rPr>
          <w:rFonts w:eastAsia="Aptos" w:cs="Arial"/>
          <w:sz w:val="20"/>
          <w:szCs w:val="20"/>
        </w:rPr>
      </w:pPr>
      <w:r w:rsidRPr="007B5BE6">
        <w:rPr>
          <w:rFonts w:eastAsia="Aptos" w:cs="Arial"/>
          <w:sz w:val="20"/>
          <w:szCs w:val="20"/>
        </w:rPr>
        <w:t>[I]n some ways, we need broader safeguarding arrangements for every [person], no matter what</w:t>
      </w:r>
      <w:r w:rsidR="008E2809" w:rsidRPr="007B5BE6">
        <w:rPr>
          <w:rFonts w:eastAsia="Aptos" w:cs="Arial"/>
          <w:sz w:val="20"/>
          <w:szCs w:val="20"/>
        </w:rPr>
        <w:t xml:space="preserve"> [and] </w:t>
      </w:r>
      <w:r w:rsidRPr="007B5BE6">
        <w:rPr>
          <w:rFonts w:eastAsia="Aptos" w:cs="Arial"/>
          <w:sz w:val="20"/>
          <w:szCs w:val="20"/>
        </w:rPr>
        <w:t>whoever is being abused. … And you know, they funnel, they come into the same [system] … whether it’s reported to police, whether it’s reported to the public guardian, whether it’s reported to a nurse or a social worker or the teacher or whatever. Then [they] work out behind that, what’s the best avenue … triaging it in terms of what the best avenue of support might be. The downside of creating yet another small agency is that we will set up yet another set of silos. … [</w:t>
      </w:r>
      <w:r w:rsidR="002E02EC" w:rsidRPr="007B5BE6">
        <w:rPr>
          <w:rFonts w:eastAsia="Aptos" w:cs="Arial"/>
          <w:sz w:val="20"/>
          <w:szCs w:val="20"/>
        </w:rPr>
        <w:t>We’</w:t>
      </w:r>
      <w:r w:rsidRPr="007B5BE6">
        <w:rPr>
          <w:rFonts w:eastAsia="Aptos" w:cs="Arial"/>
          <w:sz w:val="20"/>
          <w:szCs w:val="20"/>
        </w:rPr>
        <w:t>re] aiming for a no wrong door approach, coming from any point … coming from, you know, the doctor, the nurse, the social worker, the person themselves, the perpetrator who realises they’ve gone too far.</w:t>
      </w:r>
      <w:r w:rsidR="001A019C" w:rsidRPr="007B5BE6">
        <w:rPr>
          <w:rStyle w:val="FootnoteReference"/>
          <w:rFonts w:eastAsia="Aptos" w:cs="Arial"/>
          <w:sz w:val="20"/>
          <w:szCs w:val="20"/>
        </w:rPr>
        <w:footnoteReference w:id="495"/>
      </w:r>
    </w:p>
    <w:p w14:paraId="1D94479C" w14:textId="15D6DC35" w:rsidR="00D8555B" w:rsidRPr="007B5BE6" w:rsidRDefault="00795F9F" w:rsidP="00D8555B">
      <w:pPr>
        <w:numPr>
          <w:ilvl w:val="2"/>
          <w:numId w:val="2"/>
        </w:numPr>
        <w:tabs>
          <w:tab w:val="left" w:pos="851"/>
        </w:tabs>
        <w:spacing w:before="220"/>
        <w:rPr>
          <w:rFonts w:eastAsia="Times" w:cs="Times New Roman"/>
          <w:szCs w:val="20"/>
        </w:rPr>
      </w:pPr>
      <w:r w:rsidRPr="007B5BE6">
        <w:rPr>
          <w:rFonts w:eastAsia="Times" w:cs="Times New Roman"/>
          <w:szCs w:val="20"/>
        </w:rPr>
        <w:t xml:space="preserve">Stakeholders identified other matters </w:t>
      </w:r>
      <w:r w:rsidR="00207512" w:rsidRPr="007B5BE6">
        <w:rPr>
          <w:rFonts w:eastAsia="Times" w:cs="Times New Roman"/>
          <w:szCs w:val="20"/>
        </w:rPr>
        <w:t xml:space="preserve">as being important </w:t>
      </w:r>
      <w:r w:rsidR="00D8555B" w:rsidRPr="007B5BE6">
        <w:rPr>
          <w:rFonts w:eastAsia="Times" w:cs="Times New Roman"/>
          <w:szCs w:val="20"/>
        </w:rPr>
        <w:t xml:space="preserve">when considering potential reforms </w:t>
      </w:r>
      <w:r w:rsidR="00207512" w:rsidRPr="007B5BE6">
        <w:rPr>
          <w:rFonts w:eastAsia="Times" w:cs="Times New Roman"/>
          <w:szCs w:val="20"/>
        </w:rPr>
        <w:t xml:space="preserve">to </w:t>
      </w:r>
      <w:r w:rsidR="00D8555B" w:rsidRPr="007B5BE6">
        <w:rPr>
          <w:rFonts w:eastAsia="Times" w:cs="Times New Roman"/>
          <w:szCs w:val="20"/>
        </w:rPr>
        <w:t>creat</w:t>
      </w:r>
      <w:r w:rsidR="00207512" w:rsidRPr="007B5BE6">
        <w:rPr>
          <w:rFonts w:eastAsia="Times" w:cs="Times New Roman"/>
          <w:szCs w:val="20"/>
        </w:rPr>
        <w:t>e</w:t>
      </w:r>
      <w:r w:rsidR="00D8555B" w:rsidRPr="007B5BE6">
        <w:rPr>
          <w:rFonts w:eastAsia="Times" w:cs="Times New Roman"/>
          <w:szCs w:val="20"/>
        </w:rPr>
        <w:t xml:space="preserve"> an overarching approach and a subject-specific framework for safeguarding against </w:t>
      </w:r>
      <w:r w:rsidR="00B82BE2" w:rsidRPr="007B5BE6">
        <w:rPr>
          <w:rFonts w:eastAsia="Times" w:cs="Times New Roman"/>
          <w:szCs w:val="20"/>
        </w:rPr>
        <w:t xml:space="preserve">the </w:t>
      </w:r>
      <w:r w:rsidR="00D8555B" w:rsidRPr="007B5BE6">
        <w:rPr>
          <w:rFonts w:eastAsia="Times" w:cs="Times New Roman"/>
          <w:szCs w:val="20"/>
        </w:rPr>
        <w:t xml:space="preserve">abuse of older people. This included: </w:t>
      </w:r>
    </w:p>
    <w:p w14:paraId="5C8BFF4A" w14:textId="5B272382" w:rsidR="00D8555B" w:rsidRPr="007B5BE6" w:rsidRDefault="00D0122A" w:rsidP="00D8555B">
      <w:pPr>
        <w:numPr>
          <w:ilvl w:val="0"/>
          <w:numId w:val="1"/>
        </w:numPr>
        <w:spacing w:after="120"/>
        <w:rPr>
          <w:rFonts w:eastAsia="Times New Roman" w:cs="Times New Roman"/>
        </w:rPr>
      </w:pPr>
      <w:r w:rsidRPr="007B5BE6">
        <w:rPr>
          <w:rFonts w:eastAsia="Times New Roman" w:cs="Times New Roman"/>
        </w:rPr>
        <w:t>provision of</w:t>
      </w:r>
      <w:r w:rsidR="00D8555B" w:rsidRPr="007B5BE6">
        <w:rPr>
          <w:rFonts w:eastAsia="Times New Roman" w:cs="Times New Roman"/>
        </w:rPr>
        <w:t xml:space="preserve"> appropriate coercive powers (such as being able to enter homes where there are concerns of imminent harm or there is a high risk to safety), as well as a wide range of other options for responding to investigations</w:t>
      </w:r>
      <w:r w:rsidRPr="007B5BE6">
        <w:rPr>
          <w:rFonts w:eastAsia="Times New Roman" w:cs="Times New Roman"/>
        </w:rPr>
        <w:t xml:space="preserve"> of reported abuse</w:t>
      </w:r>
      <w:r w:rsidR="007D18A0" w:rsidRPr="007B5BE6">
        <w:rPr>
          <w:rFonts w:eastAsia="Times New Roman" w:cs="Times New Roman"/>
        </w:rPr>
        <w:t xml:space="preserve"> (</w:t>
      </w:r>
      <w:r w:rsidR="00D8555B" w:rsidRPr="007B5BE6">
        <w:rPr>
          <w:rFonts w:eastAsia="Times New Roman" w:cs="Times New Roman"/>
        </w:rPr>
        <w:t>such as mediation, counselling, education, legal advice or referral to justice agencies</w:t>
      </w:r>
      <w:r w:rsidR="007D18A0" w:rsidRPr="007B5BE6">
        <w:rPr>
          <w:rFonts w:eastAsia="Times New Roman" w:cs="Times New Roman"/>
        </w:rPr>
        <w:t xml:space="preserve">, </w:t>
      </w:r>
      <w:r w:rsidR="00D8555B" w:rsidRPr="007B5BE6">
        <w:rPr>
          <w:rFonts w:eastAsia="Times New Roman" w:cs="Times New Roman"/>
        </w:rPr>
        <w:t>if appropriate);</w:t>
      </w:r>
    </w:p>
    <w:p w14:paraId="01CDAF00" w14:textId="078A19DB"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the inclusion of pathways for reporting that are known, trusted and used by professionals who may engage with older people</w:t>
      </w:r>
      <w:r w:rsidR="007D18A0" w:rsidRPr="007B5BE6">
        <w:rPr>
          <w:rFonts w:eastAsia="Times New Roman" w:cs="Times New Roman"/>
        </w:rPr>
        <w:t xml:space="preserve">, </w:t>
      </w:r>
      <w:r w:rsidRPr="007B5BE6">
        <w:rPr>
          <w:rFonts w:eastAsia="Times New Roman" w:cs="Times New Roman"/>
        </w:rPr>
        <w:t xml:space="preserve">as well by older people, and their family, friends and carers, so that </w:t>
      </w:r>
      <w:r w:rsidR="00A112BA" w:rsidRPr="007B5BE6">
        <w:rPr>
          <w:rFonts w:eastAsia="Times New Roman" w:cs="Times New Roman"/>
        </w:rPr>
        <w:t xml:space="preserve">older </w:t>
      </w:r>
      <w:r w:rsidRPr="007B5BE6">
        <w:rPr>
          <w:rFonts w:eastAsia="Times New Roman" w:cs="Times New Roman"/>
        </w:rPr>
        <w:t>people feel comfortable and empowered to seek help, such that they are ‘happy to speak up’; and</w:t>
      </w:r>
    </w:p>
    <w:p w14:paraId="4ABF42CE" w14:textId="7C093658" w:rsidR="00D8555B" w:rsidRPr="007B5BE6" w:rsidRDefault="00B82BE2" w:rsidP="00D8555B">
      <w:pPr>
        <w:numPr>
          <w:ilvl w:val="0"/>
          <w:numId w:val="1"/>
        </w:numPr>
        <w:spacing w:after="120"/>
        <w:rPr>
          <w:rFonts w:eastAsia="Times New Roman" w:cs="Times New Roman"/>
        </w:rPr>
      </w:pPr>
      <w:r w:rsidRPr="007B5BE6">
        <w:rPr>
          <w:rFonts w:eastAsia="Times New Roman" w:cs="Times New Roman"/>
        </w:rPr>
        <w:t xml:space="preserve">ensuring </w:t>
      </w:r>
      <w:r w:rsidR="00D8555B" w:rsidRPr="007B5BE6">
        <w:rPr>
          <w:rFonts w:eastAsia="Times New Roman" w:cs="Times New Roman"/>
        </w:rPr>
        <w:t xml:space="preserve">that </w:t>
      </w:r>
      <w:r w:rsidR="006B26F9" w:rsidRPr="007B5BE6">
        <w:rPr>
          <w:rFonts w:eastAsia="Times New Roman" w:cs="Times New Roman"/>
        </w:rPr>
        <w:t xml:space="preserve">legislative provision for </w:t>
      </w:r>
      <w:r w:rsidR="00D8555B" w:rsidRPr="007B5BE6">
        <w:rPr>
          <w:rFonts w:eastAsia="Times New Roman" w:cs="Times New Roman"/>
        </w:rPr>
        <w:t>response</w:t>
      </w:r>
      <w:r w:rsidR="008F5E5C" w:rsidRPr="007B5BE6">
        <w:rPr>
          <w:rFonts w:eastAsia="Times New Roman" w:cs="Times New Roman"/>
        </w:rPr>
        <w:t xml:space="preserve"> mechanisms</w:t>
      </w:r>
      <w:r w:rsidR="00263852" w:rsidRPr="007B5BE6">
        <w:rPr>
          <w:rFonts w:eastAsia="Times New Roman" w:cs="Times New Roman"/>
        </w:rPr>
        <w:t xml:space="preserve"> in investigations of abuse </w:t>
      </w:r>
      <w:r w:rsidR="008875F9" w:rsidRPr="007B5BE6">
        <w:rPr>
          <w:rFonts w:eastAsia="Times New Roman" w:cs="Times New Roman"/>
        </w:rPr>
        <w:t xml:space="preserve">is </w:t>
      </w:r>
      <w:r w:rsidR="00D8555B" w:rsidRPr="007B5BE6">
        <w:rPr>
          <w:rFonts w:eastAsia="Times New Roman" w:cs="Times New Roman"/>
        </w:rPr>
        <w:t>accompanied by adequately resourced options in appropriate support systems, for example referrals to health services or follow up regarding aged care services.</w:t>
      </w:r>
      <w:r w:rsidR="001A019C" w:rsidRPr="007B5BE6">
        <w:rPr>
          <w:rStyle w:val="FootnoteReference"/>
          <w:rFonts w:eastAsia="Times New Roman" w:cs="Times New Roman"/>
        </w:rPr>
        <w:footnoteReference w:id="496"/>
      </w:r>
    </w:p>
    <w:p w14:paraId="171F07A9" w14:textId="3CEE2438" w:rsidR="00C36210" w:rsidRPr="007B5BE6" w:rsidRDefault="00C36210" w:rsidP="005F7BEF">
      <w:pPr>
        <w:pStyle w:val="NormalNumberedTextTLRI"/>
      </w:pPr>
      <w:r w:rsidRPr="007B5BE6">
        <w:t xml:space="preserve">Another stakeholder noted that </w:t>
      </w:r>
      <w:r w:rsidR="000A2605" w:rsidRPr="007B5BE6">
        <w:t xml:space="preserve">the </w:t>
      </w:r>
      <w:r w:rsidRPr="007B5BE6">
        <w:t xml:space="preserve">law can be very ‘black and white’ and not able to provide the nuanced response that is required to </w:t>
      </w:r>
      <w:r w:rsidR="000A2605" w:rsidRPr="007B5BE6">
        <w:t xml:space="preserve">address </w:t>
      </w:r>
      <w:r w:rsidRPr="007B5BE6">
        <w:t xml:space="preserve">the complex and wide circumstances in which the abuse </w:t>
      </w:r>
      <w:r w:rsidRPr="007B5BE6">
        <w:lastRenderedPageBreak/>
        <w:t xml:space="preserve">of older people is perpetrated. This stakeholder </w:t>
      </w:r>
      <w:r w:rsidR="00DF2AB2" w:rsidRPr="007B5BE6">
        <w:t xml:space="preserve">noted </w:t>
      </w:r>
      <w:r w:rsidRPr="007B5BE6">
        <w:t xml:space="preserve">the impetus for reform when gaps </w:t>
      </w:r>
      <w:r w:rsidR="0071716E" w:rsidRPr="007B5BE6">
        <w:t xml:space="preserve">in the law </w:t>
      </w:r>
      <w:r w:rsidRPr="007B5BE6">
        <w:t>are identified</w:t>
      </w:r>
      <w:r w:rsidR="001A3C7B" w:rsidRPr="007B5BE6">
        <w:t xml:space="preserve">; however, that this often </w:t>
      </w:r>
      <w:r w:rsidR="008D5EBE" w:rsidRPr="007B5BE6">
        <w:t>r</w:t>
      </w:r>
      <w:r w:rsidR="009D0EEE" w:rsidRPr="007B5BE6">
        <w:t>esult</w:t>
      </w:r>
      <w:r w:rsidR="001A3C7B" w:rsidRPr="007B5BE6">
        <w:t>ed</w:t>
      </w:r>
      <w:r w:rsidR="009D0EEE" w:rsidRPr="007B5BE6">
        <w:t xml:space="preserve"> in the </w:t>
      </w:r>
      <w:r w:rsidR="001A3C7B" w:rsidRPr="007B5BE6">
        <w:t>introduction</w:t>
      </w:r>
      <w:r w:rsidRPr="007B5BE6">
        <w:t xml:space="preserve"> </w:t>
      </w:r>
      <w:r w:rsidR="001A3C7B" w:rsidRPr="007B5BE6">
        <w:t xml:space="preserve">of </w:t>
      </w:r>
      <w:r w:rsidRPr="007B5BE6">
        <w:t xml:space="preserve">new laws, which </w:t>
      </w:r>
      <w:r w:rsidR="001A3C7B" w:rsidRPr="007B5BE6">
        <w:t xml:space="preserve">can </w:t>
      </w:r>
      <w:r w:rsidRPr="007B5BE6">
        <w:t>have unintended consequences</w:t>
      </w:r>
      <w:r w:rsidR="001A3C7B" w:rsidRPr="007B5BE6">
        <w:t>.</w:t>
      </w:r>
      <w:r w:rsidR="002579D2" w:rsidRPr="007B5BE6">
        <w:t xml:space="preserve"> </w:t>
      </w:r>
      <w:r w:rsidR="00DF2AB2" w:rsidRPr="007B5BE6">
        <w:t xml:space="preserve">On the other hand, it was observed that </w:t>
      </w:r>
      <w:r w:rsidRPr="007B5BE6">
        <w:t xml:space="preserve">even the process of discussing gaps in the law and considering law reform can serve an important communicative function that contributes to safeguarding against abuse of older Tasmanians. </w:t>
      </w:r>
    </w:p>
    <w:p w14:paraId="46BE1423" w14:textId="16F04632" w:rsidR="00C36210" w:rsidRPr="007B5BE6" w:rsidRDefault="00C36210" w:rsidP="00B12788">
      <w:pPr>
        <w:pStyle w:val="Indentedquote"/>
        <w:spacing w:before="0"/>
        <w:rPr>
          <w:sz w:val="20"/>
          <w:szCs w:val="20"/>
        </w:rPr>
      </w:pPr>
      <w:r w:rsidRPr="007B5BE6">
        <w:rPr>
          <w:sz w:val="20"/>
          <w:szCs w:val="20"/>
        </w:rPr>
        <w:t xml:space="preserve">I think just the conversation can do a lot … So just having a conversation about whether a law is required … can serve </w:t>
      </w:r>
      <w:r w:rsidR="00681A7A" w:rsidRPr="007B5BE6">
        <w:rPr>
          <w:sz w:val="20"/>
          <w:szCs w:val="20"/>
        </w:rPr>
        <w:t xml:space="preserve">[as] … </w:t>
      </w:r>
      <w:r w:rsidRPr="007B5BE6">
        <w:rPr>
          <w:sz w:val="20"/>
          <w:szCs w:val="20"/>
        </w:rPr>
        <w:t xml:space="preserve">important community education and </w:t>
      </w:r>
      <w:r w:rsidR="00DE29C5" w:rsidRPr="007B5BE6">
        <w:rPr>
          <w:sz w:val="20"/>
          <w:szCs w:val="20"/>
        </w:rPr>
        <w:t xml:space="preserve">[facilitate] </w:t>
      </w:r>
      <w:r w:rsidRPr="007B5BE6">
        <w:rPr>
          <w:sz w:val="20"/>
          <w:szCs w:val="20"/>
        </w:rPr>
        <w:t>a change in attitudes and behaviour.</w:t>
      </w:r>
      <w:r w:rsidR="00A8562E" w:rsidRPr="007B5BE6">
        <w:rPr>
          <w:rStyle w:val="FootnoteReference"/>
          <w:sz w:val="20"/>
          <w:szCs w:val="20"/>
        </w:rPr>
        <w:footnoteReference w:id="497"/>
      </w:r>
      <w:r w:rsidRPr="007B5BE6">
        <w:rPr>
          <w:sz w:val="20"/>
          <w:szCs w:val="20"/>
        </w:rPr>
        <w:t xml:space="preserve"> </w:t>
      </w:r>
    </w:p>
    <w:p w14:paraId="67F319FD" w14:textId="4807FC22" w:rsidR="000242D1" w:rsidRPr="007B5BE6" w:rsidRDefault="00D44135" w:rsidP="00B12788">
      <w:pPr>
        <w:pStyle w:val="NormalNumberedTextTLRI"/>
        <w:rPr>
          <w:b/>
          <w:i/>
        </w:rPr>
      </w:pPr>
      <w:r w:rsidRPr="007B5BE6">
        <w:t xml:space="preserve">The TLRI </w:t>
      </w:r>
      <w:r w:rsidR="0026051F" w:rsidRPr="007B5BE6">
        <w:t>acknowledges the need to develop reforms in a way that avoids unintended consequences</w:t>
      </w:r>
      <w:r w:rsidR="005C5D98" w:rsidRPr="007B5BE6">
        <w:t xml:space="preserve"> and duplication</w:t>
      </w:r>
      <w:r w:rsidR="0026051F" w:rsidRPr="007B5BE6">
        <w:t>. However, the TLRI notes that</w:t>
      </w:r>
      <w:r w:rsidR="00E60C80" w:rsidRPr="007B5BE6">
        <w:t>,</w:t>
      </w:r>
      <w:r w:rsidR="00B14ACC" w:rsidRPr="007B5BE6">
        <w:t xml:space="preserve"> although </w:t>
      </w:r>
      <w:r w:rsidR="0026051F" w:rsidRPr="007B5BE6">
        <w:t xml:space="preserve">some agencies or </w:t>
      </w:r>
      <w:r w:rsidR="000242D1" w:rsidRPr="007B5BE6">
        <w:t>service providers</w:t>
      </w:r>
      <w:r w:rsidR="0026051F" w:rsidRPr="007B5BE6">
        <w:t xml:space="preserve"> </w:t>
      </w:r>
      <w:r w:rsidR="000242D1" w:rsidRPr="007B5BE6">
        <w:t xml:space="preserve">offer some protection to some adults in some </w:t>
      </w:r>
      <w:r w:rsidR="006F6832" w:rsidRPr="007B5BE6">
        <w:t xml:space="preserve">circumstances, </w:t>
      </w:r>
      <w:r w:rsidR="000B0DAA" w:rsidRPr="007B5BE6">
        <w:t xml:space="preserve">there is currently </w:t>
      </w:r>
      <w:r w:rsidR="0026051F" w:rsidRPr="007B5BE6">
        <w:t xml:space="preserve">no existing body or agency </w:t>
      </w:r>
      <w:r w:rsidR="000B0DAA" w:rsidRPr="007B5BE6">
        <w:t xml:space="preserve">in Tasmania </w:t>
      </w:r>
      <w:r w:rsidR="0026051F" w:rsidRPr="007B5BE6">
        <w:t xml:space="preserve">that has all the necessary powers or functions or authority to fulfil an overarching safeguarding role. </w:t>
      </w:r>
    </w:p>
    <w:p w14:paraId="2672AE55" w14:textId="53A621BC" w:rsidR="00D8555B" w:rsidRPr="007B5BE6" w:rsidRDefault="00D8555B" w:rsidP="00AE2D56">
      <w:pPr>
        <w:pStyle w:val="Sub-HeadingTLRI"/>
        <w:spacing w:before="240"/>
      </w:pPr>
      <w:bookmarkStart w:id="568" w:name="_Toc212561790"/>
      <w:r w:rsidRPr="007B5BE6">
        <w:t>Underpinning service delivery model</w:t>
      </w:r>
      <w:bookmarkEnd w:id="568"/>
    </w:p>
    <w:p w14:paraId="54E595DE" w14:textId="0F776AC4" w:rsidR="00E62022" w:rsidRPr="007B5BE6" w:rsidRDefault="00D8555B" w:rsidP="002B6916">
      <w:pPr>
        <w:pStyle w:val="NormalNumberedTextTLRI"/>
      </w:pPr>
      <w:r w:rsidRPr="007B5BE6">
        <w:t xml:space="preserve">A central theme </w:t>
      </w:r>
      <w:r w:rsidR="004B0426" w:rsidRPr="007B5BE6">
        <w:t xml:space="preserve">in </w:t>
      </w:r>
      <w:r w:rsidRPr="007B5BE6">
        <w:t>the matters identified by stakeholders as important to consider for any overarching approach to safeguarding</w:t>
      </w:r>
      <w:r w:rsidR="004B0426" w:rsidRPr="007B5BE6">
        <w:t>,</w:t>
      </w:r>
      <w:r w:rsidRPr="007B5BE6">
        <w:t xml:space="preserve"> with a subject-specific framework focused on older people</w:t>
      </w:r>
      <w:r w:rsidR="004B0426" w:rsidRPr="007B5BE6">
        <w:t>,</w:t>
      </w:r>
      <w:r w:rsidRPr="007B5BE6">
        <w:t xml:space="preserve"> was to ensure that it was underpinned by a service model that was appropriate, having regard to the people on whom it would focus </w:t>
      </w:r>
      <w:r w:rsidR="004B0426" w:rsidRPr="007B5BE6">
        <w:t xml:space="preserve">in terms of providing </w:t>
      </w:r>
      <w:r w:rsidRPr="007B5BE6">
        <w:t xml:space="preserve">support and protection. </w:t>
      </w:r>
    </w:p>
    <w:p w14:paraId="3BB13469" w14:textId="7347877D" w:rsidR="002B6916" w:rsidRPr="007B5BE6" w:rsidRDefault="002B6916" w:rsidP="002B6916">
      <w:pPr>
        <w:pStyle w:val="NormalNumberedTextTLRI"/>
      </w:pPr>
      <w:r w:rsidRPr="007B5BE6">
        <w:t xml:space="preserve">Many stakeholders expressed concerns about focusing overly on the law as a way of improving safeguarding against </w:t>
      </w:r>
      <w:r w:rsidR="004B0426" w:rsidRPr="007B5BE6">
        <w:t xml:space="preserve">the </w:t>
      </w:r>
      <w:r w:rsidRPr="007B5BE6">
        <w:t xml:space="preserve">abuse of older Tasmanians. The concern was that </w:t>
      </w:r>
      <w:r w:rsidR="004B0426" w:rsidRPr="007B5BE6">
        <w:t xml:space="preserve">this </w:t>
      </w:r>
      <w:r w:rsidRPr="007B5BE6">
        <w:t xml:space="preserve">may result in reforms that are too heavily focused on </w:t>
      </w:r>
      <w:r w:rsidR="004B0426" w:rsidRPr="007B5BE6">
        <w:t xml:space="preserve">achieving </w:t>
      </w:r>
      <w:r w:rsidRPr="007B5BE6">
        <w:t xml:space="preserve">safeguarding through legal mechanisms, without service reforms to ensure appropriate accompanying </w:t>
      </w:r>
      <w:r w:rsidR="00E24460" w:rsidRPr="007B5BE6">
        <w:t xml:space="preserve">mechanisms for other </w:t>
      </w:r>
      <w:r w:rsidRPr="007B5BE6">
        <w:t>support. It was suggested that focusing solely on the gaps in the law may result in reforms that could:</w:t>
      </w:r>
    </w:p>
    <w:p w14:paraId="18346947" w14:textId="77777777" w:rsidR="002B6916" w:rsidRPr="007B5BE6" w:rsidRDefault="002B6916" w:rsidP="002B6916">
      <w:pPr>
        <w:pStyle w:val="DotPointTLRI"/>
        <w:rPr>
          <w:rFonts w:eastAsia="Times"/>
        </w:rPr>
      </w:pPr>
      <w:r w:rsidRPr="007B5BE6">
        <w:rPr>
          <w:rFonts w:eastAsia="Times"/>
        </w:rPr>
        <w:t>be overly punitive and inflexible, which fail to address the complex and psychosocial issues that are associated with the incidence of abuse, and exacerbate circumstances experienced by older people that can increase the risk of abuse, such as social isolation; or</w:t>
      </w:r>
    </w:p>
    <w:p w14:paraId="2DB7870F" w14:textId="154F7598" w:rsidR="002B6916" w:rsidRPr="007B5BE6" w:rsidRDefault="002B6916" w:rsidP="002B6916">
      <w:pPr>
        <w:pStyle w:val="DotPointTLRI"/>
        <w:rPr>
          <w:rFonts w:eastAsia="Times"/>
        </w:rPr>
      </w:pPr>
      <w:r w:rsidRPr="007B5BE6">
        <w:rPr>
          <w:rFonts w:eastAsia="Times"/>
        </w:rPr>
        <w:t xml:space="preserve">fail to provide responses based </w:t>
      </w:r>
      <w:r w:rsidR="00E24460" w:rsidRPr="007B5BE6">
        <w:rPr>
          <w:rFonts w:eastAsia="Times"/>
        </w:rPr>
        <w:t>o</w:t>
      </w:r>
      <w:r w:rsidRPr="007B5BE6">
        <w:rPr>
          <w:rFonts w:eastAsia="Times"/>
        </w:rPr>
        <w:t xml:space="preserve">n appropriate principles of self-determination and choice and </w:t>
      </w:r>
      <w:r w:rsidR="007C5EA8" w:rsidRPr="007B5BE6">
        <w:rPr>
          <w:rFonts w:eastAsia="Times"/>
        </w:rPr>
        <w:t xml:space="preserve">that it </w:t>
      </w:r>
      <w:r w:rsidRPr="007B5BE6">
        <w:rPr>
          <w:rFonts w:eastAsia="Times"/>
        </w:rPr>
        <w:t>will benefit older people, including supporting community- and family-strengthening responses to the abuse of older people.</w:t>
      </w:r>
      <w:r w:rsidR="00E72326" w:rsidRPr="007B5BE6">
        <w:rPr>
          <w:rStyle w:val="FootnoteReference"/>
          <w:rFonts w:eastAsia="Times"/>
        </w:rPr>
        <w:footnoteReference w:id="498"/>
      </w:r>
      <w:r w:rsidRPr="007B5BE6">
        <w:rPr>
          <w:rFonts w:eastAsia="Times"/>
        </w:rPr>
        <w:t xml:space="preserve">  </w:t>
      </w:r>
    </w:p>
    <w:p w14:paraId="74C5221D" w14:textId="53AA420B" w:rsidR="002B6916" w:rsidRPr="007B5BE6" w:rsidRDefault="002B6916" w:rsidP="002B6916">
      <w:pPr>
        <w:pStyle w:val="NormalNumberedTextTLRI"/>
      </w:pPr>
      <w:r w:rsidRPr="007B5BE6">
        <w:t xml:space="preserve">Further, some stakeholders noted that identifying gaps in the law may not provide all the answers </w:t>
      </w:r>
      <w:r w:rsidR="001F6890" w:rsidRPr="007B5BE6">
        <w:t xml:space="preserve">on how to </w:t>
      </w:r>
      <w:r w:rsidRPr="007B5BE6">
        <w:t>improve safeguarding against the abuse of older people. Although legal reform was considered important, it was suggested that</w:t>
      </w:r>
      <w:r w:rsidR="001F6890" w:rsidRPr="007B5BE6">
        <w:t>,</w:t>
      </w:r>
      <w:r w:rsidRPr="007B5BE6">
        <w:t xml:space="preserve"> in some areas</w:t>
      </w:r>
      <w:r w:rsidR="001F6890" w:rsidRPr="007B5BE6">
        <w:t>,</w:t>
      </w:r>
      <w:r w:rsidRPr="007B5BE6">
        <w:t xml:space="preserve"> the issue most pertinent to inadequate safeguarding may be service gaps or a lack of access to services to initiate a legal response</w:t>
      </w:r>
      <w:r w:rsidR="001F6890" w:rsidRPr="007B5BE6">
        <w:t xml:space="preserve"> (if </w:t>
      </w:r>
      <w:r w:rsidR="00AF47D7" w:rsidRPr="007B5BE6">
        <w:t>such a response</w:t>
      </w:r>
      <w:r w:rsidR="001F6890" w:rsidRPr="007B5BE6">
        <w:t xml:space="preserve"> is wanted by the older person)</w:t>
      </w:r>
      <w:r w:rsidRPr="007B5BE6">
        <w:t xml:space="preserve">. </w:t>
      </w:r>
      <w:r w:rsidR="001A3920" w:rsidRPr="007B5BE6">
        <w:t xml:space="preserve">Therefore, it was considered important to </w:t>
      </w:r>
      <w:r w:rsidRPr="007B5BE6">
        <w:t>identif</w:t>
      </w:r>
      <w:r w:rsidR="001A3920" w:rsidRPr="007B5BE6">
        <w:t>y</w:t>
      </w:r>
      <w:r w:rsidRPr="007B5BE6">
        <w:t xml:space="preserve"> any such service gaps and conside</w:t>
      </w:r>
      <w:r w:rsidR="001A3920" w:rsidRPr="007B5BE6">
        <w:t>r</w:t>
      </w:r>
      <w:r w:rsidRPr="007B5BE6">
        <w:t xml:space="preserve"> whether and how these could be filled through service reform, possibly in conjunction with, or instead of, law reform. </w:t>
      </w:r>
      <w:r w:rsidR="001F7C34" w:rsidRPr="007B5BE6">
        <w:t>Illustrative of this</w:t>
      </w:r>
      <w:r w:rsidRPr="007B5BE6">
        <w:t>, some stakeholders raised gaps</w:t>
      </w:r>
      <w:r w:rsidR="00897883" w:rsidRPr="007B5BE6">
        <w:t xml:space="preserve"> </w:t>
      </w:r>
      <w:r w:rsidRPr="007B5BE6">
        <w:t>in service systems such as:</w:t>
      </w:r>
    </w:p>
    <w:p w14:paraId="49BAA04E" w14:textId="543E8D61" w:rsidR="002B6916" w:rsidRPr="007B5BE6" w:rsidRDefault="002B6916" w:rsidP="002B6916">
      <w:pPr>
        <w:pStyle w:val="DotPointTLRI"/>
        <w:rPr>
          <w:rFonts w:eastAsia="Times"/>
        </w:rPr>
      </w:pPr>
      <w:r w:rsidRPr="007B5BE6">
        <w:rPr>
          <w:rFonts w:eastAsia="Times"/>
        </w:rPr>
        <w:t>policing</w:t>
      </w:r>
      <w:r w:rsidR="001A3920" w:rsidRPr="007B5BE6">
        <w:rPr>
          <w:rFonts w:eastAsia="Times"/>
        </w:rPr>
        <w:t xml:space="preserve"> </w:t>
      </w:r>
      <w:r w:rsidRPr="007B5BE6">
        <w:rPr>
          <w:rFonts w:eastAsia="Times"/>
        </w:rPr>
        <w:t xml:space="preserve">or prosecutions, </w:t>
      </w:r>
      <w:r w:rsidR="001A3920" w:rsidRPr="007B5BE6">
        <w:rPr>
          <w:rFonts w:eastAsia="Times"/>
        </w:rPr>
        <w:t>which</w:t>
      </w:r>
      <w:r w:rsidRPr="007B5BE6">
        <w:rPr>
          <w:rFonts w:eastAsia="Times"/>
        </w:rPr>
        <w:t xml:space="preserve"> work within current legal frameworks that may be available </w:t>
      </w:r>
      <w:r w:rsidR="001A3920" w:rsidRPr="007B5BE6">
        <w:rPr>
          <w:rFonts w:eastAsia="Times"/>
        </w:rPr>
        <w:t xml:space="preserve">as a </w:t>
      </w:r>
      <w:r w:rsidRPr="007B5BE6">
        <w:rPr>
          <w:rFonts w:eastAsia="Times"/>
        </w:rPr>
        <w:t xml:space="preserve">response to the abuse of older Tasmanians; and </w:t>
      </w:r>
    </w:p>
    <w:p w14:paraId="014AE4BA" w14:textId="7EC2A152" w:rsidR="002B6916" w:rsidRPr="007B5BE6" w:rsidRDefault="002B6916" w:rsidP="005F7BEF">
      <w:pPr>
        <w:pStyle w:val="DotPointTLRI"/>
        <w:rPr>
          <w:rFonts w:eastAsia="Times"/>
        </w:rPr>
      </w:pPr>
      <w:r w:rsidRPr="007B5BE6">
        <w:rPr>
          <w:rFonts w:eastAsia="Times"/>
        </w:rPr>
        <w:t xml:space="preserve">health or financial/banking, </w:t>
      </w:r>
      <w:r w:rsidR="001A3920" w:rsidRPr="007B5BE6">
        <w:rPr>
          <w:rFonts w:eastAsia="Times"/>
        </w:rPr>
        <w:t>which</w:t>
      </w:r>
      <w:r w:rsidRPr="007B5BE6">
        <w:rPr>
          <w:rFonts w:eastAsia="Times"/>
        </w:rPr>
        <w:t xml:space="preserve"> have contact with older Tasmanians but are not adequately linked into current legal frameworks or specialist service responses to abuse.</w:t>
      </w:r>
      <w:r w:rsidR="001F6890" w:rsidRPr="007B5BE6">
        <w:rPr>
          <w:rStyle w:val="FootnoteReference"/>
          <w:rFonts w:eastAsia="Times"/>
        </w:rPr>
        <w:footnoteReference w:id="499"/>
      </w:r>
      <w:r w:rsidRPr="007B5BE6">
        <w:rPr>
          <w:rFonts w:eastAsia="Times"/>
        </w:rPr>
        <w:t xml:space="preserve">  </w:t>
      </w:r>
    </w:p>
    <w:p w14:paraId="16E018B2" w14:textId="5BB3D028" w:rsidR="00672C49" w:rsidRPr="007B5BE6" w:rsidRDefault="00896CDD" w:rsidP="00672C49">
      <w:pPr>
        <w:pStyle w:val="NormalNumberedTextTLRI"/>
      </w:pPr>
      <w:r w:rsidRPr="007B5BE6">
        <w:lastRenderedPageBreak/>
        <w:t>On the other hand, s</w:t>
      </w:r>
      <w:r w:rsidR="00672C49" w:rsidRPr="007B5BE6">
        <w:t>takeholders</w:t>
      </w:r>
      <w:r w:rsidRPr="007B5BE6">
        <w:t xml:space="preserve"> also </w:t>
      </w:r>
      <w:r w:rsidR="00672C49" w:rsidRPr="007B5BE6">
        <w:t xml:space="preserve">emphasised the significance of the gaps identified in the law, including </w:t>
      </w:r>
      <w:r w:rsidRPr="007B5BE6">
        <w:t xml:space="preserve">those </w:t>
      </w:r>
      <w:r w:rsidR="00672C49" w:rsidRPr="007B5BE6">
        <w:t xml:space="preserve">in </w:t>
      </w:r>
      <w:r w:rsidRPr="007B5BE6">
        <w:t xml:space="preserve">specific </w:t>
      </w:r>
      <w:r w:rsidR="00672C49" w:rsidRPr="007B5BE6">
        <w:t>legal contexts. In this regard, it was</w:t>
      </w:r>
      <w:r w:rsidRPr="007B5BE6">
        <w:t xml:space="preserve"> suggested</w:t>
      </w:r>
      <w:r w:rsidR="00672C49" w:rsidRPr="007B5BE6">
        <w:t xml:space="preserve"> that</w:t>
      </w:r>
      <w:r w:rsidRPr="007B5BE6">
        <w:t>,</w:t>
      </w:r>
      <w:r w:rsidR="00672C49" w:rsidRPr="007B5BE6">
        <w:t xml:space="preserve"> while service gaps were important to identify, there are limits </w:t>
      </w:r>
      <w:r w:rsidRPr="007B5BE6">
        <w:t xml:space="preserve">on </w:t>
      </w:r>
      <w:r w:rsidR="00672C49" w:rsidRPr="007B5BE6">
        <w:t>what service responses can achieve</w:t>
      </w:r>
      <w:r w:rsidR="00EF361B" w:rsidRPr="007B5BE6">
        <w:t xml:space="preserve">. It was therefore critical to </w:t>
      </w:r>
      <w:r w:rsidR="00D52342" w:rsidRPr="007B5BE6">
        <w:t xml:space="preserve">understand how identified </w:t>
      </w:r>
      <w:r w:rsidR="00672C49" w:rsidRPr="007B5BE6">
        <w:t>gaps in the current legal framework</w:t>
      </w:r>
      <w:r w:rsidR="00D955D4" w:rsidRPr="007B5BE6">
        <w:t xml:space="preserve"> </w:t>
      </w:r>
      <w:r w:rsidR="00672C49" w:rsidRPr="007B5BE6">
        <w:t>may result in inadequate legal protections for all older Tasmania</w:t>
      </w:r>
      <w:r w:rsidR="00EF361B" w:rsidRPr="007B5BE6">
        <w:t>ns</w:t>
      </w:r>
      <w:r w:rsidR="00672C49" w:rsidRPr="007B5BE6">
        <w:t>.</w:t>
      </w:r>
      <w:r w:rsidR="001F6890" w:rsidRPr="007B5BE6">
        <w:rPr>
          <w:rStyle w:val="FootnoteReference"/>
        </w:rPr>
        <w:footnoteReference w:id="500"/>
      </w:r>
      <w:r w:rsidR="00672C49" w:rsidRPr="007B5BE6">
        <w:t xml:space="preserve"> </w:t>
      </w:r>
    </w:p>
    <w:p w14:paraId="1896C707" w14:textId="76E4A0AA" w:rsidR="00D8555B" w:rsidRPr="007B5BE6" w:rsidRDefault="00D52342" w:rsidP="00D8555B">
      <w:pPr>
        <w:numPr>
          <w:ilvl w:val="2"/>
          <w:numId w:val="2"/>
        </w:numPr>
        <w:tabs>
          <w:tab w:val="left" w:pos="851"/>
        </w:tabs>
        <w:spacing w:before="220"/>
        <w:rPr>
          <w:rFonts w:eastAsia="Times" w:cs="Times New Roman"/>
          <w:szCs w:val="20"/>
        </w:rPr>
      </w:pPr>
      <w:r w:rsidRPr="007B5BE6">
        <w:rPr>
          <w:rFonts w:eastAsia="Times" w:cs="Times New Roman"/>
          <w:szCs w:val="20"/>
        </w:rPr>
        <w:t xml:space="preserve">Essentially, </w:t>
      </w:r>
      <w:r w:rsidR="00EB5655" w:rsidRPr="007B5BE6">
        <w:rPr>
          <w:rFonts w:eastAsia="Times" w:cs="Times New Roman"/>
          <w:szCs w:val="20"/>
        </w:rPr>
        <w:t>stakeholder</w:t>
      </w:r>
      <w:r w:rsidRPr="007B5BE6">
        <w:rPr>
          <w:rFonts w:eastAsia="Times" w:cs="Times New Roman"/>
          <w:szCs w:val="20"/>
        </w:rPr>
        <w:t xml:space="preserve">s </w:t>
      </w:r>
      <w:r w:rsidR="00D8555B" w:rsidRPr="007B5BE6">
        <w:rPr>
          <w:rFonts w:eastAsia="Times" w:cs="Times New Roman"/>
          <w:szCs w:val="20"/>
        </w:rPr>
        <w:t>suggested that the service model should be based on a human services approach</w:t>
      </w:r>
      <w:r w:rsidR="00914CBA" w:rsidRPr="007B5BE6">
        <w:rPr>
          <w:rFonts w:eastAsia="Times" w:cs="Times New Roman"/>
          <w:szCs w:val="20"/>
        </w:rPr>
        <w:t>,</w:t>
      </w:r>
      <w:r w:rsidR="00D8555B" w:rsidRPr="007B5BE6">
        <w:rPr>
          <w:rFonts w:eastAsia="Times" w:cs="Times New Roman"/>
          <w:szCs w:val="20"/>
        </w:rPr>
        <w:t xml:space="preserve"> </w:t>
      </w:r>
      <w:r w:rsidR="00A1268A" w:rsidRPr="007B5BE6">
        <w:rPr>
          <w:rFonts w:eastAsia="Times" w:cs="Times New Roman"/>
          <w:szCs w:val="20"/>
        </w:rPr>
        <w:t xml:space="preserve">concomitant </w:t>
      </w:r>
      <w:r w:rsidR="00D8555B" w:rsidRPr="007B5BE6">
        <w:rPr>
          <w:rFonts w:eastAsia="Times" w:cs="Times New Roman"/>
          <w:szCs w:val="20"/>
        </w:rPr>
        <w:t xml:space="preserve">with the nature and dynamics of abuse of older </w:t>
      </w:r>
      <w:proofErr w:type="gramStart"/>
      <w:r w:rsidR="00D8555B" w:rsidRPr="007B5BE6">
        <w:rPr>
          <w:rFonts w:eastAsia="Times" w:cs="Times New Roman"/>
          <w:szCs w:val="20"/>
        </w:rPr>
        <w:t xml:space="preserve">people, </w:t>
      </w:r>
      <w:r w:rsidR="00A1268A" w:rsidRPr="007B5BE6">
        <w:rPr>
          <w:rFonts w:eastAsia="Times" w:cs="Times New Roman"/>
          <w:szCs w:val="20"/>
        </w:rPr>
        <w:t>and</w:t>
      </w:r>
      <w:proofErr w:type="gramEnd"/>
      <w:r w:rsidR="00A1268A" w:rsidRPr="007B5BE6">
        <w:rPr>
          <w:rFonts w:eastAsia="Times" w:cs="Times New Roman"/>
          <w:szCs w:val="20"/>
        </w:rPr>
        <w:t xml:space="preserve"> </w:t>
      </w:r>
      <w:r w:rsidR="00914CBA" w:rsidRPr="007B5BE6">
        <w:rPr>
          <w:rFonts w:eastAsia="Times" w:cs="Times New Roman"/>
          <w:szCs w:val="20"/>
        </w:rPr>
        <w:t>providing</w:t>
      </w:r>
      <w:r w:rsidR="00A1268A" w:rsidRPr="007B5BE6">
        <w:rPr>
          <w:rFonts w:eastAsia="Times" w:cs="Times New Roman"/>
          <w:szCs w:val="20"/>
        </w:rPr>
        <w:t xml:space="preserve"> </w:t>
      </w:r>
      <w:r w:rsidR="00D8555B" w:rsidRPr="007B5BE6">
        <w:rPr>
          <w:rFonts w:eastAsia="Times" w:cs="Times New Roman"/>
          <w:szCs w:val="20"/>
        </w:rPr>
        <w:t>response</w:t>
      </w:r>
      <w:r w:rsidR="00914CBA" w:rsidRPr="007B5BE6">
        <w:rPr>
          <w:rFonts w:eastAsia="Times" w:cs="Times New Roman"/>
          <w:szCs w:val="20"/>
        </w:rPr>
        <w:t xml:space="preserve"> options</w:t>
      </w:r>
      <w:r w:rsidR="00D8555B" w:rsidRPr="007B5BE6">
        <w:rPr>
          <w:rFonts w:eastAsia="Times" w:cs="Times New Roman"/>
          <w:szCs w:val="20"/>
        </w:rPr>
        <w:t xml:space="preserve"> that are consent-driven by older people and address their specific support needs. As one stakeholder commented: </w:t>
      </w:r>
    </w:p>
    <w:p w14:paraId="6B5E0A58" w14:textId="0BDB1CDC" w:rsidR="00D8555B" w:rsidRPr="007B5BE6" w:rsidRDefault="00D8555B" w:rsidP="00D8555B">
      <w:pPr>
        <w:spacing w:before="220"/>
        <w:ind w:left="720" w:right="720"/>
        <w:rPr>
          <w:rFonts w:eastAsia="Aptos" w:cs="Arial"/>
          <w:sz w:val="20"/>
          <w:szCs w:val="20"/>
        </w:rPr>
      </w:pPr>
      <w:r w:rsidRPr="007B5BE6">
        <w:rPr>
          <w:rFonts w:eastAsia="Aptos" w:cs="Arial"/>
          <w:sz w:val="20"/>
          <w:szCs w:val="20"/>
        </w:rPr>
        <w:t xml:space="preserve">There needs to be the service response … this goes for </w:t>
      </w:r>
      <w:proofErr w:type="gramStart"/>
      <w:r w:rsidRPr="007B5BE6">
        <w:rPr>
          <w:rFonts w:eastAsia="Aptos" w:cs="Arial"/>
          <w:sz w:val="20"/>
          <w:szCs w:val="20"/>
        </w:rPr>
        <w:t>all of</w:t>
      </w:r>
      <w:proofErr w:type="gramEnd"/>
      <w:r w:rsidRPr="007B5BE6">
        <w:rPr>
          <w:rFonts w:eastAsia="Aptos" w:cs="Arial"/>
          <w:sz w:val="20"/>
          <w:szCs w:val="20"/>
        </w:rPr>
        <w:t xml:space="preserve"> our safeguarding arrangements … it’s the service response that sits underneath that </w:t>
      </w:r>
      <w:proofErr w:type="gramStart"/>
      <w:r w:rsidRPr="007B5BE6">
        <w:rPr>
          <w:rFonts w:eastAsia="Aptos" w:cs="Arial"/>
          <w:sz w:val="20"/>
          <w:szCs w:val="20"/>
        </w:rPr>
        <w:t>has to</w:t>
      </w:r>
      <w:proofErr w:type="gramEnd"/>
      <w:r w:rsidRPr="007B5BE6">
        <w:rPr>
          <w:rFonts w:eastAsia="Aptos" w:cs="Arial"/>
          <w:sz w:val="20"/>
          <w:szCs w:val="20"/>
        </w:rPr>
        <w:t xml:space="preserve"> be there.</w:t>
      </w:r>
      <w:r w:rsidR="001A019C" w:rsidRPr="007B5BE6">
        <w:rPr>
          <w:rStyle w:val="FootnoteReference"/>
          <w:rFonts w:eastAsia="Aptos" w:cs="Arial"/>
          <w:sz w:val="20"/>
          <w:szCs w:val="20"/>
        </w:rPr>
        <w:footnoteReference w:id="501"/>
      </w:r>
    </w:p>
    <w:p w14:paraId="11BFB1A8" w14:textId="20F81A88" w:rsidR="00D8555B" w:rsidRPr="007B5BE6" w:rsidRDefault="00841028" w:rsidP="00D8555B">
      <w:pPr>
        <w:numPr>
          <w:ilvl w:val="2"/>
          <w:numId w:val="2"/>
        </w:numPr>
        <w:tabs>
          <w:tab w:val="left" w:pos="851"/>
        </w:tabs>
        <w:spacing w:before="220"/>
        <w:rPr>
          <w:rFonts w:eastAsia="Times" w:cs="Times New Roman"/>
          <w:szCs w:val="20"/>
        </w:rPr>
      </w:pPr>
      <w:r w:rsidRPr="007B5BE6">
        <w:rPr>
          <w:rFonts w:eastAsia="Times" w:cs="Times New Roman"/>
          <w:szCs w:val="20"/>
        </w:rPr>
        <w:t>Regarding th</w:t>
      </w:r>
      <w:r w:rsidR="00850ACB" w:rsidRPr="007B5BE6">
        <w:rPr>
          <w:rFonts w:eastAsia="Times" w:cs="Times New Roman"/>
          <w:szCs w:val="20"/>
        </w:rPr>
        <w:t xml:space="preserve">e underpinning service delivery model, </w:t>
      </w:r>
      <w:r w:rsidRPr="007B5BE6">
        <w:rPr>
          <w:rFonts w:eastAsia="Times" w:cs="Times New Roman"/>
          <w:szCs w:val="20"/>
        </w:rPr>
        <w:t xml:space="preserve">stakeholders </w:t>
      </w:r>
      <w:r w:rsidR="00EB4D42" w:rsidRPr="007B5BE6">
        <w:rPr>
          <w:rFonts w:eastAsia="Times" w:cs="Times New Roman"/>
          <w:szCs w:val="20"/>
        </w:rPr>
        <w:t>suggested that it should:</w:t>
      </w:r>
    </w:p>
    <w:p w14:paraId="020F2BDD" w14:textId="691EA154"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be based on early intervention human service delivery </w:t>
      </w:r>
      <w:r w:rsidR="00EB4D42" w:rsidRPr="007B5BE6">
        <w:rPr>
          <w:rFonts w:eastAsia="Times New Roman" w:cs="Times New Roman"/>
        </w:rPr>
        <w:t xml:space="preserve">approach, </w:t>
      </w:r>
      <w:r w:rsidRPr="007B5BE6">
        <w:rPr>
          <w:rFonts w:eastAsia="Times New Roman" w:cs="Times New Roman"/>
        </w:rPr>
        <w:t xml:space="preserve">aimed at addressing </w:t>
      </w:r>
      <w:r w:rsidR="00EB4D42" w:rsidRPr="007B5BE6">
        <w:rPr>
          <w:rFonts w:eastAsia="Times New Roman" w:cs="Times New Roman"/>
        </w:rPr>
        <w:t xml:space="preserve">the recognised </w:t>
      </w:r>
      <w:r w:rsidRPr="007B5BE6">
        <w:rPr>
          <w:rFonts w:eastAsia="Times New Roman" w:cs="Times New Roman"/>
        </w:rPr>
        <w:t>factors that lead to abuse (such as financial stress)</w:t>
      </w:r>
      <w:r w:rsidR="00CB09FB" w:rsidRPr="007B5BE6">
        <w:rPr>
          <w:rFonts w:eastAsia="Times New Roman" w:cs="Times New Roman"/>
        </w:rPr>
        <w:t>,</w:t>
      </w:r>
      <w:r w:rsidRPr="007B5BE6">
        <w:rPr>
          <w:rFonts w:eastAsia="Times New Roman" w:cs="Times New Roman"/>
        </w:rPr>
        <w:t xml:space="preserve"> rather than a tertiary justice service delivery </w:t>
      </w:r>
      <w:r w:rsidR="00CB09FB" w:rsidRPr="007B5BE6">
        <w:rPr>
          <w:rFonts w:eastAsia="Times New Roman" w:cs="Times New Roman"/>
        </w:rPr>
        <w:t xml:space="preserve">approach </w:t>
      </w:r>
      <w:r w:rsidRPr="007B5BE6">
        <w:rPr>
          <w:rFonts w:eastAsia="Times New Roman" w:cs="Times New Roman"/>
        </w:rPr>
        <w:t>aimed at deliver</w:t>
      </w:r>
      <w:r w:rsidR="00CB09FB" w:rsidRPr="007B5BE6">
        <w:rPr>
          <w:rFonts w:eastAsia="Times New Roman" w:cs="Times New Roman"/>
        </w:rPr>
        <w:t xml:space="preserve">ing </w:t>
      </w:r>
      <w:r w:rsidRPr="007B5BE6">
        <w:rPr>
          <w:rFonts w:eastAsia="Times New Roman" w:cs="Times New Roman"/>
        </w:rPr>
        <w:t>consequences for the abuse (such as punishment);</w:t>
      </w:r>
    </w:p>
    <w:p w14:paraId="1B1268BF" w14:textId="1F17660D"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include a focus on awareness raising and education in service delivery</w:t>
      </w:r>
      <w:r w:rsidR="00CB09FB" w:rsidRPr="007B5BE6">
        <w:rPr>
          <w:rFonts w:eastAsia="Times New Roman" w:cs="Times New Roman"/>
        </w:rPr>
        <w:t>,</w:t>
      </w:r>
      <w:r w:rsidRPr="007B5BE6">
        <w:rPr>
          <w:rFonts w:eastAsia="Times New Roman" w:cs="Times New Roman"/>
        </w:rPr>
        <w:t xml:space="preserve"> with the long-term aim of community capacity-building and prevention;</w:t>
      </w:r>
    </w:p>
    <w:p w14:paraId="2C49285A" w14:textId="041751BA"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ensure that ‘supported-decision making is at the core’ of service delivery by building steps into decision-making mechanisms for considering reports of abuse that reflect self-determination and decision-making control being in hands of the older person (akin to decision-making frameworks in other Tasmanian legislation);</w:t>
      </w:r>
    </w:p>
    <w:p w14:paraId="0D9DE1AF" w14:textId="4181926B"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be sufficiently nuanced so that the cohort of focus is not categorised by factors that are limited to age and disability, but include other factors that bear on the risk of abuse;</w:t>
      </w:r>
    </w:p>
    <w:p w14:paraId="7CE7BA02" w14:textId="26BCE6EF"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be developed </w:t>
      </w:r>
      <w:r w:rsidR="00F81D25" w:rsidRPr="007B5BE6">
        <w:rPr>
          <w:rFonts w:eastAsia="Times New Roman" w:cs="Times New Roman"/>
        </w:rPr>
        <w:t xml:space="preserve">by paying </w:t>
      </w:r>
      <w:r w:rsidRPr="007B5BE6">
        <w:rPr>
          <w:rFonts w:eastAsia="Times New Roman" w:cs="Times New Roman"/>
        </w:rPr>
        <w:t>specific regard to the nature</w:t>
      </w:r>
      <w:r w:rsidR="00F81D25" w:rsidRPr="007B5BE6">
        <w:rPr>
          <w:rFonts w:eastAsia="Times New Roman" w:cs="Times New Roman"/>
        </w:rPr>
        <w:t xml:space="preserve"> and </w:t>
      </w:r>
      <w:r w:rsidRPr="007B5BE6">
        <w:rPr>
          <w:rFonts w:eastAsia="Times New Roman" w:cs="Times New Roman"/>
        </w:rPr>
        <w:t>dynamics</w:t>
      </w:r>
      <w:r w:rsidR="00F81D25" w:rsidRPr="007B5BE6">
        <w:rPr>
          <w:rFonts w:eastAsia="Times New Roman" w:cs="Times New Roman"/>
        </w:rPr>
        <w:t xml:space="preserve"> of,</w:t>
      </w:r>
      <w:r w:rsidRPr="007B5BE6">
        <w:rPr>
          <w:rFonts w:eastAsia="Times New Roman" w:cs="Times New Roman"/>
        </w:rPr>
        <w:t xml:space="preserve"> and socio-economic contexts for</w:t>
      </w:r>
      <w:r w:rsidR="00F81D25" w:rsidRPr="007B5BE6">
        <w:rPr>
          <w:rFonts w:eastAsia="Times New Roman" w:cs="Times New Roman"/>
        </w:rPr>
        <w:t xml:space="preserve">, </w:t>
      </w:r>
      <w:r w:rsidRPr="007B5BE6">
        <w:rPr>
          <w:rFonts w:eastAsia="Times New Roman" w:cs="Times New Roman"/>
        </w:rPr>
        <w:t xml:space="preserve">abuse experienced by older people, as well as the relationships within which </w:t>
      </w:r>
      <w:r w:rsidR="00F81D25" w:rsidRPr="007B5BE6">
        <w:rPr>
          <w:rFonts w:eastAsia="Times New Roman" w:cs="Times New Roman"/>
        </w:rPr>
        <w:t xml:space="preserve">such </w:t>
      </w:r>
      <w:r w:rsidRPr="007B5BE6">
        <w:rPr>
          <w:rFonts w:eastAsia="Times New Roman" w:cs="Times New Roman"/>
        </w:rPr>
        <w:t>abuse occurs, including familial and gendered dynamics</w:t>
      </w:r>
      <w:r w:rsidR="00F81D25" w:rsidRPr="007B5BE6">
        <w:rPr>
          <w:rFonts w:eastAsia="Times New Roman" w:cs="Times New Roman"/>
        </w:rPr>
        <w:t>,</w:t>
      </w:r>
      <w:r w:rsidRPr="007B5BE6">
        <w:rPr>
          <w:rFonts w:eastAsia="Times New Roman" w:cs="Times New Roman"/>
        </w:rPr>
        <w:t xml:space="preserve"> and high-risk service contexts;</w:t>
      </w:r>
    </w:p>
    <w:p w14:paraId="60D7CAD9" w14:textId="7C6407BF"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provide responses and interventions that are appropriate for older people in their various stages of life and circumstances</w:t>
      </w:r>
      <w:r w:rsidR="0021119A" w:rsidRPr="007B5BE6">
        <w:rPr>
          <w:rFonts w:eastAsia="Times New Roman" w:cs="Times New Roman"/>
        </w:rPr>
        <w:t>,</w:t>
      </w:r>
      <w:r w:rsidRPr="007B5BE6">
        <w:rPr>
          <w:rFonts w:eastAsia="Times New Roman" w:cs="Times New Roman"/>
        </w:rPr>
        <w:t xml:space="preserve"> and do not exacerbate isolation (</w:t>
      </w:r>
      <w:r w:rsidR="0021119A" w:rsidRPr="007B5BE6">
        <w:rPr>
          <w:rFonts w:eastAsia="Times New Roman" w:cs="Times New Roman"/>
        </w:rPr>
        <w:t>for example, avoid</w:t>
      </w:r>
      <w:r w:rsidRPr="007B5BE6">
        <w:rPr>
          <w:rFonts w:eastAsia="Times New Roman" w:cs="Times New Roman"/>
        </w:rPr>
        <w:t xml:space="preserve"> removing an older person from their own home or </w:t>
      </w:r>
      <w:r w:rsidR="0021119A" w:rsidRPr="007B5BE6">
        <w:rPr>
          <w:rFonts w:eastAsia="Times New Roman" w:cs="Times New Roman"/>
        </w:rPr>
        <w:t xml:space="preserve">requiring them </w:t>
      </w:r>
      <w:r w:rsidRPr="007B5BE6">
        <w:rPr>
          <w:rFonts w:eastAsia="Times New Roman" w:cs="Times New Roman"/>
        </w:rPr>
        <w:t>to participate in lengthy legal proceedings);</w:t>
      </w:r>
    </w:p>
    <w:p w14:paraId="08E5F2D8" w14:textId="3858E672" w:rsidR="00D11231"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provide responses and interventions that prioritise </w:t>
      </w:r>
      <w:r w:rsidR="0021119A" w:rsidRPr="007B5BE6">
        <w:rPr>
          <w:rFonts w:eastAsia="Times New Roman" w:cs="Times New Roman"/>
        </w:rPr>
        <w:t xml:space="preserve">the </w:t>
      </w:r>
      <w:r w:rsidRPr="007B5BE6">
        <w:rPr>
          <w:rFonts w:eastAsia="Times New Roman" w:cs="Times New Roman"/>
        </w:rPr>
        <w:t xml:space="preserve">support needs of </w:t>
      </w:r>
      <w:r w:rsidR="0021119A" w:rsidRPr="007B5BE6">
        <w:rPr>
          <w:rFonts w:eastAsia="Times New Roman" w:cs="Times New Roman"/>
        </w:rPr>
        <w:t>an</w:t>
      </w:r>
      <w:r w:rsidRPr="007B5BE6">
        <w:rPr>
          <w:rFonts w:eastAsia="Times New Roman" w:cs="Times New Roman"/>
        </w:rPr>
        <w:t xml:space="preserve"> older person and include consideration of the support needs of </w:t>
      </w:r>
      <w:r w:rsidR="0021119A" w:rsidRPr="007B5BE6">
        <w:rPr>
          <w:rFonts w:eastAsia="Times New Roman" w:cs="Times New Roman"/>
        </w:rPr>
        <w:t>other</w:t>
      </w:r>
      <w:r w:rsidR="004C1575" w:rsidRPr="007B5BE6">
        <w:rPr>
          <w:rFonts w:eastAsia="Times New Roman" w:cs="Times New Roman"/>
        </w:rPr>
        <w:t xml:space="preserve"> people</w:t>
      </w:r>
      <w:r w:rsidRPr="007B5BE6">
        <w:rPr>
          <w:rFonts w:eastAsia="Times New Roman" w:cs="Times New Roman"/>
        </w:rPr>
        <w:t xml:space="preserve"> who are part of their family and community</w:t>
      </w:r>
      <w:r w:rsidR="00C6325B" w:rsidRPr="007B5BE6">
        <w:rPr>
          <w:rFonts w:eastAsia="Times New Roman" w:cs="Times New Roman"/>
        </w:rPr>
        <w:t xml:space="preserve"> networks</w:t>
      </w:r>
      <w:r w:rsidRPr="007B5BE6">
        <w:rPr>
          <w:rFonts w:eastAsia="Times New Roman" w:cs="Times New Roman"/>
        </w:rPr>
        <w:t xml:space="preserve">, including </w:t>
      </w:r>
      <w:r w:rsidR="00506A3A" w:rsidRPr="007B5BE6">
        <w:rPr>
          <w:rFonts w:eastAsia="Times New Roman" w:cs="Times New Roman"/>
        </w:rPr>
        <w:t>whe</w:t>
      </w:r>
      <w:r w:rsidR="00B454BD" w:rsidRPr="007B5BE6">
        <w:rPr>
          <w:rFonts w:eastAsia="Times New Roman" w:cs="Times New Roman"/>
        </w:rPr>
        <w:t xml:space="preserve">n it is the people in these networks who may be engaging in </w:t>
      </w:r>
      <w:r w:rsidRPr="007B5BE6">
        <w:rPr>
          <w:rFonts w:eastAsia="Times New Roman" w:cs="Times New Roman"/>
        </w:rPr>
        <w:t>behaviour</w:t>
      </w:r>
      <w:r w:rsidR="004C1575" w:rsidRPr="007B5BE6">
        <w:rPr>
          <w:rFonts w:eastAsia="Times New Roman" w:cs="Times New Roman"/>
        </w:rPr>
        <w:t>s</w:t>
      </w:r>
      <w:r w:rsidRPr="007B5BE6">
        <w:rPr>
          <w:rFonts w:eastAsia="Times New Roman" w:cs="Times New Roman"/>
        </w:rPr>
        <w:t xml:space="preserve"> of concern (</w:t>
      </w:r>
      <w:r w:rsidR="007C2502" w:rsidRPr="007B5BE6">
        <w:rPr>
          <w:rFonts w:eastAsia="Times New Roman" w:cs="Times New Roman"/>
        </w:rPr>
        <w:t xml:space="preserve">to be </w:t>
      </w:r>
      <w:r w:rsidR="00C6325B" w:rsidRPr="007B5BE6">
        <w:rPr>
          <w:rFonts w:eastAsia="Times New Roman" w:cs="Times New Roman"/>
        </w:rPr>
        <w:t xml:space="preserve">only </w:t>
      </w:r>
      <w:r w:rsidR="007C2502" w:rsidRPr="007B5BE6">
        <w:rPr>
          <w:rFonts w:eastAsia="Times New Roman" w:cs="Times New Roman"/>
        </w:rPr>
        <w:t xml:space="preserve">considered </w:t>
      </w:r>
      <w:r w:rsidRPr="007B5BE6">
        <w:rPr>
          <w:rFonts w:eastAsia="Times New Roman" w:cs="Times New Roman"/>
        </w:rPr>
        <w:t>as a first option</w:t>
      </w:r>
      <w:r w:rsidR="00B454BD" w:rsidRPr="007B5BE6">
        <w:rPr>
          <w:rFonts w:eastAsia="Times New Roman" w:cs="Times New Roman"/>
        </w:rPr>
        <w:t>,</w:t>
      </w:r>
      <w:r w:rsidRPr="007B5BE6">
        <w:rPr>
          <w:rFonts w:eastAsia="Times New Roman" w:cs="Times New Roman"/>
        </w:rPr>
        <w:t xml:space="preserve"> whe</w:t>
      </w:r>
      <w:r w:rsidR="00B454BD" w:rsidRPr="007B5BE6">
        <w:rPr>
          <w:rFonts w:eastAsia="Times New Roman" w:cs="Times New Roman"/>
        </w:rPr>
        <w:t>n</w:t>
      </w:r>
      <w:r w:rsidRPr="007B5BE6">
        <w:rPr>
          <w:rFonts w:eastAsia="Times New Roman" w:cs="Times New Roman"/>
        </w:rPr>
        <w:t xml:space="preserve"> the older person</w:t>
      </w:r>
      <w:r w:rsidR="00C6325B" w:rsidRPr="007B5BE6">
        <w:rPr>
          <w:rFonts w:eastAsia="Times New Roman" w:cs="Times New Roman"/>
        </w:rPr>
        <w:t xml:space="preserve"> </w:t>
      </w:r>
      <w:r w:rsidRPr="007B5BE6">
        <w:rPr>
          <w:rFonts w:eastAsia="Times New Roman" w:cs="Times New Roman"/>
        </w:rPr>
        <w:t>wishes those networks to be maintained</w:t>
      </w:r>
      <w:r w:rsidR="00B454BD" w:rsidRPr="007B5BE6">
        <w:rPr>
          <w:rFonts w:eastAsia="Times New Roman" w:cs="Times New Roman"/>
        </w:rPr>
        <w:t xml:space="preserve"> </w:t>
      </w:r>
      <w:r w:rsidR="001F69B0" w:rsidRPr="007B5BE6">
        <w:rPr>
          <w:rFonts w:eastAsia="Times New Roman" w:cs="Times New Roman"/>
        </w:rPr>
        <w:t>and that this can occur while also</w:t>
      </w:r>
      <w:r w:rsidR="00B454BD" w:rsidRPr="007B5BE6">
        <w:rPr>
          <w:rFonts w:eastAsia="Times New Roman" w:cs="Times New Roman"/>
        </w:rPr>
        <w:t xml:space="preserve"> addressing </w:t>
      </w:r>
      <w:r w:rsidR="001F69B0" w:rsidRPr="007B5BE6">
        <w:rPr>
          <w:rFonts w:eastAsia="Times New Roman" w:cs="Times New Roman"/>
        </w:rPr>
        <w:t xml:space="preserve">any </w:t>
      </w:r>
      <w:r w:rsidR="00B454BD" w:rsidRPr="007B5BE6">
        <w:rPr>
          <w:rFonts w:eastAsia="Times New Roman" w:cs="Times New Roman"/>
        </w:rPr>
        <w:t xml:space="preserve">abusive behaviours, </w:t>
      </w:r>
      <w:r w:rsidRPr="007B5BE6">
        <w:rPr>
          <w:rFonts w:eastAsia="Times New Roman" w:cs="Times New Roman"/>
        </w:rPr>
        <w:t>and this would be appropriate</w:t>
      </w:r>
      <w:r w:rsidR="0060463F" w:rsidRPr="007B5BE6">
        <w:rPr>
          <w:rFonts w:eastAsia="Times New Roman" w:cs="Times New Roman"/>
        </w:rPr>
        <w:t>,</w:t>
      </w:r>
      <w:r w:rsidRPr="007B5BE6">
        <w:rPr>
          <w:rFonts w:eastAsia="Times New Roman" w:cs="Times New Roman"/>
        </w:rPr>
        <w:t xml:space="preserve"> having regard to the nature of the abuse and risk of harm to the older person);</w:t>
      </w:r>
    </w:p>
    <w:p w14:paraId="518DC4DE" w14:textId="6E5B1A8E" w:rsidR="00D8555B" w:rsidRPr="007B5BE6" w:rsidRDefault="00217176" w:rsidP="00217176">
      <w:pPr>
        <w:pStyle w:val="DotPointTLRI"/>
      </w:pPr>
      <w:r w:rsidRPr="007B5BE6">
        <w:t xml:space="preserve">address the </w:t>
      </w:r>
      <w:r w:rsidR="002D72E2" w:rsidRPr="007B5BE6">
        <w:t xml:space="preserve">challenges </w:t>
      </w:r>
      <w:r w:rsidR="00115FD2" w:rsidRPr="007B5BE6">
        <w:t>resulting</w:t>
      </w:r>
      <w:r w:rsidR="002D72E2" w:rsidRPr="007B5BE6">
        <w:t xml:space="preserve"> </w:t>
      </w:r>
      <w:r w:rsidR="00430027" w:rsidRPr="007B5BE6">
        <w:t>from</w:t>
      </w:r>
      <w:r w:rsidR="002D72E2" w:rsidRPr="007B5BE6">
        <w:t xml:space="preserve"> </w:t>
      </w:r>
      <w:r w:rsidR="00430027" w:rsidRPr="007B5BE6">
        <w:t xml:space="preserve">the current </w:t>
      </w:r>
      <w:r w:rsidR="002D72E2" w:rsidRPr="007B5BE6">
        <w:t xml:space="preserve">informal and localised </w:t>
      </w:r>
      <w:r w:rsidR="00430027" w:rsidRPr="007B5BE6">
        <w:t>approach</w:t>
      </w:r>
      <w:r w:rsidR="00D87F1A" w:rsidRPr="007B5BE6">
        <w:t>es</w:t>
      </w:r>
      <w:r w:rsidR="00430027" w:rsidRPr="007B5BE6">
        <w:t xml:space="preserve"> </w:t>
      </w:r>
      <w:r w:rsidR="00444DF7" w:rsidRPr="007B5BE6">
        <w:t>to</w:t>
      </w:r>
      <w:r w:rsidR="00115FD2" w:rsidRPr="007B5BE6">
        <w:t xml:space="preserve"> </w:t>
      </w:r>
      <w:r w:rsidR="003F15EE" w:rsidRPr="007B5BE6">
        <w:t xml:space="preserve">the </w:t>
      </w:r>
      <w:r w:rsidRPr="007B5BE6">
        <w:t>prevention, detection and investigation of abuse</w:t>
      </w:r>
      <w:r w:rsidR="00444DF7" w:rsidRPr="007B5BE6">
        <w:t xml:space="preserve">, which </w:t>
      </w:r>
      <w:r w:rsidR="00D87F1A" w:rsidRPr="007B5BE6">
        <w:t xml:space="preserve">include </w:t>
      </w:r>
      <w:r w:rsidRPr="007B5BE6">
        <w:t>responses work</w:t>
      </w:r>
      <w:r w:rsidR="000D278F" w:rsidRPr="007B5BE6">
        <w:t>ing</w:t>
      </w:r>
      <w:r w:rsidRPr="007B5BE6">
        <w:t xml:space="preserve"> across a spectrum of services and service providers</w:t>
      </w:r>
      <w:r w:rsidR="00822609" w:rsidRPr="007B5BE6">
        <w:t xml:space="preserve"> and </w:t>
      </w:r>
      <w:r w:rsidRPr="007B5BE6">
        <w:t xml:space="preserve">interagency relationships </w:t>
      </w:r>
      <w:r w:rsidR="00822609" w:rsidRPr="007B5BE6">
        <w:t>founded</w:t>
      </w:r>
      <w:r w:rsidRPr="007B5BE6">
        <w:t xml:space="preserve"> on informal partnerships</w:t>
      </w:r>
      <w:r w:rsidR="0062243D" w:rsidRPr="007B5BE6">
        <w:t>,</w:t>
      </w:r>
      <w:r w:rsidRPr="007B5BE6">
        <w:t xml:space="preserve"> rather than formal structures, frameworks or agreements</w:t>
      </w:r>
      <w:r w:rsidR="0062243D" w:rsidRPr="007B5BE6">
        <w:t xml:space="preserve">, that result in </w:t>
      </w:r>
      <w:r w:rsidRPr="007B5BE6">
        <w:t>overreliance on the personnel fulfilling key roles</w:t>
      </w:r>
      <w:r w:rsidR="00CC4700" w:rsidRPr="007B5BE6">
        <w:t xml:space="preserve">, </w:t>
      </w:r>
      <w:r w:rsidR="00F471DE" w:rsidRPr="007B5BE6">
        <w:t xml:space="preserve">a lack of consistency in </w:t>
      </w:r>
      <w:r w:rsidRPr="007B5BE6">
        <w:t>informal arrangements</w:t>
      </w:r>
      <w:r w:rsidR="00F471DE" w:rsidRPr="007B5BE6">
        <w:t xml:space="preserve">, </w:t>
      </w:r>
      <w:r w:rsidRPr="007B5BE6">
        <w:t xml:space="preserve">and a risk of dilution over time </w:t>
      </w:r>
      <w:r w:rsidR="00CC4700" w:rsidRPr="007B5BE6">
        <w:t xml:space="preserve">due to </w:t>
      </w:r>
      <w:r w:rsidRPr="007B5BE6">
        <w:t>staff turnover</w:t>
      </w:r>
      <w:r w:rsidR="001C1DB2" w:rsidRPr="007B5BE6">
        <w:t>; and</w:t>
      </w:r>
      <w:r w:rsidRPr="007B5BE6">
        <w:t xml:space="preserve"> </w:t>
      </w:r>
      <w:r w:rsidR="00D8555B" w:rsidRPr="007B5BE6">
        <w:t xml:space="preserve"> </w:t>
      </w:r>
    </w:p>
    <w:p w14:paraId="46C650EA" w14:textId="727F6E04" w:rsidR="00D8555B" w:rsidRPr="007B5BE6" w:rsidRDefault="00D8555B" w:rsidP="00D8555B">
      <w:pPr>
        <w:numPr>
          <w:ilvl w:val="0"/>
          <w:numId w:val="1"/>
        </w:numPr>
        <w:spacing w:after="120"/>
        <w:rPr>
          <w:rFonts w:eastAsia="Times New Roman" w:cs="Times New Roman"/>
        </w:rPr>
      </w:pPr>
      <w:r w:rsidRPr="007B5BE6">
        <w:rPr>
          <w:rFonts w:eastAsia="Times New Roman" w:cs="Times New Roman"/>
        </w:rPr>
        <w:t xml:space="preserve">enhance the legislative </w:t>
      </w:r>
      <w:r w:rsidR="00C34FAE" w:rsidRPr="007B5BE6">
        <w:rPr>
          <w:rFonts w:eastAsia="Times New Roman" w:cs="Times New Roman"/>
        </w:rPr>
        <w:t xml:space="preserve">options </w:t>
      </w:r>
      <w:r w:rsidRPr="007B5BE6">
        <w:rPr>
          <w:rFonts w:eastAsia="Times New Roman" w:cs="Times New Roman"/>
        </w:rPr>
        <w:t xml:space="preserve">in Tasmania </w:t>
      </w:r>
      <w:r w:rsidR="00C34FAE" w:rsidRPr="007B5BE6">
        <w:rPr>
          <w:rFonts w:eastAsia="Times New Roman" w:cs="Times New Roman"/>
        </w:rPr>
        <w:t>for p</w:t>
      </w:r>
      <w:r w:rsidRPr="007B5BE6">
        <w:rPr>
          <w:rFonts w:eastAsia="Times New Roman" w:cs="Times New Roman"/>
        </w:rPr>
        <w:t>rovid</w:t>
      </w:r>
      <w:r w:rsidR="00C34FAE" w:rsidRPr="007B5BE6">
        <w:rPr>
          <w:rFonts w:eastAsia="Times New Roman" w:cs="Times New Roman"/>
        </w:rPr>
        <w:t>ing</w:t>
      </w:r>
      <w:r w:rsidRPr="007B5BE6">
        <w:rPr>
          <w:rFonts w:eastAsia="Times New Roman" w:cs="Times New Roman"/>
        </w:rPr>
        <w:t xml:space="preserve"> protective measures </w:t>
      </w:r>
      <w:r w:rsidR="004F134A" w:rsidRPr="007B5BE6">
        <w:rPr>
          <w:rFonts w:eastAsia="Times New Roman" w:cs="Times New Roman"/>
        </w:rPr>
        <w:t xml:space="preserve">for </w:t>
      </w:r>
      <w:r w:rsidR="00C34FAE" w:rsidRPr="007B5BE6">
        <w:rPr>
          <w:rFonts w:eastAsia="Times New Roman" w:cs="Times New Roman"/>
        </w:rPr>
        <w:t xml:space="preserve">an </w:t>
      </w:r>
      <w:r w:rsidR="00C84308" w:rsidRPr="007B5BE6">
        <w:rPr>
          <w:rFonts w:eastAsia="Times New Roman" w:cs="Times New Roman"/>
        </w:rPr>
        <w:t>older pe</w:t>
      </w:r>
      <w:r w:rsidR="00C34FAE" w:rsidRPr="007B5BE6">
        <w:rPr>
          <w:rFonts w:eastAsia="Times New Roman" w:cs="Times New Roman"/>
        </w:rPr>
        <w:t>rson</w:t>
      </w:r>
      <w:r w:rsidR="004F134A" w:rsidRPr="007B5BE6">
        <w:rPr>
          <w:rFonts w:eastAsia="Times New Roman" w:cs="Times New Roman"/>
        </w:rPr>
        <w:t xml:space="preserve"> </w:t>
      </w:r>
      <w:r w:rsidRPr="007B5BE6">
        <w:rPr>
          <w:rFonts w:eastAsia="Times New Roman" w:cs="Times New Roman"/>
        </w:rPr>
        <w:t xml:space="preserve">without imposing criminal sanctions on the </w:t>
      </w:r>
      <w:r w:rsidR="009307EE" w:rsidRPr="007B5BE6">
        <w:rPr>
          <w:rFonts w:eastAsia="Times New Roman" w:cs="Times New Roman"/>
        </w:rPr>
        <w:t>person of concern</w:t>
      </w:r>
      <w:r w:rsidRPr="007B5BE6">
        <w:rPr>
          <w:rFonts w:eastAsia="Times New Roman" w:cs="Times New Roman"/>
        </w:rPr>
        <w:t xml:space="preserve">, which could increase the </w:t>
      </w:r>
      <w:r w:rsidRPr="007B5BE6">
        <w:rPr>
          <w:rFonts w:eastAsia="Times New Roman" w:cs="Times New Roman"/>
        </w:rPr>
        <w:lastRenderedPageBreak/>
        <w:t>rates of reporting while potentially providing better service delivery outcomes for all involved, noting the complexity of issues</w:t>
      </w:r>
      <w:r w:rsidR="009307EE" w:rsidRPr="007B5BE6">
        <w:rPr>
          <w:rFonts w:eastAsia="Times New Roman" w:cs="Times New Roman"/>
        </w:rPr>
        <w:t xml:space="preserve">, many of which </w:t>
      </w:r>
      <w:r w:rsidRPr="007B5BE6">
        <w:rPr>
          <w:rFonts w:eastAsia="Times New Roman" w:cs="Times New Roman"/>
        </w:rPr>
        <w:t>are best addressed through targeted therapeutic responses.</w:t>
      </w:r>
      <w:r w:rsidR="001A019C" w:rsidRPr="007B5BE6">
        <w:rPr>
          <w:rStyle w:val="FootnoteReference"/>
          <w:rFonts w:eastAsia="Times New Roman" w:cs="Times New Roman"/>
        </w:rPr>
        <w:footnoteReference w:id="502"/>
      </w:r>
    </w:p>
    <w:p w14:paraId="23BBD57E" w14:textId="365B81EB" w:rsidR="0089163C" w:rsidRPr="007B5BE6" w:rsidRDefault="00834009" w:rsidP="005F7BEF">
      <w:pPr>
        <w:pStyle w:val="NormalNumberedTextTLRI"/>
      </w:pPr>
      <w:r w:rsidRPr="007B5BE6">
        <w:t xml:space="preserve">In discussing </w:t>
      </w:r>
      <w:r w:rsidR="00D8555B" w:rsidRPr="007B5BE6">
        <w:t>service delivery</w:t>
      </w:r>
      <w:r w:rsidR="00B30C79" w:rsidRPr="007B5BE6">
        <w:t xml:space="preserve"> </w:t>
      </w:r>
      <w:r w:rsidRPr="007B5BE6">
        <w:t>models</w:t>
      </w:r>
      <w:r w:rsidR="00D8555B" w:rsidRPr="007B5BE6">
        <w:t xml:space="preserve">, </w:t>
      </w:r>
      <w:r w:rsidR="0088291B" w:rsidRPr="007B5BE6">
        <w:t>some stakeholders</w:t>
      </w:r>
      <w:r w:rsidR="007A7825" w:rsidRPr="007B5BE6">
        <w:t>,</w:t>
      </w:r>
      <w:r w:rsidR="0088291B" w:rsidRPr="007B5BE6">
        <w:t xml:space="preserve"> </w:t>
      </w:r>
      <w:r w:rsidR="00D8555B" w:rsidRPr="007B5BE6">
        <w:t>when considering other jurisdictions that had introduced overarching safeguarding approaches</w:t>
      </w:r>
      <w:r w:rsidR="00524AAF" w:rsidRPr="007B5BE6">
        <w:t>,</w:t>
      </w:r>
      <w:r w:rsidR="00D8555B" w:rsidRPr="007B5BE6">
        <w:t xml:space="preserve"> noted that </w:t>
      </w:r>
      <w:r w:rsidR="005B677D" w:rsidRPr="007B5BE6">
        <w:t xml:space="preserve">publicly available </w:t>
      </w:r>
      <w:r w:rsidR="006B41D7" w:rsidRPr="007B5BE6">
        <w:t xml:space="preserve">operational </w:t>
      </w:r>
      <w:r w:rsidR="00D8555B" w:rsidRPr="007B5BE6">
        <w:t>data suggested</w:t>
      </w:r>
      <w:r w:rsidR="0089163C" w:rsidRPr="007B5BE6">
        <w:t>:</w:t>
      </w:r>
    </w:p>
    <w:p w14:paraId="51CDFAEE" w14:textId="6F93F553" w:rsidR="0089163C" w:rsidRPr="007B5BE6" w:rsidRDefault="00D8555B" w:rsidP="0089163C">
      <w:pPr>
        <w:pStyle w:val="DotPointTLRI"/>
      </w:pPr>
      <w:proofErr w:type="gramStart"/>
      <w:r w:rsidRPr="007B5BE6">
        <w:t>the vast majority of</w:t>
      </w:r>
      <w:proofErr w:type="gramEnd"/>
      <w:r w:rsidRPr="007B5BE6">
        <w:t xml:space="preserve"> responses provided were to address gaps in service or support needs</w:t>
      </w:r>
      <w:r w:rsidR="0089163C" w:rsidRPr="007B5BE6">
        <w:t>;</w:t>
      </w:r>
      <w:r w:rsidRPr="007B5BE6">
        <w:t xml:space="preserve"> and</w:t>
      </w:r>
    </w:p>
    <w:p w14:paraId="1399D479" w14:textId="10C598BF" w:rsidR="0089163C" w:rsidRPr="007B5BE6" w:rsidRDefault="006B41D7" w:rsidP="0089163C">
      <w:pPr>
        <w:pStyle w:val="DotPointTLRI"/>
      </w:pPr>
      <w:r w:rsidRPr="007B5BE6">
        <w:t xml:space="preserve">that such needs </w:t>
      </w:r>
      <w:r w:rsidR="00D8555B" w:rsidRPr="007B5BE6">
        <w:t>were addressed either at the time of initial report (over the phone)</w:t>
      </w:r>
      <w:r w:rsidR="0089163C" w:rsidRPr="007B5BE6">
        <w:t>,</w:t>
      </w:r>
      <w:r w:rsidR="00D8555B" w:rsidRPr="007B5BE6">
        <w:t xml:space="preserve"> or upon investigation by the safeguarding body, for example through referral to another service to address support needs (as opposed to referral to </w:t>
      </w:r>
      <w:r w:rsidR="005B677D" w:rsidRPr="007B5BE6">
        <w:t xml:space="preserve">a </w:t>
      </w:r>
      <w:r w:rsidR="00D8555B" w:rsidRPr="007B5BE6">
        <w:t>justice system service).</w:t>
      </w:r>
      <w:r w:rsidR="001A019C" w:rsidRPr="007B5BE6">
        <w:rPr>
          <w:rStyle w:val="FootnoteReference"/>
        </w:rPr>
        <w:footnoteReference w:id="503"/>
      </w:r>
      <w:r w:rsidR="00D8555B" w:rsidRPr="007B5BE6">
        <w:t xml:space="preserve"> </w:t>
      </w:r>
    </w:p>
    <w:p w14:paraId="0469D8AB" w14:textId="16F72557" w:rsidR="005E0AB7" w:rsidRPr="007B5BE6" w:rsidRDefault="00D8555B" w:rsidP="00C36293">
      <w:r w:rsidRPr="007B5BE6">
        <w:t xml:space="preserve">For example, one stakeholder noted </w:t>
      </w:r>
      <w:r w:rsidR="00A20282" w:rsidRPr="007B5BE6">
        <w:t xml:space="preserve">that </w:t>
      </w:r>
      <w:r w:rsidRPr="007B5BE6">
        <w:t xml:space="preserve">data </w:t>
      </w:r>
      <w:r w:rsidR="00C875AD" w:rsidRPr="007B5BE6">
        <w:t xml:space="preserve">on </w:t>
      </w:r>
      <w:r w:rsidRPr="007B5BE6">
        <w:t>the operation of the NSW Ageing and Disability Commissioner</w:t>
      </w:r>
      <w:r w:rsidR="00A20282" w:rsidRPr="007B5BE6">
        <w:t xml:space="preserve">, which </w:t>
      </w:r>
      <w:r w:rsidR="00426444" w:rsidRPr="007B5BE6">
        <w:t xml:space="preserve">suggested that although </w:t>
      </w:r>
      <w:r w:rsidR="00365B87" w:rsidRPr="007B5BE6">
        <w:t xml:space="preserve">a majority of the </w:t>
      </w:r>
      <w:r w:rsidRPr="007B5BE6">
        <w:t xml:space="preserve">large number of complaints </w:t>
      </w:r>
      <w:r w:rsidR="00426444" w:rsidRPr="007B5BE6">
        <w:t xml:space="preserve">made per year </w:t>
      </w:r>
      <w:r w:rsidRPr="007B5BE6">
        <w:t>(</w:t>
      </w:r>
      <w:r w:rsidR="002F0FB5" w:rsidRPr="007B5BE6">
        <w:t xml:space="preserve">for example, </w:t>
      </w:r>
      <w:r w:rsidRPr="007B5BE6">
        <w:t>more than 14,000)</w:t>
      </w:r>
      <w:r w:rsidR="00026401" w:rsidRPr="007B5BE6">
        <w:t xml:space="preserve"> </w:t>
      </w:r>
      <w:r w:rsidRPr="007B5BE6">
        <w:t>related to</w:t>
      </w:r>
      <w:r w:rsidR="00026401" w:rsidRPr="007B5BE6">
        <w:t xml:space="preserve"> </w:t>
      </w:r>
      <w:r w:rsidR="00A06339" w:rsidRPr="007B5BE6">
        <w:t xml:space="preserve">the abuse of </w:t>
      </w:r>
      <w:r w:rsidRPr="007B5BE6">
        <w:t>older people</w:t>
      </w:r>
      <w:r w:rsidR="00365B87" w:rsidRPr="007B5BE6">
        <w:t xml:space="preserve">, </w:t>
      </w:r>
      <w:r w:rsidRPr="007B5BE6">
        <w:t xml:space="preserve">most </w:t>
      </w:r>
      <w:r w:rsidR="00A06339" w:rsidRPr="007B5BE6">
        <w:t>of these</w:t>
      </w:r>
      <w:r w:rsidRPr="007B5BE6">
        <w:t xml:space="preserve"> tended to </w:t>
      </w:r>
      <w:r w:rsidR="00A06339" w:rsidRPr="007B5BE6">
        <w:t xml:space="preserve">be </w:t>
      </w:r>
      <w:r w:rsidRPr="007B5BE6">
        <w:t xml:space="preserve">resolved by addressing </w:t>
      </w:r>
      <w:r w:rsidR="00365B87" w:rsidRPr="007B5BE6">
        <w:t>a</w:t>
      </w:r>
      <w:r w:rsidRPr="007B5BE6">
        <w:t xml:space="preserve"> lack of services</w:t>
      </w:r>
      <w:r w:rsidR="009D4E49" w:rsidRPr="007B5BE6">
        <w:t>, with that identified</w:t>
      </w:r>
      <w:r w:rsidRPr="007B5BE6">
        <w:t xml:space="preserve"> as the central issue. It was further noted that</w:t>
      </w:r>
      <w:r w:rsidR="00365B87" w:rsidRPr="007B5BE6">
        <w:t xml:space="preserve"> the data suggested that</w:t>
      </w:r>
      <w:r w:rsidRPr="007B5BE6">
        <w:t xml:space="preserve"> only a small number of complaints (</w:t>
      </w:r>
      <w:r w:rsidR="002F0FB5" w:rsidRPr="007B5BE6">
        <w:t xml:space="preserve">for example, </w:t>
      </w:r>
      <w:r w:rsidRPr="007B5BE6">
        <w:t xml:space="preserve">less than 100) resulted in investigations, </w:t>
      </w:r>
      <w:r w:rsidR="00365B87" w:rsidRPr="007B5BE6">
        <w:t xml:space="preserve">with these </w:t>
      </w:r>
      <w:r w:rsidRPr="007B5BE6">
        <w:t xml:space="preserve">investigations </w:t>
      </w:r>
      <w:r w:rsidR="00DA46EE" w:rsidRPr="007B5BE6">
        <w:t>tend</w:t>
      </w:r>
      <w:r w:rsidR="00365B87" w:rsidRPr="007B5BE6">
        <w:t xml:space="preserve">ing </w:t>
      </w:r>
      <w:r w:rsidR="00DA46EE" w:rsidRPr="007B5BE6">
        <w:t xml:space="preserve">to be </w:t>
      </w:r>
      <w:r w:rsidRPr="007B5BE6">
        <w:t xml:space="preserve">split </w:t>
      </w:r>
      <w:r w:rsidR="00365B87" w:rsidRPr="007B5BE6">
        <w:t xml:space="preserve">equally </w:t>
      </w:r>
      <w:r w:rsidRPr="007B5BE6">
        <w:t xml:space="preserve">in terms of whether they related to </w:t>
      </w:r>
      <w:r w:rsidR="00365B87" w:rsidRPr="007B5BE6">
        <w:t xml:space="preserve">abuse of </w:t>
      </w:r>
      <w:r w:rsidRPr="007B5BE6">
        <w:t xml:space="preserve">older people or people with disability. </w:t>
      </w:r>
    </w:p>
    <w:p w14:paraId="3F22207B" w14:textId="77777777" w:rsidR="00CF282D" w:rsidRPr="007B5BE6" w:rsidRDefault="00CF282D" w:rsidP="00744D17">
      <w:pPr>
        <w:pStyle w:val="NumberedHeadingTLRI"/>
      </w:pPr>
      <w:bookmarkStart w:id="569" w:name="_Toc212561791"/>
      <w:r w:rsidRPr="007B5BE6">
        <w:t>Approaches in other jurisdictions</w:t>
      </w:r>
      <w:bookmarkEnd w:id="569"/>
      <w:r w:rsidRPr="007B5BE6">
        <w:t xml:space="preserve"> </w:t>
      </w:r>
    </w:p>
    <w:p w14:paraId="42E32CF1" w14:textId="0FCF7F59" w:rsidR="0085730B"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Most states and territories do not have overarching</w:t>
      </w:r>
      <w:r w:rsidR="00BD7EAE" w:rsidRPr="007B5BE6">
        <w:rPr>
          <w:rFonts w:eastAsia="Times" w:cs="Times New Roman"/>
          <w:szCs w:val="20"/>
        </w:rPr>
        <w:t xml:space="preserve"> approach</w:t>
      </w:r>
      <w:r w:rsidR="00416598" w:rsidRPr="007B5BE6">
        <w:rPr>
          <w:rFonts w:eastAsia="Times" w:cs="Times New Roman"/>
          <w:szCs w:val="20"/>
        </w:rPr>
        <w:t>es</w:t>
      </w:r>
      <w:r w:rsidR="00BD7EAE" w:rsidRPr="007B5BE6">
        <w:rPr>
          <w:rFonts w:eastAsia="Times" w:cs="Times New Roman"/>
          <w:szCs w:val="20"/>
        </w:rPr>
        <w:t xml:space="preserve"> to </w:t>
      </w:r>
      <w:r w:rsidRPr="007B5BE6">
        <w:rPr>
          <w:rFonts w:eastAsia="Times" w:cs="Times New Roman"/>
          <w:szCs w:val="20"/>
        </w:rPr>
        <w:t xml:space="preserve">adult safeguarding, </w:t>
      </w:r>
      <w:r w:rsidR="00B6675F" w:rsidRPr="007B5BE6">
        <w:rPr>
          <w:rFonts w:eastAsia="Times" w:cs="Times New Roman"/>
          <w:szCs w:val="20"/>
        </w:rPr>
        <w:t xml:space="preserve">due to </w:t>
      </w:r>
      <w:r w:rsidR="00AA0550" w:rsidRPr="007B5BE6">
        <w:rPr>
          <w:rFonts w:eastAsia="Times" w:cs="Times New Roman"/>
          <w:szCs w:val="20"/>
        </w:rPr>
        <w:t xml:space="preserve">having </w:t>
      </w:r>
      <w:r w:rsidRPr="007B5BE6">
        <w:rPr>
          <w:rFonts w:eastAsia="Times" w:cs="Times New Roman"/>
          <w:szCs w:val="20"/>
        </w:rPr>
        <w:t>legislati</w:t>
      </w:r>
      <w:r w:rsidR="00896BBE" w:rsidRPr="007B5BE6">
        <w:rPr>
          <w:rFonts w:eastAsia="Times" w:cs="Times New Roman"/>
          <w:szCs w:val="20"/>
        </w:rPr>
        <w:t xml:space="preserve">on that is </w:t>
      </w:r>
      <w:r w:rsidRPr="007B5BE6">
        <w:rPr>
          <w:rFonts w:eastAsia="Times" w:cs="Times New Roman"/>
          <w:szCs w:val="20"/>
        </w:rPr>
        <w:t>selective in its focus and provi</w:t>
      </w:r>
      <w:r w:rsidR="00AA0550" w:rsidRPr="007B5BE6">
        <w:rPr>
          <w:rFonts w:eastAsia="Times" w:cs="Times New Roman"/>
          <w:szCs w:val="20"/>
        </w:rPr>
        <w:t>des</w:t>
      </w:r>
      <w:r w:rsidRPr="007B5BE6">
        <w:rPr>
          <w:rFonts w:eastAsia="Times" w:cs="Times New Roman"/>
          <w:szCs w:val="20"/>
        </w:rPr>
        <w:t xml:space="preserve"> </w:t>
      </w:r>
      <w:r w:rsidR="00CA4EE7" w:rsidRPr="007B5BE6">
        <w:rPr>
          <w:rFonts w:eastAsia="Times" w:cs="Times New Roman"/>
          <w:szCs w:val="20"/>
        </w:rPr>
        <w:t xml:space="preserve">mechanisms for </w:t>
      </w:r>
      <w:r w:rsidRPr="007B5BE6">
        <w:rPr>
          <w:rFonts w:eastAsia="Times" w:cs="Times New Roman"/>
          <w:szCs w:val="20"/>
        </w:rPr>
        <w:t>safeguarding</w:t>
      </w:r>
      <w:r w:rsidR="00896BBE" w:rsidRPr="007B5BE6">
        <w:rPr>
          <w:rFonts w:eastAsia="Times" w:cs="Times New Roman"/>
          <w:szCs w:val="20"/>
        </w:rPr>
        <w:t xml:space="preserve">, </w:t>
      </w:r>
      <w:r w:rsidRPr="007B5BE6">
        <w:rPr>
          <w:rFonts w:eastAsia="Times" w:cs="Times New Roman"/>
          <w:szCs w:val="20"/>
        </w:rPr>
        <w:t xml:space="preserve">and </w:t>
      </w:r>
      <w:r w:rsidR="00E30306" w:rsidRPr="007B5BE6">
        <w:rPr>
          <w:rFonts w:eastAsia="Times" w:cs="Times New Roman"/>
          <w:szCs w:val="20"/>
        </w:rPr>
        <w:t xml:space="preserve">rights </w:t>
      </w:r>
      <w:r w:rsidRPr="007B5BE6">
        <w:rPr>
          <w:rFonts w:eastAsia="Times" w:cs="Times New Roman"/>
          <w:szCs w:val="20"/>
        </w:rPr>
        <w:t>protection</w:t>
      </w:r>
      <w:r w:rsidR="00E30306" w:rsidRPr="007B5BE6">
        <w:rPr>
          <w:rFonts w:eastAsia="Times" w:cs="Times New Roman"/>
          <w:szCs w:val="20"/>
        </w:rPr>
        <w:t xml:space="preserve">, for </w:t>
      </w:r>
      <w:r w:rsidRPr="007B5BE6">
        <w:rPr>
          <w:rFonts w:eastAsia="Times" w:cs="Times New Roman"/>
          <w:szCs w:val="20"/>
        </w:rPr>
        <w:t xml:space="preserve">adults with impaired decision-making </w:t>
      </w:r>
      <w:r w:rsidR="00E34312" w:rsidRPr="007B5BE6">
        <w:rPr>
          <w:rFonts w:eastAsia="Times" w:cs="Times New Roman"/>
          <w:szCs w:val="20"/>
        </w:rPr>
        <w:t>ability</w:t>
      </w:r>
      <w:r w:rsidRPr="007B5BE6" w:rsidDel="009715DA">
        <w:t>.</w:t>
      </w:r>
      <w:r w:rsidRPr="007B5BE6">
        <w:rPr>
          <w:rFonts w:eastAsia="Times" w:cs="Times New Roman"/>
          <w:szCs w:val="20"/>
        </w:rPr>
        <w:t xml:space="preserve"> </w:t>
      </w:r>
      <w:r w:rsidR="0069382C" w:rsidRPr="007B5BE6">
        <w:rPr>
          <w:rFonts w:eastAsia="Times" w:cs="Times New Roman"/>
          <w:szCs w:val="20"/>
        </w:rPr>
        <w:t>While t</w:t>
      </w:r>
      <w:r w:rsidRPr="007B5BE6">
        <w:rPr>
          <w:rFonts w:eastAsia="Times" w:cs="Times New Roman"/>
          <w:szCs w:val="20"/>
        </w:rPr>
        <w:t>his would include some older people</w:t>
      </w:r>
      <w:r w:rsidR="0069382C" w:rsidRPr="007B5BE6">
        <w:rPr>
          <w:rFonts w:eastAsia="Times" w:cs="Times New Roman"/>
          <w:szCs w:val="20"/>
        </w:rPr>
        <w:t xml:space="preserve">, </w:t>
      </w:r>
      <w:r w:rsidR="00FE2177" w:rsidRPr="007B5BE6">
        <w:t xml:space="preserve">it excludes many older adults from </w:t>
      </w:r>
      <w:r w:rsidR="00CA4EE7" w:rsidRPr="007B5BE6">
        <w:t xml:space="preserve">available </w:t>
      </w:r>
      <w:r w:rsidR="00FE2177" w:rsidRPr="007B5BE6">
        <w:t xml:space="preserve">safeguarding mechanisms. </w:t>
      </w:r>
      <w:r w:rsidR="00416598" w:rsidRPr="007B5BE6">
        <w:t>Such approaches</w:t>
      </w:r>
      <w:r w:rsidRPr="007B5BE6">
        <w:rPr>
          <w:rFonts w:eastAsia="Times" w:cs="Times New Roman"/>
          <w:szCs w:val="20"/>
        </w:rPr>
        <w:t xml:space="preserve"> d</w:t>
      </w:r>
      <w:r w:rsidR="00416598" w:rsidRPr="007B5BE6">
        <w:rPr>
          <w:rFonts w:eastAsia="Times" w:cs="Times New Roman"/>
          <w:szCs w:val="20"/>
        </w:rPr>
        <w:t>o</w:t>
      </w:r>
      <w:r w:rsidRPr="007B5BE6">
        <w:rPr>
          <w:rFonts w:eastAsia="Times" w:cs="Times New Roman"/>
          <w:szCs w:val="20"/>
        </w:rPr>
        <w:t xml:space="preserve"> not reflect the ALRC’s recommendations </w:t>
      </w:r>
      <w:r w:rsidR="00416598" w:rsidRPr="007B5BE6">
        <w:rPr>
          <w:rFonts w:eastAsia="Times" w:cs="Times New Roman"/>
          <w:szCs w:val="20"/>
        </w:rPr>
        <w:t>for refo</w:t>
      </w:r>
      <w:r w:rsidR="0085730B" w:rsidRPr="007B5BE6">
        <w:rPr>
          <w:rFonts w:eastAsia="Times" w:cs="Times New Roman"/>
          <w:szCs w:val="20"/>
        </w:rPr>
        <w:t xml:space="preserve">rms to implement </w:t>
      </w:r>
      <w:r w:rsidRPr="007B5BE6" w:rsidDel="001C267D">
        <w:rPr>
          <w:rFonts w:eastAsia="Times" w:cs="Times New Roman"/>
          <w:szCs w:val="20"/>
        </w:rPr>
        <w:t>a</w:t>
      </w:r>
      <w:r w:rsidRPr="007B5BE6" w:rsidDel="00A534BF">
        <w:rPr>
          <w:rFonts w:eastAsia="Times" w:cs="Times New Roman"/>
          <w:szCs w:val="20"/>
        </w:rPr>
        <w:t xml:space="preserve"> </w:t>
      </w:r>
      <w:r w:rsidRPr="007B5BE6">
        <w:rPr>
          <w:rFonts w:eastAsia="Times" w:cs="Times New Roman"/>
          <w:szCs w:val="20"/>
        </w:rPr>
        <w:t xml:space="preserve">safeguarding approach </w:t>
      </w:r>
      <w:r w:rsidR="00C138B0" w:rsidRPr="007B5BE6">
        <w:rPr>
          <w:rFonts w:eastAsia="Times" w:cs="Times New Roman"/>
          <w:szCs w:val="20"/>
        </w:rPr>
        <w:t xml:space="preserve">through an agency </w:t>
      </w:r>
      <w:r w:rsidRPr="007B5BE6">
        <w:rPr>
          <w:rFonts w:eastAsia="Times" w:cs="Times New Roman"/>
          <w:szCs w:val="20"/>
        </w:rPr>
        <w:t>that</w:t>
      </w:r>
      <w:r w:rsidR="0085730B" w:rsidRPr="007B5BE6">
        <w:rPr>
          <w:rFonts w:eastAsia="Times" w:cs="Times New Roman"/>
          <w:szCs w:val="20"/>
        </w:rPr>
        <w:t>:</w:t>
      </w:r>
    </w:p>
    <w:p w14:paraId="0E416D5A" w14:textId="3D5B2557" w:rsidR="0085730B" w:rsidRPr="007B5BE6" w:rsidRDefault="00C138B0" w:rsidP="0085730B">
      <w:pPr>
        <w:pStyle w:val="DotPointTLRI"/>
        <w:rPr>
          <w:rFonts w:eastAsia="Times"/>
        </w:rPr>
      </w:pPr>
      <w:r w:rsidRPr="007B5BE6">
        <w:rPr>
          <w:rFonts w:eastAsia="Times"/>
        </w:rPr>
        <w:t>has a ‘broader adult safeguarding function, not limited to people with impaired decision-making ability’</w:t>
      </w:r>
      <w:r w:rsidR="0085730B" w:rsidRPr="007B5BE6">
        <w:rPr>
          <w:rFonts w:eastAsia="Times"/>
        </w:rPr>
        <w:t>;</w:t>
      </w:r>
      <w:r w:rsidRPr="007B5BE6">
        <w:rPr>
          <w:rStyle w:val="FootnoteReference"/>
          <w:rFonts w:eastAsia="Times"/>
          <w:szCs w:val="20"/>
        </w:rPr>
        <w:footnoteReference w:id="504"/>
      </w:r>
      <w:r w:rsidRPr="007B5BE6">
        <w:rPr>
          <w:rFonts w:eastAsia="Times"/>
        </w:rPr>
        <w:t xml:space="preserve"> and</w:t>
      </w:r>
      <w:r w:rsidR="00CF282D" w:rsidRPr="007B5BE6">
        <w:rPr>
          <w:rFonts w:eastAsia="Times"/>
        </w:rPr>
        <w:t xml:space="preserve"> </w:t>
      </w:r>
    </w:p>
    <w:p w14:paraId="035642EC" w14:textId="75B70ED1" w:rsidR="008B6582" w:rsidRPr="007B5BE6" w:rsidRDefault="00CF282D" w:rsidP="00C36293">
      <w:pPr>
        <w:pStyle w:val="DotPointTLRI"/>
        <w:rPr>
          <w:rFonts w:eastAsia="Times"/>
        </w:rPr>
      </w:pPr>
      <w:r w:rsidRPr="007B5BE6">
        <w:rPr>
          <w:rFonts w:eastAsia="Times"/>
        </w:rPr>
        <w:t>includes older people ‘who, despite having full decision-making ability, are nevertheless at risk of abuse.’</w:t>
      </w:r>
      <w:r w:rsidR="000D62A0" w:rsidRPr="007B5BE6">
        <w:rPr>
          <w:rStyle w:val="FootnoteReference"/>
          <w:rFonts w:eastAsia="Times"/>
        </w:rPr>
        <w:footnoteReference w:id="505"/>
      </w:r>
      <w:r w:rsidRPr="007B5BE6">
        <w:rPr>
          <w:rFonts w:eastAsia="Times"/>
        </w:rPr>
        <w:t xml:space="preserve"> </w:t>
      </w:r>
    </w:p>
    <w:p w14:paraId="1B44F138" w14:textId="26553D98" w:rsidR="00CF282D" w:rsidRPr="007B5BE6" w:rsidRDefault="008B6582"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Table </w:t>
      </w:r>
      <w:r w:rsidR="00631FC2" w:rsidRPr="007B5BE6">
        <w:rPr>
          <w:rFonts w:eastAsia="Times" w:cs="Times New Roman"/>
          <w:szCs w:val="20"/>
        </w:rPr>
        <w:t>E.1</w:t>
      </w:r>
      <w:r w:rsidRPr="007B5BE6">
        <w:rPr>
          <w:rFonts w:eastAsia="Times" w:cs="Times New Roman"/>
          <w:szCs w:val="20"/>
        </w:rPr>
        <w:t xml:space="preserve"> in </w:t>
      </w:r>
      <w:r w:rsidRPr="007B5BE6">
        <w:rPr>
          <w:rFonts w:eastAsia="Times" w:cs="Times New Roman"/>
          <w:b/>
          <w:bCs/>
          <w:szCs w:val="20"/>
        </w:rPr>
        <w:t xml:space="preserve">Appendix </w:t>
      </w:r>
      <w:r w:rsidR="00631FC2" w:rsidRPr="007B5BE6">
        <w:rPr>
          <w:rFonts w:eastAsia="Times" w:cs="Times New Roman"/>
          <w:b/>
          <w:bCs/>
          <w:szCs w:val="20"/>
        </w:rPr>
        <w:t>E</w:t>
      </w:r>
      <w:r w:rsidR="00631FC2" w:rsidRPr="007B5BE6">
        <w:rPr>
          <w:rFonts w:eastAsia="Times" w:cs="Times New Roman"/>
          <w:szCs w:val="20"/>
        </w:rPr>
        <w:t xml:space="preserve"> </w:t>
      </w:r>
      <w:r w:rsidRPr="007B5BE6">
        <w:rPr>
          <w:rFonts w:eastAsia="Times" w:cs="Times New Roman"/>
          <w:szCs w:val="20"/>
        </w:rPr>
        <w:t>comprehensively reviews key elements of safeguarding frameworks for older people in other Australian state and territor</w:t>
      </w:r>
      <w:r w:rsidR="00A561B3" w:rsidRPr="007B5BE6">
        <w:rPr>
          <w:rFonts w:eastAsia="Times" w:cs="Times New Roman"/>
          <w:szCs w:val="20"/>
        </w:rPr>
        <w:t>ies</w:t>
      </w:r>
      <w:r w:rsidR="00D74726" w:rsidRPr="007B5BE6">
        <w:rPr>
          <w:rFonts w:eastAsia="Times" w:cs="Times New Roman"/>
          <w:szCs w:val="20"/>
        </w:rPr>
        <w:t xml:space="preserve"> aside from Tasmania</w:t>
      </w:r>
      <w:r w:rsidRPr="007B5BE6">
        <w:rPr>
          <w:rFonts w:eastAsia="Times" w:cs="Times New Roman"/>
          <w:szCs w:val="20"/>
        </w:rPr>
        <w:t xml:space="preserve"> (excluding the Commonwealth jurisdiction). </w:t>
      </w:r>
      <w:r w:rsidR="00CF282D" w:rsidRPr="007B5BE6">
        <w:rPr>
          <w:rFonts w:eastAsia="Times" w:cs="Times New Roman"/>
          <w:szCs w:val="20"/>
        </w:rPr>
        <w:t>Of the jurisdictions</w:t>
      </w:r>
      <w:r w:rsidR="00FD6836" w:rsidRPr="007B5BE6">
        <w:rPr>
          <w:rFonts w:eastAsia="Times" w:cs="Times New Roman"/>
          <w:szCs w:val="20"/>
        </w:rPr>
        <w:t xml:space="preserve"> that do not have an overarching safeguarding approach</w:t>
      </w:r>
      <w:r w:rsidR="00CF282D" w:rsidRPr="007B5BE6">
        <w:rPr>
          <w:rFonts w:eastAsia="Times" w:cs="Times New Roman"/>
          <w:szCs w:val="20"/>
        </w:rPr>
        <w:t xml:space="preserve">, </w:t>
      </w:r>
      <w:r w:rsidR="00D74726" w:rsidRPr="007B5BE6">
        <w:rPr>
          <w:rFonts w:eastAsia="Times" w:cs="Times New Roman"/>
          <w:szCs w:val="20"/>
        </w:rPr>
        <w:t>Queensland’s</w:t>
      </w:r>
      <w:r w:rsidR="00CF282D" w:rsidRPr="007B5BE6">
        <w:rPr>
          <w:rFonts w:eastAsia="Times" w:cs="Times New Roman"/>
          <w:szCs w:val="20"/>
        </w:rPr>
        <w:t xml:space="preserve"> Public Guardian has the strongest powers to investigate allegations of abuse, neglect or exploitation of persons (limited to those with impaired decision-making </w:t>
      </w:r>
      <w:r w:rsidR="00B1353C" w:rsidRPr="007B5BE6">
        <w:rPr>
          <w:rFonts w:eastAsia="Times" w:cs="Times New Roman"/>
          <w:szCs w:val="20"/>
        </w:rPr>
        <w:t>‘</w:t>
      </w:r>
      <w:r w:rsidR="00CF282D" w:rsidRPr="007B5BE6">
        <w:rPr>
          <w:rFonts w:eastAsia="Times" w:cs="Times New Roman"/>
          <w:szCs w:val="20"/>
        </w:rPr>
        <w:t>capacity</w:t>
      </w:r>
      <w:r w:rsidR="000D5F64" w:rsidRPr="007B5BE6">
        <w:rPr>
          <w:rFonts w:eastAsia="Times" w:cs="Times New Roman"/>
          <w:szCs w:val="20"/>
        </w:rPr>
        <w:t>’</w:t>
      </w:r>
      <w:r w:rsidR="00CF282D" w:rsidRPr="007B5BE6">
        <w:rPr>
          <w:rFonts w:eastAsia="Times" w:cs="Times New Roman"/>
          <w:szCs w:val="20"/>
        </w:rPr>
        <w:t>)</w:t>
      </w:r>
      <w:r w:rsidR="00FD6836" w:rsidRPr="007B5BE6">
        <w:rPr>
          <w:rFonts w:eastAsia="Times" w:cs="Times New Roman"/>
          <w:szCs w:val="20"/>
        </w:rPr>
        <w:t>,</w:t>
      </w:r>
      <w:r w:rsidR="00CF282D" w:rsidRPr="007B5BE6">
        <w:rPr>
          <w:rFonts w:eastAsia="Times" w:cs="Times New Roman"/>
          <w:szCs w:val="20"/>
        </w:rPr>
        <w:t xml:space="preserve"> and a focus on protecting the rights, interests and wellbeing of older Australians with impaired capacity.</w:t>
      </w:r>
      <w:r w:rsidR="000D62A0" w:rsidRPr="007B5BE6">
        <w:rPr>
          <w:rStyle w:val="FootnoteReference"/>
          <w:rFonts w:eastAsia="Times" w:cs="Times New Roman"/>
          <w:szCs w:val="20"/>
        </w:rPr>
        <w:footnoteReference w:id="506"/>
      </w:r>
      <w:r w:rsidR="00CF282D" w:rsidRPr="007B5BE6">
        <w:rPr>
          <w:rFonts w:eastAsia="Times" w:cs="Times New Roman"/>
          <w:szCs w:val="20"/>
        </w:rPr>
        <w:t xml:space="preserve"> Queensland also has human rights legislatio</w:t>
      </w:r>
      <w:r w:rsidR="0024695A" w:rsidRPr="007B5BE6">
        <w:rPr>
          <w:rFonts w:eastAsia="Times" w:cs="Times New Roman"/>
          <w:szCs w:val="20"/>
        </w:rPr>
        <w:t>n—t</w:t>
      </w:r>
      <w:r w:rsidR="00CF282D" w:rsidRPr="007B5BE6">
        <w:rPr>
          <w:rFonts w:eastAsia="Times" w:cs="Times New Roman"/>
          <w:szCs w:val="20"/>
        </w:rPr>
        <w:t xml:space="preserve">he </w:t>
      </w:r>
      <w:r w:rsidR="00CF282D" w:rsidRPr="007B5BE6">
        <w:rPr>
          <w:rFonts w:eastAsia="Times" w:cs="Times New Roman"/>
          <w:i/>
          <w:iCs/>
          <w:szCs w:val="20"/>
        </w:rPr>
        <w:t>Human Rights Act 2019</w:t>
      </w:r>
      <w:r w:rsidR="00CF282D" w:rsidRPr="007B5BE6">
        <w:rPr>
          <w:rFonts w:eastAsia="Times" w:cs="Times New Roman"/>
          <w:szCs w:val="20"/>
        </w:rPr>
        <w:t xml:space="preserve"> (Qld)</w:t>
      </w:r>
      <w:r w:rsidR="0024695A" w:rsidRPr="007B5BE6">
        <w:rPr>
          <w:rFonts w:eastAsia="Times" w:cs="Times New Roman"/>
          <w:szCs w:val="20"/>
        </w:rPr>
        <w:t>—</w:t>
      </w:r>
      <w:r w:rsidR="00CF282D" w:rsidRPr="007B5BE6">
        <w:rPr>
          <w:rFonts w:eastAsia="Times" w:cs="Times New Roman"/>
          <w:szCs w:val="20"/>
        </w:rPr>
        <w:t xml:space="preserve">that forms part of the legal framework for the operation of current mechanisms for safeguarding against abuse of adults. Although Queensland does not have an overarching adult safeguarding approach, </w:t>
      </w:r>
      <w:r w:rsidR="0014692B" w:rsidRPr="007B5BE6">
        <w:rPr>
          <w:rFonts w:eastAsia="Times" w:cs="Times New Roman"/>
          <w:szCs w:val="20"/>
        </w:rPr>
        <w:t xml:space="preserve">the Public Advocate </w:t>
      </w:r>
      <w:r w:rsidR="00C01758" w:rsidRPr="007B5BE6">
        <w:rPr>
          <w:rFonts w:eastAsia="Times" w:cs="Times New Roman"/>
          <w:szCs w:val="20"/>
        </w:rPr>
        <w:t xml:space="preserve">(in a 2022 review) </w:t>
      </w:r>
      <w:r w:rsidR="0014692B" w:rsidRPr="007B5BE6">
        <w:rPr>
          <w:rFonts w:eastAsia="Times" w:cs="Times New Roman"/>
          <w:szCs w:val="20"/>
        </w:rPr>
        <w:t xml:space="preserve">recommended the </w:t>
      </w:r>
      <w:r w:rsidR="00CF282D" w:rsidRPr="007B5BE6">
        <w:rPr>
          <w:rFonts w:eastAsia="Times" w:cs="Times New Roman"/>
          <w:szCs w:val="20"/>
        </w:rPr>
        <w:t>introduction of an adult safeguarding agency</w:t>
      </w:r>
      <w:r w:rsidR="00C01758" w:rsidRPr="007B5BE6">
        <w:rPr>
          <w:rFonts w:eastAsia="Times" w:cs="Times New Roman"/>
          <w:szCs w:val="20"/>
        </w:rPr>
        <w:t>,</w:t>
      </w:r>
      <w:r w:rsidR="00CF282D" w:rsidRPr="007B5BE6">
        <w:rPr>
          <w:rFonts w:eastAsia="Times" w:cs="Times New Roman"/>
          <w:szCs w:val="20"/>
        </w:rPr>
        <w:t xml:space="preserve"> supported by </w:t>
      </w:r>
      <w:r w:rsidR="00CF282D" w:rsidRPr="007B5BE6">
        <w:rPr>
          <w:rFonts w:eastAsia="Times" w:cs="Times New Roman"/>
          <w:szCs w:val="20"/>
        </w:rPr>
        <w:lastRenderedPageBreak/>
        <w:t>regional adult safeguarding networks.</w:t>
      </w:r>
      <w:r w:rsidR="00BB2A39" w:rsidRPr="007B5BE6">
        <w:rPr>
          <w:rStyle w:val="FootnoteReference"/>
          <w:rFonts w:eastAsia="Times" w:cs="Times New Roman"/>
          <w:szCs w:val="20"/>
        </w:rPr>
        <w:footnoteReference w:id="507"/>
      </w:r>
      <w:r w:rsidR="00CF282D" w:rsidRPr="007B5BE6">
        <w:rPr>
          <w:rFonts w:eastAsia="Times" w:cs="Times New Roman"/>
          <w:szCs w:val="20"/>
        </w:rPr>
        <w:t xml:space="preserve"> No changes have been made in response to the</w:t>
      </w:r>
      <w:r w:rsidR="00C01758" w:rsidRPr="007B5BE6">
        <w:rPr>
          <w:rFonts w:eastAsia="Times" w:cs="Times New Roman"/>
          <w:szCs w:val="20"/>
        </w:rPr>
        <w:t xml:space="preserve">se recommendations. </w:t>
      </w:r>
      <w:r w:rsidR="00CF282D" w:rsidRPr="007B5BE6">
        <w:rPr>
          <w:rFonts w:eastAsia="Times" w:cs="Times New Roman"/>
          <w:szCs w:val="20"/>
        </w:rPr>
        <w:t xml:space="preserve">However, safeguarding is being considered as part of a current Queensland parliamentary inquiry </w:t>
      </w:r>
      <w:r w:rsidR="00CF282D" w:rsidRPr="007B5BE6">
        <w:rPr>
          <w:rFonts w:eastAsia="Times" w:cs="Times New Roman"/>
          <w:i/>
          <w:iCs/>
          <w:szCs w:val="20"/>
        </w:rPr>
        <w:t>Elder Abuse in Queensland</w:t>
      </w:r>
      <w:r w:rsidR="00CF282D" w:rsidRPr="007B5BE6">
        <w:rPr>
          <w:rFonts w:eastAsia="Times" w:cs="Times New Roman"/>
          <w:szCs w:val="20"/>
        </w:rPr>
        <w:t>, which is due to report on 12 December 2025.</w:t>
      </w:r>
      <w:r w:rsidR="00BB2A39" w:rsidRPr="007B5BE6">
        <w:rPr>
          <w:rStyle w:val="FootnoteReference"/>
          <w:rFonts w:eastAsia="Times" w:cs="Times New Roman"/>
          <w:szCs w:val="20"/>
        </w:rPr>
        <w:footnoteReference w:id="508"/>
      </w:r>
      <w:r w:rsidR="00CF282D" w:rsidRPr="007B5BE6">
        <w:rPr>
          <w:rFonts w:eastAsia="Times" w:cs="Times New Roman"/>
          <w:szCs w:val="20"/>
        </w:rPr>
        <w:t xml:space="preserve"> </w:t>
      </w:r>
    </w:p>
    <w:p w14:paraId="45E2E4DE" w14:textId="6B08B7C2" w:rsidR="002A2F6B" w:rsidRDefault="00EB4A4B" w:rsidP="00FF12C4">
      <w:pPr>
        <w:numPr>
          <w:ilvl w:val="2"/>
          <w:numId w:val="2"/>
        </w:numPr>
        <w:tabs>
          <w:tab w:val="left" w:pos="851"/>
        </w:tabs>
        <w:spacing w:before="220"/>
        <w:rPr>
          <w:rFonts w:eastAsia="Times" w:cs="Times New Roman"/>
          <w:szCs w:val="20"/>
        </w:rPr>
      </w:pPr>
      <w:r w:rsidRPr="007B5BE6">
        <w:rPr>
          <w:rFonts w:eastAsia="Times" w:cs="Times New Roman"/>
          <w:szCs w:val="20"/>
        </w:rPr>
        <w:t>R</w:t>
      </w:r>
      <w:r w:rsidR="00FF12C4" w:rsidRPr="007B5BE6">
        <w:rPr>
          <w:rFonts w:eastAsia="Times" w:cs="Times New Roman"/>
          <w:szCs w:val="20"/>
        </w:rPr>
        <w:t>eflecting the varied approaches</w:t>
      </w:r>
      <w:r w:rsidR="00E85D4D" w:rsidRPr="007B5BE6">
        <w:rPr>
          <w:rFonts w:eastAsia="Times" w:cs="Times New Roman"/>
          <w:szCs w:val="20"/>
        </w:rPr>
        <w:t>,</w:t>
      </w:r>
      <w:r w:rsidR="005E54D0" w:rsidRPr="007B5BE6">
        <w:rPr>
          <w:rFonts w:eastAsia="Times" w:cs="Times New Roman"/>
          <w:szCs w:val="20"/>
        </w:rPr>
        <w:t xml:space="preserve"> across Australia</w:t>
      </w:r>
      <w:r w:rsidR="00E85D4D" w:rsidRPr="007B5BE6">
        <w:rPr>
          <w:rFonts w:eastAsia="Times" w:cs="Times New Roman"/>
          <w:szCs w:val="20"/>
        </w:rPr>
        <w:t>,</w:t>
      </w:r>
      <w:r w:rsidR="00FF12C4" w:rsidRPr="007B5BE6">
        <w:rPr>
          <w:rFonts w:eastAsia="Times" w:cs="Times New Roman"/>
          <w:szCs w:val="20"/>
        </w:rPr>
        <w:t xml:space="preserve"> to safeguarding against </w:t>
      </w:r>
      <w:r w:rsidRPr="007B5BE6">
        <w:rPr>
          <w:rFonts w:eastAsia="Times" w:cs="Times New Roman"/>
          <w:szCs w:val="20"/>
        </w:rPr>
        <w:t xml:space="preserve">the </w:t>
      </w:r>
      <w:r w:rsidR="00FF12C4" w:rsidRPr="007B5BE6">
        <w:rPr>
          <w:rFonts w:eastAsia="Times" w:cs="Times New Roman"/>
          <w:szCs w:val="20"/>
        </w:rPr>
        <w:t>abuse of older people (or some cohorts of older people),</w:t>
      </w:r>
      <w:r w:rsidR="00FF12C4" w:rsidRPr="007B5BE6">
        <w:rPr>
          <w:rFonts w:eastAsia="Times" w:cs="Times New Roman"/>
          <w:szCs w:val="20"/>
          <w:vertAlign w:val="superscript"/>
        </w:rPr>
        <w:footnoteReference w:id="509"/>
      </w:r>
      <w:r w:rsidR="00FF12C4" w:rsidRPr="007B5BE6">
        <w:rPr>
          <w:rFonts w:eastAsia="Times" w:cs="Times New Roman"/>
          <w:szCs w:val="20"/>
        </w:rPr>
        <w:t xml:space="preserve"> the</w:t>
      </w:r>
      <w:r w:rsidR="003B5BB6" w:rsidRPr="007B5BE6">
        <w:rPr>
          <w:rFonts w:eastAsia="Times" w:cs="Times New Roman"/>
          <w:szCs w:val="20"/>
        </w:rPr>
        <w:t>re is also a wide variation in each state and territory around the</w:t>
      </w:r>
      <w:r w:rsidR="00FF12C4" w:rsidRPr="007B5BE6">
        <w:rPr>
          <w:rFonts w:eastAsia="Times" w:cs="Times New Roman"/>
          <w:szCs w:val="20"/>
        </w:rPr>
        <w:t xml:space="preserve"> provi</w:t>
      </w:r>
      <w:r w:rsidR="003B5BB6" w:rsidRPr="007B5BE6">
        <w:rPr>
          <w:rFonts w:eastAsia="Times" w:cs="Times New Roman"/>
          <w:szCs w:val="20"/>
        </w:rPr>
        <w:t>sion of</w:t>
      </w:r>
      <w:r w:rsidR="00FF12C4" w:rsidRPr="007B5BE6">
        <w:rPr>
          <w:rFonts w:eastAsia="Times" w:cs="Times New Roman"/>
          <w:szCs w:val="20"/>
        </w:rPr>
        <w:t xml:space="preserve"> education and training to agencies that interact with older people and work to support legal and service responses to abuse. For example, </w:t>
      </w:r>
      <w:r w:rsidR="00941504" w:rsidRPr="007B5BE6">
        <w:rPr>
          <w:rFonts w:eastAsia="Times" w:cs="Times New Roman"/>
          <w:szCs w:val="20"/>
        </w:rPr>
        <w:t>a</w:t>
      </w:r>
      <w:r w:rsidR="00B73CE9" w:rsidRPr="007B5BE6">
        <w:rPr>
          <w:rFonts w:eastAsia="Times" w:cs="Times New Roman"/>
          <w:szCs w:val="20"/>
        </w:rPr>
        <w:t xml:space="preserve"> common</w:t>
      </w:r>
      <w:r w:rsidR="00941504" w:rsidRPr="007B5BE6">
        <w:rPr>
          <w:rFonts w:eastAsia="Times" w:cs="Times New Roman"/>
          <w:szCs w:val="20"/>
        </w:rPr>
        <w:t xml:space="preserve"> approach </w:t>
      </w:r>
      <w:r w:rsidR="00B73CE9" w:rsidRPr="007B5BE6">
        <w:rPr>
          <w:rFonts w:eastAsia="Times" w:cs="Times New Roman"/>
          <w:szCs w:val="20"/>
        </w:rPr>
        <w:t xml:space="preserve">identified </w:t>
      </w:r>
      <w:r w:rsidR="009929D6" w:rsidRPr="007B5BE6">
        <w:rPr>
          <w:rFonts w:eastAsia="Times" w:cs="Times New Roman"/>
          <w:szCs w:val="20"/>
        </w:rPr>
        <w:t xml:space="preserve">in </w:t>
      </w:r>
      <w:r w:rsidR="00FF12C4" w:rsidRPr="007B5BE6">
        <w:rPr>
          <w:rFonts w:eastAsia="Times" w:cs="Times New Roman"/>
          <w:szCs w:val="20"/>
        </w:rPr>
        <w:t xml:space="preserve">other jurisdictions </w:t>
      </w:r>
      <w:r w:rsidR="005936E6" w:rsidRPr="007B5BE6">
        <w:rPr>
          <w:rFonts w:eastAsia="Times" w:cs="Times New Roman"/>
          <w:szCs w:val="20"/>
        </w:rPr>
        <w:t xml:space="preserve">with overarching </w:t>
      </w:r>
      <w:r w:rsidR="00941504" w:rsidRPr="007B5BE6">
        <w:rPr>
          <w:rFonts w:eastAsia="Times" w:cs="Times New Roman"/>
          <w:szCs w:val="20"/>
        </w:rPr>
        <w:t xml:space="preserve">adult </w:t>
      </w:r>
      <w:r w:rsidR="005936E6" w:rsidRPr="007B5BE6">
        <w:rPr>
          <w:rFonts w:eastAsia="Times" w:cs="Times New Roman"/>
          <w:szCs w:val="20"/>
        </w:rPr>
        <w:t xml:space="preserve">safeguarding </w:t>
      </w:r>
      <w:r w:rsidR="00941504" w:rsidRPr="007B5BE6">
        <w:rPr>
          <w:rFonts w:eastAsia="Times" w:cs="Times New Roman"/>
          <w:szCs w:val="20"/>
        </w:rPr>
        <w:t xml:space="preserve">models, </w:t>
      </w:r>
      <w:r w:rsidR="00B73CE9" w:rsidRPr="007B5BE6">
        <w:rPr>
          <w:rFonts w:eastAsia="Times" w:cs="Times New Roman"/>
          <w:szCs w:val="20"/>
        </w:rPr>
        <w:t xml:space="preserve">is </w:t>
      </w:r>
      <w:r w:rsidR="009929D6" w:rsidRPr="007B5BE6">
        <w:rPr>
          <w:rFonts w:eastAsia="Times" w:cs="Times New Roman"/>
          <w:szCs w:val="20"/>
        </w:rPr>
        <w:t>the</w:t>
      </w:r>
      <w:r w:rsidR="00FF12C4" w:rsidRPr="007B5BE6">
        <w:rPr>
          <w:rFonts w:eastAsia="Times" w:cs="Times New Roman"/>
          <w:szCs w:val="20"/>
        </w:rPr>
        <w:t xml:space="preserve"> creation of interagency or collaborative policy documents</w:t>
      </w:r>
      <w:r w:rsidR="002F39A9" w:rsidRPr="007B5BE6">
        <w:rPr>
          <w:rFonts w:eastAsia="Times" w:cs="Times New Roman"/>
          <w:szCs w:val="20"/>
        </w:rPr>
        <w:t xml:space="preserve">. These </w:t>
      </w:r>
      <w:r w:rsidR="00FF12C4" w:rsidRPr="007B5BE6">
        <w:rPr>
          <w:rFonts w:eastAsia="Times" w:cs="Times New Roman"/>
          <w:szCs w:val="20"/>
        </w:rPr>
        <w:t>set out the broad framework</w:t>
      </w:r>
      <w:r w:rsidR="002F39A9" w:rsidRPr="007B5BE6">
        <w:rPr>
          <w:rFonts w:eastAsia="Times" w:cs="Times New Roman"/>
          <w:szCs w:val="20"/>
        </w:rPr>
        <w:t>,</w:t>
      </w:r>
      <w:r w:rsidR="00FF12C4" w:rsidRPr="007B5BE6">
        <w:rPr>
          <w:rFonts w:eastAsia="Times" w:cs="Times New Roman"/>
          <w:szCs w:val="20"/>
        </w:rPr>
        <w:t xml:space="preserve"> as well as the responsibility of each agency</w:t>
      </w:r>
      <w:r w:rsidR="002F39A9" w:rsidRPr="007B5BE6">
        <w:rPr>
          <w:rFonts w:eastAsia="Times" w:cs="Times New Roman"/>
          <w:szCs w:val="20"/>
        </w:rPr>
        <w:t>, under the model</w:t>
      </w:r>
      <w:r w:rsidR="009929D6" w:rsidRPr="007B5BE6">
        <w:rPr>
          <w:rFonts w:eastAsia="Times" w:cs="Times New Roman"/>
          <w:szCs w:val="20"/>
        </w:rPr>
        <w:t xml:space="preserve">, </w:t>
      </w:r>
      <w:r w:rsidR="00AD3EFF" w:rsidRPr="007B5BE6">
        <w:rPr>
          <w:rFonts w:eastAsia="Times" w:cs="Times New Roman"/>
          <w:szCs w:val="20"/>
        </w:rPr>
        <w:t xml:space="preserve">and are </w:t>
      </w:r>
      <w:r w:rsidR="009929D6" w:rsidRPr="007B5BE6">
        <w:rPr>
          <w:rFonts w:eastAsia="Times" w:cs="Times New Roman"/>
          <w:szCs w:val="20"/>
        </w:rPr>
        <w:t>designed to increase knowledge and specialisation within service delivery agencies</w:t>
      </w:r>
      <w:r w:rsidR="00FF12C4" w:rsidRPr="007B5BE6">
        <w:rPr>
          <w:rFonts w:eastAsia="Times" w:cs="Times New Roman"/>
          <w:szCs w:val="20"/>
        </w:rPr>
        <w:t>. Other jurisdictions without an overarching safeguarding response to abuse of older people also have protocols for responding to abuse of older people. For example, Western Australia has an elder abuse protocol (for staff and professionals working with older people).</w:t>
      </w:r>
      <w:r w:rsidR="00863014" w:rsidRPr="007B5BE6">
        <w:rPr>
          <w:rStyle w:val="FootnoteReference"/>
          <w:rFonts w:eastAsia="Times" w:cs="Times New Roman"/>
          <w:szCs w:val="20"/>
        </w:rPr>
        <w:footnoteReference w:id="510"/>
      </w:r>
      <w:r w:rsidR="00FF12C4" w:rsidRPr="007B5BE6">
        <w:rPr>
          <w:rFonts w:eastAsia="Times" w:cs="Times New Roman"/>
          <w:szCs w:val="20"/>
        </w:rPr>
        <w:t xml:space="preserve"> The importance of having consistent tools and resources, such as protocols, policies and other resources, to support uniform and integrated responses in </w:t>
      </w:r>
      <w:r w:rsidR="00AD3EFF" w:rsidRPr="007B5BE6">
        <w:rPr>
          <w:rFonts w:eastAsia="Times" w:cs="Times New Roman"/>
          <w:szCs w:val="20"/>
        </w:rPr>
        <w:t xml:space="preserve">the </w:t>
      </w:r>
      <w:r w:rsidR="00FF12C4" w:rsidRPr="007B5BE6">
        <w:rPr>
          <w:rFonts w:eastAsia="Times" w:cs="Times New Roman"/>
          <w:szCs w:val="20"/>
        </w:rPr>
        <w:t>complex service landscape for responding to abuse of older people was identified in a 2023 review of responses to abuse of older people in Western Australia.</w:t>
      </w:r>
      <w:r w:rsidR="00863014" w:rsidRPr="007B5BE6">
        <w:rPr>
          <w:rStyle w:val="FootnoteReference"/>
          <w:rFonts w:eastAsia="Times" w:cs="Times New Roman"/>
          <w:szCs w:val="20"/>
        </w:rPr>
        <w:footnoteReference w:id="511"/>
      </w:r>
    </w:p>
    <w:p w14:paraId="487E74A7" w14:textId="77777777" w:rsidR="002A2F6B" w:rsidRDefault="002A2F6B">
      <w:pPr>
        <w:spacing w:after="200" w:line="276" w:lineRule="auto"/>
        <w:jc w:val="left"/>
        <w:rPr>
          <w:rFonts w:eastAsia="Times" w:cs="Times New Roman"/>
          <w:szCs w:val="20"/>
        </w:rPr>
      </w:pPr>
      <w:r>
        <w:rPr>
          <w:rFonts w:eastAsia="Times" w:cs="Times New Roman"/>
          <w:szCs w:val="20"/>
        </w:rPr>
        <w:br w:type="page"/>
      </w:r>
    </w:p>
    <w:p w14:paraId="51BEEEC8" w14:textId="6EF216A3" w:rsidR="00FF12C4" w:rsidRPr="007B5BE6" w:rsidRDefault="00FF12C4" w:rsidP="005F7BEF">
      <w:pPr>
        <w:pStyle w:val="NormalNumberedTextTLRI"/>
      </w:pPr>
      <w:r w:rsidRPr="007B5BE6">
        <w:lastRenderedPageBreak/>
        <w:t>Further, the ALRC</w:t>
      </w:r>
      <w:r w:rsidR="00013DCE" w:rsidRPr="007B5BE6">
        <w:t xml:space="preserve"> recommended</w:t>
      </w:r>
      <w:r w:rsidR="00C97A27" w:rsidRPr="007B5BE6">
        <w:t>, as part of reforms to introduce</w:t>
      </w:r>
      <w:r w:rsidRPr="007B5BE6">
        <w:t xml:space="preserve"> adult safeguarding laws, adult safeguarding agencies should ‘work with relevant professional bodies to develop protocols for when prescribed professionals such as medical practitioners, should refer the abuse of at-risk adults to adult safeguarding agencies.’</w:t>
      </w:r>
      <w:r w:rsidR="00863014" w:rsidRPr="007B5BE6">
        <w:rPr>
          <w:rStyle w:val="FootnoteReference"/>
        </w:rPr>
        <w:footnoteReference w:id="512"/>
      </w:r>
      <w:r w:rsidR="006F3DD2" w:rsidRPr="007B5BE6">
        <w:t xml:space="preserve"> The </w:t>
      </w:r>
      <w:r w:rsidR="006F3DD2" w:rsidRPr="007B5BE6">
        <w:rPr>
          <w:i/>
          <w:iCs/>
        </w:rPr>
        <w:t xml:space="preserve">Royal Commission </w:t>
      </w:r>
      <w:r w:rsidR="00C07136" w:rsidRPr="007B5BE6">
        <w:rPr>
          <w:i/>
          <w:iCs/>
        </w:rPr>
        <w:t>into Violence, Abuse, Neglect and Exploitation of People with Disability</w:t>
      </w:r>
      <w:r w:rsidR="00C07136" w:rsidRPr="007B5BE6">
        <w:t xml:space="preserve"> also </w:t>
      </w:r>
      <w:r w:rsidR="00B77314" w:rsidRPr="007B5BE6">
        <w:t>recommended</w:t>
      </w:r>
      <w:r w:rsidR="00191EE7" w:rsidRPr="007B5BE6">
        <w:t xml:space="preserve"> </w:t>
      </w:r>
      <w:r w:rsidR="00865A29" w:rsidRPr="007B5BE6">
        <w:t xml:space="preserve">nationally consistent </w:t>
      </w:r>
      <w:r w:rsidR="00191EE7" w:rsidRPr="007B5BE6">
        <w:t xml:space="preserve">adult safeguarding </w:t>
      </w:r>
      <w:r w:rsidR="00865A29" w:rsidRPr="007B5BE6">
        <w:t>functions be established</w:t>
      </w:r>
      <w:r w:rsidR="00B77314" w:rsidRPr="007B5BE6">
        <w:t xml:space="preserve"> for people with disability</w:t>
      </w:r>
      <w:r w:rsidR="00386284" w:rsidRPr="007B5BE6">
        <w:t>,</w:t>
      </w:r>
      <w:r w:rsidR="00B77314" w:rsidRPr="007B5BE6">
        <w:rPr>
          <w:rStyle w:val="FootnoteReference"/>
        </w:rPr>
        <w:footnoteReference w:id="513"/>
      </w:r>
      <w:r w:rsidR="003316CE" w:rsidRPr="007B5BE6">
        <w:t xml:space="preserve"> with </w:t>
      </w:r>
      <w:r w:rsidR="00EB2D77" w:rsidRPr="007B5BE6">
        <w:t xml:space="preserve">it being a matter for each jurisdiction to decide if </w:t>
      </w:r>
      <w:r w:rsidR="00D85758" w:rsidRPr="007B5BE6">
        <w:t>they wished to include older people in this adult safeguarding mechanism.</w:t>
      </w:r>
      <w:r w:rsidR="00D85758" w:rsidRPr="007B5BE6">
        <w:rPr>
          <w:rStyle w:val="FootnoteReference"/>
        </w:rPr>
        <w:footnoteReference w:id="514"/>
      </w:r>
    </w:p>
    <w:p w14:paraId="3EE69F5A" w14:textId="537EC497"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Table </w:t>
      </w:r>
      <w:r w:rsidR="00EF443A" w:rsidRPr="007B5BE6">
        <w:rPr>
          <w:rFonts w:eastAsia="Times" w:cs="Times New Roman"/>
          <w:szCs w:val="20"/>
        </w:rPr>
        <w:t>4.4</w:t>
      </w:r>
      <w:r w:rsidRPr="007B5BE6">
        <w:rPr>
          <w:rFonts w:eastAsia="Times" w:cs="Times New Roman"/>
          <w:szCs w:val="20"/>
        </w:rPr>
        <w:t xml:space="preserve"> focuses on three jurisdictions that provide a form of ‘overarching approach’ to safeguarding in terms of having one agency or body responsible for safeguarding, </w:t>
      </w:r>
      <w:r w:rsidR="00470629" w:rsidRPr="007B5BE6">
        <w:rPr>
          <w:rFonts w:eastAsia="Times" w:cs="Times New Roman"/>
          <w:szCs w:val="20"/>
        </w:rPr>
        <w:t xml:space="preserve">with </w:t>
      </w:r>
      <w:r w:rsidRPr="007B5BE6">
        <w:rPr>
          <w:rFonts w:eastAsia="Times" w:cs="Times New Roman"/>
          <w:szCs w:val="20"/>
        </w:rPr>
        <w:t xml:space="preserve">a </w:t>
      </w:r>
      <w:r w:rsidR="00450077" w:rsidRPr="007B5BE6">
        <w:rPr>
          <w:rFonts w:eastAsia="Times" w:cs="Times New Roman"/>
          <w:szCs w:val="20"/>
        </w:rPr>
        <w:t xml:space="preserve">broader </w:t>
      </w:r>
      <w:r w:rsidRPr="007B5BE6">
        <w:rPr>
          <w:rFonts w:eastAsia="Times" w:cs="Times New Roman"/>
          <w:szCs w:val="20"/>
        </w:rPr>
        <w:t xml:space="preserve">focus on </w:t>
      </w:r>
      <w:r w:rsidR="00450077" w:rsidRPr="007B5BE6">
        <w:rPr>
          <w:rFonts w:eastAsia="Times" w:cs="Times New Roman"/>
          <w:szCs w:val="20"/>
        </w:rPr>
        <w:t xml:space="preserve">a wider cohort of </w:t>
      </w:r>
      <w:r w:rsidRPr="007B5BE6">
        <w:rPr>
          <w:rFonts w:eastAsia="Times" w:cs="Times New Roman"/>
          <w:szCs w:val="20"/>
        </w:rPr>
        <w:t>adults</w:t>
      </w:r>
      <w:r w:rsidR="00450077" w:rsidRPr="007B5BE6">
        <w:rPr>
          <w:rFonts w:eastAsia="Times" w:cs="Times New Roman"/>
          <w:szCs w:val="20"/>
        </w:rPr>
        <w:t xml:space="preserve"> that may experience</w:t>
      </w:r>
      <w:r w:rsidR="000077E1" w:rsidRPr="007B5BE6">
        <w:rPr>
          <w:rFonts w:eastAsia="Times" w:cs="Times New Roman"/>
          <w:szCs w:val="20"/>
        </w:rPr>
        <w:t>,</w:t>
      </w:r>
      <w:r w:rsidR="00450077" w:rsidRPr="007B5BE6">
        <w:rPr>
          <w:rFonts w:eastAsia="Times" w:cs="Times New Roman"/>
          <w:szCs w:val="20"/>
        </w:rPr>
        <w:t xml:space="preserve"> or be at risk of experiencing</w:t>
      </w:r>
      <w:r w:rsidR="000077E1" w:rsidRPr="007B5BE6">
        <w:rPr>
          <w:rFonts w:eastAsia="Times" w:cs="Times New Roman"/>
          <w:szCs w:val="20"/>
        </w:rPr>
        <w:t>,</w:t>
      </w:r>
      <w:r w:rsidR="00450077" w:rsidRPr="007B5BE6">
        <w:rPr>
          <w:rFonts w:eastAsia="Times" w:cs="Times New Roman"/>
          <w:szCs w:val="20"/>
        </w:rPr>
        <w:t xml:space="preserve"> abuse</w:t>
      </w:r>
      <w:r w:rsidR="005D0487" w:rsidRPr="007B5BE6">
        <w:rPr>
          <w:rFonts w:eastAsia="Times" w:cs="Times New Roman"/>
          <w:szCs w:val="20"/>
        </w:rPr>
        <w:t xml:space="preserve"> as older people</w:t>
      </w:r>
      <w:r w:rsidR="00450077" w:rsidRPr="007B5BE6">
        <w:rPr>
          <w:rFonts w:eastAsia="Times" w:cs="Times New Roman"/>
          <w:szCs w:val="20"/>
        </w:rPr>
        <w:t>. That is, the</w:t>
      </w:r>
      <w:r w:rsidR="000077E1" w:rsidRPr="007B5BE6">
        <w:rPr>
          <w:rFonts w:eastAsia="Times" w:cs="Times New Roman"/>
          <w:szCs w:val="20"/>
        </w:rPr>
        <w:t>se jurisdictions</w:t>
      </w:r>
      <w:r w:rsidR="00F50FE8" w:rsidRPr="007B5BE6">
        <w:rPr>
          <w:rFonts w:eastAsia="Times" w:cs="Times New Roman"/>
          <w:szCs w:val="20"/>
        </w:rPr>
        <w:t xml:space="preserve"> </w:t>
      </w:r>
      <w:r w:rsidR="00B5122B" w:rsidRPr="007B5BE6">
        <w:rPr>
          <w:rFonts w:eastAsia="Times" w:cs="Times New Roman"/>
          <w:szCs w:val="20"/>
        </w:rPr>
        <w:t xml:space="preserve">have a broader </w:t>
      </w:r>
      <w:r w:rsidR="00F50FE8" w:rsidRPr="007B5BE6">
        <w:rPr>
          <w:rFonts w:eastAsia="Times" w:cs="Times New Roman"/>
          <w:szCs w:val="20"/>
        </w:rPr>
        <w:t>focus</w:t>
      </w:r>
      <w:r w:rsidR="00B5122B" w:rsidRPr="007B5BE6">
        <w:rPr>
          <w:rFonts w:eastAsia="Times" w:cs="Times New Roman"/>
          <w:szCs w:val="20"/>
        </w:rPr>
        <w:t xml:space="preserve"> on</w:t>
      </w:r>
      <w:r w:rsidR="00F50FE8" w:rsidRPr="007B5BE6">
        <w:rPr>
          <w:rFonts w:eastAsia="Times" w:cs="Times New Roman"/>
          <w:szCs w:val="20"/>
        </w:rPr>
        <w:t xml:space="preserve"> </w:t>
      </w:r>
      <w:r w:rsidR="00450077" w:rsidRPr="007B5BE6">
        <w:rPr>
          <w:rFonts w:eastAsia="Times" w:cs="Times New Roman"/>
          <w:szCs w:val="20"/>
        </w:rPr>
        <w:t xml:space="preserve">either all </w:t>
      </w:r>
      <w:r w:rsidR="00F50FE8" w:rsidRPr="007B5BE6">
        <w:rPr>
          <w:rFonts w:eastAsia="Times" w:cs="Times New Roman"/>
          <w:szCs w:val="20"/>
        </w:rPr>
        <w:t>‘</w:t>
      </w:r>
      <w:r w:rsidR="00450077" w:rsidRPr="007B5BE6">
        <w:rPr>
          <w:rFonts w:eastAsia="Times" w:cs="Times New Roman"/>
          <w:szCs w:val="20"/>
        </w:rPr>
        <w:t>older people</w:t>
      </w:r>
      <w:r w:rsidR="00F50FE8" w:rsidRPr="007B5BE6">
        <w:rPr>
          <w:rFonts w:eastAsia="Times" w:cs="Times New Roman"/>
          <w:szCs w:val="20"/>
        </w:rPr>
        <w:t xml:space="preserve">’ or </w:t>
      </w:r>
      <w:r w:rsidR="00212F82" w:rsidRPr="007B5BE6">
        <w:rPr>
          <w:rFonts w:eastAsia="Times" w:cs="Times New Roman"/>
          <w:szCs w:val="20"/>
        </w:rPr>
        <w:t xml:space="preserve">a cohort of </w:t>
      </w:r>
      <w:r w:rsidR="00F50FE8" w:rsidRPr="007B5BE6">
        <w:rPr>
          <w:rFonts w:eastAsia="Times" w:cs="Times New Roman"/>
          <w:szCs w:val="20"/>
        </w:rPr>
        <w:t>older people who are defined to be ‘at-risk</w:t>
      </w:r>
      <w:r w:rsidR="00212F82" w:rsidRPr="007B5BE6">
        <w:rPr>
          <w:rFonts w:eastAsia="Times" w:cs="Times New Roman"/>
          <w:szCs w:val="20"/>
        </w:rPr>
        <w:t>’ or ‘vulnerable’ in some wa</w:t>
      </w:r>
      <w:r w:rsidR="005D0487" w:rsidRPr="007B5BE6">
        <w:rPr>
          <w:rFonts w:eastAsia="Times" w:cs="Times New Roman"/>
          <w:szCs w:val="20"/>
        </w:rPr>
        <w:t xml:space="preserve">y, </w:t>
      </w:r>
      <w:r w:rsidR="00410D4A" w:rsidRPr="007B5BE6">
        <w:rPr>
          <w:rFonts w:eastAsia="Times" w:cs="Times New Roman"/>
          <w:szCs w:val="20"/>
        </w:rPr>
        <w:t xml:space="preserve">rather than </w:t>
      </w:r>
      <w:r w:rsidR="00F749AD" w:rsidRPr="007B5BE6">
        <w:rPr>
          <w:rFonts w:eastAsia="Times" w:cs="Times New Roman"/>
          <w:szCs w:val="20"/>
        </w:rPr>
        <w:t xml:space="preserve">having </w:t>
      </w:r>
      <w:r w:rsidR="00CE0611" w:rsidRPr="007B5BE6">
        <w:rPr>
          <w:rFonts w:eastAsia="Times" w:cs="Times New Roman"/>
          <w:szCs w:val="20"/>
        </w:rPr>
        <w:t xml:space="preserve">an agency or body that has </w:t>
      </w:r>
      <w:r w:rsidR="00F17D51" w:rsidRPr="007B5BE6">
        <w:rPr>
          <w:rFonts w:eastAsia="Times" w:cs="Times New Roman"/>
          <w:szCs w:val="20"/>
        </w:rPr>
        <w:t>a more</w:t>
      </w:r>
      <w:r w:rsidR="00154256" w:rsidRPr="007B5BE6">
        <w:rPr>
          <w:rFonts w:eastAsia="Times" w:cs="Times New Roman"/>
          <w:szCs w:val="20"/>
        </w:rPr>
        <w:t xml:space="preserve"> selective focus </w:t>
      </w:r>
      <w:r w:rsidR="00F749AD" w:rsidRPr="007B5BE6">
        <w:rPr>
          <w:rFonts w:eastAsia="Times" w:cs="Times New Roman"/>
          <w:szCs w:val="20"/>
        </w:rPr>
        <w:t>in s</w:t>
      </w:r>
      <w:r w:rsidR="00CE0611" w:rsidRPr="007B5BE6">
        <w:rPr>
          <w:rFonts w:eastAsia="Times" w:cs="Times New Roman"/>
          <w:szCs w:val="20"/>
        </w:rPr>
        <w:t>afeguarding</w:t>
      </w:r>
      <w:r w:rsidR="00F749AD" w:rsidRPr="007B5BE6">
        <w:rPr>
          <w:rFonts w:eastAsia="Times" w:cs="Times New Roman"/>
          <w:szCs w:val="20"/>
        </w:rPr>
        <w:t>, confined to</w:t>
      </w:r>
      <w:r w:rsidR="00154256" w:rsidRPr="007B5BE6">
        <w:rPr>
          <w:rFonts w:eastAsia="Times" w:cs="Times New Roman"/>
          <w:szCs w:val="20"/>
        </w:rPr>
        <w:t xml:space="preserve"> </w:t>
      </w:r>
      <w:r w:rsidR="00EA4F68" w:rsidRPr="007B5BE6">
        <w:rPr>
          <w:rFonts w:eastAsia="Times" w:cs="Times New Roman"/>
          <w:szCs w:val="20"/>
        </w:rPr>
        <w:t xml:space="preserve">adults who have </w:t>
      </w:r>
      <w:r w:rsidRPr="007B5BE6">
        <w:rPr>
          <w:rFonts w:eastAsia="Times" w:cs="Times New Roman"/>
          <w:szCs w:val="20"/>
        </w:rPr>
        <w:t xml:space="preserve">impaired decision-making </w:t>
      </w:r>
      <w:r w:rsidR="00793B89" w:rsidRPr="007B5BE6">
        <w:rPr>
          <w:rFonts w:eastAsia="Times" w:cs="Times New Roman"/>
          <w:szCs w:val="20"/>
        </w:rPr>
        <w:t>ability</w:t>
      </w:r>
      <w:r w:rsidRPr="007B5BE6">
        <w:rPr>
          <w:rFonts w:eastAsia="Times" w:cs="Times New Roman"/>
          <w:szCs w:val="20"/>
        </w:rPr>
        <w:t>,</w:t>
      </w:r>
      <w:r w:rsidR="00EA4F68" w:rsidRPr="007B5BE6">
        <w:rPr>
          <w:rFonts w:eastAsia="Times" w:cs="Times New Roman"/>
          <w:szCs w:val="20"/>
        </w:rPr>
        <w:t xml:space="preserve"> which </w:t>
      </w:r>
      <w:r w:rsidR="00DE3D17" w:rsidRPr="007B5BE6">
        <w:rPr>
          <w:rFonts w:eastAsia="Times" w:cs="Times New Roman"/>
          <w:szCs w:val="20"/>
        </w:rPr>
        <w:t xml:space="preserve">only includes </w:t>
      </w:r>
      <w:r w:rsidR="00DE3D17" w:rsidRPr="007B5BE6">
        <w:rPr>
          <w:rFonts w:eastAsia="Times" w:cs="Times New Roman"/>
          <w:i/>
          <w:iCs/>
          <w:szCs w:val="20"/>
        </w:rPr>
        <w:t>some</w:t>
      </w:r>
      <w:r w:rsidR="00DE3D17" w:rsidRPr="007B5BE6">
        <w:rPr>
          <w:rFonts w:eastAsia="Times" w:cs="Times New Roman"/>
          <w:szCs w:val="20"/>
        </w:rPr>
        <w:t xml:space="preserve"> older people. </w:t>
      </w:r>
      <w:r w:rsidRPr="007B5BE6" w:rsidDel="00EA4F68">
        <w:rPr>
          <w:rFonts w:eastAsia="Times" w:cs="Times New Roman"/>
          <w:szCs w:val="20"/>
        </w:rPr>
        <w:t xml:space="preserve"> </w:t>
      </w:r>
    </w:p>
    <w:p w14:paraId="307C0767" w14:textId="1E933B1F" w:rsidR="00CF282D" w:rsidRPr="007B5BE6" w:rsidRDefault="00CF282D" w:rsidP="00BB7987">
      <w:pPr>
        <w:spacing w:before="240" w:after="240"/>
        <w:rPr>
          <w:rFonts w:eastAsia="Aptos" w:cs="Arial"/>
          <w:b/>
          <w:bCs/>
        </w:rPr>
      </w:pPr>
      <w:r w:rsidRPr="007B5BE6">
        <w:rPr>
          <w:rFonts w:eastAsia="Aptos" w:cs="Arial"/>
          <w:b/>
          <w:bCs/>
        </w:rPr>
        <w:t xml:space="preserve">Table </w:t>
      </w:r>
      <w:r w:rsidR="00EF443A" w:rsidRPr="007B5BE6">
        <w:rPr>
          <w:rFonts w:eastAsia="Aptos" w:cs="Arial"/>
          <w:b/>
          <w:bCs/>
        </w:rPr>
        <w:t>4.4</w:t>
      </w:r>
      <w:r w:rsidRPr="007B5BE6">
        <w:rPr>
          <w:rFonts w:eastAsia="Aptos" w:cs="Arial"/>
          <w:b/>
          <w:bCs/>
        </w:rPr>
        <w:t>: Overview of safeguarding approaches of focus</w:t>
      </w:r>
      <w:r w:rsidR="00EF443A" w:rsidRPr="007B5BE6">
        <w:rPr>
          <w:rFonts w:eastAsia="Aptos" w:cs="Arial"/>
          <w:b/>
          <w:bCs/>
        </w:rPr>
        <w:t>:</w:t>
      </w:r>
      <w:r w:rsidRPr="007B5BE6">
        <w:rPr>
          <w:rFonts w:eastAsia="Aptos" w:cs="Arial"/>
          <w:b/>
          <w:bCs/>
        </w:rPr>
        <w:t xml:space="preserve"> South Australia, New South Wales and Australian Capital Territory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1"/>
        <w:gridCol w:w="1557"/>
        <w:gridCol w:w="1372"/>
        <w:gridCol w:w="2039"/>
        <w:gridCol w:w="2647"/>
      </w:tblGrid>
      <w:tr w:rsidR="00CF282D" w:rsidRPr="007B5BE6" w14:paraId="56B2A98B" w14:textId="77777777" w:rsidTr="00FF3326">
        <w:trPr>
          <w:tblHeader/>
        </w:trPr>
        <w:tc>
          <w:tcPr>
            <w:tcW w:w="1411" w:type="dxa"/>
            <w:tcBorders>
              <w:top w:val="single" w:sz="8" w:space="0" w:color="auto"/>
              <w:bottom w:val="single" w:sz="8" w:space="0" w:color="auto"/>
              <w:right w:val="nil"/>
            </w:tcBorders>
            <w:shd w:val="clear" w:color="auto" w:fill="FFFFFF" w:themeFill="background1"/>
          </w:tcPr>
          <w:p w14:paraId="2134CDBE" w14:textId="77777777" w:rsidR="00CF282D" w:rsidRPr="007B5BE6" w:rsidRDefault="00CF282D" w:rsidP="00E37E26">
            <w:pPr>
              <w:jc w:val="left"/>
              <w:rPr>
                <w:rFonts w:eastAsia="Aptos" w:cs="Arial"/>
                <w:b/>
                <w:bCs/>
                <w:sz w:val="20"/>
                <w:szCs w:val="20"/>
              </w:rPr>
            </w:pPr>
            <w:r w:rsidRPr="007B5BE6">
              <w:rPr>
                <w:rFonts w:eastAsia="Aptos" w:cs="Arial"/>
                <w:b/>
                <w:bCs/>
                <w:sz w:val="20"/>
                <w:szCs w:val="20"/>
              </w:rPr>
              <w:t>Jurisdiction</w:t>
            </w:r>
          </w:p>
        </w:tc>
        <w:tc>
          <w:tcPr>
            <w:tcW w:w="1557" w:type="dxa"/>
            <w:tcBorders>
              <w:top w:val="single" w:sz="8" w:space="0" w:color="auto"/>
              <w:left w:val="nil"/>
              <w:bottom w:val="single" w:sz="8" w:space="0" w:color="auto"/>
              <w:right w:val="nil"/>
            </w:tcBorders>
            <w:shd w:val="clear" w:color="auto" w:fill="FFFFFF" w:themeFill="background1"/>
          </w:tcPr>
          <w:p w14:paraId="01C5A4E7" w14:textId="77777777" w:rsidR="00CF282D" w:rsidRPr="007B5BE6" w:rsidRDefault="00CF282D" w:rsidP="00E37E26">
            <w:pPr>
              <w:jc w:val="left"/>
              <w:rPr>
                <w:rFonts w:eastAsia="Aptos" w:cs="Arial"/>
                <w:b/>
                <w:bCs/>
                <w:sz w:val="20"/>
                <w:szCs w:val="20"/>
              </w:rPr>
            </w:pPr>
            <w:r w:rsidRPr="007B5BE6">
              <w:rPr>
                <w:rFonts w:eastAsia="Aptos" w:cs="Arial"/>
                <w:b/>
                <w:bCs/>
                <w:sz w:val="20"/>
                <w:szCs w:val="20"/>
              </w:rPr>
              <w:t>Entity</w:t>
            </w:r>
          </w:p>
        </w:tc>
        <w:tc>
          <w:tcPr>
            <w:tcW w:w="1372" w:type="dxa"/>
            <w:tcBorders>
              <w:top w:val="single" w:sz="8" w:space="0" w:color="auto"/>
              <w:left w:val="nil"/>
              <w:bottom w:val="single" w:sz="8" w:space="0" w:color="auto"/>
              <w:right w:val="nil"/>
            </w:tcBorders>
            <w:shd w:val="clear" w:color="auto" w:fill="FFFFFF" w:themeFill="background1"/>
          </w:tcPr>
          <w:p w14:paraId="1653F236" w14:textId="77777777" w:rsidR="00CF282D" w:rsidRPr="007B5BE6" w:rsidRDefault="00CF282D" w:rsidP="00E37E26">
            <w:pPr>
              <w:jc w:val="left"/>
              <w:rPr>
                <w:rFonts w:eastAsia="Aptos" w:cs="Arial"/>
                <w:b/>
                <w:bCs/>
                <w:sz w:val="20"/>
                <w:szCs w:val="20"/>
              </w:rPr>
            </w:pPr>
            <w:r w:rsidRPr="007B5BE6">
              <w:rPr>
                <w:rFonts w:eastAsia="Aptos" w:cs="Arial"/>
                <w:b/>
                <w:bCs/>
                <w:sz w:val="20"/>
                <w:szCs w:val="20"/>
              </w:rPr>
              <w:t>Legislation</w:t>
            </w:r>
          </w:p>
        </w:tc>
        <w:tc>
          <w:tcPr>
            <w:tcW w:w="2039" w:type="dxa"/>
            <w:tcBorders>
              <w:top w:val="single" w:sz="8" w:space="0" w:color="auto"/>
              <w:left w:val="nil"/>
              <w:bottom w:val="single" w:sz="8" w:space="0" w:color="auto"/>
              <w:right w:val="nil"/>
            </w:tcBorders>
            <w:shd w:val="clear" w:color="auto" w:fill="FFFFFF" w:themeFill="background1"/>
          </w:tcPr>
          <w:p w14:paraId="2D7FAF41" w14:textId="77777777" w:rsidR="00CF282D" w:rsidRPr="007B5BE6" w:rsidRDefault="00CF282D" w:rsidP="00E37E26">
            <w:pPr>
              <w:jc w:val="left"/>
              <w:rPr>
                <w:rFonts w:eastAsia="Aptos" w:cs="Arial"/>
                <w:b/>
                <w:bCs/>
                <w:sz w:val="20"/>
                <w:szCs w:val="20"/>
              </w:rPr>
            </w:pPr>
            <w:r w:rsidRPr="007B5BE6">
              <w:rPr>
                <w:rFonts w:eastAsia="Aptos" w:cs="Arial"/>
                <w:b/>
                <w:bCs/>
                <w:sz w:val="20"/>
                <w:szCs w:val="20"/>
              </w:rPr>
              <w:t xml:space="preserve">Who is protected </w:t>
            </w:r>
          </w:p>
        </w:tc>
        <w:tc>
          <w:tcPr>
            <w:tcW w:w="2647" w:type="dxa"/>
            <w:tcBorders>
              <w:top w:val="single" w:sz="8" w:space="0" w:color="auto"/>
              <w:left w:val="nil"/>
              <w:bottom w:val="single" w:sz="8" w:space="0" w:color="auto"/>
            </w:tcBorders>
            <w:shd w:val="clear" w:color="auto" w:fill="FFFFFF" w:themeFill="background1"/>
          </w:tcPr>
          <w:p w14:paraId="16730C7C" w14:textId="77777777" w:rsidR="00CF282D" w:rsidRPr="007B5BE6" w:rsidRDefault="00CF282D" w:rsidP="00E37E26">
            <w:pPr>
              <w:jc w:val="left"/>
              <w:rPr>
                <w:rFonts w:eastAsia="Aptos" w:cs="Arial"/>
                <w:b/>
                <w:bCs/>
                <w:sz w:val="20"/>
                <w:szCs w:val="20"/>
              </w:rPr>
            </w:pPr>
            <w:r w:rsidRPr="007B5BE6">
              <w:rPr>
                <w:rFonts w:eastAsia="Aptos" w:cs="Arial"/>
                <w:b/>
                <w:bCs/>
                <w:sz w:val="20"/>
                <w:szCs w:val="20"/>
              </w:rPr>
              <w:t xml:space="preserve">Abuse </w:t>
            </w:r>
          </w:p>
        </w:tc>
      </w:tr>
      <w:tr w:rsidR="00CF282D" w:rsidRPr="007B5BE6" w14:paraId="0BD32E1A" w14:textId="77777777" w:rsidTr="00FF3326">
        <w:tc>
          <w:tcPr>
            <w:tcW w:w="1411" w:type="dxa"/>
            <w:tcBorders>
              <w:top w:val="single" w:sz="8" w:space="0" w:color="auto"/>
              <w:right w:val="nil"/>
            </w:tcBorders>
          </w:tcPr>
          <w:p w14:paraId="1F1F11B0" w14:textId="6E5E85E6" w:rsidR="00CF282D" w:rsidRPr="007B5BE6" w:rsidRDefault="00CF282D" w:rsidP="0004503A">
            <w:pPr>
              <w:jc w:val="left"/>
              <w:rPr>
                <w:rFonts w:eastAsia="Aptos" w:cs="Arial"/>
                <w:sz w:val="20"/>
                <w:szCs w:val="20"/>
              </w:rPr>
            </w:pPr>
            <w:r w:rsidRPr="007B5BE6">
              <w:rPr>
                <w:rFonts w:eastAsia="Aptos" w:cs="Arial"/>
                <w:sz w:val="20"/>
                <w:szCs w:val="20"/>
              </w:rPr>
              <w:t>South Australia</w:t>
            </w:r>
            <w:r w:rsidR="00CC04DA" w:rsidRPr="007B5BE6">
              <w:rPr>
                <w:rFonts w:eastAsia="Aptos" w:cs="Arial"/>
                <w:sz w:val="20"/>
                <w:szCs w:val="20"/>
              </w:rPr>
              <w:t xml:space="preserve"> (‘SA’)</w:t>
            </w:r>
            <w:r w:rsidRPr="007B5BE6">
              <w:rPr>
                <w:rFonts w:eastAsia="Aptos" w:cs="Arial"/>
                <w:sz w:val="20"/>
                <w:szCs w:val="20"/>
              </w:rPr>
              <w:t xml:space="preserve"> </w:t>
            </w:r>
          </w:p>
        </w:tc>
        <w:tc>
          <w:tcPr>
            <w:tcW w:w="1557" w:type="dxa"/>
            <w:tcBorders>
              <w:top w:val="single" w:sz="8" w:space="0" w:color="auto"/>
              <w:left w:val="nil"/>
              <w:right w:val="nil"/>
            </w:tcBorders>
          </w:tcPr>
          <w:p w14:paraId="05F65EC3"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Adult Safeguarding Unit </w:t>
            </w:r>
          </w:p>
        </w:tc>
        <w:tc>
          <w:tcPr>
            <w:tcW w:w="1372" w:type="dxa"/>
            <w:tcBorders>
              <w:top w:val="single" w:sz="8" w:space="0" w:color="auto"/>
              <w:left w:val="nil"/>
              <w:right w:val="nil"/>
            </w:tcBorders>
          </w:tcPr>
          <w:p w14:paraId="579E1FCD" w14:textId="77777777" w:rsidR="00CF282D" w:rsidRPr="007B5BE6" w:rsidRDefault="00CF282D" w:rsidP="0004503A">
            <w:pPr>
              <w:jc w:val="left"/>
              <w:rPr>
                <w:rFonts w:eastAsia="Aptos" w:cs="Arial"/>
                <w:sz w:val="20"/>
                <w:szCs w:val="20"/>
              </w:rPr>
            </w:pPr>
            <w:r w:rsidRPr="007B5BE6">
              <w:rPr>
                <w:rFonts w:eastAsia="Aptos" w:cs="Arial"/>
                <w:i/>
                <w:iCs/>
                <w:sz w:val="20"/>
                <w:szCs w:val="20"/>
              </w:rPr>
              <w:t>Ageing and Adult Safeguarding Act 1995</w:t>
            </w:r>
            <w:r w:rsidRPr="007B5BE6">
              <w:rPr>
                <w:rFonts w:eastAsia="Aptos" w:cs="Arial"/>
                <w:sz w:val="20"/>
                <w:szCs w:val="20"/>
              </w:rPr>
              <w:t xml:space="preserve"> (SA)</w:t>
            </w:r>
          </w:p>
        </w:tc>
        <w:tc>
          <w:tcPr>
            <w:tcW w:w="2039" w:type="dxa"/>
            <w:tcBorders>
              <w:top w:val="single" w:sz="8" w:space="0" w:color="auto"/>
              <w:left w:val="nil"/>
              <w:right w:val="nil"/>
            </w:tcBorders>
          </w:tcPr>
          <w:p w14:paraId="6836E7D1" w14:textId="114FC950" w:rsidR="00CF282D" w:rsidRPr="007B5BE6" w:rsidRDefault="00CF282D" w:rsidP="0004503A">
            <w:pPr>
              <w:jc w:val="left"/>
              <w:rPr>
                <w:rFonts w:eastAsia="Aptos" w:cs="Arial"/>
                <w:sz w:val="20"/>
                <w:szCs w:val="20"/>
              </w:rPr>
            </w:pPr>
            <w:r w:rsidRPr="007B5BE6">
              <w:rPr>
                <w:rFonts w:eastAsia="Aptos" w:cs="Arial"/>
                <w:sz w:val="20"/>
                <w:szCs w:val="20"/>
              </w:rPr>
              <w:t>‘Vulnerable adults’ defined as ‘an adult person who, by reason of age, ill health, disability, social isolation, dependence on others or other disadvantage, is vulnerable to abuse’</w:t>
            </w:r>
          </w:p>
        </w:tc>
        <w:tc>
          <w:tcPr>
            <w:tcW w:w="2647" w:type="dxa"/>
            <w:tcBorders>
              <w:top w:val="single" w:sz="8" w:space="0" w:color="auto"/>
              <w:left w:val="nil"/>
            </w:tcBorders>
          </w:tcPr>
          <w:p w14:paraId="1D682FCB" w14:textId="77777777" w:rsidR="00CF282D" w:rsidRPr="007B5BE6" w:rsidRDefault="00CF282D" w:rsidP="0004503A">
            <w:pPr>
              <w:jc w:val="left"/>
              <w:rPr>
                <w:rFonts w:eastAsia="Aptos" w:cs="Arial"/>
                <w:sz w:val="20"/>
                <w:szCs w:val="20"/>
              </w:rPr>
            </w:pPr>
            <w:r w:rsidRPr="007B5BE6">
              <w:rPr>
                <w:rFonts w:eastAsia="Aptos" w:cs="Arial"/>
                <w:sz w:val="20"/>
                <w:szCs w:val="20"/>
              </w:rPr>
              <w:t>Physical, sexual, emotional abuse</w:t>
            </w:r>
          </w:p>
          <w:p w14:paraId="40FE43AE"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Financial abuse or exploitation </w:t>
            </w:r>
          </w:p>
          <w:p w14:paraId="7577483E" w14:textId="77777777" w:rsidR="00CF282D" w:rsidRPr="007B5BE6" w:rsidRDefault="00CF282D" w:rsidP="0004503A">
            <w:pPr>
              <w:jc w:val="left"/>
              <w:rPr>
                <w:rFonts w:eastAsia="Aptos" w:cs="Arial"/>
                <w:sz w:val="20"/>
                <w:szCs w:val="20"/>
              </w:rPr>
            </w:pPr>
            <w:r w:rsidRPr="007B5BE6">
              <w:rPr>
                <w:rFonts w:eastAsia="Aptos" w:cs="Arial"/>
                <w:sz w:val="20"/>
                <w:szCs w:val="20"/>
              </w:rPr>
              <w:t>Neglect</w:t>
            </w:r>
          </w:p>
          <w:p w14:paraId="7C1B7126" w14:textId="042DD17D" w:rsidR="00CF282D" w:rsidRPr="007B5BE6" w:rsidRDefault="00CF282D" w:rsidP="0004503A">
            <w:pPr>
              <w:jc w:val="left"/>
              <w:rPr>
                <w:rFonts w:eastAsia="Aptos" w:cs="Arial"/>
                <w:sz w:val="20"/>
                <w:szCs w:val="20"/>
              </w:rPr>
            </w:pPr>
            <w:r w:rsidRPr="007B5BE6">
              <w:rPr>
                <w:rFonts w:eastAsia="Aptos" w:cs="Arial"/>
                <w:sz w:val="20"/>
                <w:szCs w:val="20"/>
              </w:rPr>
              <w:t xml:space="preserve">Abuse, exploitation or neglect consisting of </w:t>
            </w:r>
            <w:r w:rsidR="00977C8F" w:rsidRPr="007B5BE6">
              <w:rPr>
                <w:rFonts w:eastAsia="Aptos" w:cs="Arial"/>
                <w:sz w:val="20"/>
                <w:szCs w:val="20"/>
              </w:rPr>
              <w:t xml:space="preserve">an </w:t>
            </w:r>
            <w:r w:rsidRPr="007B5BE6">
              <w:rPr>
                <w:rFonts w:eastAsia="Aptos" w:cs="Arial"/>
                <w:sz w:val="20"/>
                <w:szCs w:val="20"/>
              </w:rPr>
              <w:t xml:space="preserve">omission to act where duty of care </w:t>
            </w:r>
            <w:r w:rsidR="00977C8F" w:rsidRPr="007B5BE6">
              <w:rPr>
                <w:rFonts w:eastAsia="Aptos" w:cs="Arial"/>
                <w:sz w:val="20"/>
                <w:szCs w:val="20"/>
              </w:rPr>
              <w:t xml:space="preserve">is </w:t>
            </w:r>
            <w:r w:rsidRPr="007B5BE6">
              <w:rPr>
                <w:rFonts w:eastAsia="Aptos" w:cs="Arial"/>
                <w:sz w:val="20"/>
                <w:szCs w:val="20"/>
              </w:rPr>
              <w:t>owed</w:t>
            </w:r>
          </w:p>
          <w:p w14:paraId="43D0BE1C" w14:textId="77777777" w:rsidR="00CF282D" w:rsidRPr="007B5BE6" w:rsidRDefault="00CF282D" w:rsidP="0004503A">
            <w:pPr>
              <w:jc w:val="left"/>
              <w:rPr>
                <w:rFonts w:eastAsia="Aptos" w:cs="Arial"/>
                <w:sz w:val="20"/>
                <w:szCs w:val="20"/>
              </w:rPr>
            </w:pPr>
            <w:r w:rsidRPr="007B5BE6">
              <w:rPr>
                <w:rFonts w:eastAsia="Aptos" w:cs="Arial"/>
                <w:sz w:val="20"/>
                <w:szCs w:val="20"/>
              </w:rPr>
              <w:t>Abuse or exploitation of a position of trust or authority</w:t>
            </w:r>
          </w:p>
          <w:p w14:paraId="3A1A0307" w14:textId="77777777" w:rsidR="00CF282D" w:rsidRPr="007B5BE6" w:rsidRDefault="00CF282D" w:rsidP="0004503A">
            <w:pPr>
              <w:jc w:val="left"/>
              <w:rPr>
                <w:rFonts w:eastAsia="Aptos" w:cs="Arial"/>
                <w:sz w:val="20"/>
                <w:szCs w:val="20"/>
              </w:rPr>
            </w:pPr>
            <w:r w:rsidRPr="007B5BE6">
              <w:rPr>
                <w:rFonts w:eastAsia="Aptos" w:cs="Arial"/>
                <w:sz w:val="20"/>
                <w:szCs w:val="20"/>
              </w:rPr>
              <w:t>Denial, without reasonable excuse, of basic rights</w:t>
            </w:r>
          </w:p>
          <w:p w14:paraId="12F2E8A1" w14:textId="3CEACC9E" w:rsidR="00CF282D" w:rsidRPr="007B5BE6" w:rsidRDefault="00CF282D" w:rsidP="0004503A">
            <w:pPr>
              <w:jc w:val="left"/>
              <w:rPr>
                <w:rFonts w:eastAsia="Aptos" w:cs="Arial"/>
                <w:sz w:val="20"/>
                <w:szCs w:val="20"/>
              </w:rPr>
            </w:pPr>
            <w:r w:rsidRPr="007B5BE6">
              <w:rPr>
                <w:rFonts w:eastAsia="Aptos" w:cs="Arial"/>
                <w:sz w:val="20"/>
                <w:szCs w:val="20"/>
              </w:rPr>
              <w:t>Any other act or omission of a kind declared by regulations to be included</w:t>
            </w:r>
          </w:p>
        </w:tc>
      </w:tr>
      <w:tr w:rsidR="00CF282D" w:rsidRPr="007B5BE6" w14:paraId="7734290F" w14:textId="77777777" w:rsidTr="00FF3326">
        <w:tc>
          <w:tcPr>
            <w:tcW w:w="1411" w:type="dxa"/>
            <w:tcBorders>
              <w:right w:val="nil"/>
            </w:tcBorders>
          </w:tcPr>
          <w:p w14:paraId="3F9C451B" w14:textId="474D3321" w:rsidR="00CF282D" w:rsidRPr="007B5BE6" w:rsidRDefault="00CF282D" w:rsidP="0004503A">
            <w:pPr>
              <w:jc w:val="left"/>
              <w:rPr>
                <w:rFonts w:eastAsia="Aptos" w:cs="Arial"/>
                <w:sz w:val="20"/>
                <w:szCs w:val="20"/>
              </w:rPr>
            </w:pPr>
            <w:r w:rsidRPr="007B5BE6">
              <w:rPr>
                <w:rFonts w:eastAsia="Aptos" w:cs="Arial"/>
                <w:sz w:val="20"/>
                <w:szCs w:val="20"/>
              </w:rPr>
              <w:t xml:space="preserve">New South Wales </w:t>
            </w:r>
            <w:r w:rsidR="00CC04DA" w:rsidRPr="007B5BE6">
              <w:rPr>
                <w:rFonts w:eastAsia="Aptos" w:cs="Arial"/>
                <w:sz w:val="20"/>
                <w:szCs w:val="20"/>
              </w:rPr>
              <w:t>(‘NSW’)</w:t>
            </w:r>
          </w:p>
        </w:tc>
        <w:tc>
          <w:tcPr>
            <w:tcW w:w="1557" w:type="dxa"/>
            <w:tcBorders>
              <w:left w:val="nil"/>
              <w:right w:val="nil"/>
            </w:tcBorders>
          </w:tcPr>
          <w:p w14:paraId="6913F659" w14:textId="77777777" w:rsidR="00CF282D" w:rsidRPr="007B5BE6" w:rsidRDefault="00CF282D" w:rsidP="0004503A">
            <w:pPr>
              <w:jc w:val="left"/>
              <w:rPr>
                <w:rFonts w:eastAsia="Aptos" w:cs="Arial"/>
                <w:sz w:val="20"/>
                <w:szCs w:val="20"/>
              </w:rPr>
            </w:pPr>
            <w:r w:rsidRPr="007B5BE6">
              <w:rPr>
                <w:rFonts w:eastAsia="Aptos" w:cs="Arial"/>
                <w:sz w:val="20"/>
                <w:szCs w:val="20"/>
              </w:rPr>
              <w:t>Ageing and Disability Commissioner</w:t>
            </w:r>
          </w:p>
        </w:tc>
        <w:tc>
          <w:tcPr>
            <w:tcW w:w="1372" w:type="dxa"/>
            <w:tcBorders>
              <w:left w:val="nil"/>
              <w:right w:val="nil"/>
            </w:tcBorders>
          </w:tcPr>
          <w:p w14:paraId="3DDE907F" w14:textId="77777777" w:rsidR="00CF282D" w:rsidRPr="007B5BE6" w:rsidRDefault="00CF282D" w:rsidP="0004503A">
            <w:pPr>
              <w:jc w:val="left"/>
              <w:rPr>
                <w:rFonts w:eastAsia="Aptos" w:cs="Arial"/>
                <w:sz w:val="20"/>
                <w:szCs w:val="20"/>
              </w:rPr>
            </w:pPr>
            <w:r w:rsidRPr="007B5BE6">
              <w:rPr>
                <w:rFonts w:eastAsia="Aptos" w:cs="Arial"/>
                <w:i/>
                <w:iCs/>
                <w:sz w:val="20"/>
                <w:szCs w:val="20"/>
              </w:rPr>
              <w:t>Ageing and Disability Commissioner Act 2019</w:t>
            </w:r>
            <w:r w:rsidRPr="007B5BE6">
              <w:rPr>
                <w:rFonts w:eastAsia="Aptos" w:cs="Arial"/>
                <w:sz w:val="20"/>
                <w:szCs w:val="20"/>
              </w:rPr>
              <w:t xml:space="preserve"> (NSW)</w:t>
            </w:r>
          </w:p>
        </w:tc>
        <w:tc>
          <w:tcPr>
            <w:tcW w:w="2039" w:type="dxa"/>
            <w:tcBorders>
              <w:left w:val="nil"/>
              <w:right w:val="nil"/>
            </w:tcBorders>
          </w:tcPr>
          <w:p w14:paraId="1E5A1BA6"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Adults with disability </w:t>
            </w:r>
          </w:p>
          <w:p w14:paraId="01E37C09"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Older adults (Aboriginal and Torres Strait Islander people aged 50 years or more and all other </w:t>
            </w:r>
            <w:r w:rsidRPr="007B5BE6">
              <w:rPr>
                <w:rFonts w:eastAsia="Aptos" w:cs="Arial"/>
                <w:sz w:val="20"/>
                <w:szCs w:val="20"/>
              </w:rPr>
              <w:lastRenderedPageBreak/>
              <w:t>people aged 65 years or more)</w:t>
            </w:r>
          </w:p>
        </w:tc>
        <w:tc>
          <w:tcPr>
            <w:tcW w:w="2647" w:type="dxa"/>
            <w:tcBorders>
              <w:left w:val="nil"/>
            </w:tcBorders>
          </w:tcPr>
          <w:p w14:paraId="0F1A18C0" w14:textId="2552FE62" w:rsidR="00CF282D" w:rsidRPr="007B5BE6" w:rsidRDefault="00CF282D" w:rsidP="0004503A">
            <w:pPr>
              <w:jc w:val="left"/>
              <w:rPr>
                <w:rFonts w:eastAsia="Aptos" w:cs="Arial"/>
                <w:sz w:val="20"/>
                <w:szCs w:val="20"/>
              </w:rPr>
            </w:pPr>
            <w:r w:rsidRPr="007B5BE6">
              <w:rPr>
                <w:rFonts w:eastAsia="Aptos" w:cs="Arial"/>
                <w:sz w:val="20"/>
                <w:szCs w:val="20"/>
              </w:rPr>
              <w:lastRenderedPageBreak/>
              <w:t xml:space="preserve">Object </w:t>
            </w:r>
            <w:r w:rsidR="00546004" w:rsidRPr="007B5BE6">
              <w:rPr>
                <w:rFonts w:eastAsia="Aptos" w:cs="Arial"/>
                <w:sz w:val="20"/>
                <w:szCs w:val="20"/>
              </w:rPr>
              <w:t xml:space="preserve">of the Act </w:t>
            </w:r>
            <w:r w:rsidRPr="007B5BE6">
              <w:rPr>
                <w:rFonts w:eastAsia="Aptos" w:cs="Arial"/>
                <w:sz w:val="20"/>
                <w:szCs w:val="20"/>
              </w:rPr>
              <w:t>is protection from abuse, neglect or exploitation (not legislatively defined)</w:t>
            </w:r>
          </w:p>
        </w:tc>
      </w:tr>
      <w:tr w:rsidR="00CF282D" w:rsidRPr="007B5BE6" w14:paraId="2DCF9204" w14:textId="77777777" w:rsidTr="00FF3326">
        <w:tc>
          <w:tcPr>
            <w:tcW w:w="1411" w:type="dxa"/>
            <w:vMerge w:val="restart"/>
            <w:tcBorders>
              <w:right w:val="nil"/>
            </w:tcBorders>
          </w:tcPr>
          <w:p w14:paraId="5D97139B"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Australian Capital Territory </w:t>
            </w:r>
            <w:r w:rsidR="00CC04DA" w:rsidRPr="007B5BE6">
              <w:rPr>
                <w:rFonts w:eastAsia="Aptos" w:cs="Arial"/>
                <w:sz w:val="20"/>
                <w:szCs w:val="20"/>
              </w:rPr>
              <w:t>(‘ACT’)</w:t>
            </w:r>
          </w:p>
          <w:p w14:paraId="08653D75" w14:textId="77777777" w:rsidR="00B54677" w:rsidRPr="007B5BE6" w:rsidRDefault="00B54677" w:rsidP="0004503A">
            <w:pPr>
              <w:jc w:val="left"/>
              <w:rPr>
                <w:rFonts w:eastAsia="Aptos" w:cs="Arial"/>
                <w:sz w:val="20"/>
                <w:szCs w:val="20"/>
              </w:rPr>
            </w:pPr>
          </w:p>
          <w:p w14:paraId="4A25467A" w14:textId="77777777" w:rsidR="00B54677" w:rsidRPr="007B5BE6" w:rsidRDefault="00B54677" w:rsidP="0004503A">
            <w:pPr>
              <w:jc w:val="left"/>
              <w:rPr>
                <w:rFonts w:eastAsia="Aptos" w:cs="Arial"/>
                <w:sz w:val="20"/>
                <w:szCs w:val="20"/>
              </w:rPr>
            </w:pPr>
          </w:p>
          <w:p w14:paraId="0A5A86D4" w14:textId="77777777" w:rsidR="00B54677" w:rsidRPr="007B5BE6" w:rsidRDefault="00B54677" w:rsidP="0004503A">
            <w:pPr>
              <w:jc w:val="left"/>
              <w:rPr>
                <w:rFonts w:eastAsia="Aptos" w:cs="Arial"/>
                <w:sz w:val="20"/>
                <w:szCs w:val="20"/>
              </w:rPr>
            </w:pPr>
          </w:p>
          <w:p w14:paraId="05437400" w14:textId="77777777" w:rsidR="00B54677" w:rsidRPr="007B5BE6" w:rsidRDefault="00B54677" w:rsidP="0004503A">
            <w:pPr>
              <w:jc w:val="left"/>
              <w:rPr>
                <w:rFonts w:eastAsia="Aptos" w:cs="Arial"/>
                <w:sz w:val="20"/>
                <w:szCs w:val="20"/>
              </w:rPr>
            </w:pPr>
          </w:p>
          <w:p w14:paraId="4ADA0126" w14:textId="77777777" w:rsidR="00B54677" w:rsidRPr="007B5BE6" w:rsidRDefault="00B54677" w:rsidP="0004503A">
            <w:pPr>
              <w:jc w:val="left"/>
              <w:rPr>
                <w:rFonts w:eastAsia="Aptos" w:cs="Arial"/>
                <w:sz w:val="20"/>
                <w:szCs w:val="20"/>
              </w:rPr>
            </w:pPr>
          </w:p>
          <w:p w14:paraId="28EA4DED" w14:textId="77777777" w:rsidR="00B54677" w:rsidRPr="007B5BE6" w:rsidRDefault="00B54677" w:rsidP="0004503A">
            <w:pPr>
              <w:jc w:val="left"/>
              <w:rPr>
                <w:rFonts w:eastAsia="Aptos" w:cs="Arial"/>
                <w:sz w:val="20"/>
                <w:szCs w:val="20"/>
              </w:rPr>
            </w:pPr>
          </w:p>
          <w:p w14:paraId="332177BF" w14:textId="77777777" w:rsidR="00B54677" w:rsidRPr="007B5BE6" w:rsidRDefault="00B54677" w:rsidP="0004503A">
            <w:pPr>
              <w:jc w:val="left"/>
              <w:rPr>
                <w:rFonts w:eastAsia="Aptos" w:cs="Arial"/>
                <w:sz w:val="20"/>
                <w:szCs w:val="20"/>
              </w:rPr>
            </w:pPr>
          </w:p>
          <w:p w14:paraId="271814D8" w14:textId="774E12C6" w:rsidR="00B54677" w:rsidRPr="007B5BE6" w:rsidRDefault="00B54677" w:rsidP="0004503A">
            <w:pPr>
              <w:jc w:val="left"/>
              <w:rPr>
                <w:rFonts w:eastAsia="Aptos" w:cs="Arial"/>
                <w:sz w:val="20"/>
                <w:szCs w:val="20"/>
              </w:rPr>
            </w:pPr>
          </w:p>
        </w:tc>
        <w:tc>
          <w:tcPr>
            <w:tcW w:w="1557" w:type="dxa"/>
            <w:tcBorders>
              <w:left w:val="nil"/>
              <w:right w:val="nil"/>
            </w:tcBorders>
          </w:tcPr>
          <w:p w14:paraId="61E467A0" w14:textId="2E58D257" w:rsidR="00CF282D" w:rsidRPr="007B5BE6" w:rsidRDefault="00CF282D" w:rsidP="0004503A">
            <w:pPr>
              <w:jc w:val="left"/>
              <w:rPr>
                <w:rFonts w:eastAsia="Aptos" w:cs="Arial"/>
                <w:sz w:val="20"/>
                <w:szCs w:val="20"/>
              </w:rPr>
            </w:pPr>
            <w:r w:rsidRPr="007B5BE6">
              <w:rPr>
                <w:rFonts w:eastAsia="Aptos" w:cs="Arial"/>
                <w:sz w:val="20"/>
                <w:szCs w:val="20"/>
              </w:rPr>
              <w:t>ACT Human Rights Commission</w:t>
            </w:r>
            <w:r w:rsidR="00FF3326" w:rsidRPr="007B5BE6">
              <w:rPr>
                <w:rFonts w:eastAsia="Aptos" w:cs="Arial"/>
                <w:sz w:val="20"/>
                <w:szCs w:val="20"/>
              </w:rPr>
              <w:t xml:space="preserve">, which </w:t>
            </w:r>
            <w:r w:rsidRPr="007B5BE6">
              <w:rPr>
                <w:rFonts w:eastAsia="Aptos" w:cs="Arial"/>
                <w:sz w:val="20"/>
                <w:szCs w:val="20"/>
              </w:rPr>
              <w:t>includes various Commissioner roles (including Human Rights Commissioner)</w:t>
            </w:r>
            <w:r w:rsidR="00BB54FD" w:rsidRPr="007B5BE6">
              <w:rPr>
                <w:rFonts w:eastAsia="Aptos" w:cs="Arial"/>
                <w:sz w:val="20"/>
                <w:szCs w:val="20"/>
              </w:rPr>
              <w:t>,</w:t>
            </w:r>
            <w:r w:rsidRPr="007B5BE6">
              <w:rPr>
                <w:rFonts w:eastAsia="Aptos" w:cs="Arial"/>
                <w:sz w:val="20"/>
                <w:szCs w:val="20"/>
              </w:rPr>
              <w:t xml:space="preserve"> and Public Advocate role</w:t>
            </w:r>
          </w:p>
          <w:p w14:paraId="12685811" w14:textId="77777777" w:rsidR="00CF282D" w:rsidRPr="007B5BE6" w:rsidRDefault="00CF282D" w:rsidP="0004503A">
            <w:pPr>
              <w:jc w:val="left"/>
              <w:rPr>
                <w:rFonts w:eastAsia="Aptos" w:cs="Arial"/>
                <w:sz w:val="20"/>
                <w:szCs w:val="20"/>
              </w:rPr>
            </w:pPr>
          </w:p>
          <w:p w14:paraId="48075014" w14:textId="77777777" w:rsidR="00CF282D" w:rsidRPr="007B5BE6" w:rsidRDefault="00CF282D" w:rsidP="0004503A">
            <w:pPr>
              <w:jc w:val="left"/>
              <w:rPr>
                <w:rFonts w:eastAsia="Aptos" w:cs="Arial"/>
                <w:sz w:val="20"/>
                <w:szCs w:val="20"/>
              </w:rPr>
            </w:pPr>
          </w:p>
        </w:tc>
        <w:tc>
          <w:tcPr>
            <w:tcW w:w="1372" w:type="dxa"/>
            <w:tcBorders>
              <w:left w:val="nil"/>
              <w:right w:val="nil"/>
            </w:tcBorders>
          </w:tcPr>
          <w:p w14:paraId="5B97E92E" w14:textId="77777777" w:rsidR="00CF282D" w:rsidRPr="007B5BE6" w:rsidRDefault="00CF282D" w:rsidP="0004503A">
            <w:pPr>
              <w:jc w:val="left"/>
              <w:rPr>
                <w:rFonts w:eastAsia="Aptos" w:cs="Arial"/>
                <w:sz w:val="20"/>
                <w:szCs w:val="20"/>
              </w:rPr>
            </w:pPr>
            <w:r w:rsidRPr="007B5BE6">
              <w:rPr>
                <w:rFonts w:eastAsia="Aptos" w:cs="Arial"/>
                <w:i/>
                <w:iCs/>
                <w:sz w:val="20"/>
                <w:szCs w:val="20"/>
              </w:rPr>
              <w:t>Human Rights Commission Act 2005</w:t>
            </w:r>
            <w:r w:rsidRPr="007B5BE6">
              <w:rPr>
                <w:rFonts w:eastAsia="Aptos" w:cs="Arial"/>
                <w:sz w:val="20"/>
                <w:szCs w:val="20"/>
              </w:rPr>
              <w:t xml:space="preserve"> (ACT)</w:t>
            </w:r>
          </w:p>
          <w:p w14:paraId="6DD96259" w14:textId="77777777" w:rsidR="00CF282D" w:rsidRPr="007B5BE6" w:rsidRDefault="00CF282D" w:rsidP="0004503A">
            <w:pPr>
              <w:jc w:val="left"/>
              <w:rPr>
                <w:rFonts w:eastAsia="Aptos" w:cs="Arial"/>
                <w:sz w:val="20"/>
                <w:szCs w:val="20"/>
              </w:rPr>
            </w:pPr>
            <w:r w:rsidRPr="007B5BE6">
              <w:rPr>
                <w:rFonts w:eastAsia="Aptos" w:cs="Arial"/>
                <w:i/>
                <w:iCs/>
                <w:sz w:val="20"/>
                <w:szCs w:val="20"/>
              </w:rPr>
              <w:t>Human Rights Act 2004</w:t>
            </w:r>
            <w:r w:rsidRPr="007B5BE6">
              <w:rPr>
                <w:rFonts w:eastAsia="Aptos" w:cs="Arial"/>
                <w:sz w:val="20"/>
                <w:szCs w:val="20"/>
              </w:rPr>
              <w:t xml:space="preserve"> (ACT)</w:t>
            </w:r>
          </w:p>
          <w:p w14:paraId="479EEBF7" w14:textId="77777777" w:rsidR="00CF282D" w:rsidRPr="007B5BE6" w:rsidRDefault="00CF282D" w:rsidP="0004503A">
            <w:pPr>
              <w:jc w:val="left"/>
              <w:rPr>
                <w:rFonts w:eastAsia="Aptos" w:cs="Arial"/>
                <w:i/>
                <w:iCs/>
                <w:sz w:val="20"/>
                <w:szCs w:val="20"/>
              </w:rPr>
            </w:pPr>
          </w:p>
          <w:p w14:paraId="36CF317B" w14:textId="77777777" w:rsidR="00CF282D" w:rsidRPr="007B5BE6" w:rsidRDefault="00CF282D" w:rsidP="0004503A">
            <w:pPr>
              <w:jc w:val="left"/>
              <w:rPr>
                <w:rFonts w:eastAsia="Aptos" w:cs="Arial"/>
                <w:i/>
                <w:iCs/>
                <w:sz w:val="20"/>
                <w:szCs w:val="20"/>
              </w:rPr>
            </w:pPr>
          </w:p>
          <w:p w14:paraId="45AA11DA" w14:textId="77777777" w:rsidR="00CF282D" w:rsidRPr="007B5BE6" w:rsidRDefault="00CF282D" w:rsidP="0004503A">
            <w:pPr>
              <w:jc w:val="left"/>
              <w:rPr>
                <w:rFonts w:eastAsia="Aptos" w:cs="Arial"/>
                <w:sz w:val="20"/>
                <w:szCs w:val="20"/>
              </w:rPr>
            </w:pPr>
          </w:p>
        </w:tc>
        <w:tc>
          <w:tcPr>
            <w:tcW w:w="2039" w:type="dxa"/>
            <w:tcBorders>
              <w:left w:val="nil"/>
              <w:right w:val="nil"/>
            </w:tcBorders>
          </w:tcPr>
          <w:p w14:paraId="287BADB1" w14:textId="16B898FA" w:rsidR="00CF282D" w:rsidRPr="007B5BE6" w:rsidRDefault="00CF282D" w:rsidP="0004503A">
            <w:pPr>
              <w:jc w:val="left"/>
              <w:rPr>
                <w:rFonts w:eastAsia="Aptos" w:cs="Arial"/>
                <w:sz w:val="20"/>
                <w:szCs w:val="20"/>
              </w:rPr>
            </w:pPr>
            <w:r w:rsidRPr="007B5BE6">
              <w:rPr>
                <w:rFonts w:eastAsia="Aptos" w:cs="Arial"/>
                <w:sz w:val="20"/>
                <w:szCs w:val="20"/>
              </w:rPr>
              <w:t xml:space="preserve">Various, including: ‘vulnerable person’: an adult who has a disability or an adult who is at least 60 years old and has a disorder, illness or disease that affects thought processes, perception of reality, emotions or judgment or otherwise results in disturbed behaviour OR has an impairment that is intellectual, psychiatric, sensory or physical in nature and results in substantially reduced capacity of the person for communication, learning or mobility OR for any other reason is socially isolated or unable to participate in the life of the person’s community’ </w:t>
            </w:r>
          </w:p>
          <w:p w14:paraId="2BC31C72" w14:textId="77777777" w:rsidR="00CF282D" w:rsidRPr="007B5BE6" w:rsidRDefault="00CF282D" w:rsidP="0004503A">
            <w:pPr>
              <w:jc w:val="left"/>
              <w:rPr>
                <w:rFonts w:eastAsia="Aptos" w:cs="Arial"/>
                <w:sz w:val="20"/>
                <w:szCs w:val="20"/>
              </w:rPr>
            </w:pPr>
            <w:r w:rsidRPr="007B5BE6">
              <w:rPr>
                <w:rFonts w:eastAsia="Aptos" w:cs="Arial"/>
                <w:sz w:val="20"/>
                <w:szCs w:val="20"/>
              </w:rPr>
              <w:t>Also, complaints about a service for ‘older people’</w:t>
            </w:r>
          </w:p>
        </w:tc>
        <w:tc>
          <w:tcPr>
            <w:tcW w:w="2647" w:type="dxa"/>
            <w:tcBorders>
              <w:left w:val="nil"/>
            </w:tcBorders>
          </w:tcPr>
          <w:p w14:paraId="7726FD47" w14:textId="77777777" w:rsidR="00CF282D" w:rsidRPr="007B5BE6" w:rsidRDefault="00CF282D" w:rsidP="0004503A">
            <w:pPr>
              <w:jc w:val="left"/>
              <w:rPr>
                <w:rFonts w:eastAsia="Aptos" w:cs="Arial"/>
                <w:sz w:val="20"/>
                <w:szCs w:val="20"/>
              </w:rPr>
            </w:pPr>
            <w:r w:rsidRPr="007B5BE6">
              <w:rPr>
                <w:rFonts w:eastAsia="Aptos" w:cs="Arial"/>
                <w:sz w:val="20"/>
                <w:szCs w:val="20"/>
              </w:rPr>
              <w:t>No legislative definition of abuse</w:t>
            </w:r>
          </w:p>
        </w:tc>
      </w:tr>
      <w:tr w:rsidR="00CF282D" w:rsidRPr="007B5BE6" w14:paraId="1A3D317C" w14:textId="77777777" w:rsidTr="00FF3326">
        <w:tc>
          <w:tcPr>
            <w:tcW w:w="1411" w:type="dxa"/>
            <w:vMerge/>
            <w:tcBorders>
              <w:right w:val="nil"/>
            </w:tcBorders>
          </w:tcPr>
          <w:p w14:paraId="0F217BCC" w14:textId="77777777" w:rsidR="00CF282D" w:rsidRPr="007B5BE6" w:rsidRDefault="00CF282D" w:rsidP="00E37E26">
            <w:pPr>
              <w:jc w:val="left"/>
              <w:rPr>
                <w:rFonts w:eastAsia="Aptos" w:cs="Arial"/>
                <w:sz w:val="20"/>
                <w:szCs w:val="20"/>
              </w:rPr>
            </w:pPr>
          </w:p>
        </w:tc>
        <w:tc>
          <w:tcPr>
            <w:tcW w:w="1557" w:type="dxa"/>
            <w:tcBorders>
              <w:left w:val="nil"/>
              <w:right w:val="nil"/>
            </w:tcBorders>
          </w:tcPr>
          <w:p w14:paraId="1296FA82"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Public Trustee and Guardian  </w:t>
            </w:r>
          </w:p>
        </w:tc>
        <w:tc>
          <w:tcPr>
            <w:tcW w:w="1372" w:type="dxa"/>
            <w:tcBorders>
              <w:left w:val="nil"/>
              <w:right w:val="nil"/>
            </w:tcBorders>
          </w:tcPr>
          <w:p w14:paraId="451505F3" w14:textId="77777777" w:rsidR="00CF282D" w:rsidRPr="007B5BE6" w:rsidRDefault="00CF282D" w:rsidP="0004503A">
            <w:pPr>
              <w:jc w:val="left"/>
              <w:rPr>
                <w:rFonts w:eastAsia="Aptos" w:cs="Arial"/>
                <w:i/>
                <w:iCs/>
                <w:sz w:val="20"/>
                <w:szCs w:val="20"/>
              </w:rPr>
            </w:pPr>
            <w:r w:rsidRPr="007B5BE6">
              <w:rPr>
                <w:rFonts w:eastAsia="Aptos" w:cs="Arial"/>
                <w:i/>
                <w:iCs/>
                <w:sz w:val="20"/>
                <w:szCs w:val="20"/>
              </w:rPr>
              <w:t>Guardianship and Management of Property Act 1991</w:t>
            </w:r>
            <w:r w:rsidRPr="007B5BE6">
              <w:rPr>
                <w:rFonts w:eastAsia="Aptos" w:cs="Arial"/>
                <w:sz w:val="20"/>
                <w:szCs w:val="20"/>
              </w:rPr>
              <w:t xml:space="preserve"> (ACT)</w:t>
            </w:r>
          </w:p>
        </w:tc>
        <w:tc>
          <w:tcPr>
            <w:tcW w:w="2039" w:type="dxa"/>
            <w:tcBorders>
              <w:left w:val="nil"/>
              <w:right w:val="nil"/>
            </w:tcBorders>
          </w:tcPr>
          <w:p w14:paraId="52920202" w14:textId="77777777" w:rsidR="00CF282D" w:rsidRPr="007B5BE6" w:rsidRDefault="00CF282D" w:rsidP="0004503A">
            <w:pPr>
              <w:jc w:val="left"/>
              <w:rPr>
                <w:rFonts w:eastAsia="Aptos" w:cs="Arial"/>
                <w:sz w:val="20"/>
                <w:szCs w:val="20"/>
              </w:rPr>
            </w:pPr>
            <w:r w:rsidRPr="007B5BE6">
              <w:rPr>
                <w:rFonts w:eastAsia="Aptos" w:cs="Arial"/>
                <w:sz w:val="20"/>
                <w:szCs w:val="20"/>
              </w:rPr>
              <w:t xml:space="preserve">Adults with decision making disability </w:t>
            </w:r>
          </w:p>
          <w:p w14:paraId="4663F28C" w14:textId="77777777" w:rsidR="00CF282D" w:rsidRPr="007B5BE6" w:rsidRDefault="00CF282D" w:rsidP="0004503A">
            <w:pPr>
              <w:jc w:val="left"/>
              <w:rPr>
                <w:rFonts w:eastAsia="Aptos" w:cs="Arial"/>
                <w:sz w:val="20"/>
                <w:szCs w:val="20"/>
              </w:rPr>
            </w:pPr>
          </w:p>
        </w:tc>
        <w:tc>
          <w:tcPr>
            <w:tcW w:w="2647" w:type="dxa"/>
            <w:tcBorders>
              <w:left w:val="nil"/>
            </w:tcBorders>
          </w:tcPr>
          <w:p w14:paraId="035CCD50" w14:textId="77777777" w:rsidR="00CF282D" w:rsidRPr="007B5BE6" w:rsidRDefault="00CF282D" w:rsidP="0004503A">
            <w:pPr>
              <w:jc w:val="left"/>
              <w:rPr>
                <w:rFonts w:eastAsia="Aptos" w:cs="Arial"/>
                <w:sz w:val="20"/>
                <w:szCs w:val="20"/>
              </w:rPr>
            </w:pPr>
            <w:r w:rsidRPr="007B5BE6">
              <w:rPr>
                <w:rFonts w:eastAsia="Aptos" w:cs="Arial"/>
                <w:sz w:val="20"/>
                <w:szCs w:val="20"/>
              </w:rPr>
              <w:t>No legislative definition of abuse</w:t>
            </w:r>
          </w:p>
        </w:tc>
      </w:tr>
    </w:tbl>
    <w:p w14:paraId="70A2E4A2" w14:textId="0B7F07E1" w:rsidR="0029354D" w:rsidRPr="007B5BE6" w:rsidRDefault="00CF683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NSW and </w:t>
      </w:r>
      <w:r w:rsidR="00CC04DA" w:rsidRPr="007B5BE6">
        <w:rPr>
          <w:rFonts w:eastAsia="Times" w:cs="Times New Roman"/>
          <w:szCs w:val="20"/>
        </w:rPr>
        <w:t>SA</w:t>
      </w:r>
      <w:r w:rsidR="00CF282D" w:rsidRPr="007B5BE6">
        <w:rPr>
          <w:rFonts w:eastAsia="Times" w:cs="Times New Roman"/>
          <w:szCs w:val="20"/>
        </w:rPr>
        <w:t xml:space="preserve"> have implemented an overarching safeguarding approach that covers both older adults and people with disability (defined in different ways) and have a single entity that is empowered to receive complaints regarding suspected or alleged abuse. However, </w:t>
      </w:r>
      <w:r w:rsidR="00304114" w:rsidRPr="007B5BE6">
        <w:rPr>
          <w:rFonts w:eastAsia="Times" w:cs="Times New Roman"/>
          <w:szCs w:val="20"/>
        </w:rPr>
        <w:t xml:space="preserve">there are </w:t>
      </w:r>
      <w:r w:rsidR="00CF282D" w:rsidRPr="007B5BE6">
        <w:rPr>
          <w:rFonts w:eastAsia="Times" w:cs="Times New Roman"/>
          <w:szCs w:val="20"/>
        </w:rPr>
        <w:t xml:space="preserve">differences in </w:t>
      </w:r>
      <w:r w:rsidR="00BE56BB" w:rsidRPr="007B5BE6">
        <w:rPr>
          <w:rFonts w:eastAsia="Times" w:cs="Times New Roman"/>
          <w:szCs w:val="20"/>
        </w:rPr>
        <w:t xml:space="preserve">each respective </w:t>
      </w:r>
      <w:r w:rsidR="00CF282D" w:rsidRPr="007B5BE6">
        <w:rPr>
          <w:rFonts w:eastAsia="Times" w:cs="Times New Roman"/>
          <w:szCs w:val="20"/>
        </w:rPr>
        <w:t>model</w:t>
      </w:r>
      <w:r w:rsidR="00304114" w:rsidRPr="007B5BE6">
        <w:rPr>
          <w:rFonts w:eastAsia="Times" w:cs="Times New Roman"/>
          <w:szCs w:val="20"/>
        </w:rPr>
        <w:t>,</w:t>
      </w:r>
      <w:r w:rsidR="00BE56BB" w:rsidRPr="007B5BE6">
        <w:rPr>
          <w:rFonts w:eastAsia="Times" w:cs="Times New Roman"/>
          <w:szCs w:val="20"/>
        </w:rPr>
        <w:t xml:space="preserve"> </w:t>
      </w:r>
      <w:r w:rsidR="00CF282D" w:rsidRPr="007B5BE6">
        <w:rPr>
          <w:rFonts w:eastAsia="Times" w:cs="Times New Roman"/>
          <w:szCs w:val="20"/>
        </w:rPr>
        <w:t>includ</w:t>
      </w:r>
      <w:r w:rsidR="00304114" w:rsidRPr="007B5BE6">
        <w:rPr>
          <w:rFonts w:eastAsia="Times" w:cs="Times New Roman"/>
          <w:szCs w:val="20"/>
        </w:rPr>
        <w:t>ing</w:t>
      </w:r>
      <w:r w:rsidR="00CF282D" w:rsidRPr="007B5BE6">
        <w:rPr>
          <w:rFonts w:eastAsia="Times" w:cs="Times New Roman"/>
          <w:szCs w:val="20"/>
        </w:rPr>
        <w:t xml:space="preserve"> definitions of protected people and abuse, the nature of the entity that can receive complaints</w:t>
      </w:r>
      <w:r w:rsidR="00304114" w:rsidRPr="007B5BE6">
        <w:rPr>
          <w:rFonts w:eastAsia="Times" w:cs="Times New Roman"/>
          <w:szCs w:val="20"/>
        </w:rPr>
        <w:t>,</w:t>
      </w:r>
      <w:r w:rsidR="00CF282D" w:rsidRPr="007B5BE6">
        <w:rPr>
          <w:rFonts w:eastAsia="Times" w:cs="Times New Roman"/>
          <w:szCs w:val="20"/>
        </w:rPr>
        <w:t xml:space="preserve"> and the actions that may be taken in response</w:t>
      </w:r>
      <w:r w:rsidR="00304114" w:rsidRPr="007B5BE6">
        <w:rPr>
          <w:rFonts w:eastAsia="Times" w:cs="Times New Roman"/>
          <w:szCs w:val="20"/>
        </w:rPr>
        <w:t xml:space="preserve"> to complaints</w:t>
      </w:r>
      <w:r w:rsidR="00CF282D" w:rsidRPr="007B5BE6">
        <w:rPr>
          <w:rFonts w:eastAsia="Times" w:cs="Times New Roman"/>
          <w:szCs w:val="20"/>
        </w:rPr>
        <w:t xml:space="preserve">. To explore views and observations of stakeholders on these overarching adult safeguarding approaches of focus, the TLRI has </w:t>
      </w:r>
      <w:r w:rsidR="0077387F" w:rsidRPr="007B5BE6">
        <w:rPr>
          <w:rFonts w:eastAsia="Times" w:cs="Times New Roman"/>
          <w:szCs w:val="20"/>
        </w:rPr>
        <w:t xml:space="preserve">examined </w:t>
      </w:r>
      <w:r w:rsidR="00CF282D" w:rsidRPr="007B5BE6">
        <w:rPr>
          <w:rFonts w:eastAsia="Times" w:cs="Times New Roman"/>
          <w:szCs w:val="20"/>
        </w:rPr>
        <w:t>the</w:t>
      </w:r>
      <w:r w:rsidR="002B7091" w:rsidRPr="007B5BE6">
        <w:rPr>
          <w:rFonts w:eastAsia="Times" w:cs="Times New Roman"/>
          <w:szCs w:val="20"/>
        </w:rPr>
        <w:t xml:space="preserve"> </w:t>
      </w:r>
      <w:r w:rsidRPr="007B5BE6">
        <w:rPr>
          <w:rFonts w:eastAsia="Times" w:cs="Times New Roman"/>
          <w:szCs w:val="20"/>
        </w:rPr>
        <w:t xml:space="preserve">NSW and SA </w:t>
      </w:r>
      <w:r w:rsidR="00CF282D" w:rsidRPr="007B5BE6">
        <w:rPr>
          <w:rFonts w:eastAsia="Times" w:cs="Times New Roman"/>
          <w:szCs w:val="20"/>
        </w:rPr>
        <w:t>models in detail</w:t>
      </w:r>
      <w:r w:rsidR="002B7091" w:rsidRPr="007B5BE6">
        <w:rPr>
          <w:rFonts w:eastAsia="Times" w:cs="Times New Roman"/>
          <w:szCs w:val="20"/>
        </w:rPr>
        <w:t>,</w:t>
      </w:r>
      <w:r w:rsidR="00CF282D" w:rsidRPr="007B5BE6">
        <w:rPr>
          <w:rFonts w:eastAsia="Times" w:cs="Times New Roman"/>
          <w:szCs w:val="20"/>
        </w:rPr>
        <w:t xml:space="preserve"> </w:t>
      </w:r>
      <w:r w:rsidR="00F82D1D" w:rsidRPr="007B5BE6">
        <w:rPr>
          <w:rFonts w:eastAsia="Times" w:cs="Times New Roman"/>
          <w:szCs w:val="20"/>
        </w:rPr>
        <w:t xml:space="preserve">as well as </w:t>
      </w:r>
      <w:r w:rsidR="00CF282D" w:rsidRPr="007B5BE6">
        <w:rPr>
          <w:rFonts w:eastAsia="Times" w:cs="Times New Roman"/>
          <w:szCs w:val="20"/>
        </w:rPr>
        <w:t>publicly available data on the operation and</w:t>
      </w:r>
      <w:r w:rsidR="002B7091" w:rsidRPr="007B5BE6">
        <w:rPr>
          <w:rFonts w:eastAsia="Times" w:cs="Times New Roman"/>
          <w:szCs w:val="20"/>
        </w:rPr>
        <w:t xml:space="preserve"> </w:t>
      </w:r>
      <w:r w:rsidR="00CF282D" w:rsidRPr="007B5BE6">
        <w:rPr>
          <w:rFonts w:eastAsia="Times" w:cs="Times New Roman"/>
          <w:szCs w:val="20"/>
        </w:rPr>
        <w:t xml:space="preserve">outcomes </w:t>
      </w:r>
      <w:r w:rsidR="00500ED1" w:rsidRPr="007B5BE6">
        <w:rPr>
          <w:rFonts w:eastAsia="Times" w:cs="Times New Roman"/>
          <w:szCs w:val="20"/>
        </w:rPr>
        <w:t>under each safeguarding model</w:t>
      </w:r>
      <w:r w:rsidR="00CF282D" w:rsidRPr="007B5BE6">
        <w:rPr>
          <w:rFonts w:eastAsia="Times" w:cs="Times New Roman"/>
          <w:szCs w:val="20"/>
        </w:rPr>
        <w:t xml:space="preserve">. This includes information on the prevalence of matters </w:t>
      </w:r>
      <w:r w:rsidR="00500ED1" w:rsidRPr="007B5BE6">
        <w:rPr>
          <w:rFonts w:eastAsia="Times" w:cs="Times New Roman"/>
          <w:szCs w:val="20"/>
        </w:rPr>
        <w:t xml:space="preserve">that are </w:t>
      </w:r>
      <w:r w:rsidR="00CF282D" w:rsidRPr="007B5BE6">
        <w:rPr>
          <w:rFonts w:eastAsia="Times" w:cs="Times New Roman"/>
          <w:szCs w:val="20"/>
        </w:rPr>
        <w:t>raised regarding older people (compared to people with disability), the volume and type of matters raised, and the actions taken</w:t>
      </w:r>
      <w:r w:rsidR="00500ED1" w:rsidRPr="007B5BE6">
        <w:rPr>
          <w:rFonts w:eastAsia="Times" w:cs="Times New Roman"/>
          <w:szCs w:val="20"/>
        </w:rPr>
        <w:t>,</w:t>
      </w:r>
      <w:r w:rsidR="00CF282D" w:rsidRPr="007B5BE6">
        <w:rPr>
          <w:rFonts w:eastAsia="Times" w:cs="Times New Roman"/>
          <w:szCs w:val="20"/>
        </w:rPr>
        <w:t xml:space="preserve"> including the type of responses where action is taken.</w:t>
      </w:r>
    </w:p>
    <w:p w14:paraId="235E0128" w14:textId="77777777" w:rsidR="0029354D" w:rsidRPr="007B5BE6" w:rsidRDefault="0029354D">
      <w:pPr>
        <w:spacing w:after="200" w:line="276" w:lineRule="auto"/>
        <w:jc w:val="left"/>
        <w:rPr>
          <w:rFonts w:eastAsia="Times" w:cs="Times New Roman"/>
          <w:szCs w:val="20"/>
        </w:rPr>
      </w:pPr>
      <w:r w:rsidRPr="007B5BE6">
        <w:rPr>
          <w:rFonts w:eastAsia="Times" w:cs="Times New Roman"/>
          <w:szCs w:val="20"/>
        </w:rPr>
        <w:br w:type="page"/>
      </w:r>
    </w:p>
    <w:p w14:paraId="342A10CA" w14:textId="507457B4"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lastRenderedPageBreak/>
        <w:t>The Australian Capital Territory (</w:t>
      </w:r>
      <w:r w:rsidR="00BD68CA" w:rsidRPr="007B5BE6">
        <w:rPr>
          <w:rFonts w:eastAsia="Times" w:cs="Times New Roman"/>
          <w:szCs w:val="20"/>
        </w:rPr>
        <w:t>‘</w:t>
      </w:r>
      <w:r w:rsidRPr="007B5BE6">
        <w:rPr>
          <w:rFonts w:eastAsia="Times" w:cs="Times New Roman"/>
          <w:szCs w:val="20"/>
        </w:rPr>
        <w:t>ACT</w:t>
      </w:r>
      <w:r w:rsidR="00BD68CA" w:rsidRPr="007B5BE6">
        <w:rPr>
          <w:rFonts w:eastAsia="Times" w:cs="Times New Roman"/>
          <w:szCs w:val="20"/>
        </w:rPr>
        <w:t>’</w:t>
      </w:r>
      <w:r w:rsidRPr="007B5BE6">
        <w:rPr>
          <w:rFonts w:eastAsia="Times" w:cs="Times New Roman"/>
          <w:szCs w:val="20"/>
        </w:rPr>
        <w:t xml:space="preserve">) also employs an ‘overarching’ safeguarding approach; however, this </w:t>
      </w:r>
      <w:r w:rsidR="00D9338A" w:rsidRPr="007B5BE6">
        <w:rPr>
          <w:rFonts w:eastAsia="Times" w:cs="Times New Roman"/>
          <w:szCs w:val="20"/>
        </w:rPr>
        <w:t xml:space="preserve">sits </w:t>
      </w:r>
      <w:r w:rsidRPr="007B5BE6">
        <w:rPr>
          <w:rFonts w:eastAsia="Times" w:cs="Times New Roman"/>
          <w:szCs w:val="20"/>
        </w:rPr>
        <w:t xml:space="preserve">within the context of human rights protection under the </w:t>
      </w:r>
      <w:r w:rsidRPr="007B5BE6">
        <w:rPr>
          <w:rFonts w:eastAsia="Times" w:cs="Times New Roman"/>
          <w:i/>
          <w:iCs/>
          <w:szCs w:val="20"/>
        </w:rPr>
        <w:t>Human Rights Act 2004</w:t>
      </w:r>
      <w:r w:rsidRPr="007B5BE6">
        <w:rPr>
          <w:rFonts w:eastAsia="Times" w:cs="Times New Roman"/>
          <w:szCs w:val="20"/>
        </w:rPr>
        <w:t xml:space="preserve"> (ACT).  This approach protects a wider range of community members based on specific circumstances, including ‘vulnerable adults’ (defined to include people with disability and some older people, </w:t>
      </w:r>
      <w:r w:rsidR="00B774A4" w:rsidRPr="007B5BE6">
        <w:rPr>
          <w:rFonts w:eastAsia="Times" w:cs="Times New Roman"/>
          <w:szCs w:val="20"/>
        </w:rPr>
        <w:t xml:space="preserve">and </w:t>
      </w:r>
      <w:r w:rsidRPr="007B5BE6">
        <w:rPr>
          <w:rFonts w:eastAsia="Times" w:cs="Times New Roman"/>
          <w:szCs w:val="20"/>
        </w:rPr>
        <w:t>people who engage with a service for ‘older people)’</w:t>
      </w:r>
      <w:r w:rsidR="00F82D1D" w:rsidRPr="007B5BE6">
        <w:rPr>
          <w:rFonts w:eastAsia="Times" w:cs="Times New Roman"/>
          <w:szCs w:val="20"/>
        </w:rPr>
        <w:t>.</w:t>
      </w:r>
      <w:r w:rsidRPr="007B5BE6">
        <w:rPr>
          <w:rFonts w:eastAsia="Times" w:cs="Times New Roman"/>
          <w:szCs w:val="20"/>
        </w:rPr>
        <w:t xml:space="preserve"> This overarching approach is combined with legislation that focuses on safeguarding adults with impaired decision-making </w:t>
      </w:r>
      <w:r w:rsidR="00B1353C" w:rsidRPr="007B5BE6">
        <w:rPr>
          <w:rFonts w:eastAsia="Times" w:cs="Times New Roman"/>
          <w:szCs w:val="20"/>
        </w:rPr>
        <w:t>ability</w:t>
      </w:r>
      <w:r w:rsidRPr="007B5BE6">
        <w:rPr>
          <w:rFonts w:eastAsia="Times" w:cs="Times New Roman"/>
          <w:szCs w:val="20"/>
        </w:rPr>
        <w:t>. Th</w:t>
      </w:r>
      <w:r w:rsidR="00B774A4" w:rsidRPr="007B5BE6">
        <w:rPr>
          <w:rFonts w:eastAsia="Times" w:cs="Times New Roman"/>
          <w:szCs w:val="20"/>
        </w:rPr>
        <w:t>e TLRI discusses this</w:t>
      </w:r>
      <w:r w:rsidRPr="007B5BE6">
        <w:rPr>
          <w:rFonts w:eastAsia="Times" w:cs="Times New Roman"/>
          <w:szCs w:val="20"/>
        </w:rPr>
        <w:t xml:space="preserve"> model at </w:t>
      </w:r>
      <w:r w:rsidR="00695253" w:rsidRPr="007B5BE6">
        <w:rPr>
          <w:rFonts w:eastAsia="Times" w:cs="Times New Roman"/>
          <w:szCs w:val="20"/>
        </w:rPr>
        <w:t xml:space="preserve">[4.6] </w:t>
      </w:r>
      <w:r w:rsidR="004131AC" w:rsidRPr="007B5BE6">
        <w:rPr>
          <w:rFonts w:eastAsia="Times" w:cs="Times New Roman"/>
          <w:szCs w:val="20"/>
        </w:rPr>
        <w:t>when</w:t>
      </w:r>
      <w:r w:rsidRPr="007B5BE6">
        <w:rPr>
          <w:rFonts w:eastAsia="Times" w:cs="Times New Roman"/>
          <w:szCs w:val="20"/>
        </w:rPr>
        <w:t xml:space="preserve"> consider</w:t>
      </w:r>
      <w:r w:rsidR="004131AC" w:rsidRPr="007B5BE6">
        <w:rPr>
          <w:rFonts w:eastAsia="Times" w:cs="Times New Roman"/>
          <w:szCs w:val="20"/>
        </w:rPr>
        <w:t xml:space="preserve">ing options for </w:t>
      </w:r>
      <w:r w:rsidRPr="007B5BE6">
        <w:rPr>
          <w:rFonts w:eastAsia="Times" w:cs="Times New Roman"/>
          <w:szCs w:val="20"/>
        </w:rPr>
        <w:t xml:space="preserve">enhancing safeguarding through human rights law. </w:t>
      </w:r>
    </w:p>
    <w:p w14:paraId="4CD2EBA0" w14:textId="24E8C5AC" w:rsidR="00CF282D" w:rsidRPr="007B5BE6" w:rsidRDefault="00CF282D" w:rsidP="00AE2D56">
      <w:pPr>
        <w:pStyle w:val="Sub-HeadingTLRI"/>
        <w:spacing w:before="360"/>
      </w:pPr>
      <w:bookmarkStart w:id="570" w:name="_Toc212561792"/>
      <w:r w:rsidRPr="007B5BE6">
        <w:t>Adult Safeguarding Unit</w:t>
      </w:r>
      <w:r w:rsidR="009D2792" w:rsidRPr="007B5BE6">
        <w:t xml:space="preserve">, </w:t>
      </w:r>
      <w:r w:rsidRPr="007B5BE6">
        <w:t xml:space="preserve">Office of Ageing Well </w:t>
      </w:r>
      <w:r w:rsidR="009D2792" w:rsidRPr="007B5BE6">
        <w:t>(</w:t>
      </w:r>
      <w:r w:rsidR="004131AC" w:rsidRPr="007B5BE6">
        <w:t>SA</w:t>
      </w:r>
      <w:r w:rsidR="009D2792" w:rsidRPr="007B5BE6">
        <w:t>)</w:t>
      </w:r>
      <w:bookmarkEnd w:id="570"/>
    </w:p>
    <w:p w14:paraId="52A63596" w14:textId="68EA559D"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The model for an overarching approach to safeguarding in </w:t>
      </w:r>
      <w:r w:rsidR="0043049C" w:rsidRPr="007B5BE6">
        <w:rPr>
          <w:rFonts w:eastAsia="Times" w:cs="Times New Roman"/>
          <w:szCs w:val="20"/>
        </w:rPr>
        <w:t>SA</w:t>
      </w:r>
      <w:r w:rsidRPr="007B5BE6">
        <w:rPr>
          <w:rFonts w:eastAsia="Times" w:cs="Times New Roman"/>
          <w:szCs w:val="20"/>
        </w:rPr>
        <w:t xml:space="preserve"> is based around an adult safeguarding agency: the Adult Safeguarding Unit (</w:t>
      </w:r>
      <w:r w:rsidR="0043049C" w:rsidRPr="007B5BE6">
        <w:rPr>
          <w:rFonts w:eastAsia="Times" w:cs="Times New Roman"/>
          <w:szCs w:val="20"/>
        </w:rPr>
        <w:t>‘</w:t>
      </w:r>
      <w:r w:rsidRPr="007B5BE6">
        <w:rPr>
          <w:rFonts w:eastAsia="Times" w:cs="Times New Roman"/>
          <w:szCs w:val="20"/>
        </w:rPr>
        <w:t>ASU</w:t>
      </w:r>
      <w:r w:rsidR="0043049C" w:rsidRPr="007B5BE6">
        <w:rPr>
          <w:rFonts w:eastAsia="Times" w:cs="Times New Roman"/>
          <w:szCs w:val="20"/>
        </w:rPr>
        <w:t>’</w:t>
      </w:r>
      <w:r w:rsidRPr="007B5BE6">
        <w:rPr>
          <w:rFonts w:eastAsia="Times" w:cs="Times New Roman"/>
          <w:szCs w:val="20"/>
        </w:rPr>
        <w:t xml:space="preserve">). The ASU has operated since 2019 and is part of the Office for Ageing Well, </w:t>
      </w:r>
      <w:r w:rsidR="00F11032" w:rsidRPr="007B5BE6">
        <w:rPr>
          <w:rFonts w:eastAsia="Times" w:cs="Times New Roman"/>
          <w:szCs w:val="20"/>
        </w:rPr>
        <w:t xml:space="preserve">which </w:t>
      </w:r>
      <w:proofErr w:type="gramStart"/>
      <w:r w:rsidR="00F11032" w:rsidRPr="007B5BE6">
        <w:rPr>
          <w:rFonts w:eastAsia="Times" w:cs="Times New Roman"/>
          <w:szCs w:val="20"/>
        </w:rPr>
        <w:t>was</w:t>
      </w:r>
      <w:r w:rsidR="00CC3A45" w:rsidRPr="007B5BE6">
        <w:rPr>
          <w:rFonts w:eastAsia="Times" w:cs="Times New Roman"/>
          <w:szCs w:val="20"/>
        </w:rPr>
        <w:t xml:space="preserve"> located</w:t>
      </w:r>
      <w:r w:rsidR="00F11032" w:rsidRPr="007B5BE6">
        <w:rPr>
          <w:rFonts w:eastAsia="Times" w:cs="Times New Roman"/>
          <w:szCs w:val="20"/>
        </w:rPr>
        <w:t xml:space="preserve"> </w:t>
      </w:r>
      <w:r w:rsidRPr="007B5BE6">
        <w:rPr>
          <w:rFonts w:eastAsia="Times" w:cs="Times New Roman"/>
          <w:szCs w:val="20"/>
        </w:rPr>
        <w:t>in</w:t>
      </w:r>
      <w:proofErr w:type="gramEnd"/>
      <w:r w:rsidRPr="007B5BE6">
        <w:rPr>
          <w:rFonts w:eastAsia="Times" w:cs="Times New Roman"/>
          <w:szCs w:val="20"/>
        </w:rPr>
        <w:t xml:space="preserve"> the </w:t>
      </w:r>
      <w:r w:rsidR="00EE0609" w:rsidRPr="007B5BE6">
        <w:rPr>
          <w:rFonts w:eastAsia="Times" w:cs="Times New Roman"/>
          <w:szCs w:val="20"/>
        </w:rPr>
        <w:t xml:space="preserve">South Australian </w:t>
      </w:r>
      <w:r w:rsidRPr="007B5BE6">
        <w:rPr>
          <w:rFonts w:eastAsia="Times" w:cs="Times New Roman"/>
          <w:szCs w:val="20"/>
        </w:rPr>
        <w:t xml:space="preserve">Department of Health </w:t>
      </w:r>
      <w:r w:rsidR="003E377F" w:rsidRPr="007B5BE6">
        <w:rPr>
          <w:rFonts w:eastAsia="Times" w:cs="Times New Roman"/>
          <w:szCs w:val="20"/>
        </w:rPr>
        <w:t>and now</w:t>
      </w:r>
      <w:r w:rsidR="005B2A96" w:rsidRPr="007B5BE6">
        <w:rPr>
          <w:rFonts w:eastAsia="Times" w:cs="Times New Roman"/>
          <w:szCs w:val="20"/>
        </w:rPr>
        <w:t xml:space="preserve"> located</w:t>
      </w:r>
      <w:r w:rsidR="003E377F" w:rsidRPr="007B5BE6">
        <w:rPr>
          <w:rFonts w:eastAsia="Times" w:cs="Times New Roman"/>
          <w:szCs w:val="20"/>
        </w:rPr>
        <w:t xml:space="preserve"> in the </w:t>
      </w:r>
      <w:r w:rsidR="00567880" w:rsidRPr="007B5BE6">
        <w:rPr>
          <w:rFonts w:eastAsia="Times"/>
        </w:rPr>
        <w:t>Department of Human Services</w:t>
      </w:r>
      <w:r w:rsidR="00EE0609" w:rsidRPr="007B5BE6">
        <w:rPr>
          <w:rFonts w:eastAsia="Times"/>
        </w:rPr>
        <w:t xml:space="preserve"> (SA)</w:t>
      </w:r>
      <w:r w:rsidR="00567880" w:rsidRPr="007B5BE6">
        <w:rPr>
          <w:rFonts w:eastAsia="Times"/>
        </w:rPr>
        <w:t xml:space="preserve"> (formerly in the Department of Health and Wellbeing).</w:t>
      </w:r>
      <w:r w:rsidRPr="007B5BE6">
        <w:rPr>
          <w:rFonts w:eastAsia="Times" w:cs="Times New Roman"/>
          <w:szCs w:val="20"/>
        </w:rPr>
        <w:t xml:space="preserve"> Under the </w:t>
      </w:r>
      <w:r w:rsidRPr="007B5BE6">
        <w:rPr>
          <w:rFonts w:eastAsia="Times" w:cs="Times New Roman"/>
          <w:i/>
          <w:iCs/>
          <w:szCs w:val="20"/>
        </w:rPr>
        <w:t>Ageing and Adult Safeguarding Unit Safeguarding Act 1995</w:t>
      </w:r>
      <w:r w:rsidRPr="007B5BE6">
        <w:rPr>
          <w:rFonts w:eastAsia="Times" w:cs="Times New Roman"/>
          <w:szCs w:val="20"/>
        </w:rPr>
        <w:t xml:space="preserve"> (SA), the legislated functions of the ASU are to:</w:t>
      </w:r>
    </w:p>
    <w:p w14:paraId="4D629AE0" w14:textId="7777777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promote and advocate for rights and interests; </w:t>
      </w:r>
    </w:p>
    <w:p w14:paraId="5ADC65FB" w14:textId="3525E3EC"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promote participation in decision</w:t>
      </w:r>
      <w:r w:rsidR="00EB08A3" w:rsidRPr="007B5BE6">
        <w:rPr>
          <w:rFonts w:eastAsia="Times New Roman" w:cs="Times New Roman"/>
        </w:rPr>
        <w:t xml:space="preserve"> </w:t>
      </w:r>
      <w:r w:rsidRPr="007B5BE6">
        <w:rPr>
          <w:rFonts w:eastAsia="Times New Roman" w:cs="Times New Roman"/>
        </w:rPr>
        <w:t xml:space="preserve">making and in the development of coordinated prevention and early intervention strategies; </w:t>
      </w:r>
    </w:p>
    <w:p w14:paraId="54412985" w14:textId="7777777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receive, assess and investigate reports of suspected abuse; </w:t>
      </w:r>
    </w:p>
    <w:p w14:paraId="62E2BD43" w14:textId="19C43371"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coordinate responses</w:t>
      </w:r>
      <w:r w:rsidR="00F022F4" w:rsidRPr="007B5BE6">
        <w:rPr>
          <w:rFonts w:eastAsia="Times New Roman" w:cs="Times New Roman"/>
        </w:rPr>
        <w:t>,</w:t>
      </w:r>
      <w:r w:rsidRPr="007B5BE6">
        <w:rPr>
          <w:rFonts w:eastAsia="Times New Roman" w:cs="Times New Roman"/>
        </w:rPr>
        <w:t xml:space="preserve"> and make referrals and follow up on responses; and </w:t>
      </w:r>
    </w:p>
    <w:p w14:paraId="2F83AD66" w14:textId="263C0111"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collate data and advise/publish reports on systemic issues.</w:t>
      </w:r>
    </w:p>
    <w:p w14:paraId="699FF7C5" w14:textId="599053A5" w:rsidR="00CF282D" w:rsidRPr="007B5BE6" w:rsidRDefault="00CF282D" w:rsidP="00CF282D">
      <w:pPr>
        <w:rPr>
          <w:rFonts w:eastAsia="Aptos" w:cs="Arial"/>
        </w:rPr>
      </w:pPr>
      <w:r w:rsidRPr="007B5BE6">
        <w:rPr>
          <w:rFonts w:eastAsia="Aptos" w:cs="Arial"/>
        </w:rPr>
        <w:t xml:space="preserve">The </w:t>
      </w:r>
      <w:r w:rsidR="00F022F4" w:rsidRPr="007B5BE6">
        <w:rPr>
          <w:rFonts w:eastAsia="Aptos" w:cs="Arial"/>
        </w:rPr>
        <w:t xml:space="preserve">ASU’s </w:t>
      </w:r>
      <w:r w:rsidRPr="007B5BE6">
        <w:rPr>
          <w:rFonts w:eastAsia="Aptos" w:cs="Arial"/>
        </w:rPr>
        <w:t>operational model is set out in a Code of Practice.</w:t>
      </w:r>
      <w:r w:rsidR="00AB4749" w:rsidRPr="007B5BE6">
        <w:rPr>
          <w:rStyle w:val="FootnoteReference"/>
          <w:rFonts w:eastAsia="Aptos" w:cs="Arial"/>
        </w:rPr>
        <w:footnoteReference w:id="515"/>
      </w:r>
    </w:p>
    <w:p w14:paraId="38F138FA" w14:textId="31558F89"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The ASU (and </w:t>
      </w:r>
      <w:r w:rsidR="00F022F4" w:rsidRPr="007B5BE6">
        <w:rPr>
          <w:rFonts w:eastAsia="Times" w:cs="Times New Roman"/>
          <w:szCs w:val="20"/>
        </w:rPr>
        <w:t xml:space="preserve">SA’s </w:t>
      </w:r>
      <w:r w:rsidRPr="007B5BE6">
        <w:rPr>
          <w:rFonts w:eastAsia="Times" w:cs="Times New Roman"/>
          <w:szCs w:val="20"/>
        </w:rPr>
        <w:t>approach) has many features that closely align with the ALRC’s recommendations for adult safeguarding. These include:</w:t>
      </w:r>
    </w:p>
    <w:p w14:paraId="1923A4B1" w14:textId="7777777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a definition of vulnerable adult that includes age, and other factors relevant to vulnerability other than disability;</w:t>
      </w:r>
    </w:p>
    <w:p w14:paraId="0771D3ED" w14:textId="282095D4"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a wide definition of abuse, which includes recognised categories of abuse of older people, as well as a denial of basic rights that are incorporated into a </w:t>
      </w:r>
      <w:r w:rsidR="000759F9" w:rsidRPr="007B5BE6">
        <w:rPr>
          <w:rFonts w:eastAsia="Times New Roman" w:cs="Times New Roman"/>
        </w:rPr>
        <w:t>‘</w:t>
      </w:r>
      <w:r w:rsidRPr="007B5BE6">
        <w:rPr>
          <w:rFonts w:eastAsia="Times New Roman" w:cs="Times New Roman"/>
        </w:rPr>
        <w:t>Charter of the Rights and Freedoms of Vulnerable Adults</w:t>
      </w:r>
      <w:r w:rsidR="000759F9" w:rsidRPr="007B5BE6">
        <w:rPr>
          <w:rFonts w:eastAsia="Times New Roman" w:cs="Times New Roman"/>
        </w:rPr>
        <w:t>’</w:t>
      </w:r>
      <w:r w:rsidRPr="007B5BE6">
        <w:rPr>
          <w:rFonts w:eastAsia="Times New Roman" w:cs="Times New Roman"/>
        </w:rPr>
        <w:t>;</w:t>
      </w:r>
      <w:r w:rsidR="00AB4749" w:rsidRPr="007B5BE6">
        <w:rPr>
          <w:rStyle w:val="FootnoteReference"/>
          <w:rFonts w:eastAsia="Times New Roman" w:cs="Times New Roman"/>
        </w:rPr>
        <w:footnoteReference w:id="516"/>
      </w:r>
      <w:r w:rsidRPr="007B5BE6">
        <w:rPr>
          <w:rFonts w:eastAsia="Times New Roman" w:cs="Times New Roman"/>
        </w:rPr>
        <w:t xml:space="preserve"> </w:t>
      </w:r>
    </w:p>
    <w:p w14:paraId="34DBD25C" w14:textId="0E6F05F3" w:rsidR="00CF282D" w:rsidRPr="007B5BE6" w:rsidRDefault="00CF282D" w:rsidP="00487E3F">
      <w:pPr>
        <w:numPr>
          <w:ilvl w:val="0"/>
          <w:numId w:val="1"/>
        </w:numPr>
        <w:spacing w:after="120"/>
        <w:rPr>
          <w:rFonts w:eastAsia="Times New Roman" w:cs="Times New Roman"/>
        </w:rPr>
      </w:pPr>
      <w:r w:rsidRPr="007B5BE6">
        <w:rPr>
          <w:rFonts w:eastAsia="Times New Roman" w:cs="Times New Roman"/>
        </w:rPr>
        <w:t>an independent agency (</w:t>
      </w:r>
      <w:r w:rsidR="00B33984" w:rsidRPr="007B5BE6">
        <w:rPr>
          <w:rFonts w:eastAsia="Times New Roman" w:cs="Times New Roman"/>
        </w:rPr>
        <w:t>including</w:t>
      </w:r>
      <w:r w:rsidRPr="007B5BE6">
        <w:rPr>
          <w:rFonts w:eastAsia="Times New Roman" w:cs="Times New Roman"/>
        </w:rPr>
        <w:t xml:space="preserve"> options for decisions to be reviewed)</w:t>
      </w:r>
      <w:r w:rsidR="00AB4749" w:rsidRPr="007B5BE6">
        <w:rPr>
          <w:rStyle w:val="FootnoteReference"/>
          <w:rFonts w:eastAsia="Times New Roman" w:cs="Times New Roman"/>
        </w:rPr>
        <w:footnoteReference w:id="517"/>
      </w:r>
      <w:r w:rsidRPr="007B5BE6">
        <w:rPr>
          <w:rFonts w:eastAsia="Times New Roman" w:cs="Times New Roman"/>
        </w:rPr>
        <w:t xml:space="preserve"> with powers to </w:t>
      </w:r>
      <w:r w:rsidR="0028060E" w:rsidRPr="007B5BE6">
        <w:rPr>
          <w:rFonts w:eastAsia="Times New Roman" w:cs="Times New Roman"/>
        </w:rPr>
        <w:t xml:space="preserve">respond to </w:t>
      </w:r>
      <w:r w:rsidR="004843D7" w:rsidRPr="007B5BE6">
        <w:rPr>
          <w:rFonts w:eastAsia="Times New Roman" w:cs="Times New Roman"/>
        </w:rPr>
        <w:t xml:space="preserve">reports </w:t>
      </w:r>
      <w:r w:rsidR="00A853C0" w:rsidRPr="007B5BE6">
        <w:rPr>
          <w:rFonts w:eastAsia="Times New Roman" w:cs="Times New Roman"/>
        </w:rPr>
        <w:t>of</w:t>
      </w:r>
      <w:r w:rsidR="004D6176" w:rsidRPr="007B5BE6">
        <w:rPr>
          <w:rFonts w:eastAsia="Times New Roman" w:cs="Times New Roman"/>
        </w:rPr>
        <w:t xml:space="preserve"> suspected abuse</w:t>
      </w:r>
      <w:r w:rsidR="0028060E" w:rsidRPr="007B5BE6">
        <w:rPr>
          <w:rFonts w:eastAsia="Times New Roman" w:cs="Times New Roman"/>
        </w:rPr>
        <w:t xml:space="preserve"> (including that the ASU</w:t>
      </w:r>
      <w:r w:rsidR="004D6176" w:rsidRPr="007B5BE6">
        <w:rPr>
          <w:rFonts w:eastAsia="Times New Roman" w:cs="Times New Roman"/>
        </w:rPr>
        <w:t>:</w:t>
      </w:r>
      <w:r w:rsidR="007C3E30" w:rsidRPr="007B5BE6">
        <w:rPr>
          <w:rFonts w:eastAsia="Times New Roman" w:cs="Times New Roman"/>
        </w:rPr>
        <w:t xml:space="preserve"> </w:t>
      </w:r>
      <w:r w:rsidR="0028060E" w:rsidRPr="007B5BE6">
        <w:rPr>
          <w:rFonts w:eastAsia="Times New Roman" w:cs="Times New Roman"/>
        </w:rPr>
        <w:t xml:space="preserve">must assess </w:t>
      </w:r>
      <w:r w:rsidR="009D2247" w:rsidRPr="007B5BE6">
        <w:rPr>
          <w:rFonts w:eastAsia="Times New Roman" w:cs="Times New Roman"/>
        </w:rPr>
        <w:t>the report; m</w:t>
      </w:r>
      <w:r w:rsidR="0065622F" w:rsidRPr="007B5BE6">
        <w:rPr>
          <w:rFonts w:eastAsia="Times New Roman" w:cs="Times New Roman"/>
        </w:rPr>
        <w:t>ust</w:t>
      </w:r>
      <w:r w:rsidR="009D2247" w:rsidRPr="007B5BE6">
        <w:rPr>
          <w:rFonts w:eastAsia="Times New Roman" w:cs="Times New Roman"/>
        </w:rPr>
        <w:t xml:space="preserve"> </w:t>
      </w:r>
      <w:r w:rsidR="007C3E30" w:rsidRPr="007B5BE6">
        <w:rPr>
          <w:rFonts w:eastAsia="Times New Roman" w:cs="Times New Roman"/>
        </w:rPr>
        <w:t xml:space="preserve">take action by </w:t>
      </w:r>
      <w:r w:rsidR="0065622F" w:rsidRPr="007B5BE6">
        <w:rPr>
          <w:rFonts w:eastAsia="Times New Roman" w:cs="Times New Roman"/>
        </w:rPr>
        <w:t>investigating</w:t>
      </w:r>
      <w:r w:rsidR="009D2247" w:rsidRPr="007B5BE6">
        <w:rPr>
          <w:rFonts w:eastAsia="Times New Roman" w:cs="Times New Roman"/>
        </w:rPr>
        <w:t xml:space="preserve"> it</w:t>
      </w:r>
      <w:r w:rsidR="00B33984" w:rsidRPr="007B5BE6">
        <w:rPr>
          <w:rFonts w:eastAsia="Times New Roman" w:cs="Times New Roman"/>
        </w:rPr>
        <w:t xml:space="preserve">, </w:t>
      </w:r>
      <w:r w:rsidR="0065622F" w:rsidRPr="007B5BE6">
        <w:rPr>
          <w:rFonts w:eastAsia="Times New Roman" w:cs="Times New Roman"/>
        </w:rPr>
        <w:t xml:space="preserve">referring it </w:t>
      </w:r>
      <w:r w:rsidR="00AB3F7F" w:rsidRPr="007B5BE6">
        <w:rPr>
          <w:rFonts w:eastAsia="Times New Roman" w:cs="Times New Roman"/>
        </w:rPr>
        <w:t xml:space="preserve">to an appropriate State authority or other person or body, </w:t>
      </w:r>
      <w:r w:rsidR="0065622F" w:rsidRPr="007B5BE6">
        <w:rPr>
          <w:rFonts w:eastAsia="Times New Roman" w:cs="Times New Roman"/>
        </w:rPr>
        <w:t xml:space="preserve">or declining to take action; </w:t>
      </w:r>
      <w:r w:rsidR="00BD52C7" w:rsidRPr="007B5BE6">
        <w:rPr>
          <w:rFonts w:eastAsia="Times New Roman" w:cs="Times New Roman"/>
        </w:rPr>
        <w:t xml:space="preserve">may </w:t>
      </w:r>
      <w:r w:rsidR="00C051FF" w:rsidRPr="007B5BE6">
        <w:rPr>
          <w:rFonts w:eastAsia="Times New Roman" w:cs="Times New Roman"/>
        </w:rPr>
        <w:t xml:space="preserve">refer matters to </w:t>
      </w:r>
      <w:r w:rsidR="00DF3B9C" w:rsidRPr="007B5BE6">
        <w:rPr>
          <w:rFonts w:eastAsia="Times New Roman" w:cs="Times New Roman"/>
        </w:rPr>
        <w:t>an</w:t>
      </w:r>
      <w:r w:rsidR="00AB3F7F" w:rsidRPr="007B5BE6">
        <w:rPr>
          <w:rFonts w:eastAsia="Times New Roman" w:cs="Times New Roman"/>
        </w:rPr>
        <w:t>other</w:t>
      </w:r>
      <w:r w:rsidR="00DF3B9C" w:rsidRPr="007B5BE6">
        <w:rPr>
          <w:rFonts w:eastAsia="Times New Roman" w:cs="Times New Roman"/>
        </w:rPr>
        <w:t xml:space="preserve"> State authority</w:t>
      </w:r>
      <w:r w:rsidR="00793DBD" w:rsidRPr="007B5BE6">
        <w:rPr>
          <w:rFonts w:eastAsia="Times New Roman" w:cs="Times New Roman"/>
        </w:rPr>
        <w:t xml:space="preserve"> </w:t>
      </w:r>
      <w:r w:rsidR="00DF3B9C" w:rsidRPr="007B5BE6">
        <w:rPr>
          <w:rFonts w:eastAsia="Times New Roman" w:cs="Times New Roman"/>
        </w:rPr>
        <w:t>or specified per</w:t>
      </w:r>
      <w:r w:rsidR="00793DBD" w:rsidRPr="007B5BE6">
        <w:rPr>
          <w:rFonts w:eastAsia="Times New Roman" w:cs="Times New Roman"/>
        </w:rPr>
        <w:t>son</w:t>
      </w:r>
      <w:r w:rsidR="001D517F" w:rsidRPr="007B5BE6">
        <w:rPr>
          <w:rFonts w:eastAsia="Times New Roman" w:cs="Times New Roman"/>
        </w:rPr>
        <w:t xml:space="preserve"> or body</w:t>
      </w:r>
      <w:r w:rsidR="00793DBD" w:rsidRPr="007B5BE6">
        <w:rPr>
          <w:rFonts w:eastAsia="Times New Roman" w:cs="Times New Roman"/>
        </w:rPr>
        <w:t xml:space="preserve">; may refer to </w:t>
      </w:r>
      <w:r w:rsidR="00C051FF" w:rsidRPr="007B5BE6">
        <w:rPr>
          <w:rFonts w:eastAsia="Times New Roman" w:cs="Times New Roman"/>
        </w:rPr>
        <w:t>relevant regulatory bodies</w:t>
      </w:r>
      <w:r w:rsidR="00793DBD" w:rsidRPr="007B5BE6">
        <w:rPr>
          <w:rFonts w:eastAsia="Times New Roman" w:cs="Times New Roman"/>
        </w:rPr>
        <w:t xml:space="preserve"> </w:t>
      </w:r>
      <w:r w:rsidR="00487E3F" w:rsidRPr="007B5BE6">
        <w:rPr>
          <w:rFonts w:eastAsia="Times New Roman" w:cs="Times New Roman"/>
        </w:rPr>
        <w:t>for professions</w:t>
      </w:r>
      <w:r w:rsidR="00BD52C7" w:rsidRPr="007B5BE6">
        <w:rPr>
          <w:rFonts w:eastAsia="Times New Roman" w:cs="Times New Roman"/>
        </w:rPr>
        <w:t>; and may ref</w:t>
      </w:r>
      <w:r w:rsidR="002810CA" w:rsidRPr="007B5BE6">
        <w:rPr>
          <w:rFonts w:eastAsia="Times New Roman" w:cs="Times New Roman"/>
        </w:rPr>
        <w:t>er matters</w:t>
      </w:r>
      <w:r w:rsidR="00C051FF" w:rsidRPr="007B5BE6">
        <w:rPr>
          <w:rFonts w:eastAsia="Times New Roman" w:cs="Times New Roman"/>
        </w:rPr>
        <w:t xml:space="preserve"> as complaints to other bodies or entities</w:t>
      </w:r>
      <w:r w:rsidR="00487E3F" w:rsidRPr="007B5BE6">
        <w:rPr>
          <w:rFonts w:eastAsia="Times New Roman" w:cs="Times New Roman"/>
        </w:rPr>
        <w:t>)</w:t>
      </w:r>
      <w:r w:rsidR="00C051FF" w:rsidRPr="007B5BE6">
        <w:rPr>
          <w:rFonts w:eastAsia="Times New Roman" w:cs="Times New Roman"/>
        </w:rPr>
        <w:t xml:space="preserve">; </w:t>
      </w:r>
    </w:p>
    <w:p w14:paraId="7021F427" w14:textId="7777777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presumption of decision-making capacity;</w:t>
      </w:r>
    </w:p>
    <w:p w14:paraId="61A0691D" w14:textId="2C6AD084" w:rsidR="00CF282D" w:rsidRPr="007B5BE6" w:rsidRDefault="00E02538" w:rsidP="00CF282D">
      <w:pPr>
        <w:numPr>
          <w:ilvl w:val="0"/>
          <w:numId w:val="1"/>
        </w:numPr>
        <w:spacing w:after="120"/>
        <w:rPr>
          <w:rFonts w:eastAsia="Times New Roman" w:cs="Times New Roman"/>
        </w:rPr>
      </w:pPr>
      <w:r w:rsidRPr="007B5BE6">
        <w:rPr>
          <w:rFonts w:eastAsia="Times New Roman" w:cs="Times New Roman"/>
        </w:rPr>
        <w:lastRenderedPageBreak/>
        <w:t xml:space="preserve">the </w:t>
      </w:r>
      <w:r w:rsidR="00CF282D" w:rsidRPr="007B5BE6">
        <w:rPr>
          <w:rFonts w:eastAsia="Times New Roman" w:cs="Times New Roman"/>
        </w:rPr>
        <w:t xml:space="preserve">responses of the agency to act (on </w:t>
      </w:r>
      <w:r w:rsidRPr="007B5BE6">
        <w:rPr>
          <w:rFonts w:eastAsia="Times New Roman" w:cs="Times New Roman"/>
        </w:rPr>
        <w:t xml:space="preserve">a </w:t>
      </w:r>
      <w:r w:rsidR="00CF282D" w:rsidRPr="007B5BE6">
        <w:rPr>
          <w:rFonts w:eastAsia="Times New Roman" w:cs="Times New Roman"/>
        </w:rPr>
        <w:t xml:space="preserve">report or </w:t>
      </w:r>
      <w:r w:rsidRPr="007B5BE6">
        <w:rPr>
          <w:rFonts w:eastAsia="Times New Roman" w:cs="Times New Roman"/>
        </w:rPr>
        <w:t xml:space="preserve">on its </w:t>
      </w:r>
      <w:r w:rsidR="00CF282D" w:rsidRPr="007B5BE6">
        <w:rPr>
          <w:rFonts w:eastAsia="Times New Roman" w:cs="Times New Roman"/>
        </w:rPr>
        <w:t>own motion) are based on the consent of the person</w:t>
      </w:r>
      <w:r w:rsidR="004A4700" w:rsidRPr="007B5BE6">
        <w:rPr>
          <w:rFonts w:eastAsia="Times New Roman" w:cs="Times New Roman"/>
        </w:rPr>
        <w:t xml:space="preserve">, </w:t>
      </w:r>
      <w:r w:rsidR="00CF282D" w:rsidRPr="007B5BE6">
        <w:rPr>
          <w:rFonts w:eastAsia="Times New Roman" w:cs="Times New Roman"/>
        </w:rPr>
        <w:t xml:space="preserve">subject to exceptions where </w:t>
      </w:r>
      <w:r w:rsidR="004A4700" w:rsidRPr="007B5BE6">
        <w:rPr>
          <w:rFonts w:eastAsia="Times New Roman" w:cs="Times New Roman"/>
        </w:rPr>
        <w:t xml:space="preserve">there is a </w:t>
      </w:r>
      <w:r w:rsidR="00CF282D" w:rsidRPr="007B5BE6">
        <w:rPr>
          <w:rFonts w:eastAsia="Times New Roman" w:cs="Times New Roman"/>
        </w:rPr>
        <w:t xml:space="preserve">risk to physical safety, </w:t>
      </w:r>
      <w:r w:rsidR="004A4700" w:rsidRPr="007B5BE6">
        <w:rPr>
          <w:rFonts w:eastAsia="Times New Roman" w:cs="Times New Roman"/>
        </w:rPr>
        <w:t xml:space="preserve">the </w:t>
      </w:r>
      <w:r w:rsidR="00CF282D" w:rsidRPr="007B5BE6">
        <w:rPr>
          <w:rFonts w:eastAsia="Times New Roman" w:cs="Times New Roman"/>
        </w:rPr>
        <w:t xml:space="preserve">risk of abuse constitutes </w:t>
      </w:r>
      <w:r w:rsidR="004A4700" w:rsidRPr="007B5BE6">
        <w:rPr>
          <w:rFonts w:eastAsia="Times New Roman" w:cs="Times New Roman"/>
        </w:rPr>
        <w:t xml:space="preserve">a </w:t>
      </w:r>
      <w:r w:rsidR="00CF282D" w:rsidRPr="007B5BE6">
        <w:rPr>
          <w:rFonts w:eastAsia="Times New Roman" w:cs="Times New Roman"/>
        </w:rPr>
        <w:t xml:space="preserve">serious criminal </w:t>
      </w:r>
      <w:proofErr w:type="gramStart"/>
      <w:r w:rsidR="00CF282D" w:rsidRPr="007B5BE6">
        <w:rPr>
          <w:rFonts w:eastAsia="Times New Roman" w:cs="Times New Roman"/>
        </w:rPr>
        <w:t>offence</w:t>
      </w:r>
      <w:proofErr w:type="gramEnd"/>
      <w:r w:rsidR="00CF282D" w:rsidRPr="007B5BE6">
        <w:rPr>
          <w:rFonts w:eastAsia="Times New Roman" w:cs="Times New Roman"/>
        </w:rPr>
        <w:t xml:space="preserve"> or the adult cannot be contacted);</w:t>
      </w:r>
    </w:p>
    <w:p w14:paraId="61ED5B92" w14:textId="7777777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coercive information gathering powers for authorised officers, including the power to enter premises and use reasonable force;</w:t>
      </w:r>
    </w:p>
    <w:p w14:paraId="69DEC84D" w14:textId="38A198D2"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power to appl</w:t>
      </w:r>
      <w:r w:rsidR="003A4401" w:rsidRPr="007B5BE6">
        <w:rPr>
          <w:rFonts w:eastAsia="Times New Roman" w:cs="Times New Roman"/>
        </w:rPr>
        <w:t>y</w:t>
      </w:r>
      <w:r w:rsidRPr="007B5BE6">
        <w:rPr>
          <w:rFonts w:eastAsia="Times New Roman" w:cs="Times New Roman"/>
        </w:rPr>
        <w:t xml:space="preserve"> to a court to seek </w:t>
      </w:r>
      <w:r w:rsidR="0079677B" w:rsidRPr="007B5BE6">
        <w:rPr>
          <w:rFonts w:eastAsia="Times New Roman" w:cs="Times New Roman"/>
        </w:rPr>
        <w:t>orders, in certain circumstances</w:t>
      </w:r>
      <w:r w:rsidR="00473306" w:rsidRPr="007B5BE6">
        <w:rPr>
          <w:rFonts w:eastAsia="Times New Roman" w:cs="Times New Roman"/>
        </w:rPr>
        <w:t>,</w:t>
      </w:r>
      <w:r w:rsidR="0079677B" w:rsidRPr="007B5BE6">
        <w:rPr>
          <w:rFonts w:eastAsia="Times New Roman" w:cs="Times New Roman"/>
        </w:rPr>
        <w:t xml:space="preserve"> for the protection of the adult, to </w:t>
      </w:r>
      <w:r w:rsidRPr="007B5BE6">
        <w:rPr>
          <w:rFonts w:eastAsia="Times New Roman" w:cs="Times New Roman"/>
        </w:rPr>
        <w:t xml:space="preserve">properly </w:t>
      </w:r>
      <w:r w:rsidR="002A0B75" w:rsidRPr="007B5BE6">
        <w:rPr>
          <w:rFonts w:eastAsia="Times New Roman" w:cs="Times New Roman"/>
        </w:rPr>
        <w:t>assess</w:t>
      </w:r>
      <w:r w:rsidRPr="007B5BE6">
        <w:rPr>
          <w:rFonts w:eastAsia="Times New Roman" w:cs="Times New Roman"/>
        </w:rPr>
        <w:t xml:space="preserve"> </w:t>
      </w:r>
      <w:r w:rsidR="005E6BDD" w:rsidRPr="007B5BE6">
        <w:rPr>
          <w:rFonts w:eastAsia="Times New Roman" w:cs="Times New Roman"/>
        </w:rPr>
        <w:t xml:space="preserve">whether </w:t>
      </w:r>
      <w:r w:rsidRPr="007B5BE6">
        <w:rPr>
          <w:rFonts w:eastAsia="Times New Roman" w:cs="Times New Roman"/>
        </w:rPr>
        <w:t xml:space="preserve">abuse </w:t>
      </w:r>
      <w:r w:rsidR="005E6BDD" w:rsidRPr="007B5BE6">
        <w:rPr>
          <w:rFonts w:eastAsia="Times New Roman" w:cs="Times New Roman"/>
        </w:rPr>
        <w:t xml:space="preserve">has occurred or there is a </w:t>
      </w:r>
      <w:r w:rsidRPr="007B5BE6">
        <w:rPr>
          <w:rFonts w:eastAsia="Times New Roman" w:cs="Times New Roman"/>
        </w:rPr>
        <w:t>risk of abuse</w:t>
      </w:r>
      <w:r w:rsidR="005E6BDD" w:rsidRPr="007B5BE6">
        <w:rPr>
          <w:rFonts w:eastAsia="Times New Roman" w:cs="Times New Roman"/>
        </w:rPr>
        <w:t xml:space="preserve">, or </w:t>
      </w:r>
      <w:r w:rsidR="00C55ABB" w:rsidRPr="007B5BE6">
        <w:rPr>
          <w:rFonts w:eastAsia="Times New Roman" w:cs="Times New Roman"/>
        </w:rPr>
        <w:t xml:space="preserve">enable </w:t>
      </w:r>
      <w:r w:rsidR="003B5C1C" w:rsidRPr="007B5BE6">
        <w:rPr>
          <w:rFonts w:eastAsia="Times New Roman" w:cs="Times New Roman"/>
        </w:rPr>
        <w:t xml:space="preserve">exercise </w:t>
      </w:r>
      <w:r w:rsidR="00C55ABB" w:rsidRPr="007B5BE6">
        <w:rPr>
          <w:rFonts w:eastAsia="Times New Roman" w:cs="Times New Roman"/>
        </w:rPr>
        <w:t xml:space="preserve">of </w:t>
      </w:r>
      <w:r w:rsidR="003B5C1C" w:rsidRPr="007B5BE6">
        <w:rPr>
          <w:rFonts w:eastAsia="Times New Roman" w:cs="Times New Roman"/>
        </w:rPr>
        <w:t xml:space="preserve">powers </w:t>
      </w:r>
      <w:r w:rsidR="005E6BDD" w:rsidRPr="007B5BE6">
        <w:rPr>
          <w:rFonts w:eastAsia="Times New Roman" w:cs="Times New Roman"/>
        </w:rPr>
        <w:t>or perform</w:t>
      </w:r>
      <w:r w:rsidR="00C55ABB" w:rsidRPr="007B5BE6">
        <w:rPr>
          <w:rFonts w:eastAsia="Times New Roman" w:cs="Times New Roman"/>
        </w:rPr>
        <w:t>ance of</w:t>
      </w:r>
      <w:r w:rsidR="003B5C1C" w:rsidRPr="007B5BE6">
        <w:rPr>
          <w:rFonts w:eastAsia="Times New Roman" w:cs="Times New Roman"/>
        </w:rPr>
        <w:t xml:space="preserve"> functions, with </w:t>
      </w:r>
      <w:r w:rsidR="003A4401" w:rsidRPr="007B5BE6">
        <w:rPr>
          <w:rFonts w:eastAsia="Times New Roman" w:cs="Times New Roman"/>
        </w:rPr>
        <w:t>a framework empowering the court to make a range of orders</w:t>
      </w:r>
      <w:r w:rsidR="00BB5E7F" w:rsidRPr="007B5BE6">
        <w:rPr>
          <w:rFonts w:eastAsia="Times New Roman" w:cs="Times New Roman"/>
        </w:rPr>
        <w:t>;</w:t>
      </w:r>
      <w:r w:rsidRPr="007B5BE6">
        <w:rPr>
          <w:rFonts w:eastAsia="Times New Roman" w:cs="Times New Roman"/>
        </w:rPr>
        <w:t xml:space="preserve"> </w:t>
      </w:r>
    </w:p>
    <w:p w14:paraId="22B73121" w14:textId="2A708928"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provision for </w:t>
      </w:r>
      <w:r w:rsidR="00473306" w:rsidRPr="007B5BE6">
        <w:rPr>
          <w:rFonts w:eastAsia="Times New Roman" w:cs="Times New Roman"/>
        </w:rPr>
        <w:t xml:space="preserve">the ASU’s </w:t>
      </w:r>
      <w:r w:rsidRPr="007B5BE6">
        <w:rPr>
          <w:rFonts w:eastAsia="Times New Roman" w:cs="Times New Roman"/>
        </w:rPr>
        <w:t>decisions to be reviewed;</w:t>
      </w:r>
    </w:p>
    <w:p w14:paraId="68E47BD4" w14:textId="1D17CBFB"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provision of information-sharing </w:t>
      </w:r>
      <w:r w:rsidR="00473306" w:rsidRPr="007B5BE6">
        <w:rPr>
          <w:rFonts w:eastAsia="Times New Roman" w:cs="Times New Roman"/>
        </w:rPr>
        <w:t xml:space="preserve">arrangements </w:t>
      </w:r>
      <w:r w:rsidRPr="007B5BE6">
        <w:rPr>
          <w:rFonts w:eastAsia="Times New Roman" w:cs="Times New Roman"/>
        </w:rPr>
        <w:t>between appropriate bodies to manage risk; and</w:t>
      </w:r>
    </w:p>
    <w:p w14:paraId="206F60BD" w14:textId="3A4A8758"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some protections for professionals if </w:t>
      </w:r>
      <w:r w:rsidR="00473306" w:rsidRPr="007B5BE6">
        <w:rPr>
          <w:rFonts w:eastAsia="Times New Roman" w:cs="Times New Roman"/>
        </w:rPr>
        <w:t xml:space="preserve">they </w:t>
      </w:r>
      <w:r w:rsidRPr="007B5BE6">
        <w:rPr>
          <w:rFonts w:eastAsia="Times New Roman" w:cs="Times New Roman"/>
        </w:rPr>
        <w:t>act in accordance with requirements under the Act.</w:t>
      </w:r>
      <w:r w:rsidR="00B60D2C" w:rsidRPr="007B5BE6">
        <w:rPr>
          <w:rStyle w:val="FootnoteReference"/>
          <w:rFonts w:eastAsia="Times New Roman" w:cs="Times New Roman"/>
        </w:rPr>
        <w:footnoteReference w:id="518"/>
      </w:r>
    </w:p>
    <w:p w14:paraId="6BDEFBA3" w14:textId="67019F59"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In 2022, the </w:t>
      </w:r>
      <w:r w:rsidRPr="007B5BE6">
        <w:rPr>
          <w:rFonts w:eastAsia="Times" w:cs="Times New Roman"/>
          <w:i/>
          <w:iCs/>
          <w:szCs w:val="20"/>
        </w:rPr>
        <w:t>Ageing and Adult Safeguarding Unit Safeguarding Act 1995</w:t>
      </w:r>
      <w:r w:rsidRPr="007B5BE6">
        <w:rPr>
          <w:rFonts w:eastAsia="Times" w:cs="Times New Roman"/>
          <w:szCs w:val="20"/>
        </w:rPr>
        <w:t xml:space="preserve"> (SA) was reviewed by the South Australian Law Reform Institute (</w:t>
      </w:r>
      <w:r w:rsidR="00C55ABB" w:rsidRPr="007B5BE6">
        <w:rPr>
          <w:rFonts w:eastAsia="Times" w:cs="Times New Roman"/>
          <w:szCs w:val="20"/>
        </w:rPr>
        <w:t>‘</w:t>
      </w:r>
      <w:r w:rsidRPr="007B5BE6">
        <w:rPr>
          <w:rFonts w:eastAsia="Times" w:cs="Times New Roman"/>
          <w:szCs w:val="20"/>
        </w:rPr>
        <w:t>SALRI</w:t>
      </w:r>
      <w:r w:rsidR="00C55ABB" w:rsidRPr="007B5BE6">
        <w:rPr>
          <w:rFonts w:eastAsia="Times" w:cs="Times New Roman"/>
          <w:szCs w:val="20"/>
        </w:rPr>
        <w:t>’</w:t>
      </w:r>
      <w:r w:rsidRPr="007B5BE6">
        <w:rPr>
          <w:rFonts w:eastAsia="Times" w:cs="Times New Roman"/>
          <w:szCs w:val="20"/>
        </w:rPr>
        <w:t>)</w:t>
      </w:r>
      <w:r w:rsidR="00BA6C75" w:rsidRPr="007B5BE6">
        <w:rPr>
          <w:rFonts w:eastAsia="Times" w:cs="Times New Roman"/>
          <w:szCs w:val="20"/>
        </w:rPr>
        <w:t>.</w:t>
      </w:r>
      <w:r w:rsidRPr="007B5BE6">
        <w:rPr>
          <w:rFonts w:eastAsia="Times" w:cs="Times New Roman"/>
          <w:szCs w:val="20"/>
        </w:rPr>
        <w:t xml:space="preserve"> SALRI made 46 recommendations for changes to law and practice,</w:t>
      </w:r>
      <w:r w:rsidR="00BA6C75" w:rsidRPr="007B5BE6">
        <w:rPr>
          <w:rStyle w:val="FootnoteReference"/>
          <w:rFonts w:eastAsia="Times" w:cs="Times New Roman"/>
          <w:szCs w:val="20"/>
        </w:rPr>
        <w:footnoteReference w:id="519"/>
      </w:r>
      <w:r w:rsidRPr="007B5BE6">
        <w:rPr>
          <w:rFonts w:eastAsia="Times" w:cs="Times New Roman"/>
          <w:szCs w:val="20"/>
        </w:rPr>
        <w:t xml:space="preserve"> noting that the central premise of the </w:t>
      </w:r>
      <w:r w:rsidR="00BB34FD" w:rsidRPr="007B5BE6">
        <w:rPr>
          <w:rFonts w:eastAsia="Times" w:cs="Times New Roman"/>
          <w:szCs w:val="20"/>
        </w:rPr>
        <w:t xml:space="preserve">ASU </w:t>
      </w:r>
      <w:r w:rsidRPr="007B5BE6">
        <w:rPr>
          <w:rFonts w:eastAsia="Times" w:cs="Times New Roman"/>
          <w:szCs w:val="20"/>
        </w:rPr>
        <w:t>is to ‘safeguard vulnerable adults from abuse … [with] a strong focus … on the individual’s autonomy and supported decision-making’.</w:t>
      </w:r>
      <w:r w:rsidR="004C5221" w:rsidRPr="007B5BE6">
        <w:rPr>
          <w:rStyle w:val="FootnoteReference"/>
          <w:rFonts w:eastAsia="Times" w:cs="Times New Roman"/>
          <w:szCs w:val="20"/>
        </w:rPr>
        <w:footnoteReference w:id="520"/>
      </w:r>
      <w:r w:rsidRPr="007B5BE6">
        <w:rPr>
          <w:rFonts w:eastAsia="Times" w:cs="Times New Roman"/>
          <w:szCs w:val="20"/>
        </w:rPr>
        <w:t xml:space="preserve"> It was noted that the ASU was introduced with the intention to ‘“fill the gaps” that had been identified in the protection of vulnerable adults, notably in relation to elder abuse</w:t>
      </w:r>
      <w:r w:rsidR="001A752D" w:rsidRPr="007B5BE6">
        <w:rPr>
          <w:rFonts w:eastAsia="Times" w:cs="Times New Roman"/>
          <w:szCs w:val="20"/>
        </w:rPr>
        <w:t>’</w:t>
      </w:r>
      <w:r w:rsidRPr="007B5BE6">
        <w:rPr>
          <w:rFonts w:eastAsia="Times" w:cs="Times New Roman"/>
          <w:szCs w:val="20"/>
        </w:rPr>
        <w:t>.</w:t>
      </w:r>
      <w:r w:rsidR="004C5221" w:rsidRPr="007B5BE6">
        <w:rPr>
          <w:rStyle w:val="FootnoteReference"/>
          <w:rFonts w:eastAsia="Times" w:cs="Times New Roman"/>
          <w:szCs w:val="20"/>
        </w:rPr>
        <w:footnoteReference w:id="521"/>
      </w:r>
    </w:p>
    <w:p w14:paraId="64689945" w14:textId="752CEC1B"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Among SALRI’s recommendations were that the roles and operations of the Office for Ageing Well and the </w:t>
      </w:r>
      <w:r w:rsidR="00BB34FD" w:rsidRPr="007B5BE6">
        <w:rPr>
          <w:rFonts w:eastAsia="Times" w:cs="Times New Roman"/>
          <w:szCs w:val="20"/>
        </w:rPr>
        <w:t>ASU</w:t>
      </w:r>
      <w:r w:rsidRPr="007B5BE6">
        <w:rPr>
          <w:rFonts w:eastAsia="Times" w:cs="Times New Roman"/>
          <w:szCs w:val="20"/>
        </w:rPr>
        <w:t xml:space="preserve"> under the </w:t>
      </w:r>
      <w:r w:rsidRPr="007B5BE6">
        <w:rPr>
          <w:rFonts w:eastAsia="Times" w:cs="Times New Roman"/>
          <w:i/>
          <w:iCs/>
          <w:szCs w:val="20"/>
        </w:rPr>
        <w:t>Ageing and Adult Safeguarding Unit Safeguarding Act 1995</w:t>
      </w:r>
      <w:r w:rsidRPr="007B5BE6">
        <w:rPr>
          <w:rFonts w:eastAsia="Times" w:cs="Times New Roman"/>
          <w:szCs w:val="20"/>
        </w:rPr>
        <w:t xml:space="preserve"> (SA) should be retained, with the </w:t>
      </w:r>
      <w:r w:rsidR="00BB34FD" w:rsidRPr="007B5BE6">
        <w:rPr>
          <w:rFonts w:eastAsia="Times" w:cs="Times New Roman"/>
          <w:szCs w:val="20"/>
        </w:rPr>
        <w:t xml:space="preserve">ASU </w:t>
      </w:r>
      <w:r w:rsidRPr="007B5BE6">
        <w:rPr>
          <w:rFonts w:eastAsia="Times" w:cs="Times New Roman"/>
          <w:szCs w:val="20"/>
        </w:rPr>
        <w:t>to remain responsible for responding to reports of suspected abuse.</w:t>
      </w:r>
      <w:r w:rsidR="004C5221" w:rsidRPr="007B5BE6">
        <w:rPr>
          <w:rStyle w:val="FootnoteReference"/>
          <w:rFonts w:eastAsia="Times" w:cs="Times New Roman"/>
          <w:szCs w:val="20"/>
        </w:rPr>
        <w:footnoteReference w:id="522"/>
      </w:r>
      <w:r w:rsidRPr="007B5BE6">
        <w:rPr>
          <w:rFonts w:eastAsia="Times" w:cs="Times New Roman"/>
          <w:szCs w:val="20"/>
        </w:rPr>
        <w:t xml:space="preserve"> Further, drawing on principles and approaches to safeguarding in the United Kingdom under the </w:t>
      </w:r>
      <w:r w:rsidRPr="007B5BE6">
        <w:rPr>
          <w:rFonts w:eastAsia="Times" w:cs="Times New Roman"/>
          <w:i/>
          <w:iCs/>
          <w:szCs w:val="20"/>
        </w:rPr>
        <w:t>Care Act 2014</w:t>
      </w:r>
      <w:r w:rsidRPr="007B5BE6">
        <w:rPr>
          <w:rFonts w:eastAsia="Times" w:cs="Times New Roman"/>
          <w:szCs w:val="20"/>
        </w:rPr>
        <w:t xml:space="preserve"> (UK),</w:t>
      </w:r>
      <w:r w:rsidR="00574220" w:rsidRPr="007B5BE6">
        <w:rPr>
          <w:rStyle w:val="FootnoteReference"/>
          <w:rFonts w:eastAsia="Times" w:cs="Times New Roman"/>
          <w:szCs w:val="20"/>
        </w:rPr>
        <w:footnoteReference w:id="523"/>
      </w:r>
      <w:r w:rsidRPr="007B5BE6">
        <w:rPr>
          <w:rFonts w:eastAsia="Times" w:cs="Times New Roman"/>
          <w:szCs w:val="20"/>
        </w:rPr>
        <w:t xml:space="preserve"> SALRI made numerous recommendations focusing </w:t>
      </w:r>
      <w:r w:rsidR="00BB34FD" w:rsidRPr="007B5BE6">
        <w:rPr>
          <w:rFonts w:eastAsia="Times" w:cs="Times New Roman"/>
          <w:szCs w:val="20"/>
        </w:rPr>
        <w:t xml:space="preserve">on </w:t>
      </w:r>
      <w:r w:rsidRPr="007B5BE6">
        <w:rPr>
          <w:rFonts w:eastAsia="Times" w:cs="Times New Roman"/>
          <w:szCs w:val="20"/>
        </w:rPr>
        <w:t xml:space="preserve">the concept of safeguarding regarding </w:t>
      </w:r>
      <w:r w:rsidR="00BB34FD" w:rsidRPr="007B5BE6">
        <w:rPr>
          <w:rFonts w:eastAsia="Times" w:cs="Times New Roman"/>
          <w:szCs w:val="20"/>
        </w:rPr>
        <w:t xml:space="preserve">ASU’s </w:t>
      </w:r>
      <w:r w:rsidRPr="007B5BE6">
        <w:rPr>
          <w:rFonts w:eastAsia="Times" w:cs="Times New Roman"/>
          <w:szCs w:val="20"/>
        </w:rPr>
        <w:t>role. These included that:</w:t>
      </w:r>
    </w:p>
    <w:p w14:paraId="1BCCCC0D" w14:textId="4816FC9C"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‘safeguarding’ should be included in the Act as the</w:t>
      </w:r>
      <w:r w:rsidR="00BB34FD" w:rsidRPr="007B5BE6">
        <w:rPr>
          <w:rFonts w:eastAsia="Times New Roman" w:cs="Times New Roman"/>
        </w:rPr>
        <w:t xml:space="preserve"> ASU’s</w:t>
      </w:r>
      <w:r w:rsidRPr="007B5BE6">
        <w:rPr>
          <w:rFonts w:eastAsia="Times New Roman" w:cs="Times New Roman"/>
        </w:rPr>
        <w:t xml:space="preserve"> primary purpose</w:t>
      </w:r>
      <w:r w:rsidR="00BB34FD" w:rsidRPr="007B5BE6">
        <w:rPr>
          <w:rFonts w:eastAsia="Times New Roman" w:cs="Times New Roman"/>
        </w:rPr>
        <w:t xml:space="preserve">, </w:t>
      </w:r>
      <w:r w:rsidRPr="007B5BE6">
        <w:rPr>
          <w:rFonts w:eastAsia="Times New Roman" w:cs="Times New Roman"/>
        </w:rPr>
        <w:t xml:space="preserve">and further that </w:t>
      </w:r>
      <w:r w:rsidR="00BB34FD" w:rsidRPr="007B5BE6">
        <w:rPr>
          <w:rFonts w:eastAsia="Times New Roman" w:cs="Times New Roman"/>
        </w:rPr>
        <w:t xml:space="preserve">its </w:t>
      </w:r>
      <w:r w:rsidRPr="007B5BE6">
        <w:rPr>
          <w:rFonts w:eastAsia="Times New Roman" w:cs="Times New Roman"/>
        </w:rPr>
        <w:t xml:space="preserve">primary purpose should </w:t>
      </w:r>
      <w:r w:rsidR="00F82420" w:rsidRPr="007B5BE6">
        <w:rPr>
          <w:rFonts w:eastAsia="Times New Roman" w:cs="Times New Roman"/>
        </w:rPr>
        <w:t xml:space="preserve">be </w:t>
      </w:r>
      <w:r w:rsidRPr="007B5BE6">
        <w:rPr>
          <w:rFonts w:eastAsia="Times New Roman" w:cs="Times New Roman"/>
        </w:rPr>
        <w:t>amended to reflect that its primary focus is to respon</w:t>
      </w:r>
      <w:r w:rsidR="00C16DF8" w:rsidRPr="007B5BE6">
        <w:rPr>
          <w:rFonts w:eastAsia="Times New Roman" w:cs="Times New Roman"/>
        </w:rPr>
        <w:t>d</w:t>
      </w:r>
      <w:r w:rsidRPr="007B5BE6">
        <w:rPr>
          <w:rFonts w:eastAsia="Times New Roman" w:cs="Times New Roman"/>
        </w:rPr>
        <w:t xml:space="preserve"> to abuse, rather than other functions, such as advocacy or community education;</w:t>
      </w:r>
      <w:r w:rsidRPr="007B5BE6">
        <w:rPr>
          <w:rFonts w:eastAsia="Times New Roman" w:cs="Times New Roman"/>
          <w:vertAlign w:val="superscript"/>
        </w:rPr>
        <w:footnoteReference w:id="524"/>
      </w:r>
    </w:p>
    <w:p w14:paraId="1ABCDC5A" w14:textId="34E5C04B"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the concept of safeguarding should be supplemented by appropriate guidance about the aims of safeguarding</w:t>
      </w:r>
      <w:r w:rsidR="004B3B9B" w:rsidRPr="007B5BE6">
        <w:rPr>
          <w:rFonts w:eastAsia="Times New Roman" w:cs="Times New Roman"/>
        </w:rPr>
        <w:t xml:space="preserve"> based on the following formulation:</w:t>
      </w:r>
    </w:p>
    <w:p w14:paraId="5A5E2310" w14:textId="77777777" w:rsidR="00CF282D" w:rsidRPr="007B5BE6" w:rsidRDefault="00CF282D" w:rsidP="003C5823">
      <w:pPr>
        <w:pStyle w:val="DotPointTLRI"/>
        <w:numPr>
          <w:ilvl w:val="1"/>
          <w:numId w:val="1"/>
        </w:numPr>
        <w:rPr>
          <w:rFonts w:eastAsia="Aptos"/>
        </w:rPr>
      </w:pPr>
      <w:r w:rsidRPr="007B5BE6">
        <w:rPr>
          <w:rFonts w:eastAsia="Aptos"/>
        </w:rPr>
        <w:t xml:space="preserve">prevent harm and reduce the risk of abuse or neglect to adults with care and support needs; </w:t>
      </w:r>
    </w:p>
    <w:p w14:paraId="687409C2" w14:textId="77777777" w:rsidR="00CF282D" w:rsidRPr="007B5BE6" w:rsidRDefault="00CF282D" w:rsidP="003C5823">
      <w:pPr>
        <w:pStyle w:val="DotPointTLRI"/>
        <w:numPr>
          <w:ilvl w:val="1"/>
          <w:numId w:val="1"/>
        </w:numPr>
        <w:rPr>
          <w:rFonts w:eastAsia="Aptos"/>
        </w:rPr>
      </w:pPr>
      <w:r w:rsidRPr="007B5BE6">
        <w:rPr>
          <w:rFonts w:eastAsia="Aptos"/>
        </w:rPr>
        <w:t xml:space="preserve">stop abuse or neglect wherever possible; </w:t>
      </w:r>
    </w:p>
    <w:p w14:paraId="46A7355D" w14:textId="77777777" w:rsidR="00CF282D" w:rsidRPr="007B5BE6" w:rsidRDefault="00CF282D" w:rsidP="003C5823">
      <w:pPr>
        <w:pStyle w:val="DotPointTLRI"/>
        <w:numPr>
          <w:ilvl w:val="1"/>
          <w:numId w:val="1"/>
        </w:numPr>
        <w:rPr>
          <w:rFonts w:eastAsia="Aptos"/>
        </w:rPr>
      </w:pPr>
      <w:r w:rsidRPr="007B5BE6">
        <w:rPr>
          <w:rFonts w:eastAsia="Aptos"/>
        </w:rPr>
        <w:t>safeguard adults in a way that supports them in making choices and having control about how they want to live;</w:t>
      </w:r>
    </w:p>
    <w:p w14:paraId="5CCA4FB3" w14:textId="77777777" w:rsidR="00724B4B" w:rsidRPr="007B5BE6" w:rsidRDefault="00CF282D" w:rsidP="003C5823">
      <w:pPr>
        <w:pStyle w:val="DotPointTLRI"/>
        <w:numPr>
          <w:ilvl w:val="1"/>
          <w:numId w:val="1"/>
        </w:numPr>
        <w:rPr>
          <w:rFonts w:eastAsia="Aptos"/>
        </w:rPr>
      </w:pPr>
      <w:r w:rsidRPr="007B5BE6">
        <w:rPr>
          <w:rFonts w:eastAsia="Aptos"/>
        </w:rPr>
        <w:t>promote an approach that concentrates on improving life for the adults concerned;</w:t>
      </w:r>
    </w:p>
    <w:p w14:paraId="17B6FB1E" w14:textId="6BB4CBCD" w:rsidR="00CF282D" w:rsidRPr="007B5BE6" w:rsidRDefault="00CF282D" w:rsidP="003C5823">
      <w:pPr>
        <w:pStyle w:val="DotPointTLRI"/>
        <w:numPr>
          <w:ilvl w:val="1"/>
          <w:numId w:val="1"/>
        </w:numPr>
        <w:rPr>
          <w:rFonts w:eastAsia="Aptos"/>
        </w:rPr>
      </w:pPr>
      <w:r w:rsidRPr="007B5BE6">
        <w:rPr>
          <w:rFonts w:eastAsia="Aptos"/>
        </w:rPr>
        <w:lastRenderedPageBreak/>
        <w:t xml:space="preserve">support public awareness campaigns </w:t>
      </w:r>
      <w:r w:rsidR="00724B4B" w:rsidRPr="007B5BE6">
        <w:rPr>
          <w:rFonts w:eastAsia="Aptos"/>
        </w:rPr>
        <w:t>s</w:t>
      </w:r>
      <w:r w:rsidRPr="007B5BE6">
        <w:rPr>
          <w:rFonts w:eastAsia="Aptos"/>
        </w:rPr>
        <w:t xml:space="preserve">o that </w:t>
      </w:r>
      <w:proofErr w:type="gramStart"/>
      <w:r w:rsidRPr="007B5BE6">
        <w:rPr>
          <w:rFonts w:eastAsia="Aptos"/>
        </w:rPr>
        <w:t>communities as a whole, alongside</w:t>
      </w:r>
      <w:proofErr w:type="gramEnd"/>
      <w:r w:rsidRPr="007B5BE6">
        <w:rPr>
          <w:rFonts w:eastAsia="Aptos"/>
        </w:rPr>
        <w:t xml:space="preserve"> professionals, play their part in preventing, identifying and responding to abuse and neglect;</w:t>
      </w:r>
    </w:p>
    <w:p w14:paraId="61CC6891" w14:textId="11FB737B" w:rsidR="00CF282D" w:rsidRPr="007B5BE6" w:rsidRDefault="00CF282D" w:rsidP="003C5823">
      <w:pPr>
        <w:pStyle w:val="ListParagraph"/>
        <w:numPr>
          <w:ilvl w:val="1"/>
          <w:numId w:val="1"/>
        </w:numPr>
        <w:spacing w:before="220"/>
        <w:ind w:right="720"/>
        <w:rPr>
          <w:rFonts w:eastAsia="Aptos" w:cs="Arial"/>
        </w:rPr>
      </w:pPr>
      <w:r w:rsidRPr="007B5BE6">
        <w:rPr>
          <w:rFonts w:eastAsia="Aptos" w:cs="Arial"/>
        </w:rPr>
        <w:t xml:space="preserve">provide information and support in accessible ways to help people understand the different types of abuse, how to stay safe and what to do to raise a concern about the safety of wellbeing of an adult; and </w:t>
      </w:r>
    </w:p>
    <w:p w14:paraId="79D46521" w14:textId="4340D245" w:rsidR="00CF282D" w:rsidRPr="007B5BE6" w:rsidRDefault="00CF282D" w:rsidP="003C5823">
      <w:pPr>
        <w:pStyle w:val="DotPointTLRI"/>
        <w:numPr>
          <w:ilvl w:val="1"/>
          <w:numId w:val="1"/>
        </w:numPr>
        <w:rPr>
          <w:rFonts w:eastAsia="Aptos"/>
        </w:rPr>
      </w:pPr>
      <w:r w:rsidRPr="007B5BE6">
        <w:rPr>
          <w:rFonts w:eastAsia="Aptos"/>
        </w:rPr>
        <w:t>address what has caused the abuse or neglect, where practicable.</w:t>
      </w:r>
      <w:r w:rsidR="00811698" w:rsidRPr="007B5BE6">
        <w:rPr>
          <w:rStyle w:val="FootnoteReference"/>
          <w:rFonts w:eastAsia="Aptos"/>
        </w:rPr>
        <w:footnoteReference w:id="525"/>
      </w:r>
      <w:r w:rsidRPr="007B5BE6">
        <w:rPr>
          <w:rFonts w:eastAsia="Aptos"/>
        </w:rPr>
        <w:t xml:space="preserve"> </w:t>
      </w:r>
    </w:p>
    <w:p w14:paraId="643896C0" w14:textId="444AFFAF" w:rsidR="00CF282D" w:rsidRPr="007B5BE6" w:rsidRDefault="005C7C96" w:rsidP="00CF282D">
      <w:pPr>
        <w:numPr>
          <w:ilvl w:val="2"/>
          <w:numId w:val="2"/>
        </w:numPr>
        <w:tabs>
          <w:tab w:val="left" w:pos="851"/>
        </w:tabs>
        <w:spacing w:before="220"/>
        <w:rPr>
          <w:rFonts w:eastAsia="Times" w:cs="Times New Roman"/>
          <w:szCs w:val="20"/>
        </w:rPr>
      </w:pPr>
      <w:r w:rsidRPr="007B5BE6">
        <w:rPr>
          <w:rFonts w:eastAsia="Times" w:cs="Times New Roman"/>
          <w:szCs w:val="20"/>
        </w:rPr>
        <w:t>SALR</w:t>
      </w:r>
      <w:r w:rsidR="00231ECC" w:rsidRPr="007B5BE6">
        <w:rPr>
          <w:rFonts w:eastAsia="Times" w:cs="Times New Roman"/>
          <w:szCs w:val="20"/>
        </w:rPr>
        <w:t>I</w:t>
      </w:r>
      <w:r w:rsidRPr="007B5BE6">
        <w:rPr>
          <w:rFonts w:eastAsia="Times" w:cs="Times New Roman"/>
          <w:szCs w:val="20"/>
        </w:rPr>
        <w:t xml:space="preserve"> recognised that </w:t>
      </w:r>
      <w:r w:rsidR="00310A20" w:rsidRPr="007B5BE6">
        <w:rPr>
          <w:rFonts w:eastAsia="Times" w:cs="Times New Roman"/>
          <w:szCs w:val="20"/>
        </w:rPr>
        <w:t xml:space="preserve">although </w:t>
      </w:r>
      <w:r w:rsidR="00231ECC" w:rsidRPr="007B5BE6">
        <w:rPr>
          <w:rFonts w:eastAsia="Times" w:cs="Times New Roman"/>
          <w:szCs w:val="20"/>
        </w:rPr>
        <w:t xml:space="preserve">balancing safeguarding and autonomy </w:t>
      </w:r>
      <w:r w:rsidR="00310A20" w:rsidRPr="007B5BE6">
        <w:rPr>
          <w:rFonts w:eastAsia="Times" w:cs="Times New Roman"/>
          <w:szCs w:val="20"/>
        </w:rPr>
        <w:t>i</w:t>
      </w:r>
      <w:r w:rsidR="00836047" w:rsidRPr="007B5BE6">
        <w:rPr>
          <w:rFonts w:eastAsia="Times" w:cs="Times New Roman"/>
          <w:szCs w:val="20"/>
        </w:rPr>
        <w:t>s</w:t>
      </w:r>
      <w:r w:rsidR="00310A20" w:rsidRPr="007B5BE6">
        <w:rPr>
          <w:rFonts w:eastAsia="Times" w:cs="Times New Roman"/>
          <w:szCs w:val="20"/>
        </w:rPr>
        <w:t xml:space="preserve"> often </w:t>
      </w:r>
      <w:r w:rsidR="00231ECC" w:rsidRPr="007B5BE6">
        <w:rPr>
          <w:rFonts w:eastAsia="Times" w:cs="Times New Roman"/>
          <w:szCs w:val="20"/>
        </w:rPr>
        <w:t xml:space="preserve">difficult, </w:t>
      </w:r>
      <w:r w:rsidR="00310A20" w:rsidRPr="007B5BE6">
        <w:rPr>
          <w:rFonts w:eastAsia="Times" w:cs="Times New Roman"/>
          <w:szCs w:val="20"/>
        </w:rPr>
        <w:t xml:space="preserve">it </w:t>
      </w:r>
      <w:r w:rsidR="00231ECC" w:rsidRPr="007B5BE6">
        <w:rPr>
          <w:rFonts w:eastAsia="Times" w:cs="Times New Roman"/>
          <w:szCs w:val="20"/>
        </w:rPr>
        <w:t xml:space="preserve">is </w:t>
      </w:r>
      <w:r w:rsidR="00310A20" w:rsidRPr="007B5BE6">
        <w:rPr>
          <w:rFonts w:eastAsia="Times" w:cs="Times New Roman"/>
          <w:szCs w:val="20"/>
        </w:rPr>
        <w:t>necessary and appropriate.</w:t>
      </w:r>
      <w:r w:rsidR="00842CB3" w:rsidRPr="007B5BE6">
        <w:rPr>
          <w:rFonts w:eastAsia="Times" w:cs="Times New Roman"/>
          <w:szCs w:val="20"/>
        </w:rPr>
        <w:t xml:space="preserve"> </w:t>
      </w:r>
      <w:r w:rsidR="0031298E" w:rsidRPr="007B5BE6">
        <w:rPr>
          <w:rFonts w:eastAsia="Times" w:cs="Times New Roman"/>
          <w:szCs w:val="20"/>
        </w:rPr>
        <w:t>Regarding this, t</w:t>
      </w:r>
      <w:r w:rsidR="00CF282D" w:rsidRPr="007B5BE6">
        <w:rPr>
          <w:rFonts w:eastAsia="Times" w:cs="Times New Roman"/>
          <w:szCs w:val="20"/>
        </w:rPr>
        <w:t>he central point that underpinned SALRI</w:t>
      </w:r>
      <w:r w:rsidR="007B4CA0" w:rsidRPr="007B5BE6">
        <w:rPr>
          <w:rFonts w:eastAsia="Times" w:cs="Times New Roman"/>
          <w:szCs w:val="20"/>
        </w:rPr>
        <w:t>’</w:t>
      </w:r>
      <w:r w:rsidR="00CF282D" w:rsidRPr="007B5BE6">
        <w:rPr>
          <w:rFonts w:eastAsia="Times" w:cs="Times New Roman"/>
          <w:szCs w:val="20"/>
        </w:rPr>
        <w:t xml:space="preserve">s recommendations </w:t>
      </w:r>
      <w:r w:rsidR="000766D2" w:rsidRPr="007B5BE6">
        <w:rPr>
          <w:rFonts w:eastAsia="Times" w:cs="Times New Roman"/>
          <w:szCs w:val="20"/>
        </w:rPr>
        <w:t xml:space="preserve">(echoing the ALRC’s views on this matter) </w:t>
      </w:r>
      <w:r w:rsidR="00CF282D" w:rsidRPr="007B5BE6">
        <w:rPr>
          <w:rFonts w:eastAsia="Times" w:cs="Times New Roman"/>
          <w:szCs w:val="20"/>
        </w:rPr>
        <w:t>was that</w:t>
      </w:r>
      <w:r w:rsidRPr="007B5BE6">
        <w:rPr>
          <w:rFonts w:eastAsia="Times" w:cs="Times New Roman"/>
          <w:szCs w:val="20"/>
        </w:rPr>
        <w:t xml:space="preserve"> </w:t>
      </w:r>
      <w:r w:rsidR="00AE394C" w:rsidRPr="007B5BE6">
        <w:rPr>
          <w:rFonts w:eastAsia="Times" w:cs="Times New Roman"/>
          <w:szCs w:val="20"/>
        </w:rPr>
        <w:t xml:space="preserve">the relevant </w:t>
      </w:r>
      <w:r w:rsidR="00240B93" w:rsidRPr="007B5BE6">
        <w:rPr>
          <w:rFonts w:eastAsia="Times" w:cs="Times New Roman"/>
          <w:szCs w:val="20"/>
        </w:rPr>
        <w:t xml:space="preserve">framing principles </w:t>
      </w:r>
      <w:r w:rsidR="00AE394C" w:rsidRPr="007B5BE6">
        <w:rPr>
          <w:rFonts w:eastAsia="Times" w:cs="Times New Roman"/>
          <w:szCs w:val="20"/>
        </w:rPr>
        <w:t>(</w:t>
      </w:r>
      <w:r w:rsidR="000766D2" w:rsidRPr="007B5BE6">
        <w:rPr>
          <w:rFonts w:eastAsia="Times" w:cs="Times New Roman"/>
          <w:szCs w:val="20"/>
        </w:rPr>
        <w:t xml:space="preserve">protection and </w:t>
      </w:r>
      <w:r w:rsidR="00CF282D" w:rsidRPr="007B5BE6">
        <w:rPr>
          <w:rFonts w:eastAsia="Times" w:cs="Times New Roman"/>
          <w:szCs w:val="20"/>
        </w:rPr>
        <w:t>safeguarding</w:t>
      </w:r>
      <w:r w:rsidR="00AE394C" w:rsidRPr="007B5BE6">
        <w:rPr>
          <w:rFonts w:eastAsia="Times" w:cs="Times New Roman"/>
          <w:szCs w:val="20"/>
        </w:rPr>
        <w:t>,</w:t>
      </w:r>
      <w:r w:rsidR="00CF282D" w:rsidRPr="007B5BE6">
        <w:rPr>
          <w:rFonts w:eastAsia="Times" w:cs="Times New Roman"/>
          <w:szCs w:val="20"/>
        </w:rPr>
        <w:t xml:space="preserve"> and </w:t>
      </w:r>
      <w:r w:rsidR="00240B93" w:rsidRPr="007B5BE6">
        <w:rPr>
          <w:rFonts w:eastAsia="Times" w:cs="Times New Roman"/>
          <w:szCs w:val="20"/>
        </w:rPr>
        <w:t xml:space="preserve">dignity and </w:t>
      </w:r>
      <w:r w:rsidR="00CF282D" w:rsidRPr="007B5BE6">
        <w:rPr>
          <w:rFonts w:eastAsia="Times" w:cs="Times New Roman"/>
          <w:szCs w:val="20"/>
        </w:rPr>
        <w:t>autonomy</w:t>
      </w:r>
      <w:r w:rsidR="00AE394C" w:rsidRPr="007B5BE6">
        <w:rPr>
          <w:rFonts w:eastAsia="Times" w:cs="Times New Roman"/>
          <w:szCs w:val="20"/>
        </w:rPr>
        <w:t>)</w:t>
      </w:r>
      <w:r w:rsidR="00CF282D" w:rsidRPr="007B5BE6">
        <w:rPr>
          <w:rFonts w:eastAsia="Times" w:cs="Times New Roman"/>
          <w:szCs w:val="20"/>
        </w:rPr>
        <w:t xml:space="preserve"> can </w:t>
      </w:r>
      <w:r w:rsidR="00240B93" w:rsidRPr="007B5BE6">
        <w:rPr>
          <w:rFonts w:eastAsia="Times" w:cs="Times New Roman"/>
          <w:szCs w:val="20"/>
        </w:rPr>
        <w:t xml:space="preserve">equally </w:t>
      </w:r>
      <w:r w:rsidR="00CF282D" w:rsidRPr="007B5BE6">
        <w:rPr>
          <w:rFonts w:eastAsia="Times" w:cs="Times New Roman"/>
          <w:szCs w:val="20"/>
        </w:rPr>
        <w:t>exist in the legal protections provided to older people:</w:t>
      </w:r>
    </w:p>
    <w:p w14:paraId="69FC3603" w14:textId="0EE455BB" w:rsidR="00CF282D" w:rsidRPr="007B5BE6" w:rsidRDefault="005C7C96" w:rsidP="00CF282D">
      <w:pPr>
        <w:spacing w:before="220"/>
        <w:ind w:left="720" w:right="720"/>
        <w:rPr>
          <w:rFonts w:eastAsia="Aptos" w:cs="Arial"/>
          <w:sz w:val="20"/>
          <w:szCs w:val="20"/>
        </w:rPr>
      </w:pPr>
      <w:r w:rsidRPr="007B5BE6">
        <w:rPr>
          <w:rFonts w:eastAsia="Aptos" w:cs="Arial"/>
          <w:sz w:val="20"/>
          <w:szCs w:val="20"/>
        </w:rPr>
        <w:t>I</w:t>
      </w:r>
      <w:r w:rsidR="00CF282D" w:rsidRPr="007B5BE6">
        <w:rPr>
          <w:rFonts w:eastAsia="Aptos" w:cs="Arial"/>
          <w:sz w:val="20"/>
          <w:szCs w:val="20"/>
        </w:rPr>
        <w:t>t is vital to recognise that safeguarding and autonomy are not mutually inconsistent and if the right balance is st</w:t>
      </w:r>
      <w:r w:rsidR="005E5CF6" w:rsidRPr="007B5BE6">
        <w:rPr>
          <w:rFonts w:eastAsia="Aptos" w:cs="Arial"/>
          <w:sz w:val="20"/>
          <w:szCs w:val="20"/>
        </w:rPr>
        <w:t>r</w:t>
      </w:r>
      <w:r w:rsidR="00CF282D" w:rsidRPr="007B5BE6">
        <w:rPr>
          <w:rFonts w:eastAsia="Aptos" w:cs="Arial"/>
          <w:sz w:val="20"/>
          <w:szCs w:val="20"/>
        </w:rPr>
        <w:t>uck, the two ideals can also be seen as complementary in the context of the [</w:t>
      </w:r>
      <w:r w:rsidR="00D61675" w:rsidRPr="007B5BE6">
        <w:rPr>
          <w:rFonts w:eastAsia="Times" w:cs="Times New Roman"/>
          <w:i/>
          <w:iCs/>
          <w:sz w:val="20"/>
          <w:szCs w:val="20"/>
        </w:rPr>
        <w:t>Ageing and Adult Safeguarding Act 1995</w:t>
      </w:r>
      <w:r w:rsidR="00D61675" w:rsidRPr="007B5BE6">
        <w:rPr>
          <w:rFonts w:eastAsia="Times" w:cs="Times New Roman"/>
          <w:sz w:val="20"/>
          <w:szCs w:val="20"/>
        </w:rPr>
        <w:t xml:space="preserve"> (SA)</w:t>
      </w:r>
      <w:r w:rsidR="00CF282D" w:rsidRPr="007B5BE6">
        <w:rPr>
          <w:rFonts w:eastAsia="Aptos" w:cs="Arial"/>
          <w:sz w:val="20"/>
          <w:szCs w:val="20"/>
        </w:rPr>
        <w:t>].</w:t>
      </w:r>
      <w:r w:rsidR="0061227A" w:rsidRPr="007B5BE6">
        <w:rPr>
          <w:rStyle w:val="FootnoteReference"/>
          <w:rFonts w:eastAsia="Aptos" w:cs="Arial"/>
          <w:sz w:val="20"/>
          <w:szCs w:val="20"/>
        </w:rPr>
        <w:footnoteReference w:id="526"/>
      </w:r>
    </w:p>
    <w:p w14:paraId="0BB1115F" w14:textId="61A64779" w:rsidR="00CF282D" w:rsidRPr="007B5BE6" w:rsidRDefault="001647EC"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Data </w:t>
      </w:r>
      <w:r w:rsidR="00DE103E" w:rsidRPr="007B5BE6">
        <w:rPr>
          <w:rFonts w:eastAsia="Times" w:cs="Times New Roman"/>
          <w:szCs w:val="20"/>
        </w:rPr>
        <w:t xml:space="preserve">is available </w:t>
      </w:r>
      <w:r w:rsidRPr="007B5BE6">
        <w:rPr>
          <w:rFonts w:eastAsia="Times" w:cs="Times New Roman"/>
          <w:szCs w:val="20"/>
        </w:rPr>
        <w:t xml:space="preserve">on the operation of the </w:t>
      </w:r>
      <w:r w:rsidR="00E36003" w:rsidRPr="007B5BE6">
        <w:rPr>
          <w:rFonts w:eastAsia="Times" w:cs="Times New Roman"/>
          <w:szCs w:val="20"/>
        </w:rPr>
        <w:t>ASU</w:t>
      </w:r>
      <w:r w:rsidR="00DE103E" w:rsidRPr="007B5BE6">
        <w:rPr>
          <w:rFonts w:eastAsia="Times" w:cs="Times New Roman"/>
          <w:szCs w:val="20"/>
        </w:rPr>
        <w:t>,</w:t>
      </w:r>
      <w:r w:rsidRPr="007B5BE6">
        <w:rPr>
          <w:rFonts w:eastAsia="Times" w:cs="Times New Roman"/>
          <w:szCs w:val="20"/>
        </w:rPr>
        <w:t xml:space="preserve"> </w:t>
      </w:r>
      <w:r w:rsidR="00621725" w:rsidRPr="007B5BE6">
        <w:rPr>
          <w:rFonts w:eastAsia="Times" w:cs="Times New Roman"/>
          <w:szCs w:val="20"/>
        </w:rPr>
        <w:t>providing insights into how it operates as</w:t>
      </w:r>
      <w:r w:rsidR="00B2295E" w:rsidRPr="007B5BE6">
        <w:rPr>
          <w:rFonts w:eastAsia="Times" w:cs="Times New Roman"/>
          <w:szCs w:val="20"/>
        </w:rPr>
        <w:t xml:space="preserve"> </w:t>
      </w:r>
      <w:r w:rsidR="00E132DD" w:rsidRPr="007B5BE6">
        <w:rPr>
          <w:rFonts w:eastAsia="Times" w:cs="Times New Roman"/>
          <w:szCs w:val="20"/>
        </w:rPr>
        <w:t>an</w:t>
      </w:r>
      <w:r w:rsidR="0025432A" w:rsidRPr="007B5BE6">
        <w:rPr>
          <w:rFonts w:eastAsia="Times" w:cs="Times New Roman"/>
          <w:szCs w:val="20"/>
        </w:rPr>
        <w:t xml:space="preserve"> overarching </w:t>
      </w:r>
      <w:r w:rsidR="00F148E7" w:rsidRPr="007B5BE6">
        <w:rPr>
          <w:rFonts w:eastAsia="Times" w:cs="Times New Roman"/>
          <w:szCs w:val="20"/>
        </w:rPr>
        <w:t>entity</w:t>
      </w:r>
      <w:r w:rsidR="0025432A" w:rsidRPr="007B5BE6">
        <w:rPr>
          <w:rFonts w:eastAsia="Times" w:cs="Times New Roman"/>
          <w:szCs w:val="20"/>
        </w:rPr>
        <w:t xml:space="preserve"> that </w:t>
      </w:r>
      <w:r w:rsidR="00F148E7" w:rsidRPr="007B5BE6">
        <w:rPr>
          <w:rFonts w:eastAsia="Times" w:cs="Times New Roman"/>
          <w:szCs w:val="20"/>
        </w:rPr>
        <w:t xml:space="preserve">can both provide advice and information, as well as </w:t>
      </w:r>
      <w:r w:rsidR="001A452C" w:rsidRPr="007B5BE6">
        <w:rPr>
          <w:rFonts w:eastAsia="Times" w:cs="Times New Roman"/>
          <w:szCs w:val="20"/>
        </w:rPr>
        <w:t xml:space="preserve">investigate and </w:t>
      </w:r>
      <w:proofErr w:type="gramStart"/>
      <w:r w:rsidR="001A452C" w:rsidRPr="007B5BE6">
        <w:rPr>
          <w:rFonts w:eastAsia="Times" w:cs="Times New Roman"/>
          <w:szCs w:val="20"/>
        </w:rPr>
        <w:t>take action</w:t>
      </w:r>
      <w:proofErr w:type="gramEnd"/>
      <w:r w:rsidR="00B2295E" w:rsidRPr="007B5BE6">
        <w:rPr>
          <w:rFonts w:eastAsia="Times" w:cs="Times New Roman"/>
          <w:szCs w:val="20"/>
        </w:rPr>
        <w:t xml:space="preserve"> in response to concerns about abuse of older people</w:t>
      </w:r>
      <w:r w:rsidR="001A452C" w:rsidRPr="007B5BE6">
        <w:rPr>
          <w:rFonts w:eastAsia="Times" w:cs="Times New Roman"/>
          <w:szCs w:val="20"/>
        </w:rPr>
        <w:t>.</w:t>
      </w:r>
      <w:r w:rsidR="00F148E7" w:rsidRPr="007B5BE6">
        <w:rPr>
          <w:rFonts w:eastAsia="Times" w:cs="Times New Roman"/>
          <w:szCs w:val="20"/>
        </w:rPr>
        <w:t xml:space="preserve"> </w:t>
      </w:r>
      <w:r w:rsidR="006531DE" w:rsidRPr="007B5BE6">
        <w:rPr>
          <w:rFonts w:eastAsia="Times" w:cs="Times New Roman"/>
          <w:szCs w:val="20"/>
        </w:rPr>
        <w:t xml:space="preserve">Data on the operation of the </w:t>
      </w:r>
      <w:r w:rsidR="00B2295E" w:rsidRPr="007B5BE6">
        <w:rPr>
          <w:rFonts w:eastAsia="Times" w:cs="Times New Roman"/>
          <w:szCs w:val="20"/>
        </w:rPr>
        <w:t xml:space="preserve">ASU </w:t>
      </w:r>
      <w:r w:rsidR="006531DE" w:rsidRPr="007B5BE6">
        <w:rPr>
          <w:rFonts w:eastAsia="Times" w:cs="Times New Roman"/>
          <w:szCs w:val="20"/>
        </w:rPr>
        <w:t xml:space="preserve">is published </w:t>
      </w:r>
      <w:r w:rsidR="00B2295E" w:rsidRPr="007B5BE6">
        <w:rPr>
          <w:rFonts w:eastAsia="Times" w:cs="Times New Roman"/>
          <w:szCs w:val="20"/>
        </w:rPr>
        <w:t>in</w:t>
      </w:r>
      <w:r w:rsidR="00CF282D" w:rsidRPr="007B5BE6">
        <w:rPr>
          <w:rFonts w:eastAsia="Times" w:cs="Times New Roman"/>
          <w:szCs w:val="20"/>
        </w:rPr>
        <w:t xml:space="preserve"> annual reports</w:t>
      </w:r>
      <w:r w:rsidR="00EC7AA4" w:rsidRPr="007B5BE6">
        <w:rPr>
          <w:rFonts w:eastAsia="Times" w:cs="Times New Roman"/>
          <w:szCs w:val="20"/>
        </w:rPr>
        <w:t xml:space="preserve">, that </w:t>
      </w:r>
      <w:r w:rsidR="00B2295E" w:rsidRPr="007B5BE6">
        <w:rPr>
          <w:rFonts w:eastAsia="Times" w:cs="Times New Roman"/>
          <w:szCs w:val="20"/>
        </w:rPr>
        <w:t xml:space="preserve">including </w:t>
      </w:r>
      <w:r w:rsidR="00EC7AA4" w:rsidRPr="007B5BE6">
        <w:rPr>
          <w:rFonts w:eastAsia="Times" w:cs="Times New Roman"/>
          <w:szCs w:val="20"/>
        </w:rPr>
        <w:t>information about the</w:t>
      </w:r>
      <w:r w:rsidR="00CF282D" w:rsidRPr="007B5BE6">
        <w:rPr>
          <w:rFonts w:eastAsia="Times" w:cs="Times New Roman"/>
          <w:szCs w:val="20"/>
        </w:rPr>
        <w:t xml:space="preserve"> contacts that </w:t>
      </w:r>
      <w:r w:rsidR="00B2295E" w:rsidRPr="007B5BE6">
        <w:rPr>
          <w:rFonts w:eastAsia="Times" w:cs="Times New Roman"/>
          <w:szCs w:val="20"/>
        </w:rPr>
        <w:t>the ASU</w:t>
      </w:r>
      <w:r w:rsidR="00CF282D" w:rsidRPr="007B5BE6">
        <w:rPr>
          <w:rFonts w:eastAsia="Times" w:cs="Times New Roman"/>
          <w:szCs w:val="20"/>
        </w:rPr>
        <w:t xml:space="preserve"> receives where a person suspects abuse of an older people or an adult with disability who may be vulnerable.</w:t>
      </w:r>
      <w:r w:rsidR="00E859DC" w:rsidRPr="007B5BE6">
        <w:rPr>
          <w:rStyle w:val="FootnoteReference"/>
          <w:rFonts w:eastAsia="Times" w:cs="Times New Roman"/>
          <w:szCs w:val="20"/>
        </w:rPr>
        <w:footnoteReference w:id="527"/>
      </w:r>
      <w:r w:rsidR="00CF282D" w:rsidRPr="007B5BE6">
        <w:rPr>
          <w:rFonts w:eastAsia="Times" w:cs="Times New Roman"/>
          <w:szCs w:val="20"/>
        </w:rPr>
        <w:t xml:space="preserve"> Calls can made directly to the </w:t>
      </w:r>
      <w:r w:rsidR="00BC1C6F" w:rsidRPr="007B5BE6">
        <w:rPr>
          <w:rFonts w:eastAsia="Times" w:cs="Times New Roman"/>
          <w:szCs w:val="20"/>
        </w:rPr>
        <w:t xml:space="preserve">ASU </w:t>
      </w:r>
      <w:r w:rsidR="00CF282D" w:rsidRPr="007B5BE6">
        <w:rPr>
          <w:rFonts w:eastAsia="Times" w:cs="Times New Roman"/>
          <w:szCs w:val="20"/>
        </w:rPr>
        <w:t>(as opposed to a Helpline) and can be received as ‘enquiries’</w:t>
      </w:r>
      <w:r w:rsidR="00E859DC" w:rsidRPr="007B5BE6">
        <w:rPr>
          <w:rStyle w:val="FootnoteReference"/>
          <w:rFonts w:eastAsia="Times" w:cs="Times New Roman"/>
          <w:szCs w:val="20"/>
        </w:rPr>
        <w:footnoteReference w:id="528"/>
      </w:r>
      <w:r w:rsidR="00CF282D" w:rsidRPr="007B5BE6">
        <w:rPr>
          <w:rFonts w:eastAsia="Times" w:cs="Times New Roman"/>
          <w:szCs w:val="20"/>
        </w:rPr>
        <w:t xml:space="preserve"> (</w:t>
      </w:r>
      <w:r w:rsidR="00EF0C9B" w:rsidRPr="007B5BE6">
        <w:rPr>
          <w:rFonts w:eastAsia="Times" w:cs="Times New Roman"/>
          <w:szCs w:val="20"/>
        </w:rPr>
        <w:t xml:space="preserve">calls </w:t>
      </w:r>
      <w:r w:rsidR="00CF282D" w:rsidRPr="007B5BE6">
        <w:rPr>
          <w:rFonts w:eastAsia="Times" w:cs="Times New Roman"/>
          <w:szCs w:val="20"/>
        </w:rPr>
        <w:t>by service providers or community members) or as ‘reports’ under s</w:t>
      </w:r>
      <w:r w:rsidR="00EF0C9B" w:rsidRPr="007B5BE6">
        <w:rPr>
          <w:rFonts w:eastAsia="Times" w:cs="Times New Roman"/>
          <w:szCs w:val="20"/>
        </w:rPr>
        <w:t>ection</w:t>
      </w:r>
      <w:r w:rsidR="00CF282D" w:rsidRPr="007B5BE6">
        <w:rPr>
          <w:rFonts w:eastAsia="Times" w:cs="Times New Roman"/>
          <w:szCs w:val="20"/>
        </w:rPr>
        <w:t xml:space="preserve"> 22 of the </w:t>
      </w:r>
      <w:r w:rsidR="00CF282D" w:rsidRPr="007B5BE6">
        <w:rPr>
          <w:rFonts w:eastAsia="Times" w:cs="Times New Roman"/>
          <w:i/>
          <w:iCs/>
          <w:szCs w:val="20"/>
        </w:rPr>
        <w:t>Ageing and Adult Safeguarding Act 1995</w:t>
      </w:r>
      <w:r w:rsidR="00CF282D" w:rsidRPr="007B5BE6">
        <w:rPr>
          <w:rFonts w:eastAsia="Times" w:cs="Times New Roman"/>
          <w:szCs w:val="20"/>
        </w:rPr>
        <w:t xml:space="preserve"> (SA) (</w:t>
      </w:r>
      <w:r w:rsidR="00EF0C9B" w:rsidRPr="007B5BE6">
        <w:rPr>
          <w:rFonts w:eastAsia="Times" w:cs="Times New Roman"/>
          <w:szCs w:val="20"/>
        </w:rPr>
        <w:t xml:space="preserve">calls </w:t>
      </w:r>
      <w:r w:rsidR="00CF282D" w:rsidRPr="007B5BE6">
        <w:rPr>
          <w:rFonts w:eastAsia="Times" w:cs="Times New Roman"/>
          <w:szCs w:val="20"/>
        </w:rPr>
        <w:t>by any person).</w:t>
      </w:r>
      <w:r w:rsidR="00E859DC" w:rsidRPr="007B5BE6">
        <w:rPr>
          <w:rStyle w:val="FootnoteReference"/>
          <w:rFonts w:eastAsia="Times" w:cs="Times New Roman"/>
          <w:szCs w:val="20"/>
        </w:rPr>
        <w:footnoteReference w:id="529"/>
      </w:r>
      <w:r w:rsidR="001A452C" w:rsidRPr="007B5BE6">
        <w:rPr>
          <w:rFonts w:eastAsia="Times" w:cs="Times New Roman"/>
          <w:szCs w:val="20"/>
        </w:rPr>
        <w:t xml:space="preserve"> </w:t>
      </w:r>
      <w:r w:rsidR="00CF282D" w:rsidRPr="007B5BE6">
        <w:rPr>
          <w:rFonts w:eastAsia="Times" w:cs="Times New Roman"/>
          <w:szCs w:val="20"/>
        </w:rPr>
        <w:t xml:space="preserve"> </w:t>
      </w:r>
    </w:p>
    <w:p w14:paraId="22F41BCA" w14:textId="5681E0AF"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In 202</w:t>
      </w:r>
      <w:r w:rsidR="004B6E37" w:rsidRPr="007B5BE6">
        <w:rPr>
          <w:rFonts w:eastAsia="Times" w:cs="Times New Roman"/>
          <w:szCs w:val="20"/>
        </w:rPr>
        <w:t>3</w:t>
      </w:r>
      <w:r w:rsidRPr="007B5BE6">
        <w:rPr>
          <w:rFonts w:eastAsia="Times" w:cs="Times New Roman"/>
          <w:szCs w:val="20"/>
        </w:rPr>
        <w:t>–2</w:t>
      </w:r>
      <w:r w:rsidR="004B6E37" w:rsidRPr="007B5BE6">
        <w:rPr>
          <w:rFonts w:eastAsia="Times" w:cs="Times New Roman"/>
          <w:szCs w:val="20"/>
        </w:rPr>
        <w:t>4</w:t>
      </w:r>
      <w:r w:rsidR="000E2E07" w:rsidRPr="007B5BE6">
        <w:rPr>
          <w:rFonts w:eastAsia="Times" w:cs="Times New Roman"/>
          <w:szCs w:val="20"/>
        </w:rPr>
        <w:t xml:space="preserve">, </w:t>
      </w:r>
      <w:r w:rsidR="00B21256" w:rsidRPr="007B5BE6">
        <w:rPr>
          <w:rFonts w:eastAsia="Times" w:cs="Times New Roman"/>
          <w:szCs w:val="20"/>
        </w:rPr>
        <w:t>the</w:t>
      </w:r>
      <w:r w:rsidRPr="007B5BE6">
        <w:rPr>
          <w:rFonts w:eastAsia="Times" w:cs="Times New Roman"/>
          <w:szCs w:val="20"/>
        </w:rPr>
        <w:t xml:space="preserve"> </w:t>
      </w:r>
      <w:r w:rsidR="00EF0C9B" w:rsidRPr="007B5BE6">
        <w:rPr>
          <w:rFonts w:eastAsia="Times" w:cs="Times New Roman"/>
          <w:szCs w:val="20"/>
        </w:rPr>
        <w:t xml:space="preserve">ASU </w:t>
      </w:r>
      <w:r w:rsidRPr="007B5BE6">
        <w:rPr>
          <w:rFonts w:eastAsia="Times" w:cs="Times New Roman"/>
          <w:szCs w:val="20"/>
        </w:rPr>
        <w:t xml:space="preserve">received </w:t>
      </w:r>
      <w:r w:rsidR="000E2E07" w:rsidRPr="007B5BE6">
        <w:rPr>
          <w:rFonts w:eastAsia="Times" w:cs="Times New Roman"/>
          <w:szCs w:val="20"/>
        </w:rPr>
        <w:t>3,</w:t>
      </w:r>
      <w:r w:rsidR="00CD5C94" w:rsidRPr="007B5BE6">
        <w:rPr>
          <w:rFonts w:eastAsia="Times" w:cs="Times New Roman"/>
          <w:szCs w:val="20"/>
        </w:rPr>
        <w:t>356 contacts</w:t>
      </w:r>
      <w:r w:rsidRPr="007B5BE6">
        <w:rPr>
          <w:rFonts w:eastAsia="Times" w:cs="Times New Roman"/>
          <w:szCs w:val="20"/>
        </w:rPr>
        <w:t>,</w:t>
      </w:r>
      <w:r w:rsidR="004D2845" w:rsidRPr="007B5BE6">
        <w:rPr>
          <w:rStyle w:val="FootnoteReference"/>
          <w:rFonts w:eastAsia="Times" w:cs="Times New Roman"/>
          <w:szCs w:val="20"/>
        </w:rPr>
        <w:footnoteReference w:id="530"/>
      </w:r>
      <w:r w:rsidRPr="007B5BE6">
        <w:rPr>
          <w:rFonts w:eastAsia="Times" w:cs="Times New Roman"/>
          <w:szCs w:val="20"/>
        </w:rPr>
        <w:t xml:space="preserve"> </w:t>
      </w:r>
      <w:r w:rsidR="00CF587F" w:rsidRPr="007B5BE6">
        <w:rPr>
          <w:rFonts w:eastAsia="Times" w:cs="Times New Roman"/>
          <w:szCs w:val="20"/>
        </w:rPr>
        <w:t xml:space="preserve">of which </w:t>
      </w:r>
      <w:r w:rsidR="00880AFE" w:rsidRPr="007B5BE6">
        <w:rPr>
          <w:rFonts w:eastAsia="Times" w:cs="Times New Roman"/>
          <w:szCs w:val="20"/>
        </w:rPr>
        <w:t>ha</w:t>
      </w:r>
      <w:r w:rsidR="00686497" w:rsidRPr="007B5BE6">
        <w:rPr>
          <w:rFonts w:eastAsia="Times" w:cs="Times New Roman"/>
          <w:szCs w:val="20"/>
        </w:rPr>
        <w:t>lf (48.6%</w:t>
      </w:r>
      <w:r w:rsidR="00170726" w:rsidRPr="007B5BE6">
        <w:rPr>
          <w:rFonts w:eastAsia="Times" w:cs="Times New Roman"/>
          <w:szCs w:val="20"/>
        </w:rPr>
        <w:t>, 1,630</w:t>
      </w:r>
      <w:r w:rsidR="00686497" w:rsidRPr="007B5BE6">
        <w:rPr>
          <w:rFonts w:eastAsia="Times" w:cs="Times New Roman"/>
          <w:szCs w:val="20"/>
        </w:rPr>
        <w:t>) resulted in r</w:t>
      </w:r>
      <w:r w:rsidRPr="007B5BE6">
        <w:rPr>
          <w:rFonts w:eastAsia="Times" w:cs="Times New Roman"/>
          <w:szCs w:val="20"/>
        </w:rPr>
        <w:t>eports</w:t>
      </w:r>
      <w:r w:rsidR="00686497" w:rsidRPr="007B5BE6">
        <w:rPr>
          <w:rFonts w:eastAsia="Times" w:cs="Times New Roman"/>
          <w:szCs w:val="20"/>
        </w:rPr>
        <w:t xml:space="preserve"> to the </w:t>
      </w:r>
      <w:r w:rsidR="00EF0C9B" w:rsidRPr="007B5BE6">
        <w:rPr>
          <w:rFonts w:eastAsia="Times" w:cs="Times New Roman"/>
          <w:szCs w:val="20"/>
        </w:rPr>
        <w:t>ASU</w:t>
      </w:r>
      <w:r w:rsidRPr="007B5BE6">
        <w:rPr>
          <w:rFonts w:eastAsia="Times" w:cs="Times New Roman"/>
          <w:szCs w:val="20"/>
        </w:rPr>
        <w:t>.</w:t>
      </w:r>
      <w:r w:rsidR="005B178F" w:rsidRPr="007B5BE6">
        <w:rPr>
          <w:rFonts w:eastAsia="Times" w:cs="Times New Roman"/>
          <w:szCs w:val="20"/>
        </w:rPr>
        <w:t xml:space="preserve"> The remaining </w:t>
      </w:r>
      <w:r w:rsidR="00170726" w:rsidRPr="007B5BE6">
        <w:rPr>
          <w:rFonts w:eastAsia="Times" w:cs="Times New Roman"/>
          <w:szCs w:val="20"/>
        </w:rPr>
        <w:t xml:space="preserve">1,726 </w:t>
      </w:r>
      <w:r w:rsidR="00063C0E" w:rsidRPr="007B5BE6">
        <w:rPr>
          <w:rFonts w:eastAsia="Times" w:cs="Times New Roman"/>
          <w:szCs w:val="20"/>
        </w:rPr>
        <w:t>contacts (51</w:t>
      </w:r>
      <w:r w:rsidR="00544283" w:rsidRPr="007B5BE6">
        <w:rPr>
          <w:rFonts w:eastAsia="Times" w:cs="Times New Roman"/>
          <w:szCs w:val="20"/>
        </w:rPr>
        <w:t xml:space="preserve">.4%) </w:t>
      </w:r>
      <w:r w:rsidR="005D3A76" w:rsidRPr="007B5BE6">
        <w:rPr>
          <w:rFonts w:eastAsia="Times" w:cs="Times New Roman"/>
          <w:szCs w:val="20"/>
        </w:rPr>
        <w:t xml:space="preserve">related to </w:t>
      </w:r>
      <w:r w:rsidR="00F21A40" w:rsidRPr="007B5BE6">
        <w:rPr>
          <w:rFonts w:eastAsia="Times" w:cs="Times New Roman"/>
          <w:szCs w:val="20"/>
        </w:rPr>
        <w:t>seeking of information and advice.</w:t>
      </w:r>
      <w:r w:rsidR="00354F3E" w:rsidRPr="007B5BE6">
        <w:rPr>
          <w:rFonts w:eastAsia="Times" w:cs="Times New Roman"/>
          <w:szCs w:val="20"/>
        </w:rPr>
        <w:t xml:space="preserve"> Most commonly</w:t>
      </w:r>
      <w:r w:rsidR="00EF0C9B" w:rsidRPr="007B5BE6">
        <w:rPr>
          <w:rFonts w:eastAsia="Times" w:cs="Times New Roman"/>
          <w:szCs w:val="20"/>
        </w:rPr>
        <w:t>,</w:t>
      </w:r>
      <w:r w:rsidR="00354F3E" w:rsidRPr="007B5BE6">
        <w:rPr>
          <w:rFonts w:eastAsia="Times" w:cs="Times New Roman"/>
          <w:szCs w:val="20"/>
        </w:rPr>
        <w:t xml:space="preserve"> advice and information </w:t>
      </w:r>
      <w:r w:rsidR="00EF0C9B" w:rsidRPr="007B5BE6">
        <w:rPr>
          <w:rFonts w:eastAsia="Times" w:cs="Times New Roman"/>
          <w:szCs w:val="20"/>
        </w:rPr>
        <w:t>w</w:t>
      </w:r>
      <w:r w:rsidR="00761B88" w:rsidRPr="007B5BE6">
        <w:rPr>
          <w:rFonts w:eastAsia="Times" w:cs="Times New Roman"/>
          <w:szCs w:val="20"/>
        </w:rPr>
        <w:t>ere</w:t>
      </w:r>
      <w:r w:rsidR="00354F3E" w:rsidRPr="007B5BE6">
        <w:rPr>
          <w:rFonts w:eastAsia="Times" w:cs="Times New Roman"/>
          <w:szCs w:val="20"/>
        </w:rPr>
        <w:t xml:space="preserve"> provided in response, with other outcomes including assisted referral, self-referral and no action being taken.</w:t>
      </w:r>
      <w:r w:rsidR="00207499" w:rsidRPr="007B5BE6">
        <w:rPr>
          <w:rStyle w:val="FootnoteReference"/>
          <w:rFonts w:eastAsia="Times" w:cs="Times New Roman"/>
          <w:szCs w:val="20"/>
        </w:rPr>
        <w:footnoteReference w:id="531"/>
      </w:r>
      <w:r w:rsidRPr="007B5BE6">
        <w:rPr>
          <w:rFonts w:eastAsia="Times" w:cs="Times New Roman"/>
          <w:szCs w:val="20"/>
        </w:rPr>
        <w:t xml:space="preserve"> Of the </w:t>
      </w:r>
      <w:r w:rsidR="003A58B5" w:rsidRPr="007B5BE6">
        <w:rPr>
          <w:rFonts w:eastAsia="Times" w:cs="Times New Roman"/>
          <w:szCs w:val="20"/>
        </w:rPr>
        <w:t>3,356 contacts</w:t>
      </w:r>
      <w:r w:rsidRPr="007B5BE6">
        <w:rPr>
          <w:rFonts w:eastAsia="Times" w:cs="Times New Roman"/>
          <w:szCs w:val="20"/>
        </w:rPr>
        <w:t>, a higher proportion related to</w:t>
      </w:r>
      <w:r w:rsidR="007412F8" w:rsidRPr="007B5BE6">
        <w:rPr>
          <w:rFonts w:eastAsia="Times" w:cs="Times New Roman"/>
          <w:szCs w:val="20"/>
        </w:rPr>
        <w:t xml:space="preserve"> adults aged over</w:t>
      </w:r>
      <w:r w:rsidR="003C7EB0" w:rsidRPr="007B5BE6">
        <w:rPr>
          <w:rFonts w:eastAsia="Times" w:cs="Times New Roman"/>
          <w:szCs w:val="20"/>
        </w:rPr>
        <w:t xml:space="preserve"> 65</w:t>
      </w:r>
      <w:r w:rsidRPr="007B5BE6">
        <w:rPr>
          <w:rFonts w:eastAsia="Times" w:cs="Times New Roman"/>
          <w:szCs w:val="20"/>
        </w:rPr>
        <w:t xml:space="preserve"> (</w:t>
      </w:r>
      <w:r w:rsidR="0050310C" w:rsidRPr="007B5BE6">
        <w:rPr>
          <w:rFonts w:eastAsia="Times" w:cs="Times New Roman"/>
          <w:szCs w:val="20"/>
        </w:rPr>
        <w:t>58.9</w:t>
      </w:r>
      <w:r w:rsidRPr="007B5BE6">
        <w:rPr>
          <w:rFonts w:eastAsia="Times" w:cs="Times New Roman"/>
          <w:szCs w:val="20"/>
        </w:rPr>
        <w:t xml:space="preserve">%, </w:t>
      </w:r>
      <w:r w:rsidR="00D90C49" w:rsidRPr="007B5BE6">
        <w:rPr>
          <w:rFonts w:eastAsia="Times" w:cs="Times New Roman"/>
          <w:szCs w:val="20"/>
        </w:rPr>
        <w:t>1,976</w:t>
      </w:r>
      <w:r w:rsidRPr="007B5BE6">
        <w:rPr>
          <w:rFonts w:eastAsia="Times" w:cs="Times New Roman"/>
          <w:szCs w:val="20"/>
        </w:rPr>
        <w:t>)</w:t>
      </w:r>
      <w:r w:rsidR="00367D51" w:rsidRPr="007B5BE6">
        <w:rPr>
          <w:rFonts w:eastAsia="Times" w:cs="Times New Roman"/>
          <w:szCs w:val="20"/>
        </w:rPr>
        <w:t>.</w:t>
      </w:r>
      <w:r w:rsidR="00F34705" w:rsidRPr="007B5BE6">
        <w:rPr>
          <w:rStyle w:val="FootnoteReference"/>
          <w:rFonts w:eastAsia="Times" w:cs="Times New Roman"/>
          <w:szCs w:val="20"/>
        </w:rPr>
        <w:footnoteReference w:id="532"/>
      </w:r>
      <w:r w:rsidR="00A06719" w:rsidRPr="007B5BE6">
        <w:rPr>
          <w:rFonts w:eastAsia="Times" w:cs="Times New Roman"/>
          <w:szCs w:val="20"/>
        </w:rPr>
        <w:t xml:space="preserve"> </w:t>
      </w:r>
      <w:r w:rsidR="00367D51" w:rsidRPr="007B5BE6">
        <w:rPr>
          <w:rFonts w:eastAsia="Times" w:cs="Times New Roman"/>
          <w:szCs w:val="20"/>
        </w:rPr>
        <w:t xml:space="preserve">Data was not reported </w:t>
      </w:r>
      <w:r w:rsidR="003D24BD" w:rsidRPr="007B5BE6">
        <w:rPr>
          <w:rFonts w:eastAsia="Times" w:cs="Times New Roman"/>
          <w:szCs w:val="20"/>
        </w:rPr>
        <w:t xml:space="preserve">in 2023–24 </w:t>
      </w:r>
      <w:r w:rsidR="00367D51" w:rsidRPr="007B5BE6">
        <w:rPr>
          <w:rFonts w:eastAsia="Times" w:cs="Times New Roman"/>
          <w:szCs w:val="20"/>
        </w:rPr>
        <w:t xml:space="preserve">on </w:t>
      </w:r>
      <w:r w:rsidR="00BE3425" w:rsidRPr="007B5BE6">
        <w:rPr>
          <w:rFonts w:eastAsia="Times" w:cs="Times New Roman"/>
          <w:szCs w:val="20"/>
        </w:rPr>
        <w:t xml:space="preserve">age and gender </w:t>
      </w:r>
      <w:r w:rsidR="00BE3425" w:rsidRPr="007B5BE6">
        <w:rPr>
          <w:rFonts w:eastAsia="Times" w:cs="Times New Roman"/>
          <w:szCs w:val="20"/>
        </w:rPr>
        <w:lastRenderedPageBreak/>
        <w:t>breakdown</w:t>
      </w:r>
      <w:r w:rsidR="00EC1A52" w:rsidRPr="007B5BE6">
        <w:rPr>
          <w:rFonts w:eastAsia="Times" w:cs="Times New Roman"/>
          <w:szCs w:val="20"/>
        </w:rPr>
        <w:t>.</w:t>
      </w:r>
      <w:r w:rsidR="00A5077C" w:rsidRPr="007B5BE6">
        <w:rPr>
          <w:rStyle w:val="FootnoteReference"/>
          <w:rFonts w:eastAsia="Times" w:cs="Times New Roman"/>
          <w:szCs w:val="20"/>
        </w:rPr>
        <w:footnoteReference w:id="533"/>
      </w:r>
      <w:r w:rsidR="00EC1A52" w:rsidRPr="007B5BE6">
        <w:rPr>
          <w:rFonts w:eastAsia="Times" w:cs="Times New Roman"/>
          <w:szCs w:val="20"/>
        </w:rPr>
        <w:t xml:space="preserve"> D</w:t>
      </w:r>
      <w:r w:rsidR="005D6F29" w:rsidRPr="007B5BE6">
        <w:rPr>
          <w:rFonts w:eastAsia="Times" w:cs="Times New Roman"/>
          <w:szCs w:val="20"/>
        </w:rPr>
        <w:t xml:space="preserve">ata reported from </w:t>
      </w:r>
      <w:r w:rsidR="00BE3425" w:rsidRPr="007B5BE6">
        <w:rPr>
          <w:rFonts w:eastAsia="Times" w:cs="Times New Roman"/>
          <w:szCs w:val="20"/>
        </w:rPr>
        <w:t xml:space="preserve">earlier </w:t>
      </w:r>
      <w:r w:rsidR="005D6F29" w:rsidRPr="007B5BE6">
        <w:rPr>
          <w:rFonts w:eastAsia="Times" w:cs="Times New Roman"/>
          <w:szCs w:val="20"/>
        </w:rPr>
        <w:t xml:space="preserve">periods </w:t>
      </w:r>
      <w:r w:rsidR="00BE3425" w:rsidRPr="007B5BE6">
        <w:rPr>
          <w:rFonts w:eastAsia="Times" w:cs="Times New Roman"/>
          <w:szCs w:val="20"/>
        </w:rPr>
        <w:t>indicated that</w:t>
      </w:r>
      <w:r w:rsidR="00EE3105" w:rsidRPr="007B5BE6">
        <w:rPr>
          <w:rFonts w:eastAsia="Times" w:cs="Times New Roman"/>
          <w:szCs w:val="20"/>
        </w:rPr>
        <w:t xml:space="preserve">, </w:t>
      </w:r>
      <w:r w:rsidR="003D24BD" w:rsidRPr="007B5BE6">
        <w:rPr>
          <w:rFonts w:eastAsia="Times" w:cs="Times New Roman"/>
          <w:szCs w:val="20"/>
        </w:rPr>
        <w:t xml:space="preserve">based on </w:t>
      </w:r>
      <w:r w:rsidRPr="007B5BE6">
        <w:rPr>
          <w:rFonts w:eastAsia="Times" w:cs="Times New Roman"/>
          <w:szCs w:val="20"/>
        </w:rPr>
        <w:t>available data</w:t>
      </w:r>
      <w:r w:rsidR="00EE3105" w:rsidRPr="007B5BE6">
        <w:rPr>
          <w:rFonts w:eastAsia="Times" w:cs="Times New Roman"/>
          <w:szCs w:val="20"/>
        </w:rPr>
        <w:t xml:space="preserve">, more </w:t>
      </w:r>
      <w:r w:rsidR="00523799" w:rsidRPr="007B5BE6">
        <w:rPr>
          <w:rFonts w:eastAsia="Times" w:cs="Times New Roman"/>
          <w:szCs w:val="20"/>
        </w:rPr>
        <w:t>calls</w:t>
      </w:r>
      <w:r w:rsidRPr="007B5BE6">
        <w:rPr>
          <w:rFonts w:eastAsia="Times" w:cs="Times New Roman"/>
          <w:szCs w:val="20"/>
        </w:rPr>
        <w:t xml:space="preserve"> were about women</w:t>
      </w:r>
      <w:r w:rsidR="003D24BD" w:rsidRPr="007B5BE6">
        <w:rPr>
          <w:rFonts w:eastAsia="Times" w:cs="Times New Roman"/>
          <w:szCs w:val="20"/>
        </w:rPr>
        <w:t>.</w:t>
      </w:r>
      <w:r w:rsidR="00B34F34" w:rsidRPr="007B5BE6">
        <w:rPr>
          <w:rStyle w:val="FootnoteReference"/>
          <w:rFonts w:eastAsia="Times" w:cs="Times New Roman"/>
          <w:szCs w:val="20"/>
        </w:rPr>
        <w:footnoteReference w:id="534"/>
      </w:r>
      <w:r w:rsidR="00826FDD" w:rsidRPr="007B5BE6">
        <w:rPr>
          <w:rFonts w:eastAsia="Times" w:cs="Times New Roman"/>
          <w:szCs w:val="20"/>
        </w:rPr>
        <w:t xml:space="preserve"> </w:t>
      </w:r>
    </w:p>
    <w:p w14:paraId="09DAE9A8" w14:textId="1414C5D6" w:rsidR="00CF282D" w:rsidRPr="007B5BE6" w:rsidRDefault="00F0765E">
      <w:pPr>
        <w:numPr>
          <w:ilvl w:val="2"/>
          <w:numId w:val="2"/>
        </w:numPr>
        <w:tabs>
          <w:tab w:val="left" w:pos="851"/>
        </w:tabs>
        <w:spacing w:before="220"/>
        <w:rPr>
          <w:rFonts w:eastAsia="Times" w:cs="Times New Roman"/>
          <w:szCs w:val="20"/>
        </w:rPr>
      </w:pPr>
      <w:r w:rsidRPr="007B5BE6">
        <w:rPr>
          <w:rFonts w:eastAsia="Times" w:cs="Times New Roman"/>
          <w:szCs w:val="20"/>
        </w:rPr>
        <w:t>In 2023–24, o</w:t>
      </w:r>
      <w:r w:rsidR="001D6EE6" w:rsidRPr="007B5BE6">
        <w:rPr>
          <w:rFonts w:eastAsia="Times" w:cs="Times New Roman"/>
          <w:szCs w:val="20"/>
        </w:rPr>
        <w:t xml:space="preserve">ver half of contacts </w:t>
      </w:r>
      <w:r w:rsidR="003B709C" w:rsidRPr="007B5BE6">
        <w:rPr>
          <w:rFonts w:eastAsia="Times" w:cs="Times New Roman"/>
          <w:szCs w:val="20"/>
        </w:rPr>
        <w:t xml:space="preserve">to the </w:t>
      </w:r>
      <w:r w:rsidR="00523799" w:rsidRPr="007B5BE6">
        <w:rPr>
          <w:rFonts w:eastAsia="Times" w:cs="Times New Roman"/>
          <w:szCs w:val="20"/>
        </w:rPr>
        <w:t>ASU</w:t>
      </w:r>
      <w:r w:rsidR="00D94598" w:rsidRPr="007B5BE6">
        <w:rPr>
          <w:rFonts w:eastAsia="Times" w:cs="Times New Roman"/>
          <w:szCs w:val="20"/>
        </w:rPr>
        <w:t xml:space="preserve"> </w:t>
      </w:r>
      <w:r w:rsidR="003B709C" w:rsidRPr="007B5BE6">
        <w:rPr>
          <w:rFonts w:eastAsia="Times" w:cs="Times New Roman"/>
          <w:szCs w:val="20"/>
        </w:rPr>
        <w:t xml:space="preserve">were made </w:t>
      </w:r>
      <w:r w:rsidR="00C14527" w:rsidRPr="007B5BE6">
        <w:rPr>
          <w:rFonts w:eastAsia="Times" w:cs="Times New Roman"/>
          <w:szCs w:val="20"/>
        </w:rPr>
        <w:t>by service providers (</w:t>
      </w:r>
      <w:r w:rsidR="00E67374" w:rsidRPr="007B5BE6">
        <w:rPr>
          <w:rFonts w:eastAsia="Times" w:cs="Times New Roman"/>
          <w:szCs w:val="20"/>
        </w:rPr>
        <w:t>56</w:t>
      </w:r>
      <w:r w:rsidR="00CF282D" w:rsidRPr="007B5BE6">
        <w:rPr>
          <w:rFonts w:eastAsia="Times" w:cs="Times New Roman"/>
          <w:szCs w:val="20"/>
        </w:rPr>
        <w:t>.</w:t>
      </w:r>
      <w:r w:rsidR="00E67374" w:rsidRPr="007B5BE6">
        <w:rPr>
          <w:rFonts w:eastAsia="Times" w:cs="Times New Roman"/>
          <w:szCs w:val="20"/>
        </w:rPr>
        <w:t>2</w:t>
      </w:r>
      <w:r w:rsidR="00CF282D" w:rsidRPr="007B5BE6">
        <w:rPr>
          <w:rFonts w:eastAsia="Times" w:cs="Times New Roman"/>
          <w:szCs w:val="20"/>
        </w:rPr>
        <w:t xml:space="preserve">%), </w:t>
      </w:r>
      <w:r w:rsidR="00E67374" w:rsidRPr="007B5BE6">
        <w:rPr>
          <w:rFonts w:eastAsia="Times" w:cs="Times New Roman"/>
          <w:szCs w:val="20"/>
        </w:rPr>
        <w:t>followed by immediate family members (12.3%).</w:t>
      </w:r>
      <w:r w:rsidR="00765CD5" w:rsidRPr="007B5BE6">
        <w:rPr>
          <w:rStyle w:val="FootnoteReference"/>
          <w:rFonts w:eastAsia="Times" w:cs="Times New Roman"/>
          <w:szCs w:val="20"/>
        </w:rPr>
        <w:footnoteReference w:id="535"/>
      </w:r>
      <w:r w:rsidR="00E67374" w:rsidRPr="007B5BE6">
        <w:rPr>
          <w:rFonts w:eastAsia="Times" w:cs="Times New Roman"/>
          <w:szCs w:val="20"/>
        </w:rPr>
        <w:t xml:space="preserve"> </w:t>
      </w:r>
      <w:r w:rsidR="00662CDA" w:rsidRPr="007B5BE6">
        <w:rPr>
          <w:rFonts w:eastAsia="Times" w:cs="Times New Roman"/>
          <w:szCs w:val="20"/>
        </w:rPr>
        <w:t>Data</w:t>
      </w:r>
      <w:r w:rsidR="00EE1355" w:rsidRPr="007B5BE6">
        <w:rPr>
          <w:rFonts w:eastAsia="Times" w:cs="Times New Roman"/>
          <w:szCs w:val="20"/>
        </w:rPr>
        <w:t xml:space="preserve"> reported </w:t>
      </w:r>
      <w:r w:rsidR="00662CDA" w:rsidRPr="007B5BE6">
        <w:rPr>
          <w:rFonts w:eastAsia="Times" w:cs="Times New Roman"/>
          <w:szCs w:val="20"/>
        </w:rPr>
        <w:t xml:space="preserve">in previous years </w:t>
      </w:r>
      <w:r w:rsidR="00EE1355" w:rsidRPr="007B5BE6">
        <w:rPr>
          <w:rFonts w:eastAsia="Times" w:cs="Times New Roman"/>
          <w:szCs w:val="20"/>
        </w:rPr>
        <w:t xml:space="preserve">provided more detail as to </w:t>
      </w:r>
      <w:r w:rsidR="00063738" w:rsidRPr="007B5BE6">
        <w:rPr>
          <w:rFonts w:eastAsia="Times" w:cs="Times New Roman"/>
          <w:szCs w:val="20"/>
        </w:rPr>
        <w:t xml:space="preserve">the </w:t>
      </w:r>
      <w:r w:rsidR="00907A26" w:rsidRPr="007B5BE6">
        <w:rPr>
          <w:rFonts w:eastAsia="Times" w:cs="Times New Roman"/>
          <w:szCs w:val="20"/>
        </w:rPr>
        <w:t xml:space="preserve">source of the contact: for example in 2021–22 of the </w:t>
      </w:r>
      <w:r w:rsidR="0065260E" w:rsidRPr="007B5BE6">
        <w:rPr>
          <w:rFonts w:eastAsia="Times" w:cs="Times New Roman"/>
          <w:szCs w:val="20"/>
        </w:rPr>
        <w:t xml:space="preserve">2,269 contacts in that period, </w:t>
      </w:r>
      <w:r w:rsidR="00FC7450" w:rsidRPr="007B5BE6">
        <w:rPr>
          <w:rFonts w:eastAsia="Times" w:cs="Times New Roman"/>
          <w:szCs w:val="20"/>
        </w:rPr>
        <w:t xml:space="preserve">24.7% were made by service providers, followed by </w:t>
      </w:r>
      <w:r w:rsidR="00CF282D" w:rsidRPr="007B5BE6">
        <w:rPr>
          <w:rFonts w:eastAsia="Times" w:cs="Times New Roman"/>
          <w:szCs w:val="20"/>
        </w:rPr>
        <w:t>daughters (12.8%), SA Police (11.1%), other family (not children, parents, siblings or significant others</w:t>
      </w:r>
      <w:r w:rsidR="003D7898" w:rsidRPr="007B5BE6">
        <w:rPr>
          <w:rFonts w:eastAsia="Times" w:cs="Times New Roman"/>
          <w:szCs w:val="20"/>
        </w:rPr>
        <w:t>)</w:t>
      </w:r>
      <w:r w:rsidR="00CF282D" w:rsidRPr="007B5BE6">
        <w:rPr>
          <w:rFonts w:eastAsia="Times" w:cs="Times New Roman"/>
          <w:szCs w:val="20"/>
        </w:rPr>
        <w:t xml:space="preserve"> (9.4%) and public hospital employees (9.2%)</w:t>
      </w:r>
      <w:r w:rsidR="00B372D6" w:rsidRPr="007B5BE6">
        <w:rPr>
          <w:rFonts w:eastAsia="Times" w:cs="Times New Roman"/>
          <w:szCs w:val="20"/>
        </w:rPr>
        <w:t>.</w:t>
      </w:r>
      <w:r w:rsidR="00063738" w:rsidRPr="007B5BE6">
        <w:rPr>
          <w:rStyle w:val="FootnoteReference"/>
          <w:rFonts w:eastAsia="Times" w:cs="Times New Roman"/>
          <w:szCs w:val="20"/>
        </w:rPr>
        <w:footnoteReference w:id="536"/>
      </w:r>
      <w:r w:rsidR="00CF282D" w:rsidRPr="007B5BE6">
        <w:rPr>
          <w:rFonts w:eastAsia="Times" w:cs="Times New Roman"/>
          <w:szCs w:val="20"/>
        </w:rPr>
        <w:t xml:space="preserve"> </w:t>
      </w:r>
      <w:r w:rsidR="00E422D1" w:rsidRPr="007B5BE6">
        <w:rPr>
          <w:rFonts w:eastAsia="Times" w:cs="Times New Roman"/>
          <w:szCs w:val="20"/>
        </w:rPr>
        <w:t>In 2023–24, t</w:t>
      </w:r>
      <w:r w:rsidR="00CF282D" w:rsidRPr="007B5BE6">
        <w:rPr>
          <w:rFonts w:eastAsia="Times" w:cs="Times New Roman"/>
          <w:szCs w:val="20"/>
        </w:rPr>
        <w:t xml:space="preserve">he most common concerns </w:t>
      </w:r>
      <w:r w:rsidRPr="007B5BE6">
        <w:rPr>
          <w:rFonts w:eastAsia="Times" w:cs="Times New Roman"/>
          <w:szCs w:val="20"/>
        </w:rPr>
        <w:t>regarding</w:t>
      </w:r>
      <w:r w:rsidR="00CF282D" w:rsidRPr="007B5BE6">
        <w:rPr>
          <w:rFonts w:eastAsia="Times" w:cs="Times New Roman"/>
          <w:szCs w:val="20"/>
        </w:rPr>
        <w:t xml:space="preserve"> older people were about psychological/emotional abuse (</w:t>
      </w:r>
      <w:r w:rsidR="00E422D1" w:rsidRPr="007B5BE6">
        <w:rPr>
          <w:rFonts w:eastAsia="Times" w:cs="Times New Roman"/>
          <w:szCs w:val="20"/>
        </w:rPr>
        <w:t>38.</w:t>
      </w:r>
      <w:r w:rsidR="000D4220" w:rsidRPr="007B5BE6">
        <w:rPr>
          <w:rFonts w:eastAsia="Times" w:cs="Times New Roman"/>
          <w:szCs w:val="20"/>
        </w:rPr>
        <w:t>0</w:t>
      </w:r>
      <w:r w:rsidR="00CF282D" w:rsidRPr="007B5BE6">
        <w:rPr>
          <w:rFonts w:eastAsia="Times" w:cs="Times New Roman"/>
          <w:szCs w:val="20"/>
        </w:rPr>
        <w:t xml:space="preserve">%), financial abuse </w:t>
      </w:r>
      <w:r w:rsidR="008D5D7D" w:rsidRPr="007B5BE6">
        <w:rPr>
          <w:rFonts w:eastAsia="Times" w:cs="Times New Roman"/>
          <w:szCs w:val="20"/>
        </w:rPr>
        <w:t xml:space="preserve">or exploitation </w:t>
      </w:r>
      <w:r w:rsidR="00CF282D" w:rsidRPr="007B5BE6">
        <w:rPr>
          <w:rFonts w:eastAsia="Times" w:cs="Times New Roman"/>
          <w:szCs w:val="20"/>
        </w:rPr>
        <w:t>(3</w:t>
      </w:r>
      <w:r w:rsidR="008664B8" w:rsidRPr="007B5BE6">
        <w:rPr>
          <w:rFonts w:eastAsia="Times" w:cs="Times New Roman"/>
          <w:szCs w:val="20"/>
        </w:rPr>
        <w:t>3.7</w:t>
      </w:r>
      <w:r w:rsidR="00CF282D" w:rsidRPr="007B5BE6">
        <w:rPr>
          <w:rFonts w:eastAsia="Times" w:cs="Times New Roman"/>
          <w:szCs w:val="20"/>
        </w:rPr>
        <w:t>%)</w:t>
      </w:r>
      <w:r w:rsidR="00C329A5" w:rsidRPr="007B5BE6">
        <w:rPr>
          <w:rFonts w:eastAsia="Times" w:cs="Times New Roman"/>
          <w:szCs w:val="20"/>
        </w:rPr>
        <w:t xml:space="preserve"> and </w:t>
      </w:r>
      <w:r w:rsidR="00CF282D" w:rsidRPr="007B5BE6">
        <w:rPr>
          <w:rFonts w:eastAsia="Times" w:cs="Times New Roman"/>
          <w:szCs w:val="20"/>
        </w:rPr>
        <w:t>neglect (</w:t>
      </w:r>
      <w:r w:rsidR="00C329A5" w:rsidRPr="007B5BE6">
        <w:rPr>
          <w:rFonts w:eastAsia="Times" w:cs="Times New Roman"/>
          <w:szCs w:val="20"/>
        </w:rPr>
        <w:t>19.7</w:t>
      </w:r>
      <w:r w:rsidR="00CF282D" w:rsidRPr="007B5BE6">
        <w:rPr>
          <w:rFonts w:eastAsia="Times" w:cs="Times New Roman"/>
          <w:szCs w:val="20"/>
        </w:rPr>
        <w:t>%)</w:t>
      </w:r>
      <w:r w:rsidRPr="007B5BE6">
        <w:rPr>
          <w:rFonts w:eastAsia="Times" w:cs="Times New Roman"/>
          <w:szCs w:val="20"/>
        </w:rPr>
        <w:t xml:space="preserve">. The </w:t>
      </w:r>
      <w:r w:rsidR="00CF282D" w:rsidRPr="007B5BE6">
        <w:rPr>
          <w:rFonts w:eastAsia="Times" w:cs="Times New Roman"/>
          <w:szCs w:val="20"/>
        </w:rPr>
        <w:t>pe</w:t>
      </w:r>
      <w:r w:rsidR="0067733C" w:rsidRPr="007B5BE6">
        <w:rPr>
          <w:rFonts w:eastAsia="Times" w:cs="Times New Roman"/>
          <w:szCs w:val="20"/>
        </w:rPr>
        <w:t>rson</w:t>
      </w:r>
      <w:r w:rsidR="00CF282D" w:rsidRPr="007B5BE6">
        <w:rPr>
          <w:rFonts w:eastAsia="Times" w:cs="Times New Roman"/>
          <w:szCs w:val="20"/>
        </w:rPr>
        <w:t xml:space="preserve"> responsible for </w:t>
      </w:r>
      <w:r w:rsidRPr="007B5BE6">
        <w:rPr>
          <w:rFonts w:eastAsia="Times" w:cs="Times New Roman"/>
          <w:szCs w:val="20"/>
        </w:rPr>
        <w:t xml:space="preserve">the </w:t>
      </w:r>
      <w:r w:rsidR="00CF282D" w:rsidRPr="007B5BE6">
        <w:rPr>
          <w:rFonts w:eastAsia="Times" w:cs="Times New Roman"/>
          <w:szCs w:val="20"/>
        </w:rPr>
        <w:t xml:space="preserve">alleged abuse of older people </w:t>
      </w:r>
      <w:r w:rsidRPr="007B5BE6">
        <w:rPr>
          <w:rFonts w:eastAsia="Times" w:cs="Times New Roman"/>
          <w:szCs w:val="20"/>
        </w:rPr>
        <w:t xml:space="preserve">was </w:t>
      </w:r>
      <w:proofErr w:type="gramStart"/>
      <w:r w:rsidR="00CF282D" w:rsidRPr="007B5BE6">
        <w:rPr>
          <w:rFonts w:eastAsia="Times" w:cs="Times New Roman"/>
          <w:szCs w:val="20"/>
        </w:rPr>
        <w:t>most commonly</w:t>
      </w:r>
      <w:r w:rsidR="0067733C" w:rsidRPr="007B5BE6">
        <w:rPr>
          <w:rFonts w:eastAsia="Times" w:cs="Times New Roman"/>
          <w:szCs w:val="20"/>
        </w:rPr>
        <w:t xml:space="preserve"> reported</w:t>
      </w:r>
      <w:proofErr w:type="gramEnd"/>
      <w:r w:rsidR="0067733C" w:rsidRPr="007B5BE6">
        <w:rPr>
          <w:rFonts w:eastAsia="Times" w:cs="Times New Roman"/>
          <w:szCs w:val="20"/>
        </w:rPr>
        <w:t xml:space="preserve"> to be</w:t>
      </w:r>
      <w:r w:rsidR="00CF282D" w:rsidRPr="007B5BE6">
        <w:rPr>
          <w:rFonts w:eastAsia="Times" w:cs="Times New Roman"/>
          <w:szCs w:val="20"/>
        </w:rPr>
        <w:t xml:space="preserve"> </w:t>
      </w:r>
      <w:r w:rsidR="00457471" w:rsidRPr="007B5BE6">
        <w:rPr>
          <w:rFonts w:eastAsia="Times" w:cs="Times New Roman"/>
          <w:szCs w:val="20"/>
        </w:rPr>
        <w:t>adult sons and daughters (37.3</w:t>
      </w:r>
      <w:r w:rsidR="00CF282D" w:rsidRPr="007B5BE6">
        <w:rPr>
          <w:rFonts w:eastAsia="Times" w:cs="Times New Roman"/>
          <w:szCs w:val="20"/>
        </w:rPr>
        <w:t xml:space="preserve">%), followed by </w:t>
      </w:r>
      <w:r w:rsidR="00457471" w:rsidRPr="007B5BE6">
        <w:rPr>
          <w:rFonts w:eastAsia="Times" w:cs="Times New Roman"/>
          <w:szCs w:val="20"/>
        </w:rPr>
        <w:t>husbands/wives/partners (16.</w:t>
      </w:r>
      <w:r w:rsidR="00001D4D" w:rsidRPr="007B5BE6">
        <w:rPr>
          <w:rFonts w:eastAsia="Times" w:cs="Times New Roman"/>
          <w:szCs w:val="20"/>
        </w:rPr>
        <w:t>5</w:t>
      </w:r>
      <w:r w:rsidR="00CF282D" w:rsidRPr="007B5BE6">
        <w:rPr>
          <w:rFonts w:eastAsia="Times" w:cs="Times New Roman"/>
          <w:szCs w:val="20"/>
        </w:rPr>
        <w:t>%)</w:t>
      </w:r>
      <w:r w:rsidR="00001D4D" w:rsidRPr="007B5BE6">
        <w:rPr>
          <w:rFonts w:eastAsia="Times" w:cs="Times New Roman"/>
          <w:szCs w:val="20"/>
        </w:rPr>
        <w:t xml:space="preserve"> and father/mother/both parents (10.6%)</w:t>
      </w:r>
      <w:r w:rsidR="00CF282D" w:rsidRPr="007B5BE6">
        <w:rPr>
          <w:rFonts w:eastAsia="Times" w:cs="Times New Roman"/>
          <w:szCs w:val="20"/>
        </w:rPr>
        <w:t>.</w:t>
      </w:r>
      <w:r w:rsidR="00B34F34" w:rsidRPr="007B5BE6">
        <w:rPr>
          <w:rStyle w:val="FootnoteReference"/>
          <w:rFonts w:eastAsia="Times" w:cs="Times New Roman"/>
          <w:szCs w:val="20"/>
        </w:rPr>
        <w:footnoteReference w:id="537"/>
      </w:r>
      <w:r w:rsidR="00CF282D" w:rsidRPr="007B5BE6">
        <w:rPr>
          <w:rFonts w:eastAsia="Times" w:cs="Times New Roman"/>
          <w:szCs w:val="20"/>
        </w:rPr>
        <w:t xml:space="preserve"> </w:t>
      </w:r>
    </w:p>
    <w:p w14:paraId="2E427A45" w14:textId="0F1F998F" w:rsidR="00CF282D" w:rsidRPr="007B5BE6" w:rsidRDefault="003328B7" w:rsidP="00CF282D">
      <w:pPr>
        <w:numPr>
          <w:ilvl w:val="2"/>
          <w:numId w:val="2"/>
        </w:numPr>
        <w:tabs>
          <w:tab w:val="left" w:pos="851"/>
        </w:tabs>
        <w:spacing w:before="220"/>
        <w:rPr>
          <w:rFonts w:eastAsia="Times" w:cs="Times New Roman"/>
          <w:szCs w:val="20"/>
        </w:rPr>
      </w:pPr>
      <w:r w:rsidRPr="007B5BE6">
        <w:rPr>
          <w:rFonts w:eastAsia="Times" w:cs="Times New Roman"/>
          <w:szCs w:val="20"/>
        </w:rPr>
        <w:t>In terms of the</w:t>
      </w:r>
      <w:r w:rsidR="00CF282D" w:rsidRPr="007B5BE6">
        <w:rPr>
          <w:rFonts w:eastAsia="Times" w:cs="Times New Roman"/>
          <w:szCs w:val="20"/>
        </w:rPr>
        <w:t xml:space="preserve"> outcomes of calls, most reports </w:t>
      </w:r>
      <w:r w:rsidR="005E33CF" w:rsidRPr="007B5BE6">
        <w:rPr>
          <w:rFonts w:eastAsia="Times" w:cs="Times New Roman"/>
          <w:szCs w:val="20"/>
        </w:rPr>
        <w:t>are</w:t>
      </w:r>
      <w:r w:rsidR="00CF282D" w:rsidRPr="007B5BE6">
        <w:rPr>
          <w:rFonts w:eastAsia="Times" w:cs="Times New Roman"/>
          <w:szCs w:val="20"/>
        </w:rPr>
        <w:t xml:space="preserve"> closed after assessment with no further action taken</w:t>
      </w:r>
      <w:r w:rsidR="00BF65B7" w:rsidRPr="007B5BE6">
        <w:rPr>
          <w:rFonts w:eastAsia="Times" w:cs="Times New Roman"/>
          <w:szCs w:val="20"/>
        </w:rPr>
        <w:t>. F</w:t>
      </w:r>
      <w:r w:rsidR="00397903" w:rsidRPr="007B5BE6">
        <w:rPr>
          <w:rFonts w:eastAsia="Times" w:cs="Times New Roman"/>
          <w:szCs w:val="20"/>
        </w:rPr>
        <w:t xml:space="preserve">or example, in 2023–24, the </w:t>
      </w:r>
      <w:r w:rsidR="00BF65B7" w:rsidRPr="007B5BE6">
        <w:rPr>
          <w:rFonts w:eastAsia="Times" w:cs="Times New Roman"/>
          <w:szCs w:val="20"/>
        </w:rPr>
        <w:t xml:space="preserve">ASU </w:t>
      </w:r>
      <w:r w:rsidR="00397903" w:rsidRPr="007B5BE6">
        <w:rPr>
          <w:rFonts w:eastAsia="Times" w:cs="Times New Roman"/>
          <w:szCs w:val="20"/>
        </w:rPr>
        <w:t>close</w:t>
      </w:r>
      <w:r w:rsidR="00E81960" w:rsidRPr="007B5BE6">
        <w:rPr>
          <w:rFonts w:eastAsia="Times" w:cs="Times New Roman"/>
          <w:szCs w:val="20"/>
        </w:rPr>
        <w:t>d</w:t>
      </w:r>
      <w:r w:rsidR="00397903" w:rsidRPr="007B5BE6">
        <w:rPr>
          <w:rFonts w:eastAsia="Times" w:cs="Times New Roman"/>
          <w:szCs w:val="20"/>
        </w:rPr>
        <w:t xml:space="preserve"> 1,490 reports with ‘no further action following an assessment’</w:t>
      </w:r>
      <w:r w:rsidR="00BF65B7" w:rsidRPr="007B5BE6">
        <w:rPr>
          <w:rFonts w:eastAsia="Times" w:cs="Times New Roman"/>
          <w:szCs w:val="20"/>
        </w:rPr>
        <w:t>,</w:t>
      </w:r>
      <w:r w:rsidR="00397903" w:rsidRPr="007B5BE6">
        <w:rPr>
          <w:rFonts w:eastAsia="Times" w:cs="Times New Roman"/>
          <w:szCs w:val="20"/>
        </w:rPr>
        <w:t xml:space="preserve"> and 160 reports following ‘completion of an investigation’.</w:t>
      </w:r>
      <w:r w:rsidR="00B34F34" w:rsidRPr="007B5BE6">
        <w:rPr>
          <w:rStyle w:val="FootnoteReference"/>
          <w:rFonts w:eastAsia="Times" w:cs="Times New Roman"/>
          <w:szCs w:val="20"/>
        </w:rPr>
        <w:footnoteReference w:id="538"/>
      </w:r>
      <w:r w:rsidR="00CF282D" w:rsidRPr="007B5BE6">
        <w:rPr>
          <w:rFonts w:eastAsia="Times" w:cs="Times New Roman"/>
          <w:szCs w:val="20"/>
        </w:rPr>
        <w:t xml:space="preserve"> </w:t>
      </w:r>
      <w:r w:rsidR="0097596F" w:rsidRPr="007B5BE6">
        <w:rPr>
          <w:rFonts w:eastAsia="Times" w:cs="Times New Roman"/>
          <w:szCs w:val="20"/>
        </w:rPr>
        <w:t>C</w:t>
      </w:r>
      <w:r w:rsidR="00CF282D" w:rsidRPr="007B5BE6">
        <w:rPr>
          <w:rFonts w:eastAsia="Times" w:cs="Times New Roman"/>
          <w:szCs w:val="20"/>
        </w:rPr>
        <w:t>ommenting</w:t>
      </w:r>
      <w:r w:rsidR="00F473C0" w:rsidRPr="007B5BE6">
        <w:rPr>
          <w:rFonts w:eastAsia="Times" w:cs="Times New Roman"/>
          <w:szCs w:val="20"/>
        </w:rPr>
        <w:t xml:space="preserve"> on this</w:t>
      </w:r>
      <w:r w:rsidR="00116500" w:rsidRPr="007B5BE6">
        <w:rPr>
          <w:rFonts w:eastAsia="Times" w:cs="Times New Roman"/>
          <w:szCs w:val="20"/>
        </w:rPr>
        <w:t xml:space="preserve"> pattern (also reflected in earlier reporting periods)</w:t>
      </w:r>
      <w:r w:rsidR="00CF282D" w:rsidRPr="007B5BE6">
        <w:rPr>
          <w:rFonts w:eastAsia="Times" w:cs="Times New Roman"/>
          <w:szCs w:val="20"/>
        </w:rPr>
        <w:t xml:space="preserve"> the </w:t>
      </w:r>
      <w:r w:rsidR="005A395A" w:rsidRPr="007B5BE6">
        <w:rPr>
          <w:rFonts w:eastAsia="Times" w:cs="Times New Roman"/>
          <w:szCs w:val="20"/>
        </w:rPr>
        <w:t>ASU</w:t>
      </w:r>
      <w:r w:rsidR="00116500" w:rsidRPr="007B5BE6">
        <w:rPr>
          <w:rFonts w:eastAsia="Times" w:cs="Times New Roman"/>
          <w:szCs w:val="20"/>
        </w:rPr>
        <w:t>, in its 2021–22 annual report,</w:t>
      </w:r>
      <w:r w:rsidR="00F473C0" w:rsidRPr="007B5BE6">
        <w:rPr>
          <w:rFonts w:eastAsia="Times" w:cs="Times New Roman"/>
          <w:szCs w:val="20"/>
        </w:rPr>
        <w:t xml:space="preserve"> </w:t>
      </w:r>
      <w:r w:rsidR="00CF282D" w:rsidRPr="007B5BE6">
        <w:rPr>
          <w:rFonts w:eastAsia="Times" w:cs="Times New Roman"/>
          <w:szCs w:val="20"/>
        </w:rPr>
        <w:t>indicated that</w:t>
      </w:r>
      <w:r w:rsidR="0097596F" w:rsidRPr="007B5BE6">
        <w:rPr>
          <w:rFonts w:eastAsia="Times" w:cs="Times New Roman"/>
          <w:szCs w:val="20"/>
        </w:rPr>
        <w:t>,</w:t>
      </w:r>
      <w:r w:rsidR="00CF282D" w:rsidRPr="007B5BE6">
        <w:rPr>
          <w:rFonts w:eastAsia="Times" w:cs="Times New Roman"/>
          <w:szCs w:val="20"/>
        </w:rPr>
        <w:t xml:space="preserve"> on some occasions</w:t>
      </w:r>
      <w:r w:rsidR="0097596F" w:rsidRPr="007B5BE6">
        <w:rPr>
          <w:rFonts w:eastAsia="Times" w:cs="Times New Roman"/>
          <w:szCs w:val="20"/>
        </w:rPr>
        <w:t>,</w:t>
      </w:r>
      <w:r w:rsidR="00CF282D" w:rsidRPr="007B5BE6">
        <w:rPr>
          <w:rFonts w:eastAsia="Times" w:cs="Times New Roman"/>
          <w:szCs w:val="20"/>
        </w:rPr>
        <w:t xml:space="preserve"> </w:t>
      </w:r>
      <w:r w:rsidR="007B4365" w:rsidRPr="007B5BE6">
        <w:rPr>
          <w:rFonts w:eastAsia="Times" w:cs="Times New Roman"/>
          <w:szCs w:val="20"/>
        </w:rPr>
        <w:t xml:space="preserve">the </w:t>
      </w:r>
      <w:r w:rsidR="0097596F" w:rsidRPr="007B5BE6">
        <w:rPr>
          <w:rFonts w:eastAsia="Times" w:cs="Times New Roman"/>
          <w:szCs w:val="20"/>
        </w:rPr>
        <w:t xml:space="preserve">ASU </w:t>
      </w:r>
      <w:r w:rsidR="007B4365" w:rsidRPr="007B5BE6">
        <w:rPr>
          <w:rFonts w:eastAsia="Times" w:cs="Times New Roman"/>
          <w:szCs w:val="20"/>
        </w:rPr>
        <w:t>has determined that no</w:t>
      </w:r>
      <w:r w:rsidR="00CF282D" w:rsidRPr="007B5BE6">
        <w:rPr>
          <w:rFonts w:eastAsia="Times" w:cs="Times New Roman"/>
          <w:szCs w:val="20"/>
        </w:rPr>
        <w:t xml:space="preserve"> abuse was being carried out but </w:t>
      </w:r>
      <w:r w:rsidRPr="007B5BE6">
        <w:rPr>
          <w:rFonts w:eastAsia="Times" w:cs="Times New Roman"/>
          <w:szCs w:val="20"/>
        </w:rPr>
        <w:t xml:space="preserve">that there was </w:t>
      </w:r>
      <w:r w:rsidR="00CF282D" w:rsidRPr="007B5BE6">
        <w:rPr>
          <w:rFonts w:eastAsia="Times" w:cs="Times New Roman"/>
          <w:szCs w:val="20"/>
        </w:rPr>
        <w:t>‘significant family conflict and breakdown in communication’</w:t>
      </w:r>
      <w:r w:rsidRPr="007B5BE6">
        <w:rPr>
          <w:rFonts w:eastAsia="Times" w:cs="Times New Roman"/>
          <w:szCs w:val="20"/>
        </w:rPr>
        <w:t>, and so</w:t>
      </w:r>
      <w:r w:rsidR="00CF282D" w:rsidRPr="007B5BE6">
        <w:rPr>
          <w:rFonts w:eastAsia="Times" w:cs="Times New Roman"/>
          <w:szCs w:val="20"/>
        </w:rPr>
        <w:t xml:space="preserve"> where appropriate, ‘information could be provided to family members regarding family counselling and/or family dispute resolution services’.</w:t>
      </w:r>
      <w:r w:rsidR="007B4365" w:rsidRPr="007B5BE6">
        <w:rPr>
          <w:rStyle w:val="FootnoteReference"/>
          <w:rFonts w:eastAsia="Times" w:cs="Times New Roman"/>
          <w:szCs w:val="20"/>
        </w:rPr>
        <w:footnoteReference w:id="539"/>
      </w:r>
      <w:r w:rsidR="00CF282D" w:rsidRPr="007B5BE6">
        <w:rPr>
          <w:rFonts w:eastAsia="Times" w:cs="Times New Roman"/>
          <w:szCs w:val="20"/>
        </w:rPr>
        <w:t xml:space="preserve"> Further, and notably, the </w:t>
      </w:r>
      <w:r w:rsidR="0097596F" w:rsidRPr="007B5BE6">
        <w:rPr>
          <w:rFonts w:eastAsia="Times" w:cs="Times New Roman"/>
          <w:szCs w:val="20"/>
        </w:rPr>
        <w:t xml:space="preserve">ASU </w:t>
      </w:r>
      <w:r w:rsidR="00CF282D" w:rsidRPr="007B5BE6">
        <w:rPr>
          <w:rFonts w:eastAsia="Times" w:cs="Times New Roman"/>
          <w:szCs w:val="20"/>
        </w:rPr>
        <w:t>noted that</w:t>
      </w:r>
      <w:r w:rsidR="00BA7F81" w:rsidRPr="007B5BE6">
        <w:rPr>
          <w:rFonts w:eastAsia="Times" w:cs="Times New Roman"/>
          <w:szCs w:val="20"/>
        </w:rPr>
        <w:t>,</w:t>
      </w:r>
      <w:r w:rsidR="00CF282D" w:rsidRPr="007B5BE6">
        <w:rPr>
          <w:rFonts w:eastAsia="Times" w:cs="Times New Roman"/>
          <w:szCs w:val="20"/>
        </w:rPr>
        <w:t xml:space="preserve"> in many cases</w:t>
      </w:r>
      <w:r w:rsidR="00BA7F81" w:rsidRPr="007B5BE6">
        <w:rPr>
          <w:rFonts w:eastAsia="Times" w:cs="Times New Roman"/>
          <w:szCs w:val="20"/>
        </w:rPr>
        <w:t>,</w:t>
      </w:r>
    </w:p>
    <w:p w14:paraId="4759714C" w14:textId="0C3FBB10" w:rsidR="00CF282D" w:rsidRPr="007B5BE6" w:rsidRDefault="00CF282D" w:rsidP="00CF282D">
      <w:pPr>
        <w:spacing w:before="220"/>
        <w:ind w:left="720" w:right="720"/>
        <w:rPr>
          <w:rFonts w:eastAsia="Aptos" w:cs="Arial"/>
          <w:sz w:val="20"/>
          <w:szCs w:val="20"/>
        </w:rPr>
      </w:pPr>
      <w:r w:rsidRPr="007B5BE6">
        <w:rPr>
          <w:rFonts w:eastAsia="Aptos" w:cs="Arial"/>
          <w:sz w:val="20"/>
          <w:szCs w:val="20"/>
        </w:rPr>
        <w:t xml:space="preserve">[b]ecause of the </w:t>
      </w:r>
      <w:r w:rsidR="0097596F" w:rsidRPr="007B5BE6">
        <w:rPr>
          <w:rFonts w:eastAsia="Aptos" w:cs="Arial"/>
          <w:sz w:val="20"/>
          <w:szCs w:val="20"/>
        </w:rPr>
        <w:t>[</w:t>
      </w:r>
      <w:r w:rsidR="0097596F" w:rsidRPr="007B5BE6">
        <w:rPr>
          <w:rFonts w:eastAsia="Times" w:cs="Times New Roman"/>
          <w:sz w:val="20"/>
          <w:szCs w:val="20"/>
        </w:rPr>
        <w:t>ASU’s]</w:t>
      </w:r>
      <w:r w:rsidRPr="007B5BE6">
        <w:rPr>
          <w:rFonts w:eastAsia="Aptos" w:cs="Arial"/>
          <w:sz w:val="20"/>
          <w:szCs w:val="20"/>
        </w:rPr>
        <w:t xml:space="preserve"> input and advice during the assessment phase, supports were strengthened to safeguard the adult such that the case did not need to formally progress to investigation and safeguarding. Information gathering during the assessment phase is an interactive process where the person’s situation is usually discussed in detail. Solutions are identified and implemented by either the person themselves, the </w:t>
      </w:r>
      <w:r w:rsidR="0097596F" w:rsidRPr="007B5BE6">
        <w:rPr>
          <w:rFonts w:eastAsia="Aptos" w:cs="Arial"/>
          <w:sz w:val="20"/>
          <w:szCs w:val="20"/>
        </w:rPr>
        <w:t>[</w:t>
      </w:r>
      <w:r w:rsidR="0097596F" w:rsidRPr="007B5BE6">
        <w:rPr>
          <w:rFonts w:eastAsia="Times" w:cs="Times New Roman"/>
          <w:sz w:val="20"/>
          <w:szCs w:val="20"/>
        </w:rPr>
        <w:t>ASU]</w:t>
      </w:r>
      <w:r w:rsidR="00855455" w:rsidRPr="007B5BE6">
        <w:rPr>
          <w:rFonts w:eastAsia="Aptos" w:cs="Arial"/>
          <w:sz w:val="20"/>
          <w:szCs w:val="20"/>
        </w:rPr>
        <w:t xml:space="preserve"> </w:t>
      </w:r>
      <w:r w:rsidRPr="007B5BE6">
        <w:rPr>
          <w:rFonts w:eastAsia="Aptos" w:cs="Arial"/>
          <w:sz w:val="20"/>
          <w:szCs w:val="20"/>
        </w:rPr>
        <w:t>or others involved in their support and care and safeguarding actions are completed. Safeguarding often overlaps with the assessment process.</w:t>
      </w:r>
      <w:r w:rsidR="00B34F34" w:rsidRPr="007B5BE6">
        <w:rPr>
          <w:rStyle w:val="FootnoteReference"/>
          <w:rFonts w:eastAsia="Aptos" w:cs="Arial"/>
          <w:sz w:val="20"/>
          <w:szCs w:val="20"/>
        </w:rPr>
        <w:footnoteReference w:id="540"/>
      </w:r>
    </w:p>
    <w:p w14:paraId="5893B892" w14:textId="2216973C" w:rsidR="00B52DC8" w:rsidRPr="007B5BE6" w:rsidRDefault="00D7105B">
      <w:pPr>
        <w:pStyle w:val="NormalNumberedTextTLRI"/>
      </w:pPr>
      <w:r w:rsidRPr="007B5BE6">
        <w:t xml:space="preserve">This </w:t>
      </w:r>
      <w:r w:rsidR="00FD10B9" w:rsidRPr="007B5BE6">
        <w:t xml:space="preserve">approach </w:t>
      </w:r>
      <w:r w:rsidRPr="007B5BE6">
        <w:t>is reflected in the</w:t>
      </w:r>
      <w:r w:rsidR="00CF282D" w:rsidRPr="007B5BE6">
        <w:t xml:space="preserve"> outcomes of investigations and safeguarding in closed reports</w:t>
      </w:r>
      <w:r w:rsidR="00F0365E" w:rsidRPr="007B5BE6">
        <w:t>. T</w:t>
      </w:r>
      <w:r w:rsidR="008D348F" w:rsidRPr="007B5BE6">
        <w:t xml:space="preserve">argeted </w:t>
      </w:r>
      <w:r w:rsidR="00B91EE3" w:rsidRPr="007B5BE6">
        <w:t>actions undertaken in 2023–24 includ</w:t>
      </w:r>
      <w:r w:rsidR="00F0365E" w:rsidRPr="007B5BE6">
        <w:t>ed</w:t>
      </w:r>
      <w:r w:rsidR="00B91EE3" w:rsidRPr="007B5BE6">
        <w:t xml:space="preserve">: </w:t>
      </w:r>
      <w:r w:rsidR="00F16CF4" w:rsidRPr="007B5BE6">
        <w:t>‘</w:t>
      </w:r>
      <w:r w:rsidR="00074113" w:rsidRPr="007B5BE6">
        <w:t xml:space="preserve">the provision of education and advice, supporting other agencies to safeguard the adult, co-ordinating a multi-agency response, advocacy, safety planning and increasing an adult’s access to funded support services such as NDIS </w:t>
      </w:r>
      <w:r w:rsidR="00F0365E" w:rsidRPr="007B5BE6">
        <w:t xml:space="preserve">[National Disability Insurance Scheme] </w:t>
      </w:r>
      <w:r w:rsidR="00074113" w:rsidRPr="007B5BE6">
        <w:t>or My Aged Care</w:t>
      </w:r>
      <w:r w:rsidR="00F16CF4" w:rsidRPr="007B5BE6">
        <w:t>’.</w:t>
      </w:r>
      <w:r w:rsidR="00F16CF4" w:rsidRPr="007B5BE6">
        <w:rPr>
          <w:rStyle w:val="FootnoteReference"/>
        </w:rPr>
        <w:footnoteReference w:id="541"/>
      </w:r>
      <w:r w:rsidR="00CF282D" w:rsidRPr="007B5BE6">
        <w:t xml:space="preserve"> </w:t>
      </w:r>
      <w:r w:rsidR="00E4179C" w:rsidRPr="007B5BE6">
        <w:t xml:space="preserve">A breakdown of </w:t>
      </w:r>
      <w:r w:rsidR="00E67E95" w:rsidRPr="007B5BE6">
        <w:t xml:space="preserve">outcomes </w:t>
      </w:r>
      <w:r w:rsidR="00E4179C" w:rsidRPr="007B5BE6">
        <w:t xml:space="preserve">from </w:t>
      </w:r>
      <w:r w:rsidR="00E67E95" w:rsidRPr="007B5BE6">
        <w:t>reports</w:t>
      </w:r>
      <w:r w:rsidR="00AD1416" w:rsidRPr="007B5BE6">
        <w:t xml:space="preserve"> is </w:t>
      </w:r>
      <w:r w:rsidR="00E4179C" w:rsidRPr="007B5BE6">
        <w:t>only available</w:t>
      </w:r>
      <w:r w:rsidR="00E67E95" w:rsidRPr="007B5BE6">
        <w:t xml:space="preserve"> from earlier reporting periods</w:t>
      </w:r>
      <w:r w:rsidR="00CC4B95" w:rsidRPr="007B5BE6">
        <w:t>.</w:t>
      </w:r>
      <w:r w:rsidR="00AD1416" w:rsidRPr="007B5BE6">
        <w:t xml:space="preserve"> For example, in </w:t>
      </w:r>
      <w:r w:rsidR="00CF282D" w:rsidRPr="007B5BE6">
        <w:t>2021–22</w:t>
      </w:r>
      <w:r w:rsidR="00B52DC8" w:rsidRPr="007B5BE6">
        <w:t xml:space="preserve">, </w:t>
      </w:r>
      <w:r w:rsidR="00AD1416" w:rsidRPr="007B5BE6">
        <w:t>of</w:t>
      </w:r>
      <w:r w:rsidR="00CF282D" w:rsidRPr="007B5BE6">
        <w:t xml:space="preserve"> the 1,113 reports</w:t>
      </w:r>
      <w:r w:rsidR="00AD1416" w:rsidRPr="007B5BE6">
        <w:t xml:space="preserve"> closed i</w:t>
      </w:r>
      <w:r w:rsidR="00106E2E" w:rsidRPr="007B5BE6">
        <w:t>n that year</w:t>
      </w:r>
      <w:r w:rsidR="00B52DC8" w:rsidRPr="007B5BE6">
        <w:t>:</w:t>
      </w:r>
    </w:p>
    <w:p w14:paraId="774C8191" w14:textId="7C0356F8" w:rsidR="00B52DC8" w:rsidRPr="007B5BE6" w:rsidRDefault="00CF282D" w:rsidP="00B52DC8">
      <w:pPr>
        <w:pStyle w:val="DotPointTLRI"/>
        <w:rPr>
          <w:rFonts w:eastAsia="Times"/>
          <w:szCs w:val="20"/>
        </w:rPr>
      </w:pPr>
      <w:r w:rsidRPr="007B5BE6">
        <w:rPr>
          <w:rFonts w:eastAsia="Times"/>
        </w:rPr>
        <w:lastRenderedPageBreak/>
        <w:t xml:space="preserve">76 reports required safeguarding and were closed, with a broad range of outcomes </w:t>
      </w:r>
      <w:r w:rsidR="00230B6B" w:rsidRPr="007B5BE6">
        <w:rPr>
          <w:rFonts w:eastAsia="Times"/>
        </w:rPr>
        <w:t xml:space="preserve">that </w:t>
      </w:r>
      <w:r w:rsidRPr="007B5BE6">
        <w:rPr>
          <w:rFonts w:eastAsia="Times"/>
        </w:rPr>
        <w:t>includ</w:t>
      </w:r>
      <w:r w:rsidR="00230B6B" w:rsidRPr="007B5BE6">
        <w:rPr>
          <w:rFonts w:eastAsia="Times"/>
        </w:rPr>
        <w:t>ed</w:t>
      </w:r>
      <w:r w:rsidRPr="007B5BE6">
        <w:rPr>
          <w:rFonts w:eastAsia="Times"/>
        </w:rPr>
        <w:t xml:space="preserve"> education and advice and support to address human service needs </w:t>
      </w:r>
      <w:r w:rsidR="00230B6B" w:rsidRPr="007B5BE6">
        <w:rPr>
          <w:rFonts w:eastAsia="Times"/>
        </w:rPr>
        <w:t>and, less commonly,</w:t>
      </w:r>
      <w:r w:rsidRPr="007B5BE6">
        <w:rPr>
          <w:rFonts w:eastAsia="Times"/>
        </w:rPr>
        <w:t xml:space="preserve"> referral to legal or justice agencies.</w:t>
      </w:r>
      <w:r w:rsidR="00B34F34" w:rsidRPr="007B5BE6">
        <w:rPr>
          <w:rStyle w:val="FootnoteReference"/>
          <w:rFonts w:eastAsia="Times"/>
        </w:rPr>
        <w:footnoteReference w:id="542"/>
      </w:r>
      <w:r w:rsidRPr="007B5BE6">
        <w:rPr>
          <w:rFonts w:eastAsia="Times"/>
        </w:rPr>
        <w:t xml:space="preserve"> </w:t>
      </w:r>
    </w:p>
    <w:p w14:paraId="693668B9" w14:textId="1A81DAA8" w:rsidR="00CF282D" w:rsidRPr="007B5BE6" w:rsidRDefault="00B52DC8" w:rsidP="00B52DC8">
      <w:pPr>
        <w:pStyle w:val="DotPointTLRI"/>
        <w:rPr>
          <w:rFonts w:eastAsia="Times"/>
        </w:rPr>
      </w:pPr>
      <w:r w:rsidRPr="007B5BE6">
        <w:rPr>
          <w:rFonts w:eastAsia="Times"/>
        </w:rPr>
        <w:t>I</w:t>
      </w:r>
      <w:r w:rsidR="00CF282D" w:rsidRPr="007B5BE6">
        <w:rPr>
          <w:rFonts w:eastAsia="Times"/>
        </w:rPr>
        <w:t xml:space="preserve">n the vast majority </w:t>
      </w:r>
      <w:r w:rsidRPr="007B5BE6">
        <w:rPr>
          <w:rFonts w:eastAsia="Times"/>
          <w:szCs w:val="20"/>
        </w:rPr>
        <w:t xml:space="preserve">of these 76 </w:t>
      </w:r>
      <w:r w:rsidR="00CF282D" w:rsidRPr="007B5BE6">
        <w:rPr>
          <w:rFonts w:eastAsia="Times"/>
          <w:szCs w:val="20"/>
        </w:rPr>
        <w:t>cases</w:t>
      </w:r>
      <w:r w:rsidR="00CF282D" w:rsidRPr="007B5BE6">
        <w:rPr>
          <w:rFonts w:eastAsia="Times"/>
        </w:rPr>
        <w:t xml:space="preserve">, consent was sought from the person experiencing abuse before action was taken. In 0.7% of cases, the </w:t>
      </w:r>
      <w:r w:rsidR="00230B6B" w:rsidRPr="007B5BE6">
        <w:rPr>
          <w:rFonts w:eastAsia="Times"/>
        </w:rPr>
        <w:t xml:space="preserve">ASU </w:t>
      </w:r>
      <w:proofErr w:type="gramStart"/>
      <w:r w:rsidR="00045837" w:rsidRPr="007B5BE6">
        <w:rPr>
          <w:rFonts w:eastAsia="Times"/>
        </w:rPr>
        <w:t xml:space="preserve">took </w:t>
      </w:r>
      <w:r w:rsidR="00A5485E" w:rsidRPr="007B5BE6">
        <w:rPr>
          <w:rFonts w:eastAsia="Times"/>
        </w:rPr>
        <w:t>action</w:t>
      </w:r>
      <w:proofErr w:type="gramEnd"/>
      <w:r w:rsidR="00CF282D" w:rsidRPr="007B5BE6">
        <w:rPr>
          <w:rFonts w:eastAsia="Times"/>
        </w:rPr>
        <w:t xml:space="preserve"> with</w:t>
      </w:r>
      <w:r w:rsidR="00140647" w:rsidRPr="007B5BE6">
        <w:rPr>
          <w:rFonts w:eastAsia="Times"/>
        </w:rPr>
        <w:t>out</w:t>
      </w:r>
      <w:r w:rsidR="00CF282D" w:rsidRPr="007B5BE6">
        <w:rPr>
          <w:rFonts w:eastAsia="Times"/>
        </w:rPr>
        <w:t xml:space="preserve"> consent, with this mostly being where the person had impaired decision</w:t>
      </w:r>
      <w:r w:rsidR="00FF0E4A" w:rsidRPr="007B5BE6">
        <w:rPr>
          <w:rFonts w:eastAsia="Times"/>
        </w:rPr>
        <w:t xml:space="preserve"> </w:t>
      </w:r>
      <w:r w:rsidR="00CF282D" w:rsidRPr="007B5BE6">
        <w:rPr>
          <w:rFonts w:eastAsia="Times"/>
        </w:rPr>
        <w:t xml:space="preserve">making and </w:t>
      </w:r>
      <w:r w:rsidR="00140647" w:rsidRPr="007B5BE6">
        <w:rPr>
          <w:rFonts w:eastAsia="Times"/>
        </w:rPr>
        <w:t xml:space="preserve">was </w:t>
      </w:r>
      <w:r w:rsidR="00CF282D" w:rsidRPr="007B5BE6">
        <w:rPr>
          <w:rFonts w:eastAsia="Times"/>
        </w:rPr>
        <w:t xml:space="preserve">unable to consent to the proposed action. In most of these situations, the </w:t>
      </w:r>
      <w:r w:rsidR="00230B6B" w:rsidRPr="007B5BE6">
        <w:rPr>
          <w:rFonts w:eastAsia="Times"/>
        </w:rPr>
        <w:t xml:space="preserve">ASU </w:t>
      </w:r>
      <w:r w:rsidR="00CF282D" w:rsidRPr="007B5BE6">
        <w:rPr>
          <w:rFonts w:eastAsia="Times"/>
        </w:rPr>
        <w:t>met with the person to establish their wishes and preferences and ensure that where possible, the person had the opportunity to be supported in their decision</w:t>
      </w:r>
      <w:r w:rsidR="00FF0E4A" w:rsidRPr="007B5BE6">
        <w:rPr>
          <w:rFonts w:eastAsia="Times"/>
        </w:rPr>
        <w:t xml:space="preserve"> </w:t>
      </w:r>
      <w:r w:rsidR="00CF282D" w:rsidRPr="007B5BE6">
        <w:rPr>
          <w:rFonts w:eastAsia="Times"/>
        </w:rPr>
        <w:t xml:space="preserve">making. Further, as part of or following an investigation, the </w:t>
      </w:r>
      <w:r w:rsidR="00230B6B" w:rsidRPr="007B5BE6">
        <w:rPr>
          <w:rFonts w:eastAsia="Times"/>
        </w:rPr>
        <w:t xml:space="preserve">ASU </w:t>
      </w:r>
      <w:r w:rsidR="00CF282D" w:rsidRPr="007B5BE6">
        <w:rPr>
          <w:rFonts w:eastAsia="Times"/>
        </w:rPr>
        <w:t>work</w:t>
      </w:r>
      <w:r w:rsidR="00CB34EE" w:rsidRPr="007B5BE6">
        <w:rPr>
          <w:rFonts w:eastAsia="Times"/>
        </w:rPr>
        <w:t>ed</w:t>
      </w:r>
      <w:r w:rsidR="00CF282D" w:rsidRPr="007B5BE6">
        <w:rPr>
          <w:rFonts w:eastAsia="Times"/>
        </w:rPr>
        <w:t xml:space="preserve"> with the person to develop a safeguarding plan, which </w:t>
      </w:r>
      <w:r w:rsidR="00230B6B" w:rsidRPr="007B5BE6">
        <w:rPr>
          <w:rFonts w:eastAsia="Times"/>
        </w:rPr>
        <w:t>could</w:t>
      </w:r>
      <w:r w:rsidR="00CF282D" w:rsidRPr="007B5BE6">
        <w:rPr>
          <w:rFonts w:eastAsia="Times"/>
        </w:rPr>
        <w:t xml:space="preserve"> be informal or formal in nature.</w:t>
      </w:r>
      <w:r w:rsidR="00E03E09" w:rsidRPr="007B5BE6">
        <w:rPr>
          <w:rStyle w:val="FootnoteReference"/>
        </w:rPr>
        <w:footnoteReference w:id="543"/>
      </w:r>
      <w:r w:rsidR="00CF282D" w:rsidRPr="007B5BE6">
        <w:rPr>
          <w:rFonts w:eastAsia="Times"/>
        </w:rPr>
        <w:t xml:space="preserve"> </w:t>
      </w:r>
    </w:p>
    <w:p w14:paraId="7C7BE169" w14:textId="6F125F52" w:rsidR="00BC1D7B" w:rsidRPr="007B5BE6" w:rsidRDefault="00BC1D7B" w:rsidP="00BC1D7B">
      <w:pPr>
        <w:numPr>
          <w:ilvl w:val="2"/>
          <w:numId w:val="2"/>
        </w:numPr>
        <w:tabs>
          <w:tab w:val="left" w:pos="851"/>
        </w:tabs>
        <w:spacing w:before="220"/>
        <w:rPr>
          <w:rFonts w:eastAsia="Times" w:cs="Times New Roman"/>
          <w:sz w:val="20"/>
          <w:szCs w:val="20"/>
        </w:rPr>
      </w:pPr>
      <w:r w:rsidRPr="007B5BE6">
        <w:rPr>
          <w:rFonts w:eastAsia="Times" w:cs="Times New Roman"/>
          <w:szCs w:val="20"/>
        </w:rPr>
        <w:t>In relation to education</w:t>
      </w:r>
      <w:r w:rsidR="00AF54B3" w:rsidRPr="007B5BE6">
        <w:rPr>
          <w:rFonts w:eastAsia="Times" w:cs="Times New Roman"/>
          <w:szCs w:val="20"/>
        </w:rPr>
        <w:t xml:space="preserve"> and collaboration</w:t>
      </w:r>
      <w:r w:rsidRPr="007B5BE6">
        <w:rPr>
          <w:rFonts w:eastAsia="Times" w:cs="Times New Roman"/>
          <w:szCs w:val="20"/>
        </w:rPr>
        <w:t xml:space="preserve">, the </w:t>
      </w:r>
      <w:r w:rsidR="00230B6B" w:rsidRPr="007B5BE6">
        <w:rPr>
          <w:rFonts w:eastAsia="Times" w:cs="Times New Roman"/>
          <w:szCs w:val="20"/>
        </w:rPr>
        <w:t>ASU</w:t>
      </w:r>
      <w:r w:rsidRPr="007B5BE6">
        <w:rPr>
          <w:rFonts w:eastAsia="Times" w:cs="Times New Roman"/>
          <w:szCs w:val="20"/>
        </w:rPr>
        <w:t xml:space="preserve"> has a Code of Practice that sets out its functions and operational model, which includes collaboration with individuals, members of communities, service providers, government and non-government agencies and organisations.</w:t>
      </w:r>
      <w:r w:rsidR="00B34F34" w:rsidRPr="007B5BE6">
        <w:rPr>
          <w:rStyle w:val="FootnoteReference"/>
          <w:rFonts w:eastAsia="Times" w:cs="Times New Roman"/>
          <w:szCs w:val="20"/>
        </w:rPr>
        <w:footnoteReference w:id="544"/>
      </w:r>
      <w:r w:rsidRPr="007B5BE6">
        <w:rPr>
          <w:rFonts w:eastAsia="Times" w:cs="Times New Roman"/>
          <w:szCs w:val="20"/>
        </w:rPr>
        <w:t xml:space="preserve"> The </w:t>
      </w:r>
      <w:r w:rsidR="00045837" w:rsidRPr="007B5BE6">
        <w:rPr>
          <w:rFonts w:eastAsia="Times" w:cs="Times New Roman"/>
          <w:szCs w:val="20"/>
        </w:rPr>
        <w:t xml:space="preserve">ASU </w:t>
      </w:r>
      <w:r w:rsidRPr="007B5BE6">
        <w:rPr>
          <w:rFonts w:eastAsia="Times" w:cs="Times New Roman"/>
          <w:szCs w:val="20"/>
        </w:rPr>
        <w:t>also delivers information sessions to community groups and service providers</w:t>
      </w:r>
      <w:r w:rsidRPr="007B5BE6">
        <w:rPr>
          <w:rFonts w:eastAsia="Times" w:cs="Times New Roman"/>
          <w:sz w:val="20"/>
          <w:szCs w:val="20"/>
        </w:rPr>
        <w:t>.</w:t>
      </w:r>
      <w:r w:rsidR="00B34F34" w:rsidRPr="007B5BE6">
        <w:rPr>
          <w:rStyle w:val="FootnoteReference"/>
          <w:rFonts w:eastAsia="Times" w:cs="Times New Roman"/>
          <w:sz w:val="20"/>
          <w:szCs w:val="20"/>
        </w:rPr>
        <w:footnoteReference w:id="545"/>
      </w:r>
      <w:r w:rsidRPr="007B5BE6">
        <w:rPr>
          <w:rFonts w:eastAsia="Times" w:cs="Times New Roman"/>
          <w:sz w:val="20"/>
          <w:szCs w:val="20"/>
        </w:rPr>
        <w:t xml:space="preserve"> </w:t>
      </w:r>
    </w:p>
    <w:p w14:paraId="675C6A7B" w14:textId="2F2828B0" w:rsidR="00CF282D" w:rsidRPr="007B5BE6" w:rsidRDefault="00234BC5" w:rsidP="00AE2D56">
      <w:pPr>
        <w:pStyle w:val="Sub-HeadingTLRI"/>
        <w:spacing w:before="360"/>
      </w:pPr>
      <w:bookmarkStart w:id="571" w:name="_Toc212561793"/>
      <w:r w:rsidRPr="007B5BE6">
        <w:t xml:space="preserve">Ageing and Disability </w:t>
      </w:r>
      <w:r w:rsidR="00CF282D" w:rsidRPr="007B5BE6">
        <w:t>Commissioner (</w:t>
      </w:r>
      <w:r w:rsidR="004131AC" w:rsidRPr="007B5BE6">
        <w:t>NSW</w:t>
      </w:r>
      <w:r w:rsidR="00CF282D" w:rsidRPr="007B5BE6">
        <w:t>)</w:t>
      </w:r>
      <w:bookmarkEnd w:id="571"/>
    </w:p>
    <w:p w14:paraId="5F6DD263" w14:textId="1F5171F3"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The model for an overarching approach to safeguarding in NSW is based around the role of the </w:t>
      </w:r>
      <w:r w:rsidR="00A5485E" w:rsidRPr="007B5BE6">
        <w:rPr>
          <w:rFonts w:eastAsia="Times" w:cs="Times New Roman"/>
          <w:szCs w:val="20"/>
        </w:rPr>
        <w:t>NSW</w:t>
      </w:r>
      <w:r w:rsidRPr="007B5BE6">
        <w:rPr>
          <w:rFonts w:eastAsia="Times" w:cs="Times New Roman"/>
          <w:szCs w:val="20"/>
        </w:rPr>
        <w:t xml:space="preserve"> Ageing and Disability Commissioner, which was established in 2019 under the </w:t>
      </w:r>
      <w:r w:rsidRPr="007B5BE6">
        <w:rPr>
          <w:rFonts w:eastAsia="Times" w:cs="Times New Roman"/>
          <w:i/>
          <w:iCs/>
          <w:szCs w:val="20"/>
        </w:rPr>
        <w:t>Ageing and Disability Commissioner Act 2019</w:t>
      </w:r>
      <w:r w:rsidRPr="007B5BE6">
        <w:rPr>
          <w:rFonts w:eastAsia="Times" w:cs="Times New Roman"/>
          <w:szCs w:val="20"/>
        </w:rPr>
        <w:t xml:space="preserve"> (NSW). The legislated functions of the Commissioner </w:t>
      </w:r>
      <w:r w:rsidR="00AF5CE1" w:rsidRPr="007B5BE6">
        <w:rPr>
          <w:rFonts w:eastAsia="Times" w:cs="Times New Roman"/>
          <w:szCs w:val="20"/>
        </w:rPr>
        <w:t>include</w:t>
      </w:r>
      <w:r w:rsidRPr="007B5BE6">
        <w:rPr>
          <w:rFonts w:eastAsia="Times" w:cs="Times New Roman"/>
          <w:szCs w:val="20"/>
        </w:rPr>
        <w:t>:</w:t>
      </w:r>
    </w:p>
    <w:p w14:paraId="132D1AC6" w14:textId="128D4D26"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deal</w:t>
      </w:r>
      <w:r w:rsidR="00AF5CE1" w:rsidRPr="007B5BE6">
        <w:rPr>
          <w:rFonts w:eastAsia="Times New Roman" w:cs="Times New Roman"/>
        </w:rPr>
        <w:t>ing</w:t>
      </w:r>
      <w:r w:rsidRPr="007B5BE6">
        <w:rPr>
          <w:rFonts w:eastAsia="Times New Roman" w:cs="Times New Roman"/>
        </w:rPr>
        <w:t xml:space="preserve"> with abuse allegations, including investigation and </w:t>
      </w:r>
      <w:r w:rsidR="00CA2581" w:rsidRPr="007B5BE6">
        <w:rPr>
          <w:rFonts w:eastAsia="Times New Roman" w:cs="Times New Roman"/>
        </w:rPr>
        <w:t>tak</w:t>
      </w:r>
      <w:r w:rsidR="00AF5CE1" w:rsidRPr="007B5BE6">
        <w:rPr>
          <w:rFonts w:eastAsia="Times New Roman" w:cs="Times New Roman"/>
        </w:rPr>
        <w:t>ing</w:t>
      </w:r>
      <w:r w:rsidR="00CA2581" w:rsidRPr="007B5BE6">
        <w:rPr>
          <w:rFonts w:eastAsia="Times New Roman" w:cs="Times New Roman"/>
        </w:rPr>
        <w:t xml:space="preserve"> further </w:t>
      </w:r>
      <w:r w:rsidRPr="007B5BE6">
        <w:rPr>
          <w:rFonts w:eastAsia="Times New Roman" w:cs="Times New Roman"/>
        </w:rPr>
        <w:t>act</w:t>
      </w:r>
      <w:r w:rsidR="00CA2581" w:rsidRPr="007B5BE6">
        <w:rPr>
          <w:rFonts w:eastAsia="Times New Roman" w:cs="Times New Roman"/>
        </w:rPr>
        <w:t>ion following an investigation</w:t>
      </w:r>
      <w:r w:rsidRPr="007B5BE6">
        <w:rPr>
          <w:rFonts w:eastAsia="Times New Roman" w:cs="Times New Roman"/>
        </w:rPr>
        <w:t xml:space="preserve">; </w:t>
      </w:r>
    </w:p>
    <w:p w14:paraId="4468EC9B" w14:textId="51D5646C"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advis</w:t>
      </w:r>
      <w:r w:rsidR="00AF5CE1" w:rsidRPr="007B5BE6">
        <w:rPr>
          <w:rFonts w:eastAsia="Times New Roman" w:cs="Times New Roman"/>
        </w:rPr>
        <w:t>ing</w:t>
      </w:r>
      <w:r w:rsidRPr="007B5BE6">
        <w:rPr>
          <w:rFonts w:eastAsia="Times New Roman" w:cs="Times New Roman"/>
        </w:rPr>
        <w:t xml:space="preserve"> and assist</w:t>
      </w:r>
      <w:r w:rsidR="00AF5CE1" w:rsidRPr="007B5BE6">
        <w:rPr>
          <w:rFonts w:eastAsia="Times New Roman" w:cs="Times New Roman"/>
        </w:rPr>
        <w:t xml:space="preserve">ing </w:t>
      </w:r>
      <w:r w:rsidR="00CA2581" w:rsidRPr="007B5BE6">
        <w:rPr>
          <w:rFonts w:eastAsia="Times New Roman" w:cs="Times New Roman"/>
        </w:rPr>
        <w:t>the</w:t>
      </w:r>
      <w:r w:rsidRPr="007B5BE6">
        <w:rPr>
          <w:rFonts w:eastAsia="Times New Roman" w:cs="Times New Roman"/>
        </w:rPr>
        <w:t xml:space="preserve"> public regarding abuse; </w:t>
      </w:r>
    </w:p>
    <w:p w14:paraId="0849C583" w14:textId="44CA03A3"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rais</w:t>
      </w:r>
      <w:r w:rsidR="00AF5CE1" w:rsidRPr="007B5BE6">
        <w:rPr>
          <w:rFonts w:eastAsia="Times New Roman" w:cs="Times New Roman"/>
        </w:rPr>
        <w:t>ing</w:t>
      </w:r>
      <w:r w:rsidRPr="007B5BE6">
        <w:rPr>
          <w:rFonts w:eastAsia="Times New Roman" w:cs="Times New Roman"/>
        </w:rPr>
        <w:t xml:space="preserve"> awareness and educat</w:t>
      </w:r>
      <w:r w:rsidR="00AF5CE1" w:rsidRPr="007B5BE6">
        <w:rPr>
          <w:rFonts w:eastAsia="Times New Roman" w:cs="Times New Roman"/>
        </w:rPr>
        <w:t xml:space="preserve">ing </w:t>
      </w:r>
      <w:r w:rsidR="00CA2581" w:rsidRPr="007B5BE6">
        <w:rPr>
          <w:rFonts w:eastAsia="Times New Roman" w:cs="Times New Roman"/>
        </w:rPr>
        <w:t xml:space="preserve">the </w:t>
      </w:r>
      <w:r w:rsidRPr="007B5BE6">
        <w:rPr>
          <w:rFonts w:eastAsia="Times New Roman" w:cs="Times New Roman"/>
        </w:rPr>
        <w:t xml:space="preserve">public; and </w:t>
      </w:r>
    </w:p>
    <w:p w14:paraId="112AE5D8" w14:textId="0B6FAA05" w:rsidR="00CF282D" w:rsidRPr="007B5BE6" w:rsidRDefault="00CF282D" w:rsidP="00CF282D">
      <w:pPr>
        <w:numPr>
          <w:ilvl w:val="0"/>
          <w:numId w:val="1"/>
        </w:numPr>
        <w:spacing w:after="120"/>
        <w:rPr>
          <w:rFonts w:eastAsia="Times" w:cs="Times New Roman"/>
          <w:szCs w:val="20"/>
        </w:rPr>
      </w:pPr>
      <w:r w:rsidRPr="007B5BE6">
        <w:rPr>
          <w:rFonts w:eastAsia="Times New Roman" w:cs="Times New Roman"/>
        </w:rPr>
        <w:t>identify</w:t>
      </w:r>
      <w:r w:rsidR="00AF5CE1" w:rsidRPr="007B5BE6">
        <w:rPr>
          <w:rFonts w:eastAsia="Times New Roman" w:cs="Times New Roman"/>
        </w:rPr>
        <w:t>ing</w:t>
      </w:r>
      <w:r w:rsidRPr="007B5BE6">
        <w:rPr>
          <w:rFonts w:eastAsia="Times New Roman" w:cs="Times New Roman"/>
        </w:rPr>
        <w:t xml:space="preserve"> and inquir</w:t>
      </w:r>
      <w:r w:rsidR="00AF5CE1" w:rsidRPr="007B5BE6">
        <w:rPr>
          <w:rFonts w:eastAsia="Times New Roman" w:cs="Times New Roman"/>
        </w:rPr>
        <w:t>ing</w:t>
      </w:r>
      <w:r w:rsidRPr="007B5BE6">
        <w:rPr>
          <w:rFonts w:eastAsia="Times New Roman" w:cs="Times New Roman"/>
        </w:rPr>
        <w:t xml:space="preserve"> into systemic issues and report</w:t>
      </w:r>
      <w:r w:rsidR="00AF5CE1" w:rsidRPr="007B5BE6">
        <w:rPr>
          <w:rFonts w:eastAsia="Times New Roman" w:cs="Times New Roman"/>
        </w:rPr>
        <w:t>ing</w:t>
      </w:r>
      <w:r w:rsidRPr="007B5BE6">
        <w:rPr>
          <w:rFonts w:eastAsia="Times New Roman" w:cs="Times New Roman"/>
        </w:rPr>
        <w:t xml:space="preserve"> to/</w:t>
      </w:r>
      <w:r w:rsidR="00AF5CE1" w:rsidRPr="007B5BE6">
        <w:rPr>
          <w:rFonts w:eastAsia="Times New Roman" w:cs="Times New Roman"/>
        </w:rPr>
        <w:t xml:space="preserve">making </w:t>
      </w:r>
      <w:r w:rsidRPr="007B5BE6">
        <w:rPr>
          <w:rFonts w:eastAsia="Times New Roman" w:cs="Times New Roman"/>
        </w:rPr>
        <w:t>recommend</w:t>
      </w:r>
      <w:r w:rsidR="00AF5CE1" w:rsidRPr="007B5BE6">
        <w:rPr>
          <w:rFonts w:eastAsia="Times New Roman" w:cs="Times New Roman"/>
        </w:rPr>
        <w:t>ations</w:t>
      </w:r>
      <w:r w:rsidRPr="007B5BE6">
        <w:rPr>
          <w:rFonts w:eastAsia="Times New Roman" w:cs="Times New Roman"/>
        </w:rPr>
        <w:t xml:space="preserve"> to government.</w:t>
      </w:r>
      <w:r w:rsidR="00B34F34" w:rsidRPr="007B5BE6">
        <w:rPr>
          <w:rStyle w:val="FootnoteReference"/>
          <w:rFonts w:eastAsia="Times New Roman" w:cs="Times New Roman"/>
        </w:rPr>
        <w:footnoteReference w:id="546"/>
      </w:r>
    </w:p>
    <w:p w14:paraId="35C04C3D" w14:textId="22BB5079" w:rsidR="00CF282D" w:rsidRPr="007B5BE6" w:rsidRDefault="000242A5"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The </w:t>
      </w:r>
      <w:r w:rsidR="00184B88" w:rsidRPr="007B5BE6">
        <w:rPr>
          <w:rFonts w:eastAsia="Times" w:cs="Times New Roman"/>
          <w:szCs w:val="20"/>
        </w:rPr>
        <w:t xml:space="preserve">NSW </w:t>
      </w:r>
      <w:r w:rsidRPr="007B5BE6">
        <w:rPr>
          <w:rFonts w:eastAsia="Times" w:cs="Times New Roman"/>
          <w:szCs w:val="20"/>
        </w:rPr>
        <w:t xml:space="preserve">Ageing and Disability Commissioner role (and NSW’s approach) </w:t>
      </w:r>
      <w:r w:rsidR="00C156D7" w:rsidRPr="007B5BE6">
        <w:rPr>
          <w:rFonts w:eastAsia="Times" w:cs="Times New Roman"/>
          <w:szCs w:val="20"/>
        </w:rPr>
        <w:t xml:space="preserve">also </w:t>
      </w:r>
      <w:r w:rsidR="00CF282D" w:rsidRPr="007B5BE6">
        <w:rPr>
          <w:rFonts w:eastAsia="Times" w:cs="Times New Roman"/>
          <w:szCs w:val="20"/>
        </w:rPr>
        <w:t>has many features that closely align with the ALRC’s recommendations for adult safeguarding, including:</w:t>
      </w:r>
    </w:p>
    <w:p w14:paraId="2D397F8D" w14:textId="6D69D91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a definition of a ‘protected adult’ that includes ‘older adult’ (Aboriginal and Torres Strait Islander people aged 50 years or more and all other people aged 65 years or more), and adults with disability (</w:t>
      </w:r>
      <w:r w:rsidR="000242A5" w:rsidRPr="007B5BE6">
        <w:rPr>
          <w:rFonts w:eastAsia="Times New Roman" w:cs="Times New Roman"/>
        </w:rPr>
        <w:t xml:space="preserve">being a </w:t>
      </w:r>
      <w:r w:rsidR="00EB400B" w:rsidRPr="007B5BE6">
        <w:rPr>
          <w:rFonts w:eastAsia="Times New Roman" w:cs="Times New Roman"/>
        </w:rPr>
        <w:t>wider scope</w:t>
      </w:r>
      <w:r w:rsidRPr="007B5BE6">
        <w:rPr>
          <w:rFonts w:eastAsia="Times New Roman" w:cs="Times New Roman"/>
        </w:rPr>
        <w:t xml:space="preserve"> beyond </w:t>
      </w:r>
      <w:r w:rsidR="00EB400B" w:rsidRPr="007B5BE6">
        <w:rPr>
          <w:rFonts w:eastAsia="Times New Roman" w:cs="Times New Roman"/>
        </w:rPr>
        <w:t xml:space="preserve">the role’s </w:t>
      </w:r>
      <w:r w:rsidRPr="007B5BE6">
        <w:rPr>
          <w:rFonts w:eastAsia="Times New Roman" w:cs="Times New Roman"/>
        </w:rPr>
        <w:t xml:space="preserve">initial scope </w:t>
      </w:r>
      <w:r w:rsidR="00EB400B" w:rsidRPr="007B5BE6">
        <w:rPr>
          <w:rFonts w:eastAsia="Times New Roman" w:cs="Times New Roman"/>
        </w:rPr>
        <w:t>of</w:t>
      </w:r>
      <w:r w:rsidRPr="007B5BE6">
        <w:rPr>
          <w:rFonts w:eastAsia="Times New Roman" w:cs="Times New Roman"/>
        </w:rPr>
        <w:t xml:space="preserve"> adults with disability);</w:t>
      </w:r>
    </w:p>
    <w:p w14:paraId="11DF1154" w14:textId="204B2420" w:rsidR="00CF282D" w:rsidRPr="007B5BE6" w:rsidRDefault="00EB400B" w:rsidP="00CF282D">
      <w:pPr>
        <w:numPr>
          <w:ilvl w:val="0"/>
          <w:numId w:val="1"/>
        </w:numPr>
        <w:spacing w:after="120"/>
        <w:rPr>
          <w:rFonts w:eastAsia="Times New Roman" w:cs="Times New Roman"/>
        </w:rPr>
      </w:pPr>
      <w:r w:rsidRPr="007B5BE6">
        <w:rPr>
          <w:rFonts w:eastAsia="Times New Roman" w:cs="Times New Roman"/>
        </w:rPr>
        <w:t xml:space="preserve">the </w:t>
      </w:r>
      <w:r w:rsidR="00CF282D" w:rsidRPr="007B5BE6">
        <w:rPr>
          <w:rFonts w:eastAsia="Times New Roman" w:cs="Times New Roman"/>
        </w:rPr>
        <w:t xml:space="preserve">principles of the Act embody a rights-based approach (including </w:t>
      </w:r>
      <w:r w:rsidRPr="007B5BE6">
        <w:rPr>
          <w:rFonts w:eastAsia="Times New Roman" w:cs="Times New Roman"/>
        </w:rPr>
        <w:t xml:space="preserve">having </w:t>
      </w:r>
      <w:r w:rsidR="00CF282D" w:rsidRPr="007B5BE6">
        <w:rPr>
          <w:rFonts w:eastAsia="Times New Roman" w:cs="Times New Roman"/>
        </w:rPr>
        <w:t xml:space="preserve">regard to </w:t>
      </w:r>
      <w:r w:rsidRPr="007B5BE6">
        <w:rPr>
          <w:rFonts w:eastAsia="Times New Roman" w:cs="Times New Roman"/>
        </w:rPr>
        <w:t xml:space="preserve">the </w:t>
      </w:r>
      <w:r w:rsidR="00CF282D" w:rsidRPr="007B5BE6">
        <w:rPr>
          <w:rFonts w:eastAsia="Times New Roman" w:cs="Times New Roman"/>
        </w:rPr>
        <w:t xml:space="preserve">wishes of </w:t>
      </w:r>
      <w:r w:rsidRPr="007B5BE6">
        <w:rPr>
          <w:rFonts w:eastAsia="Times New Roman" w:cs="Times New Roman"/>
        </w:rPr>
        <w:t xml:space="preserve">the </w:t>
      </w:r>
      <w:r w:rsidR="00CF282D" w:rsidRPr="007B5BE6">
        <w:rPr>
          <w:rFonts w:eastAsia="Times New Roman" w:cs="Times New Roman"/>
        </w:rPr>
        <w:t>adult)</w:t>
      </w:r>
      <w:r w:rsidRPr="007B5BE6">
        <w:rPr>
          <w:rFonts w:eastAsia="Times New Roman" w:cs="Times New Roman"/>
        </w:rPr>
        <w:t>;</w:t>
      </w:r>
      <w:r w:rsidR="00CF282D" w:rsidRPr="007B5BE6">
        <w:rPr>
          <w:rFonts w:eastAsia="Times New Roman" w:cs="Times New Roman"/>
        </w:rPr>
        <w:t xml:space="preserve"> although there is no inclusion of a presumption of capacity; </w:t>
      </w:r>
    </w:p>
    <w:p w14:paraId="35A87378" w14:textId="4964AADF" w:rsidR="00CF282D" w:rsidRPr="007B5BE6" w:rsidRDefault="00EB400B" w:rsidP="00CF282D">
      <w:pPr>
        <w:numPr>
          <w:ilvl w:val="0"/>
          <w:numId w:val="1"/>
        </w:numPr>
        <w:spacing w:after="120"/>
        <w:rPr>
          <w:rFonts w:eastAsia="Times New Roman" w:cs="Times New Roman"/>
        </w:rPr>
      </w:pPr>
      <w:r w:rsidRPr="007B5BE6">
        <w:rPr>
          <w:rFonts w:eastAsia="Times New Roman" w:cs="Times New Roman"/>
        </w:rPr>
        <w:t xml:space="preserve">the </w:t>
      </w:r>
      <w:r w:rsidR="00CF282D" w:rsidRPr="007B5BE6">
        <w:rPr>
          <w:rFonts w:eastAsia="Times New Roman" w:cs="Times New Roman"/>
        </w:rPr>
        <w:t xml:space="preserve">responses of the Commissioner to act (on </w:t>
      </w:r>
      <w:r w:rsidRPr="007B5BE6">
        <w:rPr>
          <w:rFonts w:eastAsia="Times New Roman" w:cs="Times New Roman"/>
        </w:rPr>
        <w:t xml:space="preserve">a </w:t>
      </w:r>
      <w:r w:rsidR="00CF282D" w:rsidRPr="007B5BE6">
        <w:rPr>
          <w:rFonts w:eastAsia="Times New Roman" w:cs="Times New Roman"/>
        </w:rPr>
        <w:t xml:space="preserve">report or </w:t>
      </w:r>
      <w:r w:rsidRPr="007B5BE6">
        <w:rPr>
          <w:rFonts w:eastAsia="Times New Roman" w:cs="Times New Roman"/>
        </w:rPr>
        <w:t xml:space="preserve">its </w:t>
      </w:r>
      <w:r w:rsidR="00CF282D" w:rsidRPr="007B5BE6">
        <w:rPr>
          <w:rFonts w:eastAsia="Times New Roman" w:cs="Times New Roman"/>
        </w:rPr>
        <w:t xml:space="preserve">own motion) are based on the consent of the person (consent </w:t>
      </w:r>
      <w:r w:rsidRPr="007B5BE6">
        <w:rPr>
          <w:rFonts w:eastAsia="Times New Roman" w:cs="Times New Roman"/>
        </w:rPr>
        <w:t xml:space="preserve">is </w:t>
      </w:r>
      <w:r w:rsidR="00CF282D" w:rsidRPr="007B5BE6">
        <w:rPr>
          <w:rFonts w:eastAsia="Times New Roman" w:cs="Times New Roman"/>
        </w:rPr>
        <w:t>not required if the Commissioner has not been able to access the adult despite making reasonable efforts or the Commissioner considers that the adult is incapable of giving consent</w:t>
      </w:r>
      <w:r w:rsidRPr="007B5BE6">
        <w:rPr>
          <w:rFonts w:eastAsia="Times New Roman" w:cs="Times New Roman"/>
        </w:rPr>
        <w:t>,</w:t>
      </w:r>
      <w:r w:rsidR="00CF282D" w:rsidRPr="007B5BE6">
        <w:rPr>
          <w:rFonts w:eastAsia="Times New Roman" w:cs="Times New Roman"/>
        </w:rPr>
        <w:t xml:space="preserve"> despite being provided with appropriate support or it is not necessary to obtain consent due to</w:t>
      </w:r>
      <w:r w:rsidRPr="007B5BE6">
        <w:rPr>
          <w:rFonts w:eastAsia="Times New Roman" w:cs="Times New Roman"/>
        </w:rPr>
        <w:t xml:space="preserve"> the</w:t>
      </w:r>
      <w:r w:rsidR="00CF282D" w:rsidRPr="007B5BE6">
        <w:rPr>
          <w:rFonts w:eastAsia="Times New Roman" w:cs="Times New Roman"/>
        </w:rPr>
        <w:t xml:space="preserve"> seriousness of </w:t>
      </w:r>
      <w:r w:rsidRPr="007B5BE6">
        <w:rPr>
          <w:rFonts w:eastAsia="Times New Roman" w:cs="Times New Roman"/>
        </w:rPr>
        <w:t xml:space="preserve">the </w:t>
      </w:r>
      <w:r w:rsidR="00CF282D" w:rsidRPr="007B5BE6">
        <w:rPr>
          <w:rFonts w:eastAsia="Times New Roman" w:cs="Times New Roman"/>
        </w:rPr>
        <w:t>allegation or risk to personal safety);</w:t>
      </w:r>
    </w:p>
    <w:p w14:paraId="1A62A607" w14:textId="5DAAAD52" w:rsidR="00CF282D" w:rsidRPr="007B5BE6" w:rsidRDefault="0089393F" w:rsidP="00CF282D">
      <w:pPr>
        <w:numPr>
          <w:ilvl w:val="0"/>
          <w:numId w:val="1"/>
        </w:numPr>
        <w:spacing w:after="120"/>
        <w:rPr>
          <w:rFonts w:eastAsia="Times New Roman" w:cs="Times New Roman"/>
        </w:rPr>
      </w:pPr>
      <w:r w:rsidRPr="007B5BE6">
        <w:rPr>
          <w:rFonts w:eastAsia="Times New Roman" w:cs="Times New Roman"/>
        </w:rPr>
        <w:lastRenderedPageBreak/>
        <w:t xml:space="preserve">underpinned by the Act’s </w:t>
      </w:r>
      <w:r w:rsidR="00CF282D" w:rsidRPr="007B5BE6">
        <w:rPr>
          <w:rFonts w:eastAsia="Times New Roman" w:cs="Times New Roman"/>
        </w:rPr>
        <w:t xml:space="preserve">object, </w:t>
      </w:r>
      <w:r w:rsidRPr="007B5BE6">
        <w:rPr>
          <w:rFonts w:eastAsia="Times New Roman" w:cs="Times New Roman"/>
        </w:rPr>
        <w:t xml:space="preserve">which is </w:t>
      </w:r>
      <w:r w:rsidR="00CF282D" w:rsidRPr="007B5BE6">
        <w:rPr>
          <w:rFonts w:eastAsia="Times New Roman" w:cs="Times New Roman"/>
        </w:rPr>
        <w:t xml:space="preserve">protection from abuse, neglect or </w:t>
      </w:r>
      <w:r w:rsidR="00DE6C08" w:rsidRPr="007B5BE6">
        <w:rPr>
          <w:rFonts w:eastAsia="Times New Roman" w:cs="Times New Roman"/>
        </w:rPr>
        <w:t>exploitation,</w:t>
      </w:r>
      <w:r w:rsidR="00CF282D" w:rsidRPr="007B5BE6">
        <w:rPr>
          <w:rFonts w:eastAsia="Times New Roman" w:cs="Times New Roman"/>
        </w:rPr>
        <w:t xml:space="preserve"> although</w:t>
      </w:r>
      <w:r w:rsidRPr="007B5BE6">
        <w:rPr>
          <w:rFonts w:eastAsia="Times New Roman" w:cs="Times New Roman"/>
        </w:rPr>
        <w:t xml:space="preserve"> it</w:t>
      </w:r>
      <w:r w:rsidR="00CF282D" w:rsidRPr="007B5BE6">
        <w:rPr>
          <w:rFonts w:eastAsia="Times New Roman" w:cs="Times New Roman"/>
        </w:rPr>
        <w:t xml:space="preserve"> does not define abuse;</w:t>
      </w:r>
    </w:p>
    <w:p w14:paraId="2DF61BB9" w14:textId="1369DCD5" w:rsidR="00CF282D" w:rsidRPr="007B5BE6" w:rsidRDefault="00CF282D" w:rsidP="00C36293">
      <w:pPr>
        <w:pStyle w:val="DotPointTLRI"/>
      </w:pPr>
      <w:r w:rsidRPr="007B5BE6">
        <w:t>an independent role (</w:t>
      </w:r>
      <w:r w:rsidR="005E1692" w:rsidRPr="007B5BE6">
        <w:t>including</w:t>
      </w:r>
      <w:r w:rsidRPr="007B5BE6">
        <w:t xml:space="preserve"> options for decisions to be reviewed)</w:t>
      </w:r>
      <w:r w:rsidR="001C4420" w:rsidRPr="007B5BE6">
        <w:rPr>
          <w:rStyle w:val="FootnoteReference"/>
        </w:rPr>
        <w:footnoteReference w:id="547"/>
      </w:r>
      <w:r w:rsidRPr="007B5BE6">
        <w:t xml:space="preserve"> with powers to </w:t>
      </w:r>
      <w:r w:rsidR="00E122FB" w:rsidRPr="007B5BE6">
        <w:t xml:space="preserve">respond to </w:t>
      </w:r>
      <w:r w:rsidR="00636966" w:rsidRPr="007B5BE6">
        <w:t>reports of suspected abuse</w:t>
      </w:r>
      <w:r w:rsidR="00A35A97" w:rsidRPr="007B5BE6">
        <w:t xml:space="preserve"> (</w:t>
      </w:r>
      <w:r w:rsidR="00F82420" w:rsidRPr="007B5BE6">
        <w:t>including</w:t>
      </w:r>
      <w:r w:rsidR="00A35A97" w:rsidRPr="007B5BE6">
        <w:t xml:space="preserve"> that the Commissioner</w:t>
      </w:r>
      <w:r w:rsidR="00C2750C" w:rsidRPr="007B5BE6">
        <w:t xml:space="preserve">: </w:t>
      </w:r>
      <w:r w:rsidRPr="007B5BE6">
        <w:t xml:space="preserve">may </w:t>
      </w:r>
      <w:r w:rsidR="00E122FB" w:rsidRPr="007B5BE6">
        <w:t xml:space="preserve">make preliminary </w:t>
      </w:r>
      <w:r w:rsidRPr="007B5BE6">
        <w:t>inquir</w:t>
      </w:r>
      <w:r w:rsidR="00E122FB" w:rsidRPr="007B5BE6">
        <w:t>ies</w:t>
      </w:r>
      <w:r w:rsidR="00636966" w:rsidRPr="007B5BE6">
        <w:t>; may take action by</w:t>
      </w:r>
      <w:r w:rsidRPr="007B5BE6">
        <w:t xml:space="preserve"> investigat</w:t>
      </w:r>
      <w:r w:rsidR="00636966" w:rsidRPr="007B5BE6">
        <w:t>ing</w:t>
      </w:r>
      <w:r w:rsidRPr="007B5BE6">
        <w:t>, refer</w:t>
      </w:r>
      <w:r w:rsidR="00636966" w:rsidRPr="007B5BE6">
        <w:t>ring</w:t>
      </w:r>
      <w:r w:rsidR="00DC7828" w:rsidRPr="007B5BE6">
        <w:t xml:space="preserve"> to another person or body,</w:t>
      </w:r>
      <w:r w:rsidRPr="007B5BE6">
        <w:t xml:space="preserve"> or </w:t>
      </w:r>
      <w:r w:rsidR="00E122FB" w:rsidRPr="007B5BE6">
        <w:t>declin</w:t>
      </w:r>
      <w:r w:rsidR="00DC7828" w:rsidRPr="007B5BE6">
        <w:t>ing</w:t>
      </w:r>
      <w:r w:rsidR="00E122FB" w:rsidRPr="007B5BE6">
        <w:t xml:space="preserve"> to take action</w:t>
      </w:r>
      <w:r w:rsidR="00C2750C" w:rsidRPr="007B5BE6">
        <w:t>;</w:t>
      </w:r>
      <w:r w:rsidR="00982E1D" w:rsidRPr="007B5BE6">
        <w:t xml:space="preserve"> </w:t>
      </w:r>
      <w:r w:rsidR="00C91D16" w:rsidRPr="007B5BE6">
        <w:t>may refer a report</w:t>
      </w:r>
      <w:r w:rsidR="00E122FB" w:rsidRPr="007B5BE6">
        <w:t xml:space="preserve"> </w:t>
      </w:r>
      <w:r w:rsidR="00353FFF" w:rsidRPr="007B5BE6">
        <w:t xml:space="preserve">that constitutes a complaint, </w:t>
      </w:r>
      <w:r w:rsidR="00C91D16" w:rsidRPr="007B5BE6">
        <w:t>to other bodies or entities</w:t>
      </w:r>
      <w:r w:rsidR="00C2750C" w:rsidRPr="007B5BE6">
        <w:t>;</w:t>
      </w:r>
      <w:r w:rsidR="00C91D16" w:rsidRPr="007B5BE6">
        <w:t xml:space="preserve"> and must refer </w:t>
      </w:r>
      <w:r w:rsidR="00300CCA" w:rsidRPr="007B5BE6">
        <w:t xml:space="preserve">to the </w:t>
      </w:r>
      <w:r w:rsidR="00353FFF" w:rsidRPr="007B5BE6">
        <w:t>Commissioner</w:t>
      </w:r>
      <w:r w:rsidR="00300CCA" w:rsidRPr="007B5BE6">
        <w:t xml:space="preserve"> of Police or Director of Public Prosecutions</w:t>
      </w:r>
      <w:r w:rsidR="0048541F" w:rsidRPr="007B5BE6">
        <w:t xml:space="preserve"> if the report may provide evidence of the commission of an offence</w:t>
      </w:r>
      <w:r w:rsidR="00F82420" w:rsidRPr="007B5BE6">
        <w:t>)</w:t>
      </w:r>
      <w:r w:rsidR="008C1563" w:rsidRPr="007B5BE6">
        <w:t>;</w:t>
      </w:r>
      <w:r w:rsidR="008C1563" w:rsidRPr="007B5BE6">
        <w:rPr>
          <w:rStyle w:val="FootnoteReference"/>
        </w:rPr>
        <w:footnoteReference w:id="548"/>
      </w:r>
    </w:p>
    <w:p w14:paraId="55925D8D" w14:textId="28B058DA"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coercive information-gathering powers regarding requiring </w:t>
      </w:r>
      <w:r w:rsidR="00EE45E0" w:rsidRPr="007B5BE6">
        <w:rPr>
          <w:rFonts w:eastAsia="Times New Roman" w:cs="Times New Roman"/>
        </w:rPr>
        <w:t xml:space="preserve">a </w:t>
      </w:r>
      <w:r w:rsidRPr="007B5BE6">
        <w:rPr>
          <w:rFonts w:eastAsia="Times New Roman" w:cs="Times New Roman"/>
        </w:rPr>
        <w:t>person to attend and provide information</w:t>
      </w:r>
      <w:r w:rsidR="00445BDE" w:rsidRPr="007B5BE6">
        <w:rPr>
          <w:rFonts w:eastAsia="Times New Roman" w:cs="Times New Roman"/>
        </w:rPr>
        <w:t>,</w:t>
      </w:r>
      <w:r w:rsidRPr="007B5BE6">
        <w:rPr>
          <w:rFonts w:eastAsia="Times New Roman" w:cs="Times New Roman"/>
        </w:rPr>
        <w:t xml:space="preserve"> and regarding documents, and </w:t>
      </w:r>
      <w:r w:rsidR="00445BDE" w:rsidRPr="007B5BE6">
        <w:rPr>
          <w:rFonts w:eastAsia="Times New Roman" w:cs="Times New Roman"/>
        </w:rPr>
        <w:t xml:space="preserve">powers </w:t>
      </w:r>
      <w:r w:rsidRPr="007B5BE6">
        <w:rPr>
          <w:rFonts w:eastAsia="Times New Roman" w:cs="Times New Roman"/>
        </w:rPr>
        <w:t>to enter premises by warrant;</w:t>
      </w:r>
    </w:p>
    <w:p w14:paraId="6B1BBFCA" w14:textId="3012EE05"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confers some inquiry powers to Official </w:t>
      </w:r>
      <w:r w:rsidR="00445BDE" w:rsidRPr="007B5BE6">
        <w:rPr>
          <w:rFonts w:eastAsia="Times New Roman" w:cs="Times New Roman"/>
        </w:rPr>
        <w:t xml:space="preserve">Community </w:t>
      </w:r>
      <w:r w:rsidRPr="007B5BE6">
        <w:rPr>
          <w:rFonts w:eastAsia="Times New Roman" w:cs="Times New Roman"/>
        </w:rPr>
        <w:t>Visitor</w:t>
      </w:r>
      <w:r w:rsidR="00445BDE" w:rsidRPr="007B5BE6">
        <w:rPr>
          <w:rFonts w:eastAsia="Times New Roman" w:cs="Times New Roman"/>
        </w:rPr>
        <w:t>s</w:t>
      </w:r>
      <w:r w:rsidRPr="007B5BE6">
        <w:rPr>
          <w:rFonts w:eastAsia="Times New Roman" w:cs="Times New Roman"/>
        </w:rPr>
        <w:t xml:space="preserve"> in addition to the Commissioner’s powers;</w:t>
      </w:r>
    </w:p>
    <w:p w14:paraId="229992DC" w14:textId="61420F47"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provision for, and definitions of some limitations on</w:t>
      </w:r>
      <w:r w:rsidR="00445BDE" w:rsidRPr="007B5BE6">
        <w:rPr>
          <w:rFonts w:eastAsia="Times New Roman" w:cs="Times New Roman"/>
        </w:rPr>
        <w:t>,</w:t>
      </w:r>
      <w:r w:rsidRPr="007B5BE6">
        <w:rPr>
          <w:rFonts w:eastAsia="Times New Roman" w:cs="Times New Roman"/>
        </w:rPr>
        <w:t xml:space="preserve"> information-sharing; and </w:t>
      </w:r>
    </w:p>
    <w:p w14:paraId="78A3B9BE" w14:textId="4EE584EE"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protections for reporters from civil and criminal liability or disciplinary action.</w:t>
      </w:r>
      <w:r w:rsidR="00F6697B" w:rsidRPr="007B5BE6">
        <w:rPr>
          <w:rStyle w:val="FootnoteReference"/>
          <w:rFonts w:eastAsia="Times New Roman" w:cs="Times New Roman"/>
        </w:rPr>
        <w:footnoteReference w:id="549"/>
      </w:r>
    </w:p>
    <w:p w14:paraId="3C19943A" w14:textId="59BB0A3E" w:rsidR="00CF282D" w:rsidRPr="007B5BE6" w:rsidRDefault="00621725"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Data is available on the operation of the NSW Ageing and Disability Commissioner role, providing insights into how it operates as an overarching entity </w:t>
      </w:r>
      <w:r w:rsidR="00445BDE" w:rsidRPr="007B5BE6">
        <w:rPr>
          <w:rFonts w:eastAsia="Times" w:cs="Times New Roman"/>
          <w:szCs w:val="20"/>
        </w:rPr>
        <w:t xml:space="preserve">that can both provide advice and information, as well as investigate and </w:t>
      </w:r>
      <w:proofErr w:type="gramStart"/>
      <w:r w:rsidR="00445BDE" w:rsidRPr="007B5BE6">
        <w:rPr>
          <w:rFonts w:eastAsia="Times" w:cs="Times New Roman"/>
          <w:szCs w:val="20"/>
        </w:rPr>
        <w:t>take action</w:t>
      </w:r>
      <w:proofErr w:type="gramEnd"/>
      <w:r w:rsidR="00445BDE" w:rsidRPr="007B5BE6">
        <w:rPr>
          <w:rFonts w:eastAsia="Times" w:cs="Times New Roman"/>
          <w:szCs w:val="20"/>
        </w:rPr>
        <w:t xml:space="preserve"> in response to concerns about abuse of older people. </w:t>
      </w:r>
      <w:r w:rsidR="00CF282D" w:rsidRPr="007B5BE6">
        <w:rPr>
          <w:rFonts w:eastAsia="Times" w:cs="Times New Roman"/>
          <w:szCs w:val="20"/>
        </w:rPr>
        <w:t xml:space="preserve">The </w:t>
      </w:r>
      <w:r w:rsidR="008C45C1" w:rsidRPr="007B5BE6">
        <w:rPr>
          <w:rFonts w:eastAsia="Times" w:cs="Times New Roman"/>
          <w:szCs w:val="20"/>
        </w:rPr>
        <w:t xml:space="preserve">NSW </w:t>
      </w:r>
      <w:r w:rsidR="00CF282D" w:rsidRPr="007B5BE6">
        <w:rPr>
          <w:rFonts w:eastAsia="Times" w:cs="Times New Roman"/>
          <w:szCs w:val="20"/>
        </w:rPr>
        <w:t xml:space="preserve">Ageing and Disability Commission </w:t>
      </w:r>
      <w:r w:rsidR="001D3920" w:rsidRPr="007B5BE6">
        <w:rPr>
          <w:rFonts w:eastAsia="Times" w:cs="Times New Roman"/>
          <w:szCs w:val="20"/>
        </w:rPr>
        <w:t xml:space="preserve">(‘ADC’) </w:t>
      </w:r>
      <w:r w:rsidR="00CF282D" w:rsidRPr="007B5BE6">
        <w:rPr>
          <w:rFonts w:eastAsia="Times" w:cs="Times New Roman"/>
          <w:szCs w:val="20"/>
        </w:rPr>
        <w:t xml:space="preserve">collects and publishes data related to matters of abuse, neglect and exploitation of older people and adults with disability in NSW, including the parties involved, </w:t>
      </w:r>
      <w:r w:rsidRPr="007B5BE6">
        <w:rPr>
          <w:rFonts w:eastAsia="Times" w:cs="Times New Roman"/>
          <w:szCs w:val="20"/>
        </w:rPr>
        <w:t xml:space="preserve">and </w:t>
      </w:r>
      <w:r w:rsidR="00CF282D" w:rsidRPr="007B5BE6">
        <w:rPr>
          <w:rFonts w:eastAsia="Times" w:cs="Times New Roman"/>
          <w:szCs w:val="20"/>
        </w:rPr>
        <w:t xml:space="preserve">the types of alleged abuse, neglect and exploitation </w:t>
      </w:r>
      <w:r w:rsidR="008120F5" w:rsidRPr="007B5BE6">
        <w:rPr>
          <w:rFonts w:eastAsia="Times" w:cs="Times New Roman"/>
          <w:szCs w:val="20"/>
        </w:rPr>
        <w:t xml:space="preserve">that are the subject of </w:t>
      </w:r>
      <w:r w:rsidR="00CF282D" w:rsidRPr="007B5BE6">
        <w:rPr>
          <w:rFonts w:eastAsia="Times" w:cs="Times New Roman"/>
          <w:szCs w:val="20"/>
        </w:rPr>
        <w:t xml:space="preserve">calls and matters received by the </w:t>
      </w:r>
      <w:r w:rsidR="001D3920" w:rsidRPr="007B5BE6">
        <w:rPr>
          <w:rFonts w:eastAsia="Times" w:cs="Times New Roman"/>
          <w:szCs w:val="20"/>
        </w:rPr>
        <w:t>ADC</w:t>
      </w:r>
      <w:r w:rsidR="00CF282D" w:rsidRPr="007B5BE6">
        <w:rPr>
          <w:rFonts w:eastAsia="Times" w:cs="Times New Roman"/>
          <w:szCs w:val="20"/>
        </w:rPr>
        <w:t>.</w:t>
      </w:r>
      <w:r w:rsidR="004D11F9" w:rsidRPr="007B5BE6">
        <w:rPr>
          <w:rStyle w:val="FootnoteReference"/>
          <w:rFonts w:eastAsia="Times" w:cs="Times New Roman"/>
          <w:szCs w:val="20"/>
        </w:rPr>
        <w:footnoteReference w:id="550"/>
      </w:r>
      <w:r w:rsidR="00CF282D" w:rsidRPr="007B5BE6">
        <w:rPr>
          <w:rFonts w:eastAsia="Times" w:cs="Times New Roman"/>
          <w:szCs w:val="20"/>
        </w:rPr>
        <w:t xml:space="preserve"> Calls are received by the Ageing and Disability Abuse Helpline and can then be received by the </w:t>
      </w:r>
      <w:r w:rsidR="001D3920" w:rsidRPr="007B5BE6">
        <w:rPr>
          <w:rFonts w:eastAsia="Times" w:cs="Times New Roman"/>
          <w:szCs w:val="20"/>
        </w:rPr>
        <w:t>ADC</w:t>
      </w:r>
      <w:r w:rsidR="001D3920" w:rsidRPr="007B5BE6" w:rsidDel="001D3920">
        <w:rPr>
          <w:rFonts w:eastAsia="Times" w:cs="Times New Roman"/>
          <w:szCs w:val="20"/>
        </w:rPr>
        <w:t xml:space="preserve"> </w:t>
      </w:r>
      <w:r w:rsidR="00CF282D" w:rsidRPr="007B5BE6">
        <w:rPr>
          <w:rFonts w:eastAsia="Times" w:cs="Times New Roman"/>
          <w:szCs w:val="20"/>
        </w:rPr>
        <w:t>as referred matters.</w:t>
      </w:r>
    </w:p>
    <w:p w14:paraId="3C58459E" w14:textId="16AAFD85"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Between 1 July 2019 and 30 June 2024, the</w:t>
      </w:r>
      <w:r w:rsidR="008120F5" w:rsidRPr="007B5BE6">
        <w:rPr>
          <w:rFonts w:eastAsia="Times" w:cs="Times New Roman"/>
          <w:szCs w:val="20"/>
        </w:rPr>
        <w:t xml:space="preserve"> Ageing and Disability Abuse</w:t>
      </w:r>
      <w:r w:rsidRPr="007B5BE6">
        <w:rPr>
          <w:rFonts w:eastAsia="Times" w:cs="Times New Roman"/>
          <w:szCs w:val="20"/>
        </w:rPr>
        <w:t xml:space="preserve"> Helpline received 67,808 calls (a 66.1% increase over five years). Over that same period, the </w:t>
      </w:r>
      <w:r w:rsidR="001D3920" w:rsidRPr="007B5BE6">
        <w:rPr>
          <w:rFonts w:eastAsia="Times" w:cs="Times New Roman"/>
          <w:szCs w:val="20"/>
        </w:rPr>
        <w:t>ADC</w:t>
      </w:r>
      <w:r w:rsidR="001D3920" w:rsidRPr="007B5BE6" w:rsidDel="001D3920">
        <w:rPr>
          <w:rFonts w:eastAsia="Times" w:cs="Times New Roman"/>
          <w:szCs w:val="20"/>
        </w:rPr>
        <w:t xml:space="preserve"> </w:t>
      </w:r>
      <w:r w:rsidRPr="007B5BE6">
        <w:rPr>
          <w:rFonts w:eastAsia="Times" w:cs="Times New Roman"/>
          <w:szCs w:val="20"/>
        </w:rPr>
        <w:t>received 25,014 matters as referrals (including 18,896 under s</w:t>
      </w:r>
      <w:r w:rsidR="001D3920" w:rsidRPr="007B5BE6">
        <w:rPr>
          <w:rFonts w:eastAsia="Times" w:cs="Times New Roman"/>
          <w:szCs w:val="20"/>
        </w:rPr>
        <w:t>ection</w:t>
      </w:r>
      <w:r w:rsidRPr="007B5BE6">
        <w:rPr>
          <w:rFonts w:eastAsia="Times" w:cs="Times New Roman"/>
          <w:szCs w:val="20"/>
        </w:rPr>
        <w:t xml:space="preserve"> 13 of </w:t>
      </w:r>
      <w:r w:rsidRPr="007B5BE6">
        <w:rPr>
          <w:rFonts w:eastAsia="Times" w:cs="Times New Roman"/>
          <w:i/>
          <w:iCs/>
          <w:szCs w:val="20"/>
        </w:rPr>
        <w:t>Ageing and Disability Commissioner Act 2019</w:t>
      </w:r>
      <w:r w:rsidRPr="007B5BE6">
        <w:rPr>
          <w:rFonts w:eastAsia="Times" w:cs="Times New Roman"/>
          <w:szCs w:val="20"/>
        </w:rPr>
        <w:t xml:space="preserve"> (NSW)</w:t>
      </w:r>
      <w:r w:rsidR="00674EF3" w:rsidRPr="007B5BE6">
        <w:rPr>
          <w:rFonts w:eastAsia="Times" w:cs="Times New Roman"/>
          <w:szCs w:val="20"/>
        </w:rPr>
        <w:t>)</w:t>
      </w:r>
      <w:r w:rsidR="00847B93" w:rsidRPr="007B5BE6">
        <w:rPr>
          <w:rStyle w:val="FootnoteReference"/>
          <w:rFonts w:eastAsia="Times" w:cs="Times New Roman"/>
          <w:szCs w:val="20"/>
        </w:rPr>
        <w:footnoteReference w:id="551"/>
      </w:r>
      <w:r w:rsidRPr="007B5BE6">
        <w:rPr>
          <w:rFonts w:eastAsia="Times" w:cs="Times New Roman"/>
          <w:szCs w:val="20"/>
        </w:rPr>
        <w:t xml:space="preserve"> and 6,118 enquiries (3,030 general inquiries and 3,088 abuse-related inquiries). Of the 18,896 reports received under s</w:t>
      </w:r>
      <w:r w:rsidR="001D3920" w:rsidRPr="007B5BE6">
        <w:rPr>
          <w:rFonts w:eastAsia="Times" w:cs="Times New Roman"/>
          <w:szCs w:val="20"/>
        </w:rPr>
        <w:t>ection</w:t>
      </w:r>
      <w:r w:rsidRPr="007B5BE6">
        <w:rPr>
          <w:rFonts w:eastAsia="Times" w:cs="Times New Roman"/>
          <w:szCs w:val="20"/>
        </w:rPr>
        <w:t xml:space="preserve"> 13, over three-quarters (77%) related to older people (14,541, which included 4,740 reports about older people with disability</w:t>
      </w:r>
      <w:r w:rsidR="001D3920" w:rsidRPr="007B5BE6">
        <w:rPr>
          <w:rFonts w:eastAsia="Times" w:cs="Times New Roman"/>
          <w:szCs w:val="20"/>
        </w:rPr>
        <w:t>)</w:t>
      </w:r>
      <w:r w:rsidRPr="007B5BE6">
        <w:rPr>
          <w:rFonts w:eastAsia="Times" w:cs="Times New Roman"/>
          <w:szCs w:val="20"/>
        </w:rPr>
        <w:t>.</w:t>
      </w:r>
      <w:r w:rsidR="00847B93" w:rsidRPr="007B5BE6">
        <w:rPr>
          <w:rStyle w:val="FootnoteReference"/>
          <w:rFonts w:eastAsia="Times" w:cs="Times New Roman"/>
          <w:szCs w:val="20"/>
        </w:rPr>
        <w:footnoteReference w:id="552"/>
      </w:r>
      <w:r w:rsidRPr="007B5BE6">
        <w:rPr>
          <w:rFonts w:eastAsia="Times" w:cs="Times New Roman"/>
          <w:szCs w:val="20"/>
        </w:rPr>
        <w:t xml:space="preserve"> </w:t>
      </w:r>
    </w:p>
    <w:p w14:paraId="2173A25B" w14:textId="4906485C"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lastRenderedPageBreak/>
        <w:t>A five-year snapshot of the 14,541 total reports</w:t>
      </w:r>
      <w:r w:rsidR="00271C8F" w:rsidRPr="007B5BE6">
        <w:rPr>
          <w:rFonts w:eastAsia="Times" w:cs="Times New Roman"/>
          <w:szCs w:val="20"/>
        </w:rPr>
        <w:t>,</w:t>
      </w:r>
      <w:r w:rsidRPr="007B5BE6">
        <w:rPr>
          <w:rFonts w:eastAsia="Times" w:cs="Times New Roman"/>
          <w:szCs w:val="20"/>
        </w:rPr>
        <w:t xml:space="preserve"> </w:t>
      </w:r>
      <w:r w:rsidR="00271C8F" w:rsidRPr="007B5BE6">
        <w:rPr>
          <w:rFonts w:eastAsia="Times" w:cs="Times New Roman"/>
          <w:szCs w:val="20"/>
        </w:rPr>
        <w:t xml:space="preserve">between 1 July 2019 and 30 June 2024, </w:t>
      </w:r>
      <w:r w:rsidRPr="007B5BE6">
        <w:rPr>
          <w:rFonts w:eastAsia="Times" w:cs="Times New Roman"/>
          <w:szCs w:val="20"/>
        </w:rPr>
        <w:t>relating to abuse, neglect and exploitation of older people in NSW indicates that most were about women (67%).</w:t>
      </w:r>
      <w:r w:rsidR="00847B93" w:rsidRPr="007B5BE6">
        <w:rPr>
          <w:rStyle w:val="FootnoteReference"/>
          <w:rFonts w:eastAsia="Times" w:cs="Times New Roman"/>
          <w:szCs w:val="20"/>
        </w:rPr>
        <w:footnoteReference w:id="553"/>
      </w:r>
      <w:r w:rsidRPr="007B5BE6">
        <w:rPr>
          <w:rFonts w:eastAsia="Times" w:cs="Times New Roman"/>
          <w:szCs w:val="20"/>
        </w:rPr>
        <w:t xml:space="preserve"> Reports were mostly made by paid workers (29%) and adult children (28%), with 14% made by older people. The most common allegations were about psychological abuse (39%), financial abuse (29%) and neglect (21%).</w:t>
      </w:r>
      <w:r w:rsidR="00D460F1" w:rsidRPr="007B5BE6">
        <w:rPr>
          <w:rStyle w:val="FootnoteReference"/>
          <w:rFonts w:eastAsia="Times" w:cs="Times New Roman"/>
          <w:szCs w:val="20"/>
        </w:rPr>
        <w:footnoteReference w:id="554"/>
      </w:r>
      <w:r w:rsidRPr="007B5BE6">
        <w:rPr>
          <w:rFonts w:eastAsia="Times" w:cs="Times New Roman"/>
          <w:szCs w:val="20"/>
        </w:rPr>
        <w:t xml:space="preserve"> </w:t>
      </w:r>
    </w:p>
    <w:p w14:paraId="2C85491D" w14:textId="2DAABBB7" w:rsidR="00A05A13" w:rsidRPr="007B5BE6" w:rsidRDefault="00A05A13"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As was observed regarding the operation of </w:t>
      </w:r>
      <w:r w:rsidR="00271C8F" w:rsidRPr="007B5BE6">
        <w:rPr>
          <w:rFonts w:eastAsia="Times" w:cs="Times New Roman"/>
          <w:szCs w:val="20"/>
        </w:rPr>
        <w:t>SA’s ASU</w:t>
      </w:r>
      <w:r w:rsidRPr="007B5BE6">
        <w:rPr>
          <w:rFonts w:eastAsia="Times" w:cs="Times New Roman"/>
          <w:szCs w:val="20"/>
        </w:rPr>
        <w:t xml:space="preserve">, </w:t>
      </w:r>
      <w:proofErr w:type="gramStart"/>
      <w:r w:rsidR="000500CF" w:rsidRPr="007B5BE6">
        <w:rPr>
          <w:rFonts w:eastAsia="Times" w:cs="Times New Roman"/>
          <w:szCs w:val="20"/>
        </w:rPr>
        <w:t>the vast majority of</w:t>
      </w:r>
      <w:proofErr w:type="gramEnd"/>
      <w:r w:rsidR="000500CF" w:rsidRPr="007B5BE6">
        <w:rPr>
          <w:rFonts w:eastAsia="Times" w:cs="Times New Roman"/>
          <w:szCs w:val="20"/>
        </w:rPr>
        <w:t xml:space="preserve"> </w:t>
      </w:r>
      <w:r w:rsidR="00EE6E55" w:rsidRPr="007B5BE6">
        <w:rPr>
          <w:rFonts w:eastAsia="Times" w:cs="Times New Roman"/>
          <w:szCs w:val="20"/>
        </w:rPr>
        <w:t>calls (or contacts)</w:t>
      </w:r>
      <w:r w:rsidR="00E703B2" w:rsidRPr="007B5BE6">
        <w:rPr>
          <w:rFonts w:eastAsia="Times" w:cs="Times New Roman"/>
          <w:szCs w:val="20"/>
        </w:rPr>
        <w:t xml:space="preserve"> to the </w:t>
      </w:r>
      <w:r w:rsidR="00271C8F" w:rsidRPr="007B5BE6">
        <w:rPr>
          <w:rFonts w:eastAsia="Times" w:cs="Times New Roman"/>
          <w:szCs w:val="20"/>
        </w:rPr>
        <w:t>ADC in NSW</w:t>
      </w:r>
      <w:r w:rsidR="00EE6E55" w:rsidRPr="007B5BE6">
        <w:rPr>
          <w:rFonts w:eastAsia="Times" w:cs="Times New Roman"/>
          <w:szCs w:val="20"/>
        </w:rPr>
        <w:t xml:space="preserve"> are resolved </w:t>
      </w:r>
      <w:r w:rsidR="00B71092" w:rsidRPr="007B5BE6">
        <w:rPr>
          <w:rFonts w:eastAsia="Times" w:cs="Times New Roman"/>
          <w:szCs w:val="20"/>
        </w:rPr>
        <w:t xml:space="preserve">at the initial </w:t>
      </w:r>
      <w:r w:rsidR="001F14B2" w:rsidRPr="007B5BE6">
        <w:rPr>
          <w:rFonts w:eastAsia="Times" w:cs="Times New Roman"/>
          <w:szCs w:val="20"/>
        </w:rPr>
        <w:t>‘enquiry stage’,</w:t>
      </w:r>
      <w:r w:rsidR="00CF0195" w:rsidRPr="007B5BE6">
        <w:rPr>
          <w:rFonts w:eastAsia="Times" w:cs="Times New Roman"/>
          <w:szCs w:val="20"/>
        </w:rPr>
        <w:t xml:space="preserve"> without </w:t>
      </w:r>
      <w:r w:rsidR="00C171BC" w:rsidRPr="007B5BE6">
        <w:rPr>
          <w:rFonts w:eastAsia="Times" w:cs="Times New Roman"/>
          <w:szCs w:val="20"/>
        </w:rPr>
        <w:t>formal action</w:t>
      </w:r>
      <w:r w:rsidR="005C559B" w:rsidRPr="007B5BE6">
        <w:rPr>
          <w:rFonts w:eastAsia="Times" w:cs="Times New Roman"/>
          <w:szCs w:val="20"/>
        </w:rPr>
        <w:t xml:space="preserve"> being t</w:t>
      </w:r>
      <w:r w:rsidR="000833FF" w:rsidRPr="007B5BE6">
        <w:rPr>
          <w:rFonts w:eastAsia="Times" w:cs="Times New Roman"/>
          <w:szCs w:val="20"/>
        </w:rPr>
        <w:t>ak</w:t>
      </w:r>
      <w:r w:rsidR="0056024D" w:rsidRPr="007B5BE6">
        <w:rPr>
          <w:rFonts w:eastAsia="Times" w:cs="Times New Roman"/>
          <w:szCs w:val="20"/>
        </w:rPr>
        <w:t xml:space="preserve">en. </w:t>
      </w:r>
      <w:r w:rsidR="00830BB3" w:rsidRPr="007B5BE6">
        <w:rPr>
          <w:rFonts w:eastAsia="Times" w:cs="Times New Roman"/>
          <w:szCs w:val="20"/>
        </w:rPr>
        <w:t xml:space="preserve">For example, </w:t>
      </w:r>
      <w:r w:rsidR="006B6FFF" w:rsidRPr="007B5BE6">
        <w:rPr>
          <w:rFonts w:eastAsia="Times" w:cs="Times New Roman"/>
          <w:szCs w:val="20"/>
        </w:rPr>
        <w:t xml:space="preserve">between 1 January </w:t>
      </w:r>
      <w:r w:rsidR="005E1C8D" w:rsidRPr="007B5BE6">
        <w:rPr>
          <w:rFonts w:eastAsia="Times" w:cs="Times New Roman"/>
          <w:szCs w:val="20"/>
        </w:rPr>
        <w:t xml:space="preserve">2025 </w:t>
      </w:r>
      <w:r w:rsidR="006B6FFF" w:rsidRPr="007B5BE6">
        <w:rPr>
          <w:rFonts w:eastAsia="Times" w:cs="Times New Roman"/>
          <w:szCs w:val="20"/>
        </w:rPr>
        <w:t>and 31 March 2025, 76.2% of the 1,404 reports were</w:t>
      </w:r>
      <w:r w:rsidR="00DD2FED" w:rsidRPr="007B5BE6">
        <w:rPr>
          <w:rFonts w:eastAsia="Times" w:cs="Times New Roman"/>
          <w:szCs w:val="20"/>
        </w:rPr>
        <w:t xml:space="preserve"> handled at an early stage by the </w:t>
      </w:r>
      <w:r w:rsidR="00830BB3" w:rsidRPr="007B5BE6">
        <w:rPr>
          <w:rFonts w:eastAsia="Times" w:cs="Times New Roman"/>
          <w:szCs w:val="20"/>
        </w:rPr>
        <w:t xml:space="preserve">Ageing </w:t>
      </w:r>
      <w:r w:rsidR="00DD2FED" w:rsidRPr="007B5BE6">
        <w:rPr>
          <w:rFonts w:eastAsia="Times" w:cs="Times New Roman"/>
          <w:szCs w:val="20"/>
        </w:rPr>
        <w:t>and Disability Helpline</w:t>
      </w:r>
      <w:r w:rsidR="006B6FFF" w:rsidRPr="007B5BE6">
        <w:rPr>
          <w:rFonts w:eastAsia="Times" w:cs="Times New Roman"/>
          <w:szCs w:val="20"/>
        </w:rPr>
        <w:t>, with a similar pattern observed over a five-year period from 1 July 2019 to 30 June 2024 (72.7% of 18,404 reports in that period).</w:t>
      </w:r>
      <w:r w:rsidR="007E404B" w:rsidRPr="007B5BE6">
        <w:rPr>
          <w:rStyle w:val="FootnoteReference"/>
          <w:rFonts w:eastAsia="Times" w:cs="Times New Roman"/>
          <w:szCs w:val="20"/>
        </w:rPr>
        <w:footnoteReference w:id="555"/>
      </w:r>
    </w:p>
    <w:p w14:paraId="5EA0F502" w14:textId="1D36ADC2" w:rsidR="00CF282D" w:rsidRPr="007B5BE6" w:rsidRDefault="00CF282D" w:rsidP="00CF282D">
      <w:pPr>
        <w:numPr>
          <w:ilvl w:val="2"/>
          <w:numId w:val="2"/>
        </w:numPr>
        <w:tabs>
          <w:tab w:val="left" w:pos="851"/>
        </w:tabs>
        <w:spacing w:before="220"/>
        <w:rPr>
          <w:rFonts w:eastAsia="Times" w:cs="Times New Roman"/>
          <w:szCs w:val="20"/>
        </w:rPr>
      </w:pPr>
      <w:r w:rsidRPr="007B5BE6">
        <w:rPr>
          <w:rFonts w:eastAsia="Times" w:cs="Times New Roman"/>
          <w:szCs w:val="20"/>
        </w:rPr>
        <w:t xml:space="preserve">Key outcomes for the 14,541 reports in total over the five-year period </w:t>
      </w:r>
      <w:r w:rsidR="009C7F3B" w:rsidRPr="007B5BE6">
        <w:rPr>
          <w:rFonts w:eastAsia="Times" w:cs="Times New Roman"/>
          <w:szCs w:val="20"/>
        </w:rPr>
        <w:t xml:space="preserve">between 1 July 2019 and 30 June 2024 were </w:t>
      </w:r>
      <w:r w:rsidR="005414F1" w:rsidRPr="007B5BE6">
        <w:rPr>
          <w:rFonts w:eastAsia="Times" w:cs="Times New Roman"/>
          <w:szCs w:val="20"/>
        </w:rPr>
        <w:t>that:</w:t>
      </w:r>
    </w:p>
    <w:p w14:paraId="5FE4282A" w14:textId="4124841D"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Outcomes for older people primarily included action by the </w:t>
      </w:r>
      <w:r w:rsidR="009C7F3B" w:rsidRPr="007B5BE6">
        <w:rPr>
          <w:rFonts w:eastAsia="Times New Roman" w:cs="Times New Roman"/>
        </w:rPr>
        <w:t xml:space="preserve">ADC </w:t>
      </w:r>
      <w:r w:rsidRPr="007B5BE6">
        <w:rPr>
          <w:rFonts w:eastAsia="Times New Roman" w:cs="Times New Roman"/>
        </w:rPr>
        <w:t xml:space="preserve">to assist the older person to obtain necessary supports, including aged care (411), legal (234), advocacy (145), other supports (209), and access </w:t>
      </w:r>
      <w:r w:rsidR="00184F1F" w:rsidRPr="007B5BE6">
        <w:rPr>
          <w:rFonts w:eastAsia="Times New Roman" w:cs="Times New Roman"/>
        </w:rPr>
        <w:t xml:space="preserve">to </w:t>
      </w:r>
      <w:r w:rsidRPr="007B5BE6">
        <w:rPr>
          <w:rFonts w:eastAsia="Times New Roman" w:cs="Times New Roman"/>
        </w:rPr>
        <w:t>health services (121). Some responses involved a higher level of intervention, including receive assistance or further actions from police (238) or moving to safer accommodation (191). The Commission obtained the will and preference for 1,849 people, including through 724 home visits.</w:t>
      </w:r>
    </w:p>
    <w:p w14:paraId="4EE5B650" w14:textId="77C8083D" w:rsidR="00CF282D" w:rsidRPr="007B5BE6" w:rsidRDefault="00CF282D" w:rsidP="00CF282D">
      <w:pPr>
        <w:numPr>
          <w:ilvl w:val="0"/>
          <w:numId w:val="1"/>
        </w:numPr>
        <w:spacing w:after="120"/>
        <w:rPr>
          <w:rFonts w:eastAsia="Times New Roman" w:cs="Times New Roman"/>
        </w:rPr>
      </w:pPr>
      <w:r w:rsidRPr="007B5BE6">
        <w:rPr>
          <w:rFonts w:eastAsia="Times New Roman" w:cs="Times New Roman"/>
        </w:rPr>
        <w:t xml:space="preserve">Outcomes for the subjects of allegations primarily </w:t>
      </w:r>
      <w:r w:rsidR="00FE2E40" w:rsidRPr="007B5BE6">
        <w:rPr>
          <w:rFonts w:eastAsia="Times New Roman" w:cs="Times New Roman"/>
        </w:rPr>
        <w:t>involved the ADC</w:t>
      </w:r>
      <w:r w:rsidRPr="007B5BE6">
        <w:rPr>
          <w:rFonts w:eastAsia="Times New Roman" w:cs="Times New Roman"/>
        </w:rPr>
        <w:t xml:space="preserve"> providing education and advice (1,472)</w:t>
      </w:r>
      <w:r w:rsidR="00184F1F" w:rsidRPr="007B5BE6">
        <w:rPr>
          <w:rFonts w:eastAsia="Times New Roman" w:cs="Times New Roman"/>
        </w:rPr>
        <w:t xml:space="preserve"> and</w:t>
      </w:r>
      <w:r w:rsidRPr="007B5BE6">
        <w:rPr>
          <w:rFonts w:eastAsia="Times New Roman" w:cs="Times New Roman"/>
        </w:rPr>
        <w:t xml:space="preserve"> assistance to receive support (251). Other less common outcomes were having an ADVO</w:t>
      </w:r>
      <w:r w:rsidR="002009FF" w:rsidRPr="007B5BE6">
        <w:rPr>
          <w:rFonts w:eastAsia="Times New Roman" w:cs="Times New Roman"/>
        </w:rPr>
        <w:t xml:space="preserve"> (apprehended domestic violence order)</w:t>
      </w:r>
      <w:r w:rsidRPr="007B5BE6">
        <w:rPr>
          <w:rFonts w:eastAsia="Times New Roman" w:cs="Times New Roman"/>
        </w:rPr>
        <w:t xml:space="preserve"> taken out against them (69), access to the older person reduced (51) or prevented (50), removal as power of attorney or enduring power of attorney (49) and </w:t>
      </w:r>
      <w:r w:rsidR="00184F1F" w:rsidRPr="007B5BE6">
        <w:rPr>
          <w:rFonts w:eastAsia="Times New Roman" w:cs="Times New Roman"/>
        </w:rPr>
        <w:t xml:space="preserve">being </w:t>
      </w:r>
      <w:r w:rsidRPr="007B5BE6">
        <w:rPr>
          <w:rFonts w:eastAsia="Times New Roman" w:cs="Times New Roman"/>
        </w:rPr>
        <w:t>charged with criminal offences (30).</w:t>
      </w:r>
      <w:r w:rsidR="006B6FFF" w:rsidRPr="007B5BE6">
        <w:rPr>
          <w:rStyle w:val="FootnoteReference"/>
          <w:rFonts w:eastAsia="Times New Roman" w:cs="Times New Roman"/>
        </w:rPr>
        <w:footnoteReference w:id="556"/>
      </w:r>
      <w:r w:rsidRPr="007B5BE6">
        <w:rPr>
          <w:rFonts w:eastAsia="Times New Roman" w:cs="Times New Roman"/>
        </w:rPr>
        <w:t xml:space="preserve"> </w:t>
      </w:r>
    </w:p>
    <w:p w14:paraId="36279E5A" w14:textId="69903004" w:rsidR="006A5A72" w:rsidRPr="007B5BE6" w:rsidRDefault="00CF282D" w:rsidP="005F7BEF">
      <w:pPr>
        <w:pStyle w:val="NormalNumberedTextTLRI"/>
      </w:pPr>
      <w:r w:rsidRPr="007B5BE6">
        <w:t xml:space="preserve">The Commission obtained the will and preference </w:t>
      </w:r>
      <w:r w:rsidR="00BE024F" w:rsidRPr="007B5BE6">
        <w:t>of</w:t>
      </w:r>
      <w:r w:rsidRPr="007B5BE6">
        <w:t xml:space="preserve"> 1,849 people, including through 724 home visits. This comprised almost six in </w:t>
      </w:r>
      <w:r w:rsidR="004A139B" w:rsidRPr="007B5BE6">
        <w:t>10</w:t>
      </w:r>
      <w:r w:rsidRPr="007B5BE6">
        <w:t xml:space="preserve"> (58.1%) of the 4,474 reports where the Commission </w:t>
      </w:r>
      <w:proofErr w:type="gramStart"/>
      <w:r w:rsidRPr="007B5BE6">
        <w:t>took action</w:t>
      </w:r>
      <w:proofErr w:type="gramEnd"/>
      <w:r w:rsidRPr="007B5BE6">
        <w:t xml:space="preserve"> over the five-year snapshot period (</w:t>
      </w:r>
      <w:r w:rsidR="005A531C" w:rsidRPr="007B5BE6">
        <w:t xml:space="preserve">noting </w:t>
      </w:r>
      <w:r w:rsidRPr="007B5BE6">
        <w:t xml:space="preserve">this was lower at 45% in the most recent three-month period). In just over five in </w:t>
      </w:r>
      <w:r w:rsidR="004A139B" w:rsidRPr="007B5BE6">
        <w:t>10</w:t>
      </w:r>
      <w:r w:rsidRPr="007B5BE6">
        <w:t xml:space="preserve"> (53.1%) of the same 4,474 reports, the will and preference</w:t>
      </w:r>
      <w:r w:rsidR="00BE024F" w:rsidRPr="007B5BE6">
        <w:t xml:space="preserve"> of people </w:t>
      </w:r>
      <w:r w:rsidR="002D1EA1" w:rsidRPr="007B5BE6">
        <w:t>was respected/upheld (</w:t>
      </w:r>
      <w:r w:rsidR="00BE024F" w:rsidRPr="007B5BE6">
        <w:t xml:space="preserve">noting this was </w:t>
      </w:r>
      <w:r w:rsidR="002D1EA1" w:rsidRPr="007B5BE6">
        <w:t>also lower at 40.1% in the most recent three-month period).</w:t>
      </w:r>
      <w:r w:rsidR="00407B21" w:rsidRPr="007B5BE6">
        <w:rPr>
          <w:rStyle w:val="FootnoteReference"/>
        </w:rPr>
        <w:footnoteReference w:id="557"/>
      </w:r>
    </w:p>
    <w:p w14:paraId="5B8EFB0B" w14:textId="77777777" w:rsidR="006A5A72" w:rsidRPr="007B5BE6" w:rsidRDefault="006A5A72">
      <w:pPr>
        <w:spacing w:after="200" w:line="276" w:lineRule="auto"/>
        <w:jc w:val="left"/>
        <w:rPr>
          <w:rFonts w:eastAsia="Times" w:cs="Times New Roman"/>
          <w:szCs w:val="20"/>
        </w:rPr>
      </w:pPr>
      <w:r w:rsidRPr="007B5BE6">
        <w:br w:type="page"/>
      </w:r>
    </w:p>
    <w:p w14:paraId="5ABD24D1" w14:textId="22829D0E" w:rsidR="00812198" w:rsidRPr="007B5BE6" w:rsidRDefault="005A531C" w:rsidP="008C5CF9">
      <w:pPr>
        <w:pStyle w:val="NormalNumberedTextTLRI"/>
      </w:pPr>
      <w:r w:rsidRPr="007B5BE6">
        <w:lastRenderedPageBreak/>
        <w:t>Regarding</w:t>
      </w:r>
      <w:r w:rsidR="00BC1D7B" w:rsidRPr="007B5BE6">
        <w:t xml:space="preserve"> education</w:t>
      </w:r>
      <w:r w:rsidR="00AF54B3" w:rsidRPr="007B5BE6">
        <w:t xml:space="preserve"> and collaboration</w:t>
      </w:r>
      <w:r w:rsidR="00812198" w:rsidRPr="007B5BE6">
        <w:t>, the Interagency Policy</w:t>
      </w:r>
      <w:r w:rsidR="00C7449B" w:rsidRPr="007B5BE6">
        <w:t xml:space="preserve">, </w:t>
      </w:r>
      <w:r w:rsidR="00BE024F" w:rsidRPr="007B5BE6">
        <w:t>‘</w:t>
      </w:r>
      <w:r w:rsidR="00812198" w:rsidRPr="007B5BE6">
        <w:t>Preventing and responding to abuse of older people (Elder Abuse</w:t>
      </w:r>
      <w:r w:rsidR="00BE024F" w:rsidRPr="007B5BE6">
        <w:t>)’</w:t>
      </w:r>
      <w:r w:rsidR="00C7449B" w:rsidRPr="007B5BE6">
        <w:t>,</w:t>
      </w:r>
      <w:r w:rsidR="00812198" w:rsidRPr="007B5BE6">
        <w:t xml:space="preserve"> forms part of the response to </w:t>
      </w:r>
      <w:r w:rsidR="00BE024F" w:rsidRPr="007B5BE6">
        <w:t xml:space="preserve">the </w:t>
      </w:r>
      <w:r w:rsidR="00812198" w:rsidRPr="007B5BE6">
        <w:t>abuse of older people</w:t>
      </w:r>
      <w:r w:rsidR="00BE024F" w:rsidRPr="007B5BE6">
        <w:t xml:space="preserve"> in NSW</w:t>
      </w:r>
      <w:r w:rsidR="00812198" w:rsidRPr="007B5BE6">
        <w:t>, centred around the powers and functions of the Ageing and Disability Commissioner</w:t>
      </w:r>
      <w:r w:rsidR="001551F3" w:rsidRPr="007B5BE6">
        <w:t xml:space="preserve"> within the ADC</w:t>
      </w:r>
      <w:r w:rsidR="00812198" w:rsidRPr="007B5BE6">
        <w:t>.</w:t>
      </w:r>
      <w:r w:rsidR="008021E9" w:rsidRPr="007B5BE6">
        <w:rPr>
          <w:rStyle w:val="FootnoteReference"/>
        </w:rPr>
        <w:footnoteReference w:id="558"/>
      </w:r>
      <w:r w:rsidR="00812198" w:rsidRPr="007B5BE6">
        <w:t xml:space="preserve">  It sets out ‘good practice approaches’ for agencies that work with</w:t>
      </w:r>
      <w:r w:rsidR="001551F3" w:rsidRPr="007B5BE6">
        <w:t>,</w:t>
      </w:r>
      <w:r w:rsidR="00812198" w:rsidRPr="007B5BE6">
        <w:t xml:space="preserve"> and provide services</w:t>
      </w:r>
      <w:r w:rsidR="001551F3" w:rsidRPr="007B5BE6">
        <w:t>,</w:t>
      </w:r>
      <w:r w:rsidR="00812198" w:rsidRPr="007B5BE6">
        <w:t xml:space="preserve"> to older people living in the community who may be subject to</w:t>
      </w:r>
      <w:r w:rsidR="001551F3" w:rsidRPr="007B5BE6">
        <w:t>,</w:t>
      </w:r>
      <w:r w:rsidR="00812198" w:rsidRPr="007B5BE6">
        <w:t xml:space="preserve"> or at risk of</w:t>
      </w:r>
      <w:r w:rsidR="001551F3" w:rsidRPr="007B5BE6">
        <w:t>,</w:t>
      </w:r>
      <w:r w:rsidR="00812198" w:rsidRPr="007B5BE6">
        <w:t xml:space="preserve"> abuse.</w:t>
      </w:r>
      <w:r w:rsidR="008021E9" w:rsidRPr="007B5BE6">
        <w:rPr>
          <w:rStyle w:val="FootnoteReference"/>
        </w:rPr>
        <w:footnoteReference w:id="559"/>
      </w:r>
      <w:r w:rsidR="00812198" w:rsidRPr="007B5BE6">
        <w:t xml:space="preserve"> The Interagency Policy also outlines the requirements for agencies regarding legal interventions under criminal and civil law</w:t>
      </w:r>
      <w:r w:rsidR="007A189C" w:rsidRPr="007B5BE6">
        <w:t>,</w:t>
      </w:r>
      <w:r w:rsidR="00812198" w:rsidRPr="007B5BE6">
        <w:t xml:space="preserve"> and governance arrangements. Regarding this</w:t>
      </w:r>
      <w:r w:rsidR="007A189C" w:rsidRPr="007B5BE6">
        <w:t>,</w:t>
      </w:r>
      <w:r w:rsidR="00812198" w:rsidRPr="007B5BE6">
        <w:t xml:space="preserve"> the following requirements apply:</w:t>
      </w:r>
    </w:p>
    <w:p w14:paraId="253A4D07" w14:textId="77777777" w:rsidR="00812198" w:rsidRPr="007B5BE6" w:rsidRDefault="00812198" w:rsidP="00367AAC">
      <w:pPr>
        <w:pStyle w:val="Indentedquote"/>
        <w:rPr>
          <w:sz w:val="20"/>
          <w:szCs w:val="20"/>
        </w:rPr>
      </w:pPr>
      <w:r w:rsidRPr="007B5BE6">
        <w:rPr>
          <w:sz w:val="20"/>
          <w:szCs w:val="20"/>
        </w:rPr>
        <w:t>All agencies with significant interface with older people though service delivery must include in their policies, procedures and training guidance on identifying and responding to crimes in the context of abuse of older people.</w:t>
      </w:r>
    </w:p>
    <w:p w14:paraId="1E3E4D79" w14:textId="4CA69E9D" w:rsidR="007B3F6E" w:rsidRPr="007B5BE6" w:rsidRDefault="007B3F6E" w:rsidP="00367AAC">
      <w:pPr>
        <w:pStyle w:val="Indentedquote"/>
        <w:rPr>
          <w:sz w:val="20"/>
          <w:szCs w:val="20"/>
        </w:rPr>
      </w:pPr>
      <w:r w:rsidRPr="007B5BE6">
        <w:rPr>
          <w:sz w:val="20"/>
          <w:szCs w:val="20"/>
        </w:rPr>
        <w:t>…</w:t>
      </w:r>
    </w:p>
    <w:p w14:paraId="48A9DCFC" w14:textId="1AA3B79A" w:rsidR="00263D04" w:rsidRPr="007B5BE6" w:rsidRDefault="00812198" w:rsidP="00367AAC">
      <w:pPr>
        <w:pStyle w:val="Indentedquote"/>
        <w:rPr>
          <w:sz w:val="20"/>
          <w:szCs w:val="20"/>
        </w:rPr>
      </w:pPr>
      <w:r w:rsidRPr="007B5BE6">
        <w:rPr>
          <w:sz w:val="20"/>
          <w:szCs w:val="20"/>
        </w:rPr>
        <w:t xml:space="preserve">All </w:t>
      </w:r>
      <w:r w:rsidR="00C7449B" w:rsidRPr="007B5BE6">
        <w:rPr>
          <w:sz w:val="20"/>
          <w:szCs w:val="20"/>
        </w:rPr>
        <w:t xml:space="preserve">agencies </w:t>
      </w:r>
      <w:r w:rsidRPr="007B5BE6">
        <w:rPr>
          <w:sz w:val="20"/>
          <w:szCs w:val="20"/>
        </w:rPr>
        <w:t>with significant interface with older people through service delivery should develop appropriate protocols for working with key partners in identifying and responding to abuse of older people.</w:t>
      </w:r>
      <w:r w:rsidR="0096621F" w:rsidRPr="007B5BE6">
        <w:rPr>
          <w:rStyle w:val="FootnoteReference"/>
          <w:sz w:val="20"/>
          <w:szCs w:val="20"/>
        </w:rPr>
        <w:footnoteReference w:id="560"/>
      </w:r>
      <w:r w:rsidRPr="007B5BE6">
        <w:rPr>
          <w:sz w:val="20"/>
          <w:szCs w:val="20"/>
        </w:rPr>
        <w:t xml:space="preserve"> </w:t>
      </w:r>
    </w:p>
    <w:p w14:paraId="4140F67F" w14:textId="77777777" w:rsidR="000F3AC5" w:rsidRPr="007B5BE6" w:rsidRDefault="00883A66" w:rsidP="00744D17">
      <w:pPr>
        <w:pStyle w:val="NumberedHeadingTLRI"/>
      </w:pPr>
      <w:bookmarkStart w:id="572" w:name="_Toc192107061"/>
      <w:bookmarkStart w:id="573" w:name="_Toc192107603"/>
      <w:bookmarkStart w:id="574" w:name="_Toc192108122"/>
      <w:bookmarkStart w:id="575" w:name="_Toc192108381"/>
      <w:bookmarkStart w:id="576" w:name="_Toc192107137"/>
      <w:bookmarkStart w:id="577" w:name="_Toc192107679"/>
      <w:bookmarkStart w:id="578" w:name="_Toc192108198"/>
      <w:bookmarkStart w:id="579" w:name="_Toc192108457"/>
      <w:bookmarkStart w:id="580" w:name="_Toc192107168"/>
      <w:bookmarkStart w:id="581" w:name="_Toc192107710"/>
      <w:bookmarkStart w:id="582" w:name="_Toc192108229"/>
      <w:bookmarkStart w:id="583" w:name="_Toc192108488"/>
      <w:bookmarkStart w:id="584" w:name="_Toc212561794"/>
      <w:bookmarkEnd w:id="572"/>
      <w:bookmarkEnd w:id="573"/>
      <w:bookmarkEnd w:id="574"/>
      <w:bookmarkEnd w:id="575"/>
      <w:bookmarkEnd w:id="576"/>
      <w:bookmarkEnd w:id="577"/>
      <w:bookmarkEnd w:id="578"/>
      <w:bookmarkEnd w:id="579"/>
      <w:bookmarkEnd w:id="580"/>
      <w:bookmarkEnd w:id="581"/>
      <w:bookmarkEnd w:id="582"/>
      <w:bookmarkEnd w:id="583"/>
      <w:r w:rsidRPr="007B5BE6">
        <w:t>TLRI’s view</w:t>
      </w:r>
      <w:r w:rsidR="005F1057" w:rsidRPr="007B5BE6">
        <w:t>s and recommendations</w:t>
      </w:r>
      <w:bookmarkEnd w:id="584"/>
    </w:p>
    <w:p w14:paraId="1C38ED0A" w14:textId="098A6435" w:rsidR="007533AF" w:rsidRPr="007B5BE6" w:rsidRDefault="00A55FB4" w:rsidP="00AE2D56">
      <w:pPr>
        <w:pStyle w:val="Headingunnumbered"/>
        <w:spacing w:before="360"/>
      </w:pPr>
      <w:bookmarkStart w:id="585" w:name="_Toc212561795"/>
      <w:r w:rsidRPr="007B5BE6">
        <w:t>A l</w:t>
      </w:r>
      <w:r w:rsidR="00BD0DDE" w:rsidRPr="007B5BE6">
        <w:t xml:space="preserve">egislative framework </w:t>
      </w:r>
      <w:r w:rsidR="004B5BB0" w:rsidRPr="007B5BE6">
        <w:t>to create</w:t>
      </w:r>
      <w:r w:rsidR="00BD0DDE" w:rsidRPr="007B5BE6">
        <w:t xml:space="preserve"> </w:t>
      </w:r>
      <w:r w:rsidR="004253F4" w:rsidRPr="007B5BE6">
        <w:t xml:space="preserve">an independent </w:t>
      </w:r>
      <w:r w:rsidR="00BD0DDE" w:rsidRPr="007B5BE6">
        <w:t>statutory entity</w:t>
      </w:r>
      <w:r w:rsidR="00737688" w:rsidRPr="007B5BE6">
        <w:t xml:space="preserve"> </w:t>
      </w:r>
      <w:r w:rsidR="004B5BB0" w:rsidRPr="007B5BE6">
        <w:t xml:space="preserve">for safeguarding </w:t>
      </w:r>
      <w:r w:rsidR="00F70E27" w:rsidRPr="007B5BE6">
        <w:t>older people in Tasmania</w:t>
      </w:r>
      <w:bookmarkEnd w:id="585"/>
    </w:p>
    <w:p w14:paraId="2067B5D8" w14:textId="52A76FCB" w:rsidR="00D71176" w:rsidRPr="007B5BE6" w:rsidRDefault="00FC6335" w:rsidP="00D71176">
      <w:pPr>
        <w:pStyle w:val="NormalNumberedTextTLRI"/>
      </w:pPr>
      <w:r w:rsidRPr="007B5BE6">
        <w:t xml:space="preserve">Current laws do not cover all forms of abuse that is experienced by older people nor provide a response that is specifically defined </w:t>
      </w:r>
      <w:r w:rsidR="00341D1B" w:rsidRPr="007B5BE6">
        <w:t>around</w:t>
      </w:r>
      <w:r w:rsidR="00805193" w:rsidRPr="007B5BE6">
        <w:t xml:space="preserve">, </w:t>
      </w:r>
      <w:r w:rsidRPr="007B5BE6">
        <w:t>or tailored to</w:t>
      </w:r>
      <w:r w:rsidR="00341D1B" w:rsidRPr="007B5BE6">
        <w:t>,</w:t>
      </w:r>
      <w:r w:rsidR="007B1AB0" w:rsidRPr="007B5BE6">
        <w:t xml:space="preserve"> the abuse of older people</w:t>
      </w:r>
      <w:r w:rsidRPr="007B5BE6">
        <w:t xml:space="preserve">. </w:t>
      </w:r>
      <w:r w:rsidR="008274C8" w:rsidRPr="007B5BE6">
        <w:t>The TLRI observes that the legal response to the abuse of older people in Tasmania has developed in an iterative way in particular areas of the law and for cohorts that</w:t>
      </w:r>
      <w:r w:rsidR="00C33D30" w:rsidRPr="007B5BE6">
        <w:t xml:space="preserve"> may </w:t>
      </w:r>
      <w:r w:rsidR="008274C8" w:rsidRPr="007B5BE6">
        <w:t xml:space="preserve">include </w:t>
      </w:r>
      <w:r w:rsidR="008274C8" w:rsidRPr="007B5BE6">
        <w:rPr>
          <w:i/>
          <w:iCs/>
        </w:rPr>
        <w:t xml:space="preserve">some </w:t>
      </w:r>
      <w:r w:rsidR="008274C8" w:rsidRPr="007B5BE6">
        <w:t xml:space="preserve">older people but do not include </w:t>
      </w:r>
      <w:r w:rsidR="008274C8" w:rsidRPr="007B5BE6">
        <w:rPr>
          <w:i/>
          <w:iCs/>
        </w:rPr>
        <w:t>all</w:t>
      </w:r>
      <w:r w:rsidR="008274C8" w:rsidRPr="007B5BE6">
        <w:t xml:space="preserve"> older people. </w:t>
      </w:r>
      <w:r w:rsidR="00D71176" w:rsidRPr="007B5BE6">
        <w:t xml:space="preserve">There are a range of legislative regimes that </w:t>
      </w:r>
      <w:r w:rsidR="0041300A" w:rsidRPr="007B5BE6">
        <w:t xml:space="preserve">could </w:t>
      </w:r>
      <w:r w:rsidR="00D71176" w:rsidRPr="007B5BE6">
        <w:t xml:space="preserve">apply as a response to </w:t>
      </w:r>
      <w:r w:rsidR="000C139F" w:rsidRPr="007B5BE6">
        <w:t xml:space="preserve">some forms of </w:t>
      </w:r>
      <w:r w:rsidR="00D71176" w:rsidRPr="007B5BE6">
        <w:t xml:space="preserve">abuse </w:t>
      </w:r>
      <w:r w:rsidR="00F34981" w:rsidRPr="007B5BE6">
        <w:t xml:space="preserve">that is </w:t>
      </w:r>
      <w:r w:rsidR="000C139F" w:rsidRPr="007B5BE6">
        <w:t>experienced by</w:t>
      </w:r>
      <w:r w:rsidR="00D71176" w:rsidRPr="007B5BE6">
        <w:t xml:space="preserve"> older Tasmanians. However, whether these can be accessed depends on whether </w:t>
      </w:r>
      <w:r w:rsidR="005C65AE" w:rsidRPr="007B5BE6">
        <w:t xml:space="preserve">the </w:t>
      </w:r>
      <w:r w:rsidR="00D71176" w:rsidRPr="007B5BE6">
        <w:t xml:space="preserve">abuse is being experienced in certain circumstances, for example whether </w:t>
      </w:r>
      <w:r w:rsidR="005C65AE" w:rsidRPr="007B5BE6">
        <w:t>an older person is</w:t>
      </w:r>
      <w:r w:rsidR="00D71176" w:rsidRPr="007B5BE6">
        <w:t xml:space="preserve"> experiencing abuse:</w:t>
      </w:r>
    </w:p>
    <w:p w14:paraId="45B7D69E" w14:textId="77777777" w:rsidR="00D71176" w:rsidRPr="007B5BE6" w:rsidRDefault="00D71176" w:rsidP="00D71176">
      <w:pPr>
        <w:pStyle w:val="DotPointTLRI"/>
      </w:pPr>
      <w:r w:rsidRPr="007B5BE6">
        <w:t xml:space="preserve">when using </w:t>
      </w:r>
      <w:proofErr w:type="gramStart"/>
      <w:r w:rsidRPr="007B5BE6">
        <w:t>particular services</w:t>
      </w:r>
      <w:proofErr w:type="gramEnd"/>
      <w:r w:rsidRPr="007B5BE6">
        <w:t xml:space="preserve"> (health or aged care);</w:t>
      </w:r>
    </w:p>
    <w:p w14:paraId="38B13940" w14:textId="7BFEE9AF" w:rsidR="00D71176" w:rsidRPr="007B5BE6" w:rsidRDefault="00D71176" w:rsidP="00D71176">
      <w:pPr>
        <w:pStyle w:val="DotPointTLRI"/>
      </w:pPr>
      <w:r w:rsidRPr="007B5BE6">
        <w:t>when accessing disability services and have a disability</w:t>
      </w:r>
      <w:r w:rsidR="000D6526" w:rsidRPr="007B5BE6">
        <w:t xml:space="preserve"> (disability)</w:t>
      </w:r>
      <w:r w:rsidRPr="007B5BE6">
        <w:t>;</w:t>
      </w:r>
    </w:p>
    <w:p w14:paraId="5F706E50" w14:textId="670F336A" w:rsidR="00302A39" w:rsidRPr="007B5BE6" w:rsidRDefault="00F34981" w:rsidP="00D71176">
      <w:pPr>
        <w:pStyle w:val="DotPointTLRI"/>
      </w:pPr>
      <w:r w:rsidRPr="007B5BE6">
        <w:t>as</w:t>
      </w:r>
      <w:r w:rsidR="0034770C" w:rsidRPr="007B5BE6">
        <w:t xml:space="preserve"> </w:t>
      </w:r>
      <w:r w:rsidR="00734B1D" w:rsidRPr="007B5BE6">
        <w:t>violence, abuse, neglect</w:t>
      </w:r>
      <w:r w:rsidR="000638DE" w:rsidRPr="007B5BE6">
        <w:t xml:space="preserve">, coercion or exploitation </w:t>
      </w:r>
      <w:r w:rsidR="008D54A9" w:rsidRPr="007B5BE6">
        <w:t xml:space="preserve">as a person with disability </w:t>
      </w:r>
      <w:r w:rsidR="000638DE" w:rsidRPr="007B5BE6">
        <w:t>(disability)</w:t>
      </w:r>
      <w:r w:rsidR="008D54A9" w:rsidRPr="007B5BE6">
        <w:t>;</w:t>
      </w:r>
    </w:p>
    <w:p w14:paraId="01EE1B87" w14:textId="1F1DC01A" w:rsidR="00D71176" w:rsidRPr="007B5BE6" w:rsidRDefault="00D71176" w:rsidP="00D71176">
      <w:pPr>
        <w:pStyle w:val="DotPointTLRI"/>
      </w:pPr>
      <w:proofErr w:type="gramStart"/>
      <w:r w:rsidRPr="007B5BE6">
        <w:t>in particular settings</w:t>
      </w:r>
      <w:proofErr w:type="gramEnd"/>
      <w:r w:rsidR="00726F94" w:rsidRPr="007B5BE6">
        <w:t xml:space="preserve">, namely specified areas of activity and </w:t>
      </w:r>
      <w:proofErr w:type="gramStart"/>
      <w:r w:rsidR="00726F94" w:rsidRPr="007B5BE6">
        <w:t>on the basis of</w:t>
      </w:r>
      <w:proofErr w:type="gramEnd"/>
      <w:r w:rsidR="00726F94" w:rsidRPr="007B5BE6">
        <w:t xml:space="preserve"> </w:t>
      </w:r>
      <w:proofErr w:type="gramStart"/>
      <w:r w:rsidR="00726F94" w:rsidRPr="007B5BE6">
        <w:t>particular attributes</w:t>
      </w:r>
      <w:proofErr w:type="gramEnd"/>
      <w:r w:rsidR="00726F94" w:rsidRPr="007B5BE6">
        <w:t xml:space="preserve"> </w:t>
      </w:r>
      <w:r w:rsidRPr="007B5BE6">
        <w:t xml:space="preserve">(discrimination); </w:t>
      </w:r>
    </w:p>
    <w:p w14:paraId="26A2C444" w14:textId="16BA1EE6" w:rsidR="00D71176" w:rsidRPr="007B5BE6" w:rsidRDefault="00D71176" w:rsidP="00D71176">
      <w:pPr>
        <w:pStyle w:val="DotPointTLRI"/>
      </w:pPr>
      <w:r w:rsidRPr="007B5BE6">
        <w:t xml:space="preserve">under </w:t>
      </w:r>
      <w:r w:rsidR="008D54A9" w:rsidRPr="007B5BE6">
        <w:t xml:space="preserve">the </w:t>
      </w:r>
      <w:r w:rsidRPr="007B5BE6">
        <w:t xml:space="preserve">operation of </w:t>
      </w:r>
      <w:proofErr w:type="gramStart"/>
      <w:r w:rsidRPr="007B5BE6">
        <w:t>particular laws</w:t>
      </w:r>
      <w:proofErr w:type="gramEnd"/>
      <w:r w:rsidRPr="007B5BE6">
        <w:t xml:space="preserve"> where an older person may have </w:t>
      </w:r>
      <w:r w:rsidR="00631196" w:rsidRPr="007B5BE6">
        <w:t xml:space="preserve">impaired </w:t>
      </w:r>
      <w:r w:rsidRPr="007B5BE6">
        <w:t xml:space="preserve">decision-making </w:t>
      </w:r>
      <w:r w:rsidR="00631196" w:rsidRPr="007B5BE6">
        <w:t>ability</w:t>
      </w:r>
      <w:r w:rsidRPr="007B5BE6">
        <w:t xml:space="preserve"> (guardianship/administration/power of attorney); or </w:t>
      </w:r>
    </w:p>
    <w:p w14:paraId="4D501D5A" w14:textId="1A4194B5" w:rsidR="00D71176" w:rsidRPr="007B5BE6" w:rsidRDefault="00D71176" w:rsidP="00D71176">
      <w:pPr>
        <w:pStyle w:val="DotPointTLRI"/>
      </w:pPr>
      <w:r w:rsidRPr="007B5BE6">
        <w:t>within relationships (</w:t>
      </w:r>
      <w:r w:rsidR="00C915E1" w:rsidRPr="007B5BE6">
        <w:t xml:space="preserve">current or former ‘significant’ </w:t>
      </w:r>
      <w:r w:rsidRPr="007B5BE6">
        <w:t>intimate partner</w:t>
      </w:r>
      <w:r w:rsidR="00C915E1" w:rsidRPr="007B5BE6">
        <w:t xml:space="preserve"> relationships</w:t>
      </w:r>
      <w:r w:rsidRPr="007B5BE6">
        <w:t>).</w:t>
      </w:r>
    </w:p>
    <w:p w14:paraId="1E31F10F" w14:textId="4478CABE" w:rsidR="00B55445" w:rsidRPr="007B5BE6" w:rsidRDefault="002162BC" w:rsidP="00C51A2D">
      <w:r w:rsidRPr="007B5BE6">
        <w:t>Theref</w:t>
      </w:r>
      <w:r w:rsidR="00943E55" w:rsidRPr="007B5BE6">
        <w:t>ore</w:t>
      </w:r>
      <w:r w:rsidR="00965F8A" w:rsidRPr="007B5BE6">
        <w:t>,</w:t>
      </w:r>
      <w:r w:rsidR="00943E55" w:rsidRPr="007B5BE6">
        <w:t xml:space="preserve"> t</w:t>
      </w:r>
      <w:r w:rsidR="001E4379" w:rsidRPr="007B5BE6">
        <w:t>hese laws</w:t>
      </w:r>
      <w:r w:rsidR="00FC6335" w:rsidRPr="007B5BE6">
        <w:t xml:space="preserve"> </w:t>
      </w:r>
      <w:r w:rsidR="003C4695" w:rsidRPr="007B5BE6">
        <w:t xml:space="preserve">do not apply for all older </w:t>
      </w:r>
      <w:r w:rsidR="00140606" w:rsidRPr="007B5BE6">
        <w:t>Tasmanians</w:t>
      </w:r>
      <w:r w:rsidR="00FC6335" w:rsidRPr="007B5BE6">
        <w:t xml:space="preserve"> who experience or are risk of experiencing abuse</w:t>
      </w:r>
      <w:r w:rsidR="00951927" w:rsidRPr="007B5BE6">
        <w:t xml:space="preserve"> in </w:t>
      </w:r>
      <w:r w:rsidR="0085425B" w:rsidRPr="007B5BE6">
        <w:t>a variety of circumstances</w:t>
      </w:r>
      <w:r w:rsidR="00FC6335" w:rsidRPr="007B5BE6">
        <w:t>.</w:t>
      </w:r>
    </w:p>
    <w:p w14:paraId="10FFD5B1" w14:textId="6486EB5D" w:rsidR="00DF2B85" w:rsidRPr="007B5BE6" w:rsidRDefault="003569E3" w:rsidP="008C1464">
      <w:pPr>
        <w:pStyle w:val="NormalNumberedTextTLRI"/>
      </w:pPr>
      <w:r w:rsidRPr="007B5BE6">
        <w:lastRenderedPageBreak/>
        <w:t>There are some laws that apply for all people</w:t>
      </w:r>
      <w:r w:rsidR="00B00582" w:rsidRPr="007B5BE6">
        <w:t xml:space="preserve"> in Tasmania, such as criminal offences </w:t>
      </w:r>
      <w:r w:rsidR="000673A1" w:rsidRPr="007B5BE6">
        <w:t xml:space="preserve">(for example, </w:t>
      </w:r>
      <w:r w:rsidR="00B00582" w:rsidRPr="007B5BE6">
        <w:t>assault, theft or fraud</w:t>
      </w:r>
      <w:r w:rsidR="000673A1" w:rsidRPr="007B5BE6">
        <w:t>)</w:t>
      </w:r>
      <w:r w:rsidR="00B00582" w:rsidRPr="007B5BE6">
        <w:t xml:space="preserve"> or civil causes of actions based on undue influence or unconscionable conduct. However, there a</w:t>
      </w:r>
      <w:r w:rsidR="00731098" w:rsidRPr="007B5BE6">
        <w:t>re</w:t>
      </w:r>
      <w:r w:rsidR="00B00582" w:rsidRPr="007B5BE6">
        <w:t xml:space="preserve"> barriers to the</w:t>
      </w:r>
      <w:r w:rsidR="000673A1" w:rsidRPr="007B5BE6">
        <w:t>ir</w:t>
      </w:r>
      <w:r w:rsidR="00B00582" w:rsidRPr="007B5BE6">
        <w:t xml:space="preserve"> </w:t>
      </w:r>
      <w:r w:rsidR="00531FCC" w:rsidRPr="007B5BE6">
        <w:t>operation and application that limit</w:t>
      </w:r>
      <w:r w:rsidR="0085425B" w:rsidRPr="007B5BE6">
        <w:t xml:space="preserve"> the</w:t>
      </w:r>
      <w:r w:rsidR="00531FCC" w:rsidRPr="007B5BE6">
        <w:t xml:space="preserve"> </w:t>
      </w:r>
      <w:r w:rsidR="00B00582" w:rsidRPr="007B5BE6">
        <w:t>use of these laws</w:t>
      </w:r>
      <w:r w:rsidR="00731098" w:rsidRPr="007B5BE6">
        <w:t xml:space="preserve"> of general application.</w:t>
      </w:r>
      <w:r w:rsidR="00731098" w:rsidRPr="007B5BE6">
        <w:rPr>
          <w:rStyle w:val="FootnoteReference"/>
        </w:rPr>
        <w:footnoteReference w:id="561"/>
      </w:r>
      <w:r w:rsidR="00B00582" w:rsidRPr="007B5BE6">
        <w:t xml:space="preserve"> </w:t>
      </w:r>
      <w:r w:rsidR="00A63511" w:rsidRPr="007B5BE6">
        <w:t xml:space="preserve">Even if legal avenues do exist, they may be difficult </w:t>
      </w:r>
      <w:r w:rsidR="00100169" w:rsidRPr="007B5BE6">
        <w:t xml:space="preserve">for an older person </w:t>
      </w:r>
      <w:r w:rsidR="00A63511" w:rsidRPr="007B5BE6">
        <w:t xml:space="preserve">to access for a range of reasons, such as not having the capacity to </w:t>
      </w:r>
      <w:r w:rsidR="00676DA3" w:rsidRPr="007B5BE6">
        <w:t xml:space="preserve">give </w:t>
      </w:r>
      <w:r w:rsidR="00A63511" w:rsidRPr="007B5BE6">
        <w:t>instruct</w:t>
      </w:r>
      <w:r w:rsidR="00676DA3" w:rsidRPr="007B5BE6">
        <w:t>ions to a lawyer</w:t>
      </w:r>
      <w:r w:rsidR="00A63511" w:rsidRPr="007B5BE6">
        <w:t xml:space="preserve"> or not having the resources to engage a private lawyer. In addition, t</w:t>
      </w:r>
      <w:r w:rsidR="00110C1B" w:rsidRPr="007B5BE6">
        <w:t xml:space="preserve">he existing legal </w:t>
      </w:r>
      <w:r w:rsidR="00A63511" w:rsidRPr="007B5BE6">
        <w:t xml:space="preserve">options may not be accessed by some older people because they do not want to pursue a legal response or because they have concerns about </w:t>
      </w:r>
      <w:r w:rsidR="00110C1B" w:rsidRPr="007B5BE6">
        <w:t xml:space="preserve">the </w:t>
      </w:r>
      <w:r w:rsidR="00100169" w:rsidRPr="007B5BE6">
        <w:t>consequences</w:t>
      </w:r>
      <w:r w:rsidR="00A63511" w:rsidRPr="007B5BE6">
        <w:t xml:space="preserve"> of pursuing a legal response (for example, </w:t>
      </w:r>
      <w:r w:rsidR="004B6CAA" w:rsidRPr="007B5BE6">
        <w:t xml:space="preserve">regarding </w:t>
      </w:r>
      <w:r w:rsidR="00A63511" w:rsidRPr="007B5BE6">
        <w:t>contact with family members or</w:t>
      </w:r>
      <w:r w:rsidR="00110C1B" w:rsidRPr="007B5BE6">
        <w:t xml:space="preserve"> </w:t>
      </w:r>
      <w:r w:rsidR="00A63511" w:rsidRPr="007B5BE6">
        <w:t>housing</w:t>
      </w:r>
      <w:r w:rsidR="00A25D45" w:rsidRPr="007B5BE6">
        <w:t xml:space="preserve"> arrangements</w:t>
      </w:r>
      <w:r w:rsidR="00A63511" w:rsidRPr="007B5BE6">
        <w:t xml:space="preserve">). </w:t>
      </w:r>
      <w:r w:rsidR="00A25D45" w:rsidRPr="007B5BE6">
        <w:t>Further, o</w:t>
      </w:r>
      <w:r w:rsidR="00230E5F" w:rsidRPr="007B5BE6">
        <w:t>lder people may</w:t>
      </w:r>
      <w:r w:rsidR="00337C42" w:rsidRPr="007B5BE6">
        <w:t xml:space="preserve"> </w:t>
      </w:r>
      <w:r w:rsidR="00875F2D" w:rsidRPr="007B5BE6">
        <w:t xml:space="preserve">be </w:t>
      </w:r>
      <w:r w:rsidR="00230E5F" w:rsidRPr="007B5BE6">
        <w:t>depende</w:t>
      </w:r>
      <w:r w:rsidR="007E0F9E" w:rsidRPr="007B5BE6">
        <w:t xml:space="preserve">nt, for care and support, </w:t>
      </w:r>
      <w:r w:rsidR="00337C42" w:rsidRPr="007B5BE6">
        <w:t xml:space="preserve">on </w:t>
      </w:r>
      <w:r w:rsidR="00C5685D" w:rsidRPr="007B5BE6">
        <w:t>people</w:t>
      </w:r>
      <w:r w:rsidR="00230E5F" w:rsidRPr="007B5BE6">
        <w:t xml:space="preserve"> who </w:t>
      </w:r>
      <w:r w:rsidR="00C5685D" w:rsidRPr="007B5BE6">
        <w:t>are</w:t>
      </w:r>
      <w:r w:rsidR="00230E5F" w:rsidRPr="007B5BE6">
        <w:t xml:space="preserve"> engaged in the abuse</w:t>
      </w:r>
      <w:r w:rsidR="00EB0ACC" w:rsidRPr="007B5BE6">
        <w:t xml:space="preserve">, </w:t>
      </w:r>
      <w:r w:rsidR="00147C15" w:rsidRPr="007B5BE6">
        <w:t>render</w:t>
      </w:r>
      <w:r w:rsidR="00EB0ACC" w:rsidRPr="007B5BE6">
        <w:t>ing</w:t>
      </w:r>
      <w:r w:rsidR="00147C15" w:rsidRPr="007B5BE6">
        <w:t xml:space="preserve"> </w:t>
      </w:r>
      <w:r w:rsidR="00EB0ACC" w:rsidRPr="007B5BE6">
        <w:t>an older person</w:t>
      </w:r>
      <w:r w:rsidR="00230E5F" w:rsidRPr="007B5BE6">
        <w:t xml:space="preserve"> ‘invisible</w:t>
      </w:r>
      <w:r w:rsidR="00EF078A" w:rsidRPr="007B5BE6">
        <w:t>’—</w:t>
      </w:r>
      <w:r w:rsidR="001C7F2A" w:rsidRPr="007B5BE6">
        <w:t xml:space="preserve">with this invisibility </w:t>
      </w:r>
      <w:r w:rsidR="00EF078A" w:rsidRPr="007B5BE6">
        <w:t xml:space="preserve">exacerbated by a lack of </w:t>
      </w:r>
      <w:r w:rsidR="00230E5F" w:rsidRPr="007B5BE6">
        <w:t xml:space="preserve">capacity and/or the actions and behaviours of those </w:t>
      </w:r>
      <w:r w:rsidR="00C5685D" w:rsidRPr="007B5BE6">
        <w:t>care providers</w:t>
      </w:r>
      <w:r w:rsidR="00230E5F" w:rsidRPr="007B5BE6">
        <w:t xml:space="preserve">, including family members. </w:t>
      </w:r>
      <w:r w:rsidR="00C5685D" w:rsidRPr="007B5BE6">
        <w:t xml:space="preserve">These factors combined have the </w:t>
      </w:r>
      <w:r w:rsidR="00FC6335" w:rsidRPr="007B5BE6">
        <w:t xml:space="preserve">effect that some older Tasmanians </w:t>
      </w:r>
      <w:r w:rsidR="00AD7CF6" w:rsidRPr="007B5BE6">
        <w:t xml:space="preserve">who experience abuse </w:t>
      </w:r>
      <w:r w:rsidR="00C5685D" w:rsidRPr="007B5BE6">
        <w:t xml:space="preserve">are </w:t>
      </w:r>
      <w:r w:rsidR="005C1AAC" w:rsidRPr="007B5BE6">
        <w:t>with</w:t>
      </w:r>
      <w:r w:rsidR="00C5685D" w:rsidRPr="007B5BE6">
        <w:t xml:space="preserve">in the </w:t>
      </w:r>
      <w:r w:rsidR="00FC6335" w:rsidRPr="007B5BE6">
        <w:t xml:space="preserve">gaps </w:t>
      </w:r>
      <w:r w:rsidR="00C5685D" w:rsidRPr="007B5BE6">
        <w:t xml:space="preserve">between responses </w:t>
      </w:r>
      <w:r w:rsidR="00FC6335" w:rsidRPr="007B5BE6">
        <w:t>in the existing legal</w:t>
      </w:r>
      <w:r w:rsidR="00C5685D" w:rsidRPr="007B5BE6">
        <w:t xml:space="preserve"> framework</w:t>
      </w:r>
      <w:r w:rsidR="00FC6335" w:rsidRPr="007B5BE6">
        <w:t xml:space="preserve">, and the related service delivery responses. </w:t>
      </w:r>
    </w:p>
    <w:p w14:paraId="0EF5415F" w14:textId="4FF10A1D" w:rsidR="00256D02" w:rsidRPr="007B5BE6" w:rsidRDefault="00230E5F" w:rsidP="00230E5F">
      <w:pPr>
        <w:pStyle w:val="NormalNumberedTextTLRI"/>
      </w:pPr>
      <w:r w:rsidRPr="007B5BE6">
        <w:t xml:space="preserve">In </w:t>
      </w:r>
      <w:r w:rsidR="00EB5655" w:rsidRPr="007B5BE6">
        <w:t>stakeholder interviews</w:t>
      </w:r>
      <w:r w:rsidRPr="007B5BE6">
        <w:t xml:space="preserve">, an overriding </w:t>
      </w:r>
      <w:r w:rsidR="0024160A" w:rsidRPr="007B5BE6">
        <w:t xml:space="preserve">theme in the issues </w:t>
      </w:r>
      <w:r w:rsidRPr="007B5BE6">
        <w:t xml:space="preserve">raised was the need for Tasmania to have a mechanism to address complex issues regarding reporting, detecting investigating and responding to </w:t>
      </w:r>
      <w:r w:rsidR="0024160A" w:rsidRPr="007B5BE6">
        <w:t xml:space="preserve">the </w:t>
      </w:r>
      <w:r w:rsidRPr="007B5BE6">
        <w:t>abuse of older Tasmanians. These issues were seen to cut across criminal and civil law, legislative and common law frameworks, Tasmanian and Commonwealth laws and service systems, such as policing, prosecution, health, social, housing, banking, financial and aged care. Stakeholders indicated that the difficulties</w:t>
      </w:r>
      <w:r w:rsidR="00875F2D" w:rsidRPr="007B5BE6">
        <w:t xml:space="preserve"> are</w:t>
      </w:r>
      <w:r w:rsidRPr="007B5BE6">
        <w:t xml:space="preserve"> created by the absence of an overarching legal</w:t>
      </w:r>
      <w:r w:rsidR="00D264AA" w:rsidRPr="007B5BE6">
        <w:t>,</w:t>
      </w:r>
      <w:r w:rsidRPr="007B5BE6">
        <w:t xml:space="preserve"> or service</w:t>
      </w:r>
      <w:r w:rsidR="00D264AA" w:rsidRPr="007B5BE6">
        <w:t>,</w:t>
      </w:r>
      <w:r w:rsidRPr="007B5BE6">
        <w:t xml:space="preserve"> avenue to respond to </w:t>
      </w:r>
      <w:r w:rsidR="00D264AA" w:rsidRPr="007B5BE6">
        <w:t xml:space="preserve">the </w:t>
      </w:r>
      <w:r w:rsidRPr="007B5BE6">
        <w:t>abuse of all older Tasmanians, irrespective of the circumstances in which it occurs</w:t>
      </w:r>
      <w:r w:rsidR="00A83CA0" w:rsidRPr="007B5BE6">
        <w:t xml:space="preserve">. The consequence </w:t>
      </w:r>
      <w:r w:rsidR="004D5AF2" w:rsidRPr="007B5BE6">
        <w:t>wa</w:t>
      </w:r>
      <w:r w:rsidR="00A83CA0" w:rsidRPr="007B5BE6">
        <w:t xml:space="preserve">s that some older people </w:t>
      </w:r>
      <w:r w:rsidR="005C1AAC" w:rsidRPr="007B5BE6">
        <w:t xml:space="preserve">in Tasmania </w:t>
      </w:r>
      <w:r w:rsidR="00A83CA0" w:rsidRPr="007B5BE6">
        <w:t>are likely to be ‘falling through the cracks’, and opportunities may be missed for safeguarding and prevention</w:t>
      </w:r>
      <w:r w:rsidR="00256D02" w:rsidRPr="007B5BE6">
        <w:t>.</w:t>
      </w:r>
      <w:r w:rsidR="00FC7D3D" w:rsidRPr="007B5BE6">
        <w:rPr>
          <w:rStyle w:val="FootnoteReference"/>
        </w:rPr>
        <w:footnoteReference w:id="562"/>
      </w:r>
    </w:p>
    <w:p w14:paraId="4AA44D65" w14:textId="45EF7387" w:rsidR="00BB3800" w:rsidRPr="007B5BE6" w:rsidRDefault="008274C8" w:rsidP="00BB3800">
      <w:pPr>
        <w:pStyle w:val="NormalNumberedTextTLRI"/>
      </w:pPr>
      <w:r w:rsidRPr="007B5BE6">
        <w:t>A</w:t>
      </w:r>
      <w:r w:rsidRPr="007B5BE6">
        <w:rPr>
          <w:bCs/>
        </w:rPr>
        <w:t>lthough, in Tasmania, there has been a focus on providing a</w:t>
      </w:r>
      <w:r w:rsidRPr="007B5BE6">
        <w:t xml:space="preserve"> specialist response to the abuse of older Tasmanians through services that are dedicated to raising awareness and providing information and referral options for older people experiencing abuse, these are limited in the extent to which they can effectively link people with the existing responses available under the legal framework.</w:t>
      </w:r>
      <w:r w:rsidR="00BB1BEA" w:rsidRPr="007B5BE6">
        <w:t xml:space="preserve"> </w:t>
      </w:r>
      <w:r w:rsidRPr="007B5BE6">
        <w:t>The Helpline and Senior Assist provide an important response to abuse and concerns</w:t>
      </w:r>
      <w:r w:rsidR="005E6E24" w:rsidRPr="007B5BE6">
        <w:t xml:space="preserve"> about abuse</w:t>
      </w:r>
      <w:r w:rsidR="00253A69" w:rsidRPr="007B5BE6">
        <w:t>; however</w:t>
      </w:r>
      <w:r w:rsidRPr="007B5BE6">
        <w:t xml:space="preserve">, these services are </w:t>
      </w:r>
      <w:r w:rsidR="00B330CC" w:rsidRPr="007B5BE6">
        <w:t>consent</w:t>
      </w:r>
      <w:r w:rsidR="005E6E24" w:rsidRPr="007B5BE6">
        <w:t>-</w:t>
      </w:r>
      <w:r w:rsidR="00B330CC" w:rsidRPr="007B5BE6">
        <w:t>based</w:t>
      </w:r>
      <w:r w:rsidRPr="007B5BE6">
        <w:t xml:space="preserve"> and </w:t>
      </w:r>
      <w:r w:rsidR="00B330CC" w:rsidRPr="007B5BE6">
        <w:t xml:space="preserve">have a limited role in circumstances where a person does not have </w:t>
      </w:r>
      <w:r w:rsidRPr="007B5BE6">
        <w:t xml:space="preserve">capacity. Accordingly, there may be people on the borderline </w:t>
      </w:r>
      <w:r w:rsidR="00253A69" w:rsidRPr="007B5BE6">
        <w:t xml:space="preserve">of, </w:t>
      </w:r>
      <w:r w:rsidRPr="007B5BE6">
        <w:t xml:space="preserve">or </w:t>
      </w:r>
      <w:r w:rsidR="00253A69" w:rsidRPr="007B5BE6">
        <w:t xml:space="preserve">lacking, </w:t>
      </w:r>
      <w:r w:rsidRPr="007B5BE6">
        <w:t xml:space="preserve">capacity who cannot access </w:t>
      </w:r>
      <w:r w:rsidR="00B330CC" w:rsidRPr="007B5BE6">
        <w:t xml:space="preserve">legal </w:t>
      </w:r>
      <w:r w:rsidRPr="007B5BE6">
        <w:t xml:space="preserve">services. In addition, </w:t>
      </w:r>
      <w:r w:rsidR="00B818A4" w:rsidRPr="007B5BE6">
        <w:t xml:space="preserve">as noted, </w:t>
      </w:r>
      <w:r w:rsidRPr="007B5BE6">
        <w:t>there are some people who</w:t>
      </w:r>
      <w:r w:rsidR="008910D6" w:rsidRPr="007B5BE6">
        <w:t>,</w:t>
      </w:r>
      <w:r w:rsidRPr="007B5BE6">
        <w:t xml:space="preserve"> for various reasons</w:t>
      </w:r>
      <w:r w:rsidR="008910D6" w:rsidRPr="007B5BE6">
        <w:t>,</w:t>
      </w:r>
      <w:r w:rsidRPr="007B5BE6">
        <w:t xml:space="preserve"> will not take up a formal </w:t>
      </w:r>
      <w:r w:rsidR="008910D6" w:rsidRPr="007B5BE6">
        <w:t xml:space="preserve">legal </w:t>
      </w:r>
      <w:r w:rsidRPr="007B5BE6">
        <w:t>response</w:t>
      </w:r>
      <w:r w:rsidR="00045812" w:rsidRPr="007B5BE6">
        <w:t>, in part</w:t>
      </w:r>
      <w:r w:rsidRPr="007B5BE6">
        <w:t xml:space="preserve"> due to fear of consequences. These people may have capacity to engage with the Helpline or Senior Assis</w:t>
      </w:r>
      <w:r w:rsidR="003B03C5" w:rsidRPr="007B5BE6">
        <w:t>t—and</w:t>
      </w:r>
      <w:r w:rsidR="002324D7" w:rsidRPr="007B5BE6">
        <w:t xml:space="preserve"> </w:t>
      </w:r>
      <w:r w:rsidRPr="007B5BE6">
        <w:t xml:space="preserve">may </w:t>
      </w:r>
      <w:r w:rsidR="00883AC5" w:rsidRPr="007B5BE6">
        <w:t xml:space="preserve">also </w:t>
      </w:r>
      <w:r w:rsidRPr="007B5BE6">
        <w:t>be vulnerable and at risk of harm</w:t>
      </w:r>
      <w:r w:rsidR="00883AC5" w:rsidRPr="007B5BE6">
        <w:t>—b</w:t>
      </w:r>
      <w:r w:rsidRPr="007B5BE6">
        <w:t xml:space="preserve">ut choose not to </w:t>
      </w:r>
      <w:r w:rsidR="003B03C5" w:rsidRPr="007B5BE6">
        <w:t xml:space="preserve">seek help </w:t>
      </w:r>
      <w:r w:rsidRPr="007B5BE6">
        <w:t xml:space="preserve">because the consequences </w:t>
      </w:r>
      <w:r w:rsidR="003B03C5" w:rsidRPr="007B5BE6">
        <w:t xml:space="preserve">under the current response options </w:t>
      </w:r>
      <w:r w:rsidRPr="007B5BE6">
        <w:t>are viewed as inadequate or inappropriate.</w:t>
      </w:r>
      <w:r w:rsidR="004C5D65" w:rsidRPr="007B5BE6">
        <w:t xml:space="preserve"> Insights from the </w:t>
      </w:r>
      <w:r w:rsidR="00883AC5" w:rsidRPr="007B5BE6">
        <w:t xml:space="preserve">data on </w:t>
      </w:r>
      <w:r w:rsidR="004C5D65" w:rsidRPr="007B5BE6">
        <w:t xml:space="preserve">contacts to the help services currently available </w:t>
      </w:r>
      <w:r w:rsidR="008C1D9C" w:rsidRPr="007B5BE6">
        <w:t xml:space="preserve">in Tasmania </w:t>
      </w:r>
      <w:r w:rsidR="004C5D65" w:rsidRPr="007B5BE6">
        <w:t>demonstrate</w:t>
      </w:r>
      <w:r w:rsidR="001A4C32" w:rsidRPr="007B5BE6">
        <w:t xml:space="preserve"> the prevalence of concerns that are expressed regarding </w:t>
      </w:r>
      <w:r w:rsidR="00050DB8" w:rsidRPr="007B5BE6">
        <w:t xml:space="preserve">abusive </w:t>
      </w:r>
      <w:r w:rsidR="001A4C32" w:rsidRPr="007B5BE6">
        <w:t xml:space="preserve">behaviour of </w:t>
      </w:r>
      <w:r w:rsidR="00050DB8" w:rsidRPr="007B5BE6">
        <w:t>people who have f</w:t>
      </w:r>
      <w:r w:rsidR="008C1D9C" w:rsidRPr="007B5BE6">
        <w:t xml:space="preserve">amily </w:t>
      </w:r>
      <w:r w:rsidR="00050DB8" w:rsidRPr="007B5BE6">
        <w:t>or personal relationships with</w:t>
      </w:r>
      <w:r w:rsidR="008C1D9C" w:rsidRPr="007B5BE6">
        <w:t xml:space="preserve"> older people, and the </w:t>
      </w:r>
      <w:r w:rsidR="006229F1" w:rsidRPr="007B5BE6">
        <w:t>insidious nature of such abuse, most commonly involving emotional/psychological or financial means of abuse.</w:t>
      </w:r>
      <w:r w:rsidRPr="007B5BE6">
        <w:t xml:space="preserve"> </w:t>
      </w:r>
      <w:r w:rsidR="00050DB8" w:rsidRPr="007B5BE6">
        <w:t xml:space="preserve">These patterns are </w:t>
      </w:r>
      <w:r w:rsidR="00883AC5" w:rsidRPr="007B5BE6">
        <w:t xml:space="preserve">also </w:t>
      </w:r>
      <w:r w:rsidR="00050DB8" w:rsidRPr="007B5BE6">
        <w:t xml:space="preserve">reflected in </w:t>
      </w:r>
      <w:r w:rsidR="00AC05A1" w:rsidRPr="007B5BE6">
        <w:t>the</w:t>
      </w:r>
      <w:r w:rsidR="00883AC5" w:rsidRPr="007B5BE6">
        <w:t xml:space="preserve"> data on</w:t>
      </w:r>
      <w:r w:rsidR="00AC05A1" w:rsidRPr="007B5BE6">
        <w:t xml:space="preserve"> contacts made to entities responsible under overarching safeguarding </w:t>
      </w:r>
      <w:r w:rsidR="0045015F" w:rsidRPr="007B5BE6">
        <w:t xml:space="preserve">approaches in </w:t>
      </w:r>
      <w:r w:rsidR="00CF683D" w:rsidRPr="007B5BE6">
        <w:t>NSW and SA</w:t>
      </w:r>
      <w:r w:rsidR="0045015F" w:rsidRPr="007B5BE6">
        <w:t>,</w:t>
      </w:r>
      <w:r w:rsidR="00783B66" w:rsidRPr="007B5BE6">
        <w:t xml:space="preserve"> </w:t>
      </w:r>
      <w:r w:rsidR="0028058B" w:rsidRPr="007B5BE6">
        <w:t xml:space="preserve">demonstrating </w:t>
      </w:r>
      <w:r w:rsidR="00DA7729" w:rsidRPr="007B5BE6">
        <w:t xml:space="preserve">the </w:t>
      </w:r>
      <w:r w:rsidR="00883AC5" w:rsidRPr="007B5BE6">
        <w:t xml:space="preserve">equivalent </w:t>
      </w:r>
      <w:r w:rsidR="00DA7729" w:rsidRPr="007B5BE6">
        <w:t>gap</w:t>
      </w:r>
      <w:r w:rsidR="006D781B" w:rsidRPr="007B5BE6">
        <w:t>s</w:t>
      </w:r>
      <w:r w:rsidR="00883AC5" w:rsidRPr="007B5BE6">
        <w:t xml:space="preserve"> </w:t>
      </w:r>
      <w:r w:rsidR="00DA7729" w:rsidRPr="007B5BE6">
        <w:t>filled by such entities</w:t>
      </w:r>
      <w:r w:rsidR="006D781B" w:rsidRPr="007B5BE6">
        <w:t xml:space="preserve"> in these jurisdictions</w:t>
      </w:r>
      <w:r w:rsidR="00DA7729" w:rsidRPr="007B5BE6">
        <w:t xml:space="preserve">. </w:t>
      </w:r>
      <w:r w:rsidR="00CE27D9" w:rsidRPr="007B5BE6">
        <w:t xml:space="preserve">There are also barriers </w:t>
      </w:r>
      <w:r w:rsidR="008B7A7B" w:rsidRPr="007B5BE6">
        <w:t>to a</w:t>
      </w:r>
      <w:r w:rsidR="003E5FDB" w:rsidRPr="007B5BE6">
        <w:t xml:space="preserve">ccessing responses </w:t>
      </w:r>
      <w:r w:rsidR="00CE27D9" w:rsidRPr="007B5BE6">
        <w:t>when ‘bystanders’ try to raise concerns about behaviour towards an older person.</w:t>
      </w:r>
      <w:r w:rsidR="00DA61D1" w:rsidRPr="007B5BE6">
        <w:t xml:space="preserve"> Data on the operation of overarching safeguarding approaches in </w:t>
      </w:r>
      <w:r w:rsidR="00CF683D" w:rsidRPr="007B5BE6">
        <w:t xml:space="preserve">NSW and SA </w:t>
      </w:r>
      <w:r w:rsidR="000D3C37" w:rsidRPr="007B5BE6">
        <w:t>demonstrate th</w:t>
      </w:r>
      <w:r w:rsidR="00EA4BFB" w:rsidRPr="007B5BE6">
        <w:t xml:space="preserve">at service providers </w:t>
      </w:r>
      <w:r w:rsidR="00FA35A9" w:rsidRPr="007B5BE6">
        <w:t xml:space="preserve">are the most common </w:t>
      </w:r>
      <w:r w:rsidR="00676ED1" w:rsidRPr="007B5BE6">
        <w:t xml:space="preserve">group of </w:t>
      </w:r>
      <w:r w:rsidR="00FA35A9" w:rsidRPr="007B5BE6">
        <w:t xml:space="preserve">people to </w:t>
      </w:r>
      <w:proofErr w:type="gramStart"/>
      <w:r w:rsidR="00FA35A9" w:rsidRPr="007B5BE6">
        <w:t xml:space="preserve">make contact </w:t>
      </w:r>
      <w:r w:rsidR="00C90EB8" w:rsidRPr="007B5BE6">
        <w:t>with</w:t>
      </w:r>
      <w:proofErr w:type="gramEnd"/>
      <w:r w:rsidR="00C90EB8" w:rsidRPr="007B5BE6">
        <w:t xml:space="preserve"> concerns </w:t>
      </w:r>
      <w:r w:rsidR="003141C2" w:rsidRPr="007B5BE6">
        <w:t xml:space="preserve">seeking assistance from </w:t>
      </w:r>
      <w:r w:rsidR="00FA35A9" w:rsidRPr="007B5BE6">
        <w:t>entities that are responsible for safeguarding against abuse of older people and people with disability,</w:t>
      </w:r>
      <w:r w:rsidR="003141C2" w:rsidRPr="007B5BE6">
        <w:t xml:space="preserve"> suggesting </w:t>
      </w:r>
      <w:r w:rsidR="00971BAD" w:rsidRPr="007B5BE6">
        <w:t>the importan</w:t>
      </w:r>
      <w:r w:rsidR="00C203B0" w:rsidRPr="007B5BE6">
        <w:t>t</w:t>
      </w:r>
      <w:r w:rsidR="00A65892" w:rsidRPr="007B5BE6">
        <w:t xml:space="preserve"> role of reporting by </w:t>
      </w:r>
      <w:r w:rsidR="00971BAD" w:rsidRPr="007B5BE6">
        <w:t>bystander</w:t>
      </w:r>
      <w:r w:rsidR="00A65892" w:rsidRPr="007B5BE6">
        <w:t xml:space="preserve">s </w:t>
      </w:r>
      <w:r w:rsidR="00882D9F" w:rsidRPr="007B5BE6">
        <w:t>in an overarching safeguarding approach.</w:t>
      </w:r>
      <w:r w:rsidR="00882D9F" w:rsidRPr="007B5BE6">
        <w:rPr>
          <w:rStyle w:val="FootnoteReference"/>
        </w:rPr>
        <w:footnoteReference w:id="563"/>
      </w:r>
    </w:p>
    <w:p w14:paraId="036651C6" w14:textId="77777777" w:rsidR="00C203B0" w:rsidRPr="007B5BE6" w:rsidRDefault="008274C8" w:rsidP="000D2A28">
      <w:pPr>
        <w:pStyle w:val="NormalNumberedTextTLRI"/>
      </w:pPr>
      <w:r w:rsidRPr="007B5BE6">
        <w:lastRenderedPageBreak/>
        <w:t xml:space="preserve">Other services that have significant interface with older Tasmanians do not have a </w:t>
      </w:r>
      <w:r w:rsidR="00ED4AEB" w:rsidRPr="007B5BE6">
        <w:t>sufficiently specialised approach to detecting or identifying abuse</w:t>
      </w:r>
      <w:r w:rsidR="00C203B0" w:rsidRPr="007B5BE6">
        <w:t>,</w:t>
      </w:r>
      <w:r w:rsidR="00ED4AEB" w:rsidRPr="007B5BE6">
        <w:t xml:space="preserve"> and there are insufficient links between these services and the current specialist services available by way of response.  </w:t>
      </w:r>
      <w:r w:rsidR="00BB3800" w:rsidRPr="007B5BE6">
        <w:t>This can include, for example</w:t>
      </w:r>
      <w:r w:rsidR="00C203B0" w:rsidRPr="007B5BE6">
        <w:t>:</w:t>
      </w:r>
    </w:p>
    <w:p w14:paraId="3E2151D9" w14:textId="2C799A8E" w:rsidR="00C203B0" w:rsidRPr="007B5BE6" w:rsidRDefault="00BB3800" w:rsidP="00C203B0">
      <w:pPr>
        <w:pStyle w:val="DotPointTLRI"/>
      </w:pPr>
      <w:r w:rsidRPr="007B5BE6">
        <w:t>a lack of specialisation in services that operate in conjunction with legal responses (such as policing and prosecution), and services that have interface with older people in other contexts (such as health and financial/banking)</w:t>
      </w:r>
      <w:r w:rsidR="00C203B0" w:rsidRPr="007B5BE6">
        <w:t>;</w:t>
      </w:r>
      <w:r w:rsidRPr="007B5BE6">
        <w:t xml:space="preserve"> and </w:t>
      </w:r>
    </w:p>
    <w:p w14:paraId="04C80B77" w14:textId="77777777" w:rsidR="00C203B0" w:rsidRPr="007B5BE6" w:rsidRDefault="00BB3800" w:rsidP="00C203B0">
      <w:pPr>
        <w:pStyle w:val="DotPointTLRI"/>
      </w:pPr>
      <w:r w:rsidRPr="007B5BE6">
        <w:t>a lack of connectivity or oversight to link the responses of various areas of the legal and service sector and ensure a shared understanding of the abuse of older people and available response mechanisms.</w:t>
      </w:r>
      <w:r w:rsidR="00DB1B47" w:rsidRPr="007B5BE6">
        <w:t xml:space="preserve"> </w:t>
      </w:r>
    </w:p>
    <w:p w14:paraId="63DBD027" w14:textId="616052DB" w:rsidR="00045812" w:rsidRPr="007B5BE6" w:rsidRDefault="00DB1B47" w:rsidP="00C36293">
      <w:r w:rsidRPr="007B5BE6">
        <w:t xml:space="preserve">A single-agency approach does not exist for help-seeking or receiving complaints, </w:t>
      </w:r>
      <w:r w:rsidR="00C203B0" w:rsidRPr="007B5BE6">
        <w:t xml:space="preserve">and </w:t>
      </w:r>
      <w:r w:rsidRPr="007B5BE6">
        <w:t xml:space="preserve">investigating </w:t>
      </w:r>
      <w:r w:rsidR="00DF680C" w:rsidRPr="007B5BE6">
        <w:t xml:space="preserve">and acting on </w:t>
      </w:r>
      <w:r w:rsidRPr="007B5BE6">
        <w:t>concerns</w:t>
      </w:r>
      <w:r w:rsidR="00C203B0" w:rsidRPr="007B5BE6">
        <w:t xml:space="preserve">, </w:t>
      </w:r>
      <w:r w:rsidR="000D2A28" w:rsidRPr="007B5BE6">
        <w:t>meaning t</w:t>
      </w:r>
      <w:r w:rsidRPr="007B5BE6">
        <w:t xml:space="preserve">here is not a consistent and co-ordinated response to </w:t>
      </w:r>
      <w:r w:rsidR="00DF680C" w:rsidRPr="007B5BE6">
        <w:t>help-seeking</w:t>
      </w:r>
      <w:r w:rsidRPr="007B5BE6">
        <w:t xml:space="preserve">, or any oversight and monitoring of responses to </w:t>
      </w:r>
      <w:r w:rsidR="00DF680C" w:rsidRPr="007B5BE6">
        <w:t xml:space="preserve">the </w:t>
      </w:r>
      <w:r w:rsidRPr="007B5BE6">
        <w:t>abuse of older peopl</w:t>
      </w:r>
      <w:r w:rsidR="00DF680C" w:rsidRPr="007B5BE6">
        <w:t>e—t</w:t>
      </w:r>
      <w:r w:rsidRPr="007B5BE6">
        <w:t xml:space="preserve">his results in a lack of options for older people. This is not a criticism of the existing service system that works very hard to support and assist older people. </w:t>
      </w:r>
      <w:r w:rsidR="00DF680C" w:rsidRPr="007B5BE6">
        <w:t>Rather, it is</w:t>
      </w:r>
      <w:r w:rsidRPr="007B5BE6">
        <w:t xml:space="preserve"> an observation about the </w:t>
      </w:r>
      <w:r w:rsidR="00DF680C" w:rsidRPr="007B5BE6">
        <w:t xml:space="preserve">implications of the </w:t>
      </w:r>
      <w:r w:rsidRPr="007B5BE6">
        <w:t>lack of a single entity or agency with the necessary powers</w:t>
      </w:r>
      <w:r w:rsidR="00DF680C" w:rsidRPr="007B5BE6">
        <w:t>,</w:t>
      </w:r>
      <w:r w:rsidRPr="007B5BE6">
        <w:t xml:space="preserve"> functions or authority to fulfil an overarching safeguarding role and to link </w:t>
      </w:r>
      <w:r w:rsidR="002510F3" w:rsidRPr="007B5BE6">
        <w:t xml:space="preserve">older people </w:t>
      </w:r>
      <w:r w:rsidRPr="007B5BE6">
        <w:t xml:space="preserve">with the range of supports that may be required, as well as </w:t>
      </w:r>
      <w:r w:rsidR="00E7539C" w:rsidRPr="007B5BE6">
        <w:t xml:space="preserve">the </w:t>
      </w:r>
      <w:r w:rsidRPr="007B5BE6">
        <w:t>deficiencies in the legal options that currently exist.</w:t>
      </w:r>
      <w:r w:rsidRPr="007B5BE6">
        <w:rPr>
          <w:rStyle w:val="FootnoteReference"/>
        </w:rPr>
        <w:footnoteReference w:id="564"/>
      </w:r>
    </w:p>
    <w:p w14:paraId="7A7C1825" w14:textId="7A53218D" w:rsidR="006A3A85" w:rsidRPr="007B5BE6" w:rsidRDefault="006A3A85" w:rsidP="006A3A85">
      <w:pPr>
        <w:pStyle w:val="NormalNumberedTextTLRI"/>
        <w:rPr>
          <w:i/>
        </w:rPr>
      </w:pPr>
      <w:r w:rsidRPr="007B5BE6">
        <w:t xml:space="preserve">The need to </w:t>
      </w:r>
      <w:r w:rsidR="00EB64C6" w:rsidRPr="007B5BE6">
        <w:t>improve</w:t>
      </w:r>
      <w:r w:rsidRPr="007B5BE6">
        <w:t xml:space="preserve"> safeguarding </w:t>
      </w:r>
      <w:r w:rsidR="00870825" w:rsidRPr="007B5BE6">
        <w:t>frameworks</w:t>
      </w:r>
      <w:r w:rsidR="00C3104D" w:rsidRPr="007B5BE6">
        <w:t xml:space="preserve"> is clearly recognised in</w:t>
      </w:r>
      <w:r w:rsidRPr="007B5BE6">
        <w:t xml:space="preserve"> Tasmanian policies </w:t>
      </w:r>
      <w:r w:rsidR="00C3104D" w:rsidRPr="007B5BE6">
        <w:t xml:space="preserve">that have addressed the issue of the abuse of older </w:t>
      </w:r>
      <w:r w:rsidR="00870825" w:rsidRPr="007B5BE6">
        <w:t>Tasmanians</w:t>
      </w:r>
      <w:r w:rsidR="00C3104D" w:rsidRPr="007B5BE6">
        <w:t xml:space="preserve">. Both the </w:t>
      </w:r>
      <w:r w:rsidR="00870825" w:rsidRPr="007B5BE6">
        <w:rPr>
          <w:i/>
        </w:rPr>
        <w:t>Lifelong Respect: Tasmania’s Strategy to End the Abuse of Older People (Elder Abuse) 2023–2029</w:t>
      </w:r>
      <w:r w:rsidR="00870825" w:rsidRPr="007B5BE6">
        <w:t xml:space="preserve"> and the </w:t>
      </w:r>
      <w:r w:rsidR="006746A5" w:rsidRPr="007B5BE6">
        <w:rPr>
          <w:i/>
        </w:rPr>
        <w:t xml:space="preserve">A Respectful, Age-friendly Island: Older Tasmanians Action Plan 2025–2029 </w:t>
      </w:r>
      <w:r w:rsidR="00FD7243" w:rsidRPr="007B5BE6">
        <w:t xml:space="preserve">prioritise </w:t>
      </w:r>
      <w:r w:rsidR="00F21A33" w:rsidRPr="007B5BE6">
        <w:t>safeguarding</w:t>
      </w:r>
      <w:r w:rsidR="00A91DCB" w:rsidRPr="007B5BE6">
        <w:t xml:space="preserve"> </w:t>
      </w:r>
      <w:r w:rsidR="00673F08" w:rsidRPr="007B5BE6">
        <w:t xml:space="preserve">as a means to </w:t>
      </w:r>
      <w:r w:rsidR="00981302" w:rsidRPr="007B5BE6">
        <w:t>respond to abuse and</w:t>
      </w:r>
      <w:r w:rsidR="00F95977" w:rsidRPr="007B5BE6">
        <w:t>,</w:t>
      </w:r>
      <w:r w:rsidR="00981302" w:rsidRPr="007B5BE6">
        <w:t xml:space="preserve"> </w:t>
      </w:r>
      <w:r w:rsidR="00F95977" w:rsidRPr="007B5BE6">
        <w:t xml:space="preserve">at the same time, </w:t>
      </w:r>
      <w:r w:rsidR="00981302" w:rsidRPr="007B5BE6">
        <w:t xml:space="preserve">recognise the </w:t>
      </w:r>
      <w:r w:rsidR="00F21A33" w:rsidRPr="007B5BE6">
        <w:t>autonomy</w:t>
      </w:r>
      <w:r w:rsidR="00981302" w:rsidRPr="007B5BE6">
        <w:t xml:space="preserve"> and </w:t>
      </w:r>
      <w:r w:rsidR="00F21A33" w:rsidRPr="007B5BE6">
        <w:t xml:space="preserve">agency of older </w:t>
      </w:r>
      <w:r w:rsidR="00F95977" w:rsidRPr="007B5BE6">
        <w:t>Tasmanians</w:t>
      </w:r>
      <w:r w:rsidR="009834F6" w:rsidRPr="007B5BE6">
        <w:t>, as well as</w:t>
      </w:r>
      <w:r w:rsidR="00F95977" w:rsidRPr="007B5BE6">
        <w:t xml:space="preserve"> their</w:t>
      </w:r>
      <w:r w:rsidR="009834F6" w:rsidRPr="007B5BE6">
        <w:t xml:space="preserve"> right</w:t>
      </w:r>
      <w:r w:rsidR="00600B6F" w:rsidRPr="007B5BE6">
        <w:t>s to live free from harm, exploitation and abuse and to have their inherent dignity respected</w:t>
      </w:r>
      <w:r w:rsidR="00F21A33" w:rsidRPr="007B5BE6">
        <w:t>.</w:t>
      </w:r>
      <w:r w:rsidR="00F21A33" w:rsidRPr="007B5BE6">
        <w:rPr>
          <w:rStyle w:val="FootnoteReference"/>
        </w:rPr>
        <w:footnoteReference w:id="565"/>
      </w:r>
      <w:r w:rsidR="00F21A33" w:rsidRPr="007B5BE6">
        <w:t xml:space="preserve"> </w:t>
      </w:r>
    </w:p>
    <w:p w14:paraId="2E3B51C9" w14:textId="1766B701" w:rsidR="0068112F" w:rsidRPr="007B5BE6" w:rsidRDefault="001A0FDF" w:rsidP="008B63C3">
      <w:pPr>
        <w:pStyle w:val="NormalNumberedTextTLRI"/>
      </w:pPr>
      <w:r w:rsidRPr="007B5BE6">
        <w:t>The TLRI</w:t>
      </w:r>
      <w:r w:rsidR="00B51EC0" w:rsidRPr="007B5BE6">
        <w:t>’s preferred reform option</w:t>
      </w:r>
      <w:r w:rsidRPr="007B5BE6">
        <w:t>—recognising</w:t>
      </w:r>
      <w:r w:rsidR="00B818A4" w:rsidRPr="007B5BE6">
        <w:t xml:space="preserve"> the</w:t>
      </w:r>
      <w:r w:rsidR="00800BD9" w:rsidRPr="007B5BE6">
        <w:t xml:space="preserve"> issues that </w:t>
      </w:r>
      <w:r w:rsidR="008E4930" w:rsidRPr="007B5BE6">
        <w:t xml:space="preserve">exist under the current legal framework, and </w:t>
      </w:r>
      <w:r w:rsidR="007C0B93" w:rsidRPr="007B5BE6">
        <w:t>consider</w:t>
      </w:r>
      <w:r w:rsidRPr="007B5BE6">
        <w:t xml:space="preserve">ing </w:t>
      </w:r>
      <w:r w:rsidR="007C0B93" w:rsidRPr="007B5BE6">
        <w:t xml:space="preserve">the </w:t>
      </w:r>
      <w:r w:rsidR="00437DA3" w:rsidRPr="007B5BE6">
        <w:t>approach</w:t>
      </w:r>
      <w:r w:rsidR="007C0B93" w:rsidRPr="007B5BE6">
        <w:t xml:space="preserve"> in other </w:t>
      </w:r>
      <w:r w:rsidR="00437DA3" w:rsidRPr="007B5BE6">
        <w:t>jurisdictions</w:t>
      </w:r>
      <w:r w:rsidR="007C0B93" w:rsidRPr="007B5BE6">
        <w:t xml:space="preserve">, the relevant </w:t>
      </w:r>
      <w:r w:rsidR="00437DA3" w:rsidRPr="007B5BE6">
        <w:t>literature</w:t>
      </w:r>
      <w:r w:rsidR="007C0B93" w:rsidRPr="007B5BE6">
        <w:t xml:space="preserve"> </w:t>
      </w:r>
      <w:r w:rsidR="004F44A4" w:rsidRPr="007B5BE6">
        <w:t>(including the ALRC</w:t>
      </w:r>
      <w:r w:rsidR="00E810E7" w:rsidRPr="007B5BE6">
        <w:t>’s</w:t>
      </w:r>
      <w:r w:rsidR="004F44A4" w:rsidRPr="007B5BE6">
        <w:t xml:space="preserve"> report)</w:t>
      </w:r>
      <w:r w:rsidR="00177E44" w:rsidRPr="007B5BE6">
        <w:t xml:space="preserve">, </w:t>
      </w:r>
      <w:r w:rsidR="000305A6" w:rsidRPr="007B5BE6">
        <w:t>Tasmania’s</w:t>
      </w:r>
      <w:r w:rsidR="00FF5CE9" w:rsidRPr="007B5BE6">
        <w:t xml:space="preserve"> strategic approach</w:t>
      </w:r>
      <w:r w:rsidR="00237E4D" w:rsidRPr="007B5BE6">
        <w:t xml:space="preserve">, priority actions and guiding principles </w:t>
      </w:r>
      <w:r w:rsidR="00FF5CE9" w:rsidRPr="007B5BE6">
        <w:t xml:space="preserve">as set out in </w:t>
      </w:r>
      <w:r w:rsidR="00DB0ED2" w:rsidRPr="007B5BE6">
        <w:t xml:space="preserve">policy </w:t>
      </w:r>
      <w:r w:rsidR="00FF5CE9" w:rsidRPr="007B5BE6">
        <w:t>document</w:t>
      </w:r>
      <w:r w:rsidR="00256D02" w:rsidRPr="007B5BE6">
        <w:t xml:space="preserve">s, </w:t>
      </w:r>
      <w:r w:rsidR="007C0B93" w:rsidRPr="007B5BE6">
        <w:t xml:space="preserve">and </w:t>
      </w:r>
      <w:r w:rsidR="00B818A4" w:rsidRPr="007B5BE6">
        <w:t xml:space="preserve">the views expressed </w:t>
      </w:r>
      <w:r w:rsidR="00EB5655" w:rsidRPr="007B5BE6">
        <w:t>by stakeholders in interview</w:t>
      </w:r>
      <w:r w:rsidR="00B51EC0" w:rsidRPr="007B5BE6">
        <w:t xml:space="preserve">s—is </w:t>
      </w:r>
      <w:r w:rsidR="003A7C79" w:rsidRPr="007B5BE6">
        <w:t xml:space="preserve">to create </w:t>
      </w:r>
      <w:r w:rsidR="00B93910" w:rsidRPr="007B5BE6">
        <w:t>a</w:t>
      </w:r>
      <w:r w:rsidR="003A7C79" w:rsidRPr="007B5BE6" w:rsidDel="00D83258">
        <w:t xml:space="preserve"> </w:t>
      </w:r>
      <w:r w:rsidR="003A7C79" w:rsidRPr="007B5BE6">
        <w:t xml:space="preserve">legislative </w:t>
      </w:r>
      <w:r w:rsidR="00D83258" w:rsidRPr="007B5BE6">
        <w:t xml:space="preserve">framework </w:t>
      </w:r>
      <w:r w:rsidR="0084795A" w:rsidRPr="007B5BE6">
        <w:t xml:space="preserve">that provides an ‘overarching’ </w:t>
      </w:r>
      <w:r w:rsidR="003A7C79" w:rsidRPr="007B5BE6">
        <w:t>approach to safeguarding</w:t>
      </w:r>
      <w:r w:rsidR="0084795A" w:rsidRPr="007B5BE6">
        <w:t xml:space="preserve"> of older people</w:t>
      </w:r>
      <w:r w:rsidR="007C1BCF" w:rsidRPr="007B5BE6">
        <w:t xml:space="preserve"> in Tasmania</w:t>
      </w:r>
      <w:r w:rsidR="00F54CBD" w:rsidRPr="007B5BE6">
        <w:t xml:space="preserve">. </w:t>
      </w:r>
      <w:r w:rsidR="00B56EC7" w:rsidRPr="007B5BE6">
        <w:t>The</w:t>
      </w:r>
      <w:r w:rsidR="00B92FF2" w:rsidRPr="007B5BE6">
        <w:t xml:space="preserve"> TLRI recommends that </w:t>
      </w:r>
      <w:r w:rsidR="00F752F5" w:rsidRPr="007B5BE6">
        <w:t xml:space="preserve">such </w:t>
      </w:r>
      <w:r w:rsidR="00671CB6" w:rsidRPr="007B5BE6">
        <w:t xml:space="preserve">an overarching safeguarding </w:t>
      </w:r>
      <w:r w:rsidR="00F752F5" w:rsidRPr="007B5BE6">
        <w:t>approach</w:t>
      </w:r>
      <w:r w:rsidR="00671CB6" w:rsidRPr="007B5BE6">
        <w:t xml:space="preserve"> </w:t>
      </w:r>
      <w:r w:rsidR="0030696E" w:rsidRPr="007B5BE6">
        <w:t>be introduced</w:t>
      </w:r>
      <w:r w:rsidR="00633370" w:rsidRPr="007B5BE6">
        <w:t xml:space="preserve"> through</w:t>
      </w:r>
      <w:r w:rsidR="004E6DE1" w:rsidRPr="007B5BE6">
        <w:t xml:space="preserve"> a</w:t>
      </w:r>
      <w:r w:rsidR="00671CB6" w:rsidRPr="007B5BE6">
        <w:t xml:space="preserve"> </w:t>
      </w:r>
      <w:r w:rsidR="003D20A1" w:rsidRPr="007B5BE6">
        <w:t xml:space="preserve">dedicated and separate legislative framework </w:t>
      </w:r>
      <w:r w:rsidR="00B50DF2" w:rsidRPr="007B5BE6">
        <w:t>that</w:t>
      </w:r>
      <w:r w:rsidR="0048747E" w:rsidRPr="007B5BE6">
        <w:t xml:space="preserve"> </w:t>
      </w:r>
      <w:r w:rsidR="00E76514" w:rsidRPr="007B5BE6">
        <w:t>creat</w:t>
      </w:r>
      <w:r w:rsidR="00B50DF2" w:rsidRPr="007B5BE6">
        <w:t>es</w:t>
      </w:r>
      <w:r w:rsidR="00E76514" w:rsidRPr="007B5BE6" w:rsidDel="00B50DF2">
        <w:t xml:space="preserve"> </w:t>
      </w:r>
      <w:r w:rsidR="00E76514" w:rsidRPr="007B5BE6">
        <w:rPr>
          <w:bCs/>
        </w:rPr>
        <w:t xml:space="preserve">an independent statutory </w:t>
      </w:r>
      <w:r w:rsidR="00D26095" w:rsidRPr="007B5BE6">
        <w:t>entity</w:t>
      </w:r>
      <w:r w:rsidR="00D26095" w:rsidRPr="007B5BE6">
        <w:rPr>
          <w:bCs/>
        </w:rPr>
        <w:t xml:space="preserve"> </w:t>
      </w:r>
      <w:r w:rsidR="00E76514" w:rsidRPr="007B5BE6">
        <w:rPr>
          <w:bCs/>
        </w:rPr>
        <w:t xml:space="preserve">to receive </w:t>
      </w:r>
      <w:r w:rsidR="00AA2941" w:rsidRPr="007B5BE6">
        <w:rPr>
          <w:bCs/>
        </w:rPr>
        <w:t>rep</w:t>
      </w:r>
      <w:r w:rsidR="00B56EC7" w:rsidRPr="007B5BE6">
        <w:rPr>
          <w:bCs/>
        </w:rPr>
        <w:t>orts</w:t>
      </w:r>
      <w:r w:rsidR="00E76514" w:rsidRPr="007B5BE6">
        <w:rPr>
          <w:bCs/>
        </w:rPr>
        <w:t xml:space="preserve"> about abuse, mistreatment and neglect of older Tasmanians, with powers and functions that operate as safeguarding mechanisms.</w:t>
      </w:r>
      <w:r w:rsidR="008B63C3" w:rsidRPr="007B5BE6">
        <w:t xml:space="preserve"> </w:t>
      </w:r>
      <w:r w:rsidR="0068112F" w:rsidRPr="007B5BE6">
        <w:t xml:space="preserve">In addition, </w:t>
      </w:r>
      <w:r w:rsidR="00C53B4F" w:rsidRPr="007B5BE6">
        <w:t>it is</w:t>
      </w:r>
      <w:r w:rsidR="0068112F" w:rsidRPr="007B5BE6">
        <w:t xml:space="preserve"> the TLRI’s view that</w:t>
      </w:r>
      <w:r w:rsidR="008E4930" w:rsidRPr="007B5BE6">
        <w:t>,</w:t>
      </w:r>
      <w:r w:rsidR="0068112F" w:rsidRPr="007B5BE6">
        <w:t xml:space="preserve"> as far as possible, the </w:t>
      </w:r>
      <w:r w:rsidR="003235B8" w:rsidRPr="007B5BE6">
        <w:t>approach to designating the entity with such a role</w:t>
      </w:r>
      <w:r w:rsidR="008E4930" w:rsidRPr="007B5BE6">
        <w:t>,</w:t>
      </w:r>
      <w:r w:rsidR="003235B8" w:rsidRPr="007B5BE6">
        <w:t xml:space="preserve"> and creating its powers and functions</w:t>
      </w:r>
      <w:r w:rsidR="008E4930" w:rsidRPr="007B5BE6">
        <w:t>,</w:t>
      </w:r>
      <w:r w:rsidR="003235B8" w:rsidRPr="007B5BE6">
        <w:t xml:space="preserve"> </w:t>
      </w:r>
      <w:r w:rsidR="0068112F" w:rsidRPr="007B5BE6">
        <w:t>should be complementary to the existing legal and service framework</w:t>
      </w:r>
      <w:r w:rsidR="008E4930" w:rsidRPr="007B5BE6">
        <w:t>,</w:t>
      </w:r>
      <w:r w:rsidR="0068112F" w:rsidRPr="007B5BE6">
        <w:t xml:space="preserve"> and</w:t>
      </w:r>
      <w:r w:rsidR="008E4930" w:rsidRPr="007B5BE6">
        <w:t xml:space="preserve"> </w:t>
      </w:r>
      <w:r w:rsidR="0068112F" w:rsidRPr="007B5BE6">
        <w:t>appropriate to the Tasmanian context</w:t>
      </w:r>
      <w:r w:rsidR="00C53B4F" w:rsidRPr="007B5BE6">
        <w:t xml:space="preserve">. </w:t>
      </w:r>
    </w:p>
    <w:p w14:paraId="00115B7E" w14:textId="4D1C5D72" w:rsidR="001068FC" w:rsidRPr="007B5BE6" w:rsidRDefault="005F51E3" w:rsidP="001068FC">
      <w:r w:rsidRPr="007B5BE6">
        <w:rPr>
          <w:noProof/>
        </w:rPr>
        <mc:AlternateContent>
          <mc:Choice Requires="wps">
            <w:drawing>
              <wp:inline distT="0" distB="0" distL="0" distR="0" wp14:anchorId="5439C0B8" wp14:editId="5665B9EC">
                <wp:extent cx="5727065" cy="1287476"/>
                <wp:effectExtent l="0" t="0" r="6985" b="8255"/>
                <wp:docPr id="82602495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87476"/>
                        </a:xfrm>
                        <a:prstGeom prst="rect">
                          <a:avLst/>
                        </a:prstGeom>
                        <a:solidFill>
                          <a:srgbClr val="E8E8E8"/>
                        </a:solidFill>
                      </wps:spPr>
                      <wps:txbx>
                        <w:txbxContent>
                          <w:p w14:paraId="641D0D78" w14:textId="77777777" w:rsidR="008C2B49" w:rsidRDefault="008C2B49" w:rsidP="008C2B49">
                            <w:pPr>
                              <w:pStyle w:val="RecommendationBoxHeading"/>
                            </w:pPr>
                            <w:r w:rsidRPr="006F2DE6">
                              <w:t>Recommendation 1</w:t>
                            </w:r>
                          </w:p>
                          <w:p w14:paraId="20436AA3" w14:textId="52BF4E23" w:rsidR="008C2B49" w:rsidRPr="00352D18" w:rsidRDefault="008C2B49" w:rsidP="00352D18">
                            <w:pPr>
                              <w:pStyle w:val="RecommendationBoxText"/>
                            </w:pPr>
                            <w:r w:rsidRPr="006F2DE6">
                              <w:t>An overarching approach to safeguarding older people in Tasmania should be introduced through a legislative framework that creates</w:t>
                            </w:r>
                            <w:r w:rsidRPr="006F2DE6" w:rsidDel="00787724">
                              <w:t xml:space="preserve"> </w:t>
                            </w:r>
                            <w:r w:rsidRPr="006F2DE6">
                              <w:t>an independent statutory entity</w:t>
                            </w:r>
                            <w:r>
                              <w:t>,</w:t>
                            </w:r>
                            <w:r w:rsidRPr="006F2DE6">
                              <w:t xml:space="preserve"> with the role to receive matters (enquiries and reports) about violence, abuse, neglect, coercion and exploitation of older people, with powers and functions that operate as safeguarding mechanisms.</w:t>
                            </w:r>
                          </w:p>
                          <w:p w14:paraId="4A4444C9" w14:textId="6FB8FB20" w:rsidR="005F51E3" w:rsidRPr="00AE1EED" w:rsidRDefault="005F51E3" w:rsidP="005F51E3">
                            <w:pPr>
                              <w:pStyle w:val="BodyText"/>
                              <w:widowControl w:val="0"/>
                              <w:autoSpaceDE w:val="0"/>
                              <w:autoSpaceDN w:val="0"/>
                              <w:spacing w:before="237" w:after="0" w:line="242" w:lineRule="auto"/>
                              <w:ind w:right="221"/>
                              <w:rPr>
                                <w:rFonts w:ascii="Times New Roman" w:eastAsia="Times New Roman" w:hAnsi="Times New Roman" w:cs="Times New Roman"/>
                                <w:b w:val="0"/>
                                <w:color w:val="000000"/>
                                <w:sz w:val="22"/>
                                <w:szCs w:val="22"/>
                                <w:lang w:val="en-US"/>
                              </w:rPr>
                            </w:pPr>
                          </w:p>
                        </w:txbxContent>
                      </wps:txbx>
                      <wps:bodyPr wrap="square" lIns="0" tIns="0" rIns="0" bIns="0" rtlCol="0">
                        <a:noAutofit/>
                      </wps:bodyPr>
                    </wps:wsp>
                  </a:graphicData>
                </a:graphic>
              </wp:inline>
            </w:drawing>
          </mc:Choice>
          <mc:Fallback>
            <w:pict>
              <v:shape w14:anchorId="5439C0B8" id="Textbox 116" o:spid="_x0000_s1027" type="#_x0000_t202" style="width:450.95pt;height:10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" fillcolor="#e8e8e8" stroked="f">
                <v:textbox inset="0,0,0,0">
                  <w:txbxContent>
                    <w:p w14:paraId="641D0D78" w14:textId="77777777" w:rsidR="008C2B49" w:rsidRDefault="008C2B49" w:rsidP="008C2B49">
                      <w:pPr>
                        <w:pStyle w:val="RecommendationBoxHeading"/>
                      </w:pPr>
                      <w:r w:rsidRPr="006F2DE6">
                        <w:t>Recommendation 1</w:t>
                      </w:r>
                    </w:p>
                    <w:p w14:paraId="20436AA3" w14:textId="52BF4E23" w:rsidR="008C2B49" w:rsidRPr="00352D18" w:rsidRDefault="008C2B49" w:rsidP="00352D18">
                      <w:pPr>
                        <w:pStyle w:val="RecommendationBoxText"/>
                      </w:pPr>
                      <w:r w:rsidRPr="006F2DE6">
                        <w:t>An overarching approach to safeguarding older people in Tasmania should be introduced through a legislative framework that creates</w:t>
                      </w:r>
                      <w:r w:rsidRPr="006F2DE6" w:rsidDel="00787724">
                        <w:t xml:space="preserve"> </w:t>
                      </w:r>
                      <w:r w:rsidRPr="006F2DE6">
                        <w:t>an independent statutory entity</w:t>
                      </w:r>
                      <w:r>
                        <w:t>,</w:t>
                      </w:r>
                      <w:r w:rsidRPr="006F2DE6">
                        <w:t xml:space="preserve"> with the role to receive matters (enquiries and reports) about violence, abuse, neglect, coercion and exploitation of older people, with powers and functions that operate as safeguarding mechanisms.</w:t>
                      </w:r>
                    </w:p>
                    <w:p w14:paraId="4A4444C9" w14:textId="6FB8FB20" w:rsidR="005F51E3" w:rsidRPr="00AE1EED" w:rsidRDefault="005F51E3" w:rsidP="005F51E3">
                      <w:pPr>
                        <w:pStyle w:val="BodyText"/>
                        <w:widowControl w:val="0"/>
                        <w:autoSpaceDE w:val="0"/>
                        <w:autoSpaceDN w:val="0"/>
                        <w:spacing w:before="237" w:after="0" w:line="242" w:lineRule="auto"/>
                        <w:ind w:right="221"/>
                        <w:rPr>
                          <w:rFonts w:ascii="Times New Roman" w:eastAsia="Times New Roman" w:hAnsi="Times New Roman" w:cs="Times New Roman"/>
                          <w:b w:val="0"/>
                          <w:color w:val="000000"/>
                          <w:sz w:val="22"/>
                          <w:szCs w:val="22"/>
                          <w:lang w:val="en-US"/>
                        </w:rPr>
                      </w:pPr>
                    </w:p>
                  </w:txbxContent>
                </v:textbox>
                <w10:anchorlock/>
              </v:shape>
            </w:pict>
          </mc:Fallback>
        </mc:AlternateContent>
      </w:r>
    </w:p>
    <w:p w14:paraId="02E238F8" w14:textId="23C392D2" w:rsidR="00352D18" w:rsidRPr="007B5BE6" w:rsidRDefault="00352D18" w:rsidP="005F7BEF">
      <w:pPr>
        <w:pStyle w:val="NormalNumberedTextTLRI"/>
        <w:numPr>
          <w:ilvl w:val="0"/>
          <w:numId w:val="0"/>
        </w:numPr>
        <w:rPr>
          <w:b/>
          <w:bCs/>
        </w:rPr>
      </w:pPr>
      <w:r w:rsidRPr="007B5BE6">
        <w:rPr>
          <w:noProof/>
        </w:rPr>
        <w:lastRenderedPageBreak/>
        <mc:AlternateContent>
          <mc:Choice Requires="wps">
            <w:drawing>
              <wp:inline distT="0" distB="0" distL="0" distR="0" wp14:anchorId="20E455C3" wp14:editId="598B194F">
                <wp:extent cx="5727065" cy="1272844"/>
                <wp:effectExtent l="0" t="0" r="6985" b="3810"/>
                <wp:docPr id="1913523791"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72844"/>
                        </a:xfrm>
                        <a:prstGeom prst="rect">
                          <a:avLst/>
                        </a:prstGeom>
                        <a:solidFill>
                          <a:srgbClr val="E8E8E8"/>
                        </a:solidFill>
                      </wps:spPr>
                      <wps:txbx>
                        <w:txbxContent>
                          <w:p w14:paraId="0E590C94" w14:textId="77777777" w:rsidR="00352D18" w:rsidRPr="006F2DE6" w:rsidRDefault="00352D18" w:rsidP="00352D18">
                            <w:pPr>
                              <w:pStyle w:val="RecommendationBoxHeading"/>
                            </w:pPr>
                            <w:r w:rsidRPr="006F2DE6">
                              <w:t>Recommendation 2</w:t>
                            </w:r>
                          </w:p>
                          <w:p w14:paraId="134195B7" w14:textId="0E86D57C" w:rsidR="00352D18" w:rsidRPr="00352D18" w:rsidRDefault="00352D18" w:rsidP="00352D18">
                            <w:pPr>
                              <w:pStyle w:val="RecommendationBoxText"/>
                            </w:pPr>
                            <w:r w:rsidRPr="006F2DE6">
                              <w:t>The</w:t>
                            </w:r>
                            <w:r w:rsidRPr="006F2DE6" w:rsidDel="00B56BA1">
                              <w:t xml:space="preserve"> </w:t>
                            </w:r>
                            <w:r w:rsidRPr="006F2DE6">
                              <w:t>approach to designating the entity with the role and creating its powers and functions under the</w:t>
                            </w:r>
                            <w:r w:rsidRPr="006F2DE6" w:rsidDel="000A6F7F">
                              <w:t xml:space="preserve"> </w:t>
                            </w:r>
                            <w:r w:rsidRPr="006F2DE6">
                              <w:t>legislative framework</w:t>
                            </w:r>
                            <w:r>
                              <w:t>,</w:t>
                            </w:r>
                            <w:r w:rsidRPr="006F2DE6">
                              <w:t xml:space="preserve"> within an overarching approach to safeguarding older people</w:t>
                            </w:r>
                            <w:r>
                              <w:t>,</w:t>
                            </w:r>
                            <w:r w:rsidRPr="006F2DE6">
                              <w:t xml:space="preserve"> should be complementary to the existing legal and service framework and appropriate to the Tasmanian context.</w:t>
                            </w:r>
                          </w:p>
                        </w:txbxContent>
                      </wps:txbx>
                      <wps:bodyPr wrap="square" lIns="0" tIns="0" rIns="0" bIns="0" rtlCol="0">
                        <a:noAutofit/>
                      </wps:bodyPr>
                    </wps:wsp>
                  </a:graphicData>
                </a:graphic>
              </wp:inline>
            </w:drawing>
          </mc:Choice>
          <mc:Fallback>
            <w:pict>
              <v:shape w14:anchorId="20E455C3" id="_x0000_s1028" type="#_x0000_t202" style="width:450.95pt;height:1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" fillcolor="#e8e8e8" stroked="f">
                <v:textbox inset="0,0,0,0">
                  <w:txbxContent>
                    <w:p w14:paraId="0E590C94" w14:textId="77777777" w:rsidR="00352D18" w:rsidRPr="006F2DE6" w:rsidRDefault="00352D18" w:rsidP="00352D18">
                      <w:pPr>
                        <w:pStyle w:val="RecommendationBoxHeading"/>
                      </w:pPr>
                      <w:r w:rsidRPr="006F2DE6">
                        <w:t>Recommendation 2</w:t>
                      </w:r>
                    </w:p>
                    <w:p w14:paraId="134195B7" w14:textId="0E86D57C" w:rsidR="00352D18" w:rsidRPr="00352D18" w:rsidRDefault="00352D18" w:rsidP="00352D18">
                      <w:pPr>
                        <w:pStyle w:val="RecommendationBoxText"/>
                      </w:pPr>
                      <w:r w:rsidRPr="006F2DE6">
                        <w:t>The</w:t>
                      </w:r>
                      <w:r w:rsidRPr="006F2DE6" w:rsidDel="00B56BA1">
                        <w:t xml:space="preserve"> </w:t>
                      </w:r>
                      <w:r w:rsidRPr="006F2DE6">
                        <w:t>approach to designating the entity with the role and creating its powers and functions under the</w:t>
                      </w:r>
                      <w:r w:rsidRPr="006F2DE6" w:rsidDel="000A6F7F">
                        <w:t xml:space="preserve"> </w:t>
                      </w:r>
                      <w:r w:rsidRPr="006F2DE6">
                        <w:t>legislative framework</w:t>
                      </w:r>
                      <w:r>
                        <w:t>,</w:t>
                      </w:r>
                      <w:r w:rsidRPr="006F2DE6">
                        <w:t xml:space="preserve"> within an overarching approach to safeguarding older people</w:t>
                      </w:r>
                      <w:r>
                        <w:t>,</w:t>
                      </w:r>
                      <w:r w:rsidRPr="006F2DE6">
                        <w:t xml:space="preserve"> should be complementary to the existing legal and service framework and appropriate to the Tasmanian context.</w:t>
                      </w:r>
                    </w:p>
                  </w:txbxContent>
                </v:textbox>
                <w10:anchorlock/>
              </v:shape>
            </w:pict>
          </mc:Fallback>
        </mc:AlternateContent>
      </w:r>
    </w:p>
    <w:p w14:paraId="6C6ABBDB" w14:textId="2BA2F2CB" w:rsidR="00CC6E7D" w:rsidRPr="007B5BE6" w:rsidRDefault="00325E55" w:rsidP="00AE2D56">
      <w:pPr>
        <w:pStyle w:val="Headingunnumbered"/>
        <w:spacing w:before="360"/>
      </w:pPr>
      <w:bookmarkStart w:id="586" w:name="_Toc212561796"/>
      <w:r w:rsidRPr="007B5BE6">
        <w:t>The</w:t>
      </w:r>
      <w:r w:rsidR="00EE06B5" w:rsidRPr="007B5BE6">
        <w:t xml:space="preserve"> s</w:t>
      </w:r>
      <w:r w:rsidR="00CC6E7D" w:rsidRPr="007B5BE6">
        <w:t>afeguarding entity</w:t>
      </w:r>
      <w:bookmarkEnd w:id="586"/>
    </w:p>
    <w:p w14:paraId="6E5E603D" w14:textId="2D24383A" w:rsidR="00521521" w:rsidRPr="007B5BE6" w:rsidRDefault="0028276A" w:rsidP="00521521">
      <w:pPr>
        <w:pStyle w:val="NormalNumberedTextTLRI"/>
      </w:pPr>
      <w:r w:rsidRPr="007B5BE6">
        <w:t>Following</w:t>
      </w:r>
      <w:r w:rsidR="00C035B3" w:rsidRPr="007B5BE6">
        <w:t xml:space="preserve"> the TLRI’s recommendation to</w:t>
      </w:r>
      <w:r w:rsidR="00616F8A" w:rsidRPr="007B5BE6">
        <w:t xml:space="preserve"> introduce an overarching approach to safeguarding older </w:t>
      </w:r>
      <w:r w:rsidR="00DF13C7" w:rsidRPr="007B5BE6">
        <w:t xml:space="preserve">people in </w:t>
      </w:r>
      <w:r w:rsidR="00616F8A" w:rsidRPr="007B5BE6">
        <w:t>Tasmania, t</w:t>
      </w:r>
      <w:r w:rsidR="00521521" w:rsidRPr="007B5BE6">
        <w:t>here are additional matters to consider</w:t>
      </w:r>
      <w:r w:rsidR="00616F8A" w:rsidRPr="007B5BE6">
        <w:t xml:space="preserve"> </w:t>
      </w:r>
      <w:r w:rsidR="006235A7" w:rsidRPr="007B5BE6">
        <w:t>regarding an accompanying legal and operational framework</w:t>
      </w:r>
      <w:r w:rsidR="00365EC0" w:rsidRPr="007B5BE6">
        <w:t xml:space="preserve">. This </w:t>
      </w:r>
      <w:r w:rsidR="00521521" w:rsidRPr="007B5BE6">
        <w:t>includ</w:t>
      </w:r>
      <w:r w:rsidR="00365EC0" w:rsidRPr="007B5BE6">
        <w:t>es</w:t>
      </w:r>
      <w:r w:rsidR="00521521" w:rsidRPr="007B5BE6">
        <w:t>:</w:t>
      </w:r>
    </w:p>
    <w:p w14:paraId="321FEC04" w14:textId="01ACF83D" w:rsidR="00E14052" w:rsidRPr="007B5BE6" w:rsidRDefault="009E7525" w:rsidP="002A0B75">
      <w:pPr>
        <w:pStyle w:val="DotPointTLRI"/>
      </w:pPr>
      <w:r w:rsidRPr="007B5BE6">
        <w:t>t</w:t>
      </w:r>
      <w:r w:rsidR="00521521" w:rsidRPr="007B5BE6">
        <w:t xml:space="preserve">he </w:t>
      </w:r>
      <w:r w:rsidR="00D80C3B" w:rsidRPr="007B5BE6">
        <w:t xml:space="preserve">approach to creating the safeguarding entity and its </w:t>
      </w:r>
      <w:r w:rsidR="00521521" w:rsidRPr="007B5BE6">
        <w:t>structure</w:t>
      </w:r>
      <w:r w:rsidRPr="007B5BE6">
        <w:t>;</w:t>
      </w:r>
    </w:p>
    <w:p w14:paraId="676A0E73" w14:textId="0B437BF6" w:rsidR="00E14052" w:rsidRPr="007B5BE6" w:rsidRDefault="009E7525" w:rsidP="002A0B75">
      <w:pPr>
        <w:pStyle w:val="DotPointTLRI"/>
      </w:pPr>
      <w:r w:rsidRPr="007B5BE6">
        <w:t>t</w:t>
      </w:r>
      <w:r w:rsidR="00521521" w:rsidRPr="007B5BE6">
        <w:t>he coverage of the safeguarding legislation</w:t>
      </w:r>
      <w:r w:rsidRPr="007B5BE6">
        <w:t>;</w:t>
      </w:r>
    </w:p>
    <w:p w14:paraId="2BA04D33" w14:textId="36F754D3" w:rsidR="00521521" w:rsidRPr="007B5BE6" w:rsidRDefault="009E7525" w:rsidP="002A0B75">
      <w:pPr>
        <w:pStyle w:val="DotPointTLRI"/>
      </w:pPr>
      <w:r w:rsidRPr="007B5BE6">
        <w:t>t</w:t>
      </w:r>
      <w:r w:rsidR="00521521" w:rsidRPr="007B5BE6">
        <w:t>he definition of abuse under the legislation</w:t>
      </w:r>
      <w:r w:rsidRPr="007B5BE6">
        <w:t>;</w:t>
      </w:r>
    </w:p>
    <w:p w14:paraId="3FBE5C05" w14:textId="423FB3E5" w:rsidR="00521521" w:rsidRPr="007B5BE6" w:rsidRDefault="009E7525" w:rsidP="002A0B75">
      <w:pPr>
        <w:pStyle w:val="DotPointTLRI"/>
      </w:pPr>
      <w:r w:rsidRPr="007B5BE6">
        <w:t>t</w:t>
      </w:r>
      <w:r w:rsidR="00521521" w:rsidRPr="007B5BE6">
        <w:t xml:space="preserve">he </w:t>
      </w:r>
      <w:r w:rsidR="00CE6522" w:rsidRPr="007B5BE6">
        <w:t>powers of</w:t>
      </w:r>
      <w:r w:rsidR="00521521" w:rsidRPr="007B5BE6">
        <w:t xml:space="preserve"> the entity</w:t>
      </w:r>
      <w:r w:rsidR="001C2AF7" w:rsidRPr="007B5BE6">
        <w:t xml:space="preserve"> </w:t>
      </w:r>
      <w:r w:rsidR="00521521" w:rsidRPr="007B5BE6">
        <w:t>to make</w:t>
      </w:r>
      <w:r w:rsidR="001C2AF7" w:rsidRPr="007B5BE6">
        <w:t xml:space="preserve"> preliminary inquiries and</w:t>
      </w:r>
      <w:r w:rsidR="00521521" w:rsidRPr="007B5BE6">
        <w:t xml:space="preserve"> </w:t>
      </w:r>
      <w:r w:rsidR="00CE6522" w:rsidRPr="007B5BE6">
        <w:t xml:space="preserve">to </w:t>
      </w:r>
      <w:r w:rsidR="00521521" w:rsidRPr="007B5BE6">
        <w:t>i</w:t>
      </w:r>
      <w:r w:rsidR="008100C3" w:rsidRPr="007B5BE6">
        <w:t>nvestigate</w:t>
      </w:r>
      <w:r w:rsidRPr="007B5BE6">
        <w:t>;</w:t>
      </w:r>
    </w:p>
    <w:p w14:paraId="04DCF207" w14:textId="57C4CF75" w:rsidR="00521521" w:rsidRPr="007B5BE6" w:rsidRDefault="009E7525" w:rsidP="002A0B75">
      <w:pPr>
        <w:pStyle w:val="DotPointTLRI"/>
      </w:pPr>
      <w:r w:rsidRPr="007B5BE6">
        <w:t>c</w:t>
      </w:r>
      <w:r w:rsidR="00521521" w:rsidRPr="007B5BE6">
        <w:t>onsent thresholds for older people</w:t>
      </w:r>
      <w:r w:rsidRPr="007B5BE6">
        <w:t>;</w:t>
      </w:r>
    </w:p>
    <w:p w14:paraId="2B3DB197" w14:textId="4A113DA1" w:rsidR="00521521" w:rsidRPr="007B5BE6" w:rsidRDefault="009E7525" w:rsidP="002A0B75">
      <w:pPr>
        <w:pStyle w:val="DotPointTLRI"/>
      </w:pPr>
      <w:r w:rsidRPr="007B5BE6">
        <w:t>t</w:t>
      </w:r>
      <w:r w:rsidR="00521521" w:rsidRPr="007B5BE6">
        <w:t>he powers of the entity to act, including the use of coercive powers</w:t>
      </w:r>
      <w:r w:rsidRPr="007B5BE6">
        <w:t>;</w:t>
      </w:r>
    </w:p>
    <w:p w14:paraId="444782C2" w14:textId="475C5C89" w:rsidR="00521521" w:rsidRPr="007B5BE6" w:rsidRDefault="009E7525" w:rsidP="002A0B75">
      <w:pPr>
        <w:pStyle w:val="DotPointTLRI"/>
      </w:pPr>
      <w:r w:rsidRPr="007B5BE6">
        <w:t>t</w:t>
      </w:r>
      <w:r w:rsidR="00521521" w:rsidRPr="007B5BE6">
        <w:t>he education role of the entity</w:t>
      </w:r>
      <w:r w:rsidRPr="007B5BE6">
        <w:t>; and</w:t>
      </w:r>
    </w:p>
    <w:p w14:paraId="6D215C4F" w14:textId="491F9A64" w:rsidR="00FF0CD6" w:rsidRPr="007B5BE6" w:rsidRDefault="009E7525" w:rsidP="00810052">
      <w:pPr>
        <w:pStyle w:val="DotPointTLRI"/>
      </w:pPr>
      <w:r w:rsidRPr="007B5BE6">
        <w:t>p</w:t>
      </w:r>
      <w:r w:rsidR="00FF0CD6" w:rsidRPr="007B5BE6">
        <w:t>rovisions that allow for collaboration between agencies</w:t>
      </w:r>
      <w:r w:rsidRPr="007B5BE6">
        <w:t>.</w:t>
      </w:r>
    </w:p>
    <w:p w14:paraId="2CC00079" w14:textId="1B0C6BF5" w:rsidR="00325E55" w:rsidRPr="007B5BE6" w:rsidRDefault="00557F3C" w:rsidP="00AE2D56">
      <w:pPr>
        <w:pStyle w:val="Sub-HeadingTLRI"/>
        <w:spacing w:before="360"/>
      </w:pPr>
      <w:bookmarkStart w:id="587" w:name="_Toc212561797"/>
      <w:r w:rsidRPr="007B5BE6">
        <w:t xml:space="preserve">Approach to creating the safeguarding entity and its </w:t>
      </w:r>
      <w:r w:rsidR="00D64D38" w:rsidRPr="007B5BE6">
        <w:t>structure</w:t>
      </w:r>
      <w:bookmarkEnd w:id="587"/>
    </w:p>
    <w:p w14:paraId="4A8354EB" w14:textId="6D1DE169" w:rsidR="00594BEA" w:rsidRPr="007B5BE6" w:rsidRDefault="00272AEA" w:rsidP="009C07C0">
      <w:pPr>
        <w:numPr>
          <w:ilvl w:val="2"/>
          <w:numId w:val="2"/>
        </w:numPr>
        <w:tabs>
          <w:tab w:val="left" w:pos="851"/>
        </w:tabs>
        <w:spacing w:before="220"/>
        <w:rPr>
          <w:rFonts w:eastAsia="Times" w:cs="Times New Roman"/>
          <w:szCs w:val="20"/>
        </w:rPr>
      </w:pPr>
      <w:r w:rsidRPr="007B5BE6">
        <w:rPr>
          <w:rFonts w:eastAsia="Times" w:cs="Times New Roman"/>
          <w:szCs w:val="20"/>
        </w:rPr>
        <w:t xml:space="preserve">As part of </w:t>
      </w:r>
      <w:r w:rsidR="009863AD" w:rsidRPr="007B5BE6">
        <w:rPr>
          <w:rFonts w:eastAsia="Times" w:cs="Times New Roman"/>
          <w:szCs w:val="20"/>
        </w:rPr>
        <w:t xml:space="preserve">implementing </w:t>
      </w:r>
      <w:r w:rsidR="00DF04C8" w:rsidRPr="007B5BE6">
        <w:rPr>
          <w:rFonts w:eastAsia="Times" w:cs="Times New Roman"/>
          <w:b/>
          <w:bCs/>
          <w:szCs w:val="20"/>
        </w:rPr>
        <w:t>R</w:t>
      </w:r>
      <w:r w:rsidR="009863AD" w:rsidRPr="007B5BE6">
        <w:rPr>
          <w:rFonts w:eastAsia="Times" w:cs="Times New Roman"/>
          <w:b/>
          <w:bCs/>
          <w:szCs w:val="20"/>
        </w:rPr>
        <w:t>ecommendation 1</w:t>
      </w:r>
      <w:r w:rsidR="00DF04C8" w:rsidRPr="007B5BE6">
        <w:rPr>
          <w:rFonts w:eastAsia="Times" w:cs="Times New Roman"/>
          <w:szCs w:val="20"/>
        </w:rPr>
        <w:t>,</w:t>
      </w:r>
      <w:r w:rsidR="00CA7F26" w:rsidRPr="007B5BE6">
        <w:rPr>
          <w:rFonts w:eastAsia="Times" w:cs="Times New Roman"/>
          <w:szCs w:val="20"/>
        </w:rPr>
        <w:t xml:space="preserve"> </w:t>
      </w:r>
      <w:r w:rsidR="00365EC0" w:rsidRPr="007B5BE6">
        <w:rPr>
          <w:rFonts w:eastAsia="Times" w:cs="Times New Roman"/>
          <w:szCs w:val="20"/>
        </w:rPr>
        <w:t>it is necessary to consider the</w:t>
      </w:r>
      <w:r w:rsidRPr="007B5BE6">
        <w:rPr>
          <w:rFonts w:eastAsia="Times" w:cs="Times New Roman"/>
          <w:szCs w:val="20"/>
        </w:rPr>
        <w:t xml:space="preserve"> </w:t>
      </w:r>
      <w:r w:rsidR="00557F3C" w:rsidRPr="007B5BE6">
        <w:rPr>
          <w:rFonts w:eastAsia="Times" w:cs="Times New Roman"/>
          <w:szCs w:val="20"/>
        </w:rPr>
        <w:t xml:space="preserve">approach to creating the entity and its </w:t>
      </w:r>
      <w:r w:rsidR="00D64D38" w:rsidRPr="007B5BE6">
        <w:rPr>
          <w:rFonts w:eastAsia="Times" w:cs="Times New Roman"/>
          <w:szCs w:val="20"/>
        </w:rPr>
        <w:t>structure</w:t>
      </w:r>
      <w:r w:rsidRPr="007B5BE6">
        <w:rPr>
          <w:rFonts w:eastAsia="Times" w:cs="Times New Roman"/>
          <w:szCs w:val="20"/>
        </w:rPr>
        <w:t xml:space="preserve">. </w:t>
      </w:r>
      <w:r w:rsidR="00A26C4F" w:rsidRPr="007B5BE6">
        <w:rPr>
          <w:rFonts w:eastAsia="Times" w:cs="Times New Roman"/>
          <w:szCs w:val="20"/>
        </w:rPr>
        <w:t xml:space="preserve">As noted, both </w:t>
      </w:r>
      <w:r w:rsidR="00CF683D" w:rsidRPr="007B5BE6">
        <w:rPr>
          <w:rFonts w:eastAsia="Times" w:cs="Times New Roman"/>
          <w:szCs w:val="20"/>
        </w:rPr>
        <w:t xml:space="preserve">NSW and SA </w:t>
      </w:r>
      <w:r w:rsidR="00A26C4F" w:rsidRPr="007B5BE6">
        <w:rPr>
          <w:rFonts w:eastAsia="Times" w:cs="Times New Roman"/>
          <w:szCs w:val="20"/>
        </w:rPr>
        <w:t xml:space="preserve">have an </w:t>
      </w:r>
      <w:r w:rsidR="003C54C7" w:rsidRPr="007B5BE6">
        <w:rPr>
          <w:rFonts w:eastAsia="Times" w:cs="Times New Roman"/>
          <w:szCs w:val="20"/>
        </w:rPr>
        <w:t>independent</w:t>
      </w:r>
      <w:r w:rsidR="00A26C4F" w:rsidRPr="007B5BE6">
        <w:rPr>
          <w:rFonts w:eastAsia="Times" w:cs="Times New Roman"/>
          <w:szCs w:val="20"/>
        </w:rPr>
        <w:t xml:space="preserve"> legislated adult safeguarding entity that provides an overarching and coordinate</w:t>
      </w:r>
      <w:r w:rsidR="00392350" w:rsidRPr="007B5BE6">
        <w:rPr>
          <w:rFonts w:eastAsia="Times" w:cs="Times New Roman"/>
          <w:szCs w:val="20"/>
        </w:rPr>
        <w:t>d</w:t>
      </w:r>
      <w:r w:rsidR="00A26C4F" w:rsidRPr="007B5BE6">
        <w:rPr>
          <w:rFonts w:eastAsia="Times" w:cs="Times New Roman"/>
          <w:szCs w:val="20"/>
        </w:rPr>
        <w:t xml:space="preserve"> approach.</w:t>
      </w:r>
      <w:r w:rsidRPr="007B5BE6">
        <w:rPr>
          <w:rFonts w:eastAsia="Times" w:cs="Times New Roman"/>
          <w:szCs w:val="20"/>
        </w:rPr>
        <w:t xml:space="preserve"> </w:t>
      </w:r>
      <w:r w:rsidR="002C5C04" w:rsidRPr="007B5BE6">
        <w:rPr>
          <w:rFonts w:eastAsia="Times" w:cs="Times New Roman"/>
          <w:szCs w:val="20"/>
        </w:rPr>
        <w:t xml:space="preserve">In addition, the ACT has a safeguarding function incorporated within the </w:t>
      </w:r>
      <w:r w:rsidR="000E0A22" w:rsidRPr="007B5BE6">
        <w:rPr>
          <w:rFonts w:eastAsia="Times" w:cs="Times New Roman"/>
          <w:szCs w:val="20"/>
        </w:rPr>
        <w:t>functions</w:t>
      </w:r>
      <w:r w:rsidR="00194600" w:rsidRPr="007B5BE6">
        <w:rPr>
          <w:rFonts w:eastAsia="Times" w:cs="Times New Roman"/>
          <w:szCs w:val="20"/>
        </w:rPr>
        <w:t xml:space="preserve"> of the Human Rights Commission</w:t>
      </w:r>
      <w:r w:rsidR="000E0A22" w:rsidRPr="007B5BE6">
        <w:rPr>
          <w:rFonts w:eastAsia="Times" w:cs="Times New Roman"/>
          <w:szCs w:val="20"/>
        </w:rPr>
        <w:t xml:space="preserve">. </w:t>
      </w:r>
      <w:r w:rsidR="00F11A09" w:rsidRPr="007B5BE6">
        <w:rPr>
          <w:rFonts w:eastAsia="Times" w:cs="Times New Roman"/>
          <w:szCs w:val="20"/>
        </w:rPr>
        <w:t xml:space="preserve">In forming its views about </w:t>
      </w:r>
      <w:r w:rsidR="00392350" w:rsidRPr="007B5BE6">
        <w:rPr>
          <w:rFonts w:eastAsia="Times" w:cs="Times New Roman"/>
          <w:szCs w:val="20"/>
        </w:rPr>
        <w:t>the</w:t>
      </w:r>
      <w:r w:rsidR="00F11A09" w:rsidRPr="007B5BE6">
        <w:rPr>
          <w:rFonts w:eastAsia="Times" w:cs="Times New Roman"/>
          <w:szCs w:val="20"/>
        </w:rPr>
        <w:t xml:space="preserve"> approach that </w:t>
      </w:r>
      <w:r w:rsidR="00491F83" w:rsidRPr="007B5BE6">
        <w:rPr>
          <w:rFonts w:eastAsia="Times" w:cs="Times New Roman"/>
          <w:szCs w:val="20"/>
        </w:rPr>
        <w:t xml:space="preserve">would </w:t>
      </w:r>
      <w:r w:rsidR="00AC6A76" w:rsidRPr="007B5BE6">
        <w:rPr>
          <w:rFonts w:eastAsia="Times" w:cs="Times New Roman"/>
          <w:szCs w:val="20"/>
        </w:rPr>
        <w:t xml:space="preserve">be most appropriate </w:t>
      </w:r>
      <w:r w:rsidR="0006335F" w:rsidRPr="007B5BE6">
        <w:rPr>
          <w:rFonts w:eastAsia="Times" w:cs="Times New Roman"/>
          <w:szCs w:val="20"/>
        </w:rPr>
        <w:t xml:space="preserve">to </w:t>
      </w:r>
      <w:r w:rsidR="00021974" w:rsidRPr="007B5BE6">
        <w:rPr>
          <w:rFonts w:eastAsia="Times" w:cs="Times New Roman"/>
          <w:szCs w:val="20"/>
        </w:rPr>
        <w:t xml:space="preserve">address </w:t>
      </w:r>
      <w:r w:rsidR="0006335F" w:rsidRPr="007B5BE6">
        <w:rPr>
          <w:rFonts w:eastAsia="Times" w:cs="Times New Roman"/>
          <w:szCs w:val="20"/>
        </w:rPr>
        <w:t xml:space="preserve">the identified needs </w:t>
      </w:r>
      <w:r w:rsidR="00AC6A76" w:rsidRPr="007B5BE6">
        <w:rPr>
          <w:rFonts w:eastAsia="Times" w:cs="Times New Roman"/>
          <w:szCs w:val="20"/>
        </w:rPr>
        <w:t>in Tasmania</w:t>
      </w:r>
      <w:r w:rsidR="0006335F" w:rsidRPr="007B5BE6">
        <w:rPr>
          <w:rFonts w:eastAsia="Times" w:cs="Times New Roman"/>
          <w:szCs w:val="20"/>
        </w:rPr>
        <w:t>, t</w:t>
      </w:r>
      <w:r w:rsidR="00992A9F" w:rsidRPr="007B5BE6">
        <w:rPr>
          <w:rFonts w:eastAsia="Times" w:cs="Times New Roman"/>
          <w:szCs w:val="20"/>
        </w:rPr>
        <w:t xml:space="preserve">he TLRI has </w:t>
      </w:r>
      <w:r w:rsidR="003600EB" w:rsidRPr="007B5BE6">
        <w:rPr>
          <w:rFonts w:eastAsia="Times" w:cs="Times New Roman"/>
          <w:szCs w:val="20"/>
        </w:rPr>
        <w:t>considered</w:t>
      </w:r>
      <w:r w:rsidR="00992A9F" w:rsidRPr="007B5BE6">
        <w:rPr>
          <w:rFonts w:eastAsia="Times" w:cs="Times New Roman"/>
          <w:szCs w:val="20"/>
        </w:rPr>
        <w:t xml:space="preserve"> </w:t>
      </w:r>
      <w:r w:rsidR="00F662B4" w:rsidRPr="007B5BE6">
        <w:rPr>
          <w:rFonts w:eastAsia="Times" w:cs="Times New Roman"/>
          <w:szCs w:val="20"/>
        </w:rPr>
        <w:t>the</w:t>
      </w:r>
      <w:r w:rsidR="005C5770" w:rsidRPr="007B5BE6">
        <w:rPr>
          <w:rFonts w:eastAsia="Times" w:cs="Times New Roman"/>
          <w:szCs w:val="20"/>
        </w:rPr>
        <w:t>se</w:t>
      </w:r>
      <w:r w:rsidR="00F662B4" w:rsidRPr="007B5BE6">
        <w:rPr>
          <w:rFonts w:eastAsia="Times" w:cs="Times New Roman"/>
          <w:szCs w:val="20"/>
        </w:rPr>
        <w:t xml:space="preserve"> models</w:t>
      </w:r>
      <w:r w:rsidR="0006335F" w:rsidRPr="007B5BE6">
        <w:rPr>
          <w:rFonts w:eastAsia="Times" w:cs="Times New Roman"/>
          <w:szCs w:val="20"/>
        </w:rPr>
        <w:t xml:space="preserve"> (and their </w:t>
      </w:r>
      <w:r w:rsidR="00923D7C" w:rsidRPr="007B5BE6">
        <w:rPr>
          <w:rFonts w:eastAsia="Times" w:cs="Times New Roman"/>
          <w:szCs w:val="20"/>
        </w:rPr>
        <w:t xml:space="preserve">respective </w:t>
      </w:r>
      <w:r w:rsidR="0006335F" w:rsidRPr="007B5BE6">
        <w:rPr>
          <w:rFonts w:eastAsia="Times" w:cs="Times New Roman"/>
          <w:szCs w:val="20"/>
        </w:rPr>
        <w:t>benefits)</w:t>
      </w:r>
      <w:r w:rsidR="00F662B4" w:rsidRPr="007B5BE6">
        <w:rPr>
          <w:rFonts w:eastAsia="Times" w:cs="Times New Roman"/>
          <w:szCs w:val="20"/>
        </w:rPr>
        <w:t xml:space="preserve">, as well as the </w:t>
      </w:r>
      <w:r w:rsidR="00791475" w:rsidRPr="007B5BE6">
        <w:rPr>
          <w:rFonts w:eastAsia="Times" w:cs="Times New Roman"/>
          <w:szCs w:val="20"/>
        </w:rPr>
        <w:t xml:space="preserve">model </w:t>
      </w:r>
      <w:r w:rsidR="00392350" w:rsidRPr="007B5BE6">
        <w:rPr>
          <w:rFonts w:eastAsia="Times" w:cs="Times New Roman"/>
          <w:szCs w:val="20"/>
        </w:rPr>
        <w:t xml:space="preserve">adopted </w:t>
      </w:r>
      <w:r w:rsidR="0084756D" w:rsidRPr="007B5BE6">
        <w:rPr>
          <w:rFonts w:eastAsia="Times" w:cs="Times New Roman"/>
          <w:szCs w:val="20"/>
        </w:rPr>
        <w:t>for the</w:t>
      </w:r>
      <w:r w:rsidR="00383AF8" w:rsidRPr="007B5BE6">
        <w:rPr>
          <w:rFonts w:eastAsia="Times" w:cs="Times New Roman"/>
          <w:szCs w:val="20"/>
        </w:rPr>
        <w:t xml:space="preserve"> newly created role of the Disability Commissioner</w:t>
      </w:r>
      <w:r w:rsidR="0084756D" w:rsidRPr="007B5BE6">
        <w:rPr>
          <w:rFonts w:eastAsia="Times" w:cs="Times New Roman"/>
          <w:szCs w:val="20"/>
        </w:rPr>
        <w:t xml:space="preserve"> in Tasmania</w:t>
      </w:r>
      <w:r w:rsidR="00383AF8" w:rsidRPr="007B5BE6">
        <w:rPr>
          <w:rFonts w:eastAsia="Times" w:cs="Times New Roman"/>
          <w:szCs w:val="20"/>
        </w:rPr>
        <w:t>.</w:t>
      </w:r>
      <w:r w:rsidR="00514715" w:rsidRPr="007B5BE6">
        <w:rPr>
          <w:rFonts w:eastAsia="Times" w:cs="Times New Roman"/>
          <w:szCs w:val="20"/>
        </w:rPr>
        <w:t xml:space="preserve"> </w:t>
      </w:r>
      <w:r w:rsidR="005C5770" w:rsidRPr="007B5BE6">
        <w:rPr>
          <w:rFonts w:eastAsia="Times" w:cs="Times New Roman"/>
          <w:szCs w:val="20"/>
        </w:rPr>
        <w:t>In considering what kind of entity should be designated as having the role and powers and functions under an overarching approach to safeguarding older adults, the TLRI has also had regard to the ALRC’s recommendations,</w:t>
      </w:r>
      <w:r w:rsidR="006778C9" w:rsidRPr="007B5BE6">
        <w:rPr>
          <w:rStyle w:val="FootnoteReference"/>
          <w:rFonts w:eastAsia="Times" w:cs="Times New Roman"/>
          <w:szCs w:val="20"/>
        </w:rPr>
        <w:footnoteReference w:id="566"/>
      </w:r>
      <w:r w:rsidR="005C5770" w:rsidRPr="007B5BE6">
        <w:rPr>
          <w:rFonts w:eastAsia="Times" w:cs="Times New Roman"/>
          <w:szCs w:val="20"/>
        </w:rPr>
        <w:t xml:space="preserve"> stakeholder feedback in interviews</w:t>
      </w:r>
      <w:r w:rsidR="00467FCC" w:rsidRPr="007B5BE6">
        <w:rPr>
          <w:rFonts w:eastAsia="Times" w:cs="Times New Roman"/>
          <w:szCs w:val="20"/>
        </w:rPr>
        <w:t>,</w:t>
      </w:r>
      <w:r w:rsidR="005C5770" w:rsidRPr="007B5BE6">
        <w:rPr>
          <w:rFonts w:eastAsia="Times" w:cs="Times New Roman"/>
          <w:szCs w:val="20"/>
        </w:rPr>
        <w:t xml:space="preserve"> and the Tasmanian context regarding other entities and bod</w:t>
      </w:r>
      <w:r w:rsidR="00467FCC" w:rsidRPr="007B5BE6">
        <w:rPr>
          <w:rFonts w:eastAsia="Times" w:cs="Times New Roman"/>
          <w:szCs w:val="20"/>
        </w:rPr>
        <w:t>ies currently</w:t>
      </w:r>
      <w:r w:rsidR="005C5770" w:rsidRPr="007B5BE6">
        <w:rPr>
          <w:rFonts w:eastAsia="Times" w:cs="Times New Roman"/>
          <w:szCs w:val="20"/>
        </w:rPr>
        <w:t xml:space="preserve"> invested with safeguarding roles and responsibilities.</w:t>
      </w:r>
    </w:p>
    <w:p w14:paraId="0400A265" w14:textId="019A659B" w:rsidR="000B1D27" w:rsidRPr="007B5BE6" w:rsidRDefault="00402101" w:rsidP="00CA402B">
      <w:pPr>
        <w:numPr>
          <w:ilvl w:val="2"/>
          <w:numId w:val="2"/>
        </w:numPr>
        <w:tabs>
          <w:tab w:val="left" w:pos="851"/>
        </w:tabs>
        <w:spacing w:before="220"/>
        <w:rPr>
          <w:rFonts w:eastAsia="Times" w:cs="Times New Roman"/>
          <w:szCs w:val="20"/>
        </w:rPr>
      </w:pPr>
      <w:r w:rsidRPr="007B5BE6">
        <w:rPr>
          <w:rFonts w:eastAsia="Times" w:cs="Times New Roman"/>
          <w:szCs w:val="20"/>
        </w:rPr>
        <w:t>Regarding</w:t>
      </w:r>
      <w:r w:rsidR="00383AF8" w:rsidRPr="007B5BE6">
        <w:rPr>
          <w:rFonts w:eastAsia="Times" w:cs="Times New Roman"/>
          <w:szCs w:val="20"/>
        </w:rPr>
        <w:t xml:space="preserve"> how the </w:t>
      </w:r>
      <w:r w:rsidR="005617F9" w:rsidRPr="007B5BE6">
        <w:rPr>
          <w:rFonts w:eastAsia="Times" w:cs="Times New Roman"/>
          <w:szCs w:val="20"/>
        </w:rPr>
        <w:t xml:space="preserve">safeguarding entity </w:t>
      </w:r>
      <w:r w:rsidR="00F57C78" w:rsidRPr="007B5BE6">
        <w:rPr>
          <w:rFonts w:eastAsia="Times" w:cs="Times New Roman"/>
          <w:szCs w:val="20"/>
        </w:rPr>
        <w:t xml:space="preserve">should be structured, </w:t>
      </w:r>
      <w:r w:rsidR="00CA402B" w:rsidRPr="007B5BE6">
        <w:rPr>
          <w:rFonts w:eastAsia="Times" w:cs="Times New Roman"/>
          <w:szCs w:val="20"/>
        </w:rPr>
        <w:t>t</w:t>
      </w:r>
      <w:r w:rsidR="00B332C4" w:rsidRPr="007B5BE6">
        <w:rPr>
          <w:rFonts w:eastAsia="Times" w:cs="Times New Roman"/>
          <w:szCs w:val="20"/>
        </w:rPr>
        <w:t xml:space="preserve">he TLRI has considered the following </w:t>
      </w:r>
      <w:r w:rsidR="00EF77D8" w:rsidRPr="007B5BE6">
        <w:rPr>
          <w:rFonts w:eastAsia="Times" w:cs="Times New Roman"/>
          <w:szCs w:val="20"/>
        </w:rPr>
        <w:t xml:space="preserve">key </w:t>
      </w:r>
      <w:r w:rsidR="008039C8" w:rsidRPr="007B5BE6">
        <w:rPr>
          <w:rFonts w:eastAsia="Times" w:cs="Times New Roman"/>
          <w:szCs w:val="20"/>
        </w:rPr>
        <w:t>approaches</w:t>
      </w:r>
      <w:r w:rsidR="000B1D27" w:rsidRPr="007B5BE6">
        <w:rPr>
          <w:rFonts w:eastAsia="Times" w:cs="Times New Roman"/>
          <w:szCs w:val="20"/>
        </w:rPr>
        <w:t xml:space="preserve">: </w:t>
      </w:r>
    </w:p>
    <w:p w14:paraId="3804DBD9" w14:textId="0CC3CE6C" w:rsidR="00A8139C" w:rsidRPr="007B5BE6" w:rsidRDefault="008039C8" w:rsidP="000B1D27">
      <w:pPr>
        <w:pStyle w:val="DotPointTLRI"/>
        <w:rPr>
          <w:rFonts w:eastAsia="Times"/>
        </w:rPr>
      </w:pPr>
      <w:r w:rsidRPr="007B5BE6">
        <w:rPr>
          <w:rFonts w:eastAsia="Times"/>
          <w:b/>
        </w:rPr>
        <w:t xml:space="preserve">Approach </w:t>
      </w:r>
      <w:r w:rsidR="00B332C4" w:rsidRPr="007B5BE6">
        <w:rPr>
          <w:rFonts w:eastAsia="Times"/>
          <w:b/>
        </w:rPr>
        <w:t>1</w:t>
      </w:r>
      <w:r w:rsidR="00B332C4" w:rsidRPr="007B5BE6">
        <w:rPr>
          <w:rFonts w:eastAsia="Times"/>
        </w:rPr>
        <w:t xml:space="preserve">: </w:t>
      </w:r>
      <w:r w:rsidR="000B1D27" w:rsidRPr="007B5BE6">
        <w:rPr>
          <w:rFonts w:eastAsia="Times"/>
        </w:rPr>
        <w:t>To create</w:t>
      </w:r>
      <w:r w:rsidR="00272AEA" w:rsidRPr="007B5BE6">
        <w:rPr>
          <w:rFonts w:eastAsia="Times"/>
        </w:rPr>
        <w:t xml:space="preserve"> </w:t>
      </w:r>
      <w:r w:rsidR="00775FE5" w:rsidRPr="007B5BE6">
        <w:rPr>
          <w:rFonts w:eastAsia="Times"/>
        </w:rPr>
        <w:t>a</w:t>
      </w:r>
      <w:r w:rsidR="0007074C" w:rsidRPr="007B5BE6">
        <w:rPr>
          <w:rFonts w:eastAsia="Times"/>
        </w:rPr>
        <w:t xml:space="preserve"> new</w:t>
      </w:r>
      <w:r w:rsidR="0090030D" w:rsidRPr="007B5BE6">
        <w:rPr>
          <w:rFonts w:eastAsia="Times"/>
        </w:rPr>
        <w:t xml:space="preserve"> </w:t>
      </w:r>
      <w:r w:rsidR="004E0ABB" w:rsidRPr="007B5BE6">
        <w:rPr>
          <w:rFonts w:eastAsia="Times"/>
        </w:rPr>
        <w:t xml:space="preserve">independent </w:t>
      </w:r>
      <w:r w:rsidR="00262E4C" w:rsidRPr="007B5BE6">
        <w:rPr>
          <w:rFonts w:eastAsia="Times"/>
        </w:rPr>
        <w:t>entity</w:t>
      </w:r>
      <w:r w:rsidR="00FB7C08" w:rsidRPr="007B5BE6">
        <w:rPr>
          <w:rFonts w:eastAsia="Times"/>
        </w:rPr>
        <w:t xml:space="preserve"> that </w:t>
      </w:r>
      <w:r w:rsidR="000A067C" w:rsidRPr="007B5BE6">
        <w:rPr>
          <w:rFonts w:eastAsia="Times"/>
        </w:rPr>
        <w:t>is established by a</w:t>
      </w:r>
      <w:r w:rsidR="00EF22EC" w:rsidRPr="007B5BE6">
        <w:rPr>
          <w:rFonts w:eastAsia="Times"/>
        </w:rPr>
        <w:t xml:space="preserve"> dedicated legislative </w:t>
      </w:r>
      <w:r w:rsidR="00262E4C" w:rsidRPr="007B5BE6">
        <w:rPr>
          <w:rFonts w:eastAsia="Times"/>
        </w:rPr>
        <w:t xml:space="preserve">framework </w:t>
      </w:r>
      <w:r w:rsidR="0025362F" w:rsidRPr="007B5BE6">
        <w:rPr>
          <w:rFonts w:eastAsia="Times"/>
        </w:rPr>
        <w:t>and</w:t>
      </w:r>
      <w:r w:rsidR="000A067C" w:rsidRPr="007B5BE6">
        <w:rPr>
          <w:rFonts w:eastAsia="Times"/>
        </w:rPr>
        <w:t xml:space="preserve"> </w:t>
      </w:r>
      <w:r w:rsidR="005745B6" w:rsidRPr="007B5BE6">
        <w:rPr>
          <w:rFonts w:eastAsia="Times"/>
        </w:rPr>
        <w:t xml:space="preserve">that </w:t>
      </w:r>
      <w:r w:rsidR="000A067C" w:rsidRPr="007B5BE6">
        <w:rPr>
          <w:rFonts w:eastAsia="Times"/>
        </w:rPr>
        <w:t xml:space="preserve">operates </w:t>
      </w:r>
      <w:r w:rsidR="00DD6812" w:rsidRPr="007B5BE6">
        <w:rPr>
          <w:rFonts w:eastAsia="Times"/>
        </w:rPr>
        <w:t xml:space="preserve">independently of </w:t>
      </w:r>
      <w:r w:rsidR="006633B5" w:rsidRPr="007B5BE6">
        <w:rPr>
          <w:rFonts w:eastAsia="Times"/>
        </w:rPr>
        <w:t xml:space="preserve">any </w:t>
      </w:r>
      <w:r w:rsidR="006F6A88" w:rsidRPr="007B5BE6">
        <w:rPr>
          <w:rFonts w:eastAsia="Times"/>
        </w:rPr>
        <w:t xml:space="preserve">existing </w:t>
      </w:r>
      <w:r w:rsidR="006633B5" w:rsidRPr="007B5BE6">
        <w:rPr>
          <w:rFonts w:eastAsia="Times"/>
        </w:rPr>
        <w:t>other agency or statutory office</w:t>
      </w:r>
      <w:r w:rsidR="00063C66" w:rsidRPr="007B5BE6">
        <w:rPr>
          <w:rFonts w:eastAsia="Times"/>
        </w:rPr>
        <w:t xml:space="preserve">. </w:t>
      </w:r>
      <w:r w:rsidR="008B60F4" w:rsidRPr="007B5BE6">
        <w:rPr>
          <w:rFonts w:eastAsia="Times"/>
        </w:rPr>
        <w:t>Th</w:t>
      </w:r>
      <w:r w:rsidR="00B742AA" w:rsidRPr="007B5BE6">
        <w:rPr>
          <w:rFonts w:eastAsia="Times"/>
        </w:rPr>
        <w:t>is is the</w:t>
      </w:r>
      <w:r w:rsidR="008B60F4" w:rsidRPr="007B5BE6">
        <w:rPr>
          <w:rFonts w:eastAsia="Times"/>
        </w:rPr>
        <w:t xml:space="preserve"> </w:t>
      </w:r>
      <w:r w:rsidR="002F5A6F" w:rsidRPr="007B5BE6">
        <w:rPr>
          <w:rFonts w:eastAsia="Times"/>
        </w:rPr>
        <w:t xml:space="preserve">approach taken in </w:t>
      </w:r>
      <w:r w:rsidR="00EC7C32" w:rsidRPr="007B5BE6">
        <w:rPr>
          <w:rFonts w:eastAsia="Times"/>
        </w:rPr>
        <w:t>NSW</w:t>
      </w:r>
      <w:r w:rsidR="00724D4A" w:rsidRPr="007B5BE6">
        <w:rPr>
          <w:rFonts w:eastAsia="Times"/>
        </w:rPr>
        <w:t>,</w:t>
      </w:r>
      <w:r w:rsidR="002F5A6F" w:rsidRPr="007B5BE6">
        <w:rPr>
          <w:rFonts w:eastAsia="Times"/>
        </w:rPr>
        <w:t xml:space="preserve"> </w:t>
      </w:r>
      <w:r w:rsidR="00EC7C32" w:rsidRPr="007B5BE6">
        <w:rPr>
          <w:rFonts w:eastAsia="Times"/>
        </w:rPr>
        <w:t xml:space="preserve">with the establishment of an independent Commissioner for Ageing and </w:t>
      </w:r>
      <w:r w:rsidR="00DF26B8" w:rsidRPr="007B5BE6">
        <w:rPr>
          <w:rFonts w:eastAsia="Times"/>
        </w:rPr>
        <w:t>Disability</w:t>
      </w:r>
      <w:r w:rsidR="00A8139C" w:rsidRPr="007B5BE6">
        <w:rPr>
          <w:rFonts w:eastAsia="Times"/>
        </w:rPr>
        <w:t xml:space="preserve">, </w:t>
      </w:r>
      <w:r w:rsidR="006F6A88" w:rsidRPr="007B5BE6">
        <w:rPr>
          <w:rFonts w:eastAsia="Times"/>
        </w:rPr>
        <w:t xml:space="preserve">and </w:t>
      </w:r>
      <w:r w:rsidR="00BB7E8D" w:rsidRPr="007B5BE6">
        <w:rPr>
          <w:rFonts w:eastAsia="Times"/>
        </w:rPr>
        <w:t>the</w:t>
      </w:r>
      <w:r w:rsidR="00102BD7" w:rsidRPr="007B5BE6">
        <w:rPr>
          <w:rFonts w:eastAsia="Times"/>
        </w:rPr>
        <w:t xml:space="preserve"> </w:t>
      </w:r>
      <w:r w:rsidR="00992314" w:rsidRPr="007B5BE6">
        <w:rPr>
          <w:rFonts w:eastAsia="Times"/>
        </w:rPr>
        <w:t xml:space="preserve">ADC (the Ageing and Disability </w:t>
      </w:r>
      <w:r w:rsidR="00102BD7" w:rsidRPr="007B5BE6">
        <w:rPr>
          <w:rFonts w:eastAsia="Times"/>
        </w:rPr>
        <w:t>Commissio</w:t>
      </w:r>
      <w:r w:rsidR="00992314" w:rsidRPr="007B5BE6">
        <w:rPr>
          <w:rFonts w:eastAsia="Times"/>
        </w:rPr>
        <w:t>n)</w:t>
      </w:r>
      <w:r w:rsidR="005745B6" w:rsidRPr="007B5BE6">
        <w:rPr>
          <w:rFonts w:eastAsia="Times"/>
        </w:rPr>
        <w:t xml:space="preserve">. </w:t>
      </w:r>
      <w:r w:rsidR="00AC4DF0" w:rsidRPr="007B5BE6">
        <w:rPr>
          <w:rFonts w:eastAsia="Times"/>
        </w:rPr>
        <w:t xml:space="preserve">Under </w:t>
      </w:r>
      <w:r w:rsidR="00646360" w:rsidRPr="007B5BE6">
        <w:rPr>
          <w:rFonts w:eastAsia="Times"/>
        </w:rPr>
        <w:t>A</w:t>
      </w:r>
      <w:r w:rsidR="00AC4DF0" w:rsidRPr="007B5BE6">
        <w:rPr>
          <w:rFonts w:eastAsia="Times"/>
        </w:rPr>
        <w:t>pproach</w:t>
      </w:r>
      <w:r w:rsidR="00646360" w:rsidRPr="007B5BE6">
        <w:rPr>
          <w:rFonts w:eastAsia="Times"/>
        </w:rPr>
        <w:t xml:space="preserve"> 1</w:t>
      </w:r>
      <w:r w:rsidR="00AC4DF0" w:rsidRPr="007B5BE6">
        <w:rPr>
          <w:rFonts w:eastAsia="Times"/>
        </w:rPr>
        <w:t xml:space="preserve">, </w:t>
      </w:r>
      <w:r w:rsidR="00C41CAA" w:rsidRPr="007B5BE6">
        <w:rPr>
          <w:rFonts w:eastAsia="Times"/>
        </w:rPr>
        <w:t xml:space="preserve">a new </w:t>
      </w:r>
      <w:r w:rsidR="00C36436" w:rsidRPr="007B5BE6">
        <w:rPr>
          <w:rFonts w:eastAsia="Times"/>
        </w:rPr>
        <w:t xml:space="preserve">statutory </w:t>
      </w:r>
      <w:r w:rsidR="00AB7ED4" w:rsidRPr="007B5BE6">
        <w:rPr>
          <w:rFonts w:eastAsia="Times"/>
        </w:rPr>
        <w:t>role (</w:t>
      </w:r>
      <w:r w:rsidR="00642E8B" w:rsidRPr="007B5BE6">
        <w:rPr>
          <w:rFonts w:eastAsia="Times"/>
        </w:rPr>
        <w:t xml:space="preserve">for example, entitled </w:t>
      </w:r>
      <w:r w:rsidR="00AB7ED4" w:rsidRPr="007B5BE6">
        <w:rPr>
          <w:rFonts w:eastAsia="Times"/>
        </w:rPr>
        <w:t xml:space="preserve">the </w:t>
      </w:r>
      <w:r w:rsidR="00FD321D" w:rsidRPr="007B5BE6">
        <w:rPr>
          <w:rFonts w:eastAsia="Times"/>
        </w:rPr>
        <w:t xml:space="preserve">Commissioner </w:t>
      </w:r>
      <w:r w:rsidR="002C3207" w:rsidRPr="007B5BE6">
        <w:rPr>
          <w:rFonts w:eastAsia="Times"/>
        </w:rPr>
        <w:t xml:space="preserve">for Older </w:t>
      </w:r>
      <w:r w:rsidR="00642E8B" w:rsidRPr="007B5BE6">
        <w:rPr>
          <w:rFonts w:eastAsia="Times"/>
        </w:rPr>
        <w:t>People</w:t>
      </w:r>
      <w:r w:rsidR="0003643F" w:rsidRPr="007B5BE6">
        <w:rPr>
          <w:rFonts w:eastAsia="Times"/>
        </w:rPr>
        <w:t>)</w:t>
      </w:r>
      <w:r w:rsidR="002C3207" w:rsidRPr="007B5BE6">
        <w:rPr>
          <w:rFonts w:eastAsia="Times"/>
        </w:rPr>
        <w:t xml:space="preserve"> </w:t>
      </w:r>
      <w:r w:rsidR="0014123C" w:rsidRPr="007B5BE6">
        <w:rPr>
          <w:rFonts w:eastAsia="Times"/>
        </w:rPr>
        <w:lastRenderedPageBreak/>
        <w:t>c</w:t>
      </w:r>
      <w:r w:rsidR="00AC4DF0" w:rsidRPr="007B5BE6">
        <w:rPr>
          <w:rFonts w:eastAsia="Times"/>
        </w:rPr>
        <w:t xml:space="preserve">ould </w:t>
      </w:r>
      <w:r w:rsidR="000335A3" w:rsidRPr="007B5BE6">
        <w:rPr>
          <w:rFonts w:eastAsia="Times"/>
        </w:rPr>
        <w:t xml:space="preserve">be created </w:t>
      </w:r>
      <w:r w:rsidR="0020378F" w:rsidRPr="007B5BE6">
        <w:rPr>
          <w:rFonts w:eastAsia="Times"/>
        </w:rPr>
        <w:t xml:space="preserve">in Tasmania </w:t>
      </w:r>
      <w:r w:rsidR="00C36436" w:rsidRPr="007B5BE6">
        <w:rPr>
          <w:rFonts w:eastAsia="Times"/>
        </w:rPr>
        <w:t>operating in its own</w:t>
      </w:r>
      <w:r w:rsidR="006E3FC8" w:rsidRPr="007B5BE6">
        <w:rPr>
          <w:rFonts w:eastAsia="Times"/>
        </w:rPr>
        <w:t xml:space="preserve"> office</w:t>
      </w:r>
      <w:r w:rsidR="00C36436" w:rsidRPr="007B5BE6">
        <w:rPr>
          <w:rFonts w:eastAsia="Times"/>
        </w:rPr>
        <w:t xml:space="preserve"> </w:t>
      </w:r>
      <w:r w:rsidR="0003643F" w:rsidRPr="007B5BE6">
        <w:rPr>
          <w:rFonts w:eastAsia="Times"/>
        </w:rPr>
        <w:t xml:space="preserve">to provide </w:t>
      </w:r>
      <w:r w:rsidR="006E3FC8" w:rsidRPr="007B5BE6">
        <w:rPr>
          <w:rFonts w:eastAsia="Times"/>
        </w:rPr>
        <w:t>a</w:t>
      </w:r>
      <w:r w:rsidR="00AC4DF0" w:rsidRPr="007B5BE6">
        <w:rPr>
          <w:rFonts w:eastAsia="Times"/>
        </w:rPr>
        <w:t xml:space="preserve"> safeguarding mechanism and services.</w:t>
      </w:r>
    </w:p>
    <w:p w14:paraId="3B828C8F" w14:textId="2C590BD0" w:rsidR="00B332C4" w:rsidRPr="007B5BE6" w:rsidRDefault="008039C8">
      <w:pPr>
        <w:pStyle w:val="DotPointTLRI"/>
        <w:rPr>
          <w:rFonts w:eastAsia="Times"/>
        </w:rPr>
      </w:pPr>
      <w:r w:rsidRPr="007B5BE6">
        <w:rPr>
          <w:rFonts w:eastAsia="Times"/>
          <w:b/>
        </w:rPr>
        <w:t xml:space="preserve">Approach </w:t>
      </w:r>
      <w:r w:rsidR="00B332C4" w:rsidRPr="007B5BE6">
        <w:rPr>
          <w:rFonts w:eastAsia="Times"/>
          <w:b/>
        </w:rPr>
        <w:t>2</w:t>
      </w:r>
      <w:r w:rsidR="00B332C4" w:rsidRPr="007B5BE6">
        <w:rPr>
          <w:rFonts w:eastAsia="Times"/>
        </w:rPr>
        <w:t xml:space="preserve">: </w:t>
      </w:r>
      <w:r w:rsidR="00BD4617" w:rsidRPr="007B5BE6">
        <w:rPr>
          <w:rFonts w:eastAsia="Times"/>
        </w:rPr>
        <w:t xml:space="preserve">To create </w:t>
      </w:r>
      <w:r w:rsidR="005547BC" w:rsidRPr="007B5BE6">
        <w:rPr>
          <w:rFonts w:eastAsia="Times"/>
        </w:rPr>
        <w:t xml:space="preserve">an independent </w:t>
      </w:r>
      <w:r w:rsidR="00513966" w:rsidRPr="007B5BE6">
        <w:rPr>
          <w:rFonts w:eastAsia="Times"/>
        </w:rPr>
        <w:t xml:space="preserve">safeguarding entity </w:t>
      </w:r>
      <w:r w:rsidR="00F532E3" w:rsidRPr="007B5BE6">
        <w:rPr>
          <w:rFonts w:eastAsia="Times"/>
        </w:rPr>
        <w:t>established by a</w:t>
      </w:r>
      <w:r w:rsidR="00EF22EC" w:rsidRPr="007B5BE6">
        <w:rPr>
          <w:rFonts w:eastAsia="Times"/>
        </w:rPr>
        <w:t xml:space="preserve"> dedicated legislative </w:t>
      </w:r>
      <w:r w:rsidR="00F532E3" w:rsidRPr="007B5BE6">
        <w:rPr>
          <w:rFonts w:eastAsia="Times"/>
        </w:rPr>
        <w:t xml:space="preserve">framework but </w:t>
      </w:r>
      <w:r w:rsidR="00796637" w:rsidRPr="007B5BE6">
        <w:rPr>
          <w:rFonts w:eastAsia="Times"/>
        </w:rPr>
        <w:t>operating</w:t>
      </w:r>
      <w:r w:rsidR="009C02D1" w:rsidRPr="007B5BE6">
        <w:rPr>
          <w:rFonts w:eastAsia="Times"/>
        </w:rPr>
        <w:t xml:space="preserve"> within an</w:t>
      </w:r>
      <w:r w:rsidR="004528E0" w:rsidRPr="007B5BE6">
        <w:rPr>
          <w:rFonts w:eastAsia="Times"/>
        </w:rPr>
        <w:t xml:space="preserve"> </w:t>
      </w:r>
      <w:r w:rsidR="00513966" w:rsidRPr="007B5BE6">
        <w:rPr>
          <w:rFonts w:eastAsia="Times"/>
        </w:rPr>
        <w:t>exist</w:t>
      </w:r>
      <w:r w:rsidR="00ED79F3" w:rsidRPr="007B5BE6">
        <w:rPr>
          <w:rFonts w:eastAsia="Times"/>
        </w:rPr>
        <w:t>ing</w:t>
      </w:r>
      <w:r w:rsidR="00DC0519" w:rsidRPr="007B5BE6">
        <w:rPr>
          <w:rFonts w:eastAsia="Times"/>
        </w:rPr>
        <w:t xml:space="preserve"> </w:t>
      </w:r>
      <w:r w:rsidR="007D1383" w:rsidRPr="007B5BE6">
        <w:rPr>
          <w:rFonts w:eastAsia="Times"/>
        </w:rPr>
        <w:t xml:space="preserve">government </w:t>
      </w:r>
      <w:r w:rsidR="00325B1A" w:rsidRPr="007B5BE6">
        <w:rPr>
          <w:rFonts w:eastAsia="Times"/>
        </w:rPr>
        <w:t>agency or office</w:t>
      </w:r>
      <w:r w:rsidR="007D1383" w:rsidRPr="007B5BE6">
        <w:rPr>
          <w:rFonts w:eastAsia="Times"/>
        </w:rPr>
        <w:t>. Th</w:t>
      </w:r>
      <w:r w:rsidR="00796637" w:rsidRPr="007B5BE6">
        <w:rPr>
          <w:rFonts w:eastAsia="Times"/>
        </w:rPr>
        <w:t>is is the</w:t>
      </w:r>
      <w:r w:rsidR="007D1383" w:rsidRPr="007B5BE6">
        <w:rPr>
          <w:rFonts w:eastAsia="Times"/>
        </w:rPr>
        <w:t xml:space="preserve"> approach taken in </w:t>
      </w:r>
      <w:r w:rsidR="00B742AA" w:rsidRPr="007B5BE6">
        <w:rPr>
          <w:rFonts w:eastAsia="Times"/>
        </w:rPr>
        <w:t>SA, with the establishment of the ASU (</w:t>
      </w:r>
      <w:r w:rsidR="004D1375" w:rsidRPr="007B5BE6">
        <w:rPr>
          <w:rFonts w:eastAsia="Times"/>
        </w:rPr>
        <w:t>Adult Safeguarding Unit</w:t>
      </w:r>
      <w:r w:rsidR="00B742AA" w:rsidRPr="007B5BE6">
        <w:rPr>
          <w:rFonts w:eastAsia="Times"/>
        </w:rPr>
        <w:t>)</w:t>
      </w:r>
      <w:r w:rsidR="009A5EF7" w:rsidRPr="007B5BE6">
        <w:rPr>
          <w:rFonts w:eastAsia="Times"/>
        </w:rPr>
        <w:t xml:space="preserve"> </w:t>
      </w:r>
      <w:r w:rsidR="00B742AA" w:rsidRPr="007B5BE6">
        <w:rPr>
          <w:rFonts w:eastAsia="Times"/>
        </w:rPr>
        <w:t>that</w:t>
      </w:r>
      <w:r w:rsidR="009A5EF7" w:rsidRPr="007B5BE6">
        <w:rPr>
          <w:rFonts w:eastAsia="Times"/>
        </w:rPr>
        <w:t xml:space="preserve"> </w:t>
      </w:r>
      <w:r w:rsidR="004D1375" w:rsidRPr="007B5BE6">
        <w:rPr>
          <w:rFonts w:eastAsia="Times"/>
        </w:rPr>
        <w:t xml:space="preserve">operates </w:t>
      </w:r>
      <w:r w:rsidR="00FB020A" w:rsidRPr="007B5BE6">
        <w:rPr>
          <w:rFonts w:eastAsia="Times"/>
        </w:rPr>
        <w:t xml:space="preserve">as an </w:t>
      </w:r>
      <w:r w:rsidR="00304ABC" w:rsidRPr="007B5BE6">
        <w:rPr>
          <w:rFonts w:eastAsia="Times"/>
        </w:rPr>
        <w:t xml:space="preserve">independent unit </w:t>
      </w:r>
      <w:r w:rsidR="002962C4" w:rsidRPr="007B5BE6">
        <w:rPr>
          <w:rFonts w:eastAsia="Times"/>
        </w:rPr>
        <w:t xml:space="preserve">within </w:t>
      </w:r>
      <w:r w:rsidR="004D2007" w:rsidRPr="007B5BE6">
        <w:rPr>
          <w:rFonts w:eastAsia="Times"/>
        </w:rPr>
        <w:t xml:space="preserve">the Office for Ageing Well in </w:t>
      </w:r>
      <w:r w:rsidR="00B62E0B" w:rsidRPr="007B5BE6">
        <w:rPr>
          <w:rFonts w:eastAsia="Times"/>
        </w:rPr>
        <w:t>the Department of Human Services (</w:t>
      </w:r>
      <w:r w:rsidR="004D2007" w:rsidRPr="007B5BE6">
        <w:rPr>
          <w:rFonts w:eastAsia="Times"/>
        </w:rPr>
        <w:t>formerly in the Department of Health and Wellbeing)</w:t>
      </w:r>
      <w:r w:rsidR="00F12EBD" w:rsidRPr="007B5BE6">
        <w:rPr>
          <w:rFonts w:eastAsia="Times"/>
        </w:rPr>
        <w:t xml:space="preserve">. </w:t>
      </w:r>
      <w:r w:rsidR="00770C5C" w:rsidRPr="007B5BE6">
        <w:rPr>
          <w:rFonts w:eastAsia="Times"/>
        </w:rPr>
        <w:t xml:space="preserve"> </w:t>
      </w:r>
      <w:r w:rsidR="002C0470" w:rsidRPr="007B5BE6">
        <w:rPr>
          <w:rFonts w:eastAsia="Times"/>
        </w:rPr>
        <w:t>Th</w:t>
      </w:r>
      <w:r w:rsidR="00646360" w:rsidRPr="007B5BE6">
        <w:rPr>
          <w:rFonts w:eastAsia="Times"/>
        </w:rPr>
        <w:t xml:space="preserve">e </w:t>
      </w:r>
      <w:r w:rsidR="00B742AA" w:rsidRPr="007B5BE6">
        <w:rPr>
          <w:rFonts w:eastAsia="Times"/>
        </w:rPr>
        <w:t>ACT</w:t>
      </w:r>
      <w:r w:rsidR="00646360" w:rsidRPr="007B5BE6">
        <w:rPr>
          <w:rFonts w:eastAsia="Times"/>
        </w:rPr>
        <w:t xml:space="preserve"> </w:t>
      </w:r>
      <w:r w:rsidR="002C0470" w:rsidRPr="007B5BE6">
        <w:rPr>
          <w:rFonts w:eastAsia="Times"/>
        </w:rPr>
        <w:t>has a</w:t>
      </w:r>
      <w:r w:rsidR="007F4A9D" w:rsidRPr="007B5BE6">
        <w:rPr>
          <w:rFonts w:eastAsia="Times"/>
        </w:rPr>
        <w:t xml:space="preserve"> Human Rights Commission with various Commissioner roles established in different areas for people to raise concerns or receive complaints, including older people, human rights, </w:t>
      </w:r>
      <w:r w:rsidR="00B27E52" w:rsidRPr="007B5BE6">
        <w:rPr>
          <w:rFonts w:eastAsia="Times"/>
        </w:rPr>
        <w:t xml:space="preserve">disability and community services </w:t>
      </w:r>
      <w:r w:rsidR="00850A17" w:rsidRPr="007B5BE6">
        <w:rPr>
          <w:rFonts w:eastAsia="Times"/>
        </w:rPr>
        <w:t>and health services.</w:t>
      </w:r>
      <w:r w:rsidR="007F4A9D" w:rsidRPr="007B5BE6">
        <w:rPr>
          <w:rFonts w:eastAsia="Times"/>
        </w:rPr>
        <w:t xml:space="preserve"> </w:t>
      </w:r>
      <w:r w:rsidR="006E3FC8" w:rsidRPr="007B5BE6">
        <w:rPr>
          <w:rFonts w:eastAsia="Times"/>
        </w:rPr>
        <w:t xml:space="preserve">Under </w:t>
      </w:r>
      <w:r w:rsidR="00646360" w:rsidRPr="007B5BE6">
        <w:rPr>
          <w:rFonts w:eastAsia="Times"/>
        </w:rPr>
        <w:t>A</w:t>
      </w:r>
      <w:r w:rsidR="006E3FC8" w:rsidRPr="007B5BE6">
        <w:rPr>
          <w:rFonts w:eastAsia="Times"/>
        </w:rPr>
        <w:t>pproach</w:t>
      </w:r>
      <w:r w:rsidR="00646360" w:rsidRPr="007B5BE6">
        <w:rPr>
          <w:rFonts w:eastAsia="Times"/>
        </w:rPr>
        <w:t xml:space="preserve"> 2, </w:t>
      </w:r>
      <w:r w:rsidR="00850A17" w:rsidRPr="007B5BE6">
        <w:rPr>
          <w:rFonts w:eastAsia="Times"/>
        </w:rPr>
        <w:t>a</w:t>
      </w:r>
      <w:r w:rsidR="00BC36B2" w:rsidRPr="007B5BE6">
        <w:rPr>
          <w:rFonts w:eastAsia="Times"/>
        </w:rPr>
        <w:t xml:space="preserve">n independent entity </w:t>
      </w:r>
      <w:r w:rsidR="00DB1DDF" w:rsidRPr="007B5BE6">
        <w:rPr>
          <w:rFonts w:eastAsia="Times"/>
        </w:rPr>
        <w:t xml:space="preserve">focused on older people </w:t>
      </w:r>
      <w:r w:rsidR="00BC36B2" w:rsidRPr="007B5BE6">
        <w:rPr>
          <w:rFonts w:eastAsia="Times"/>
        </w:rPr>
        <w:t xml:space="preserve">could be created in an </w:t>
      </w:r>
      <w:r w:rsidR="00796637" w:rsidRPr="007B5BE6">
        <w:rPr>
          <w:rFonts w:eastAsia="Times"/>
        </w:rPr>
        <w:t xml:space="preserve">existing Tasmanian </w:t>
      </w:r>
      <w:r w:rsidR="00BC36B2" w:rsidRPr="007B5BE6">
        <w:rPr>
          <w:rFonts w:eastAsia="Times"/>
        </w:rPr>
        <w:t>agency or office</w:t>
      </w:r>
      <w:r w:rsidR="00DB1DDF" w:rsidRPr="007B5BE6">
        <w:rPr>
          <w:rFonts w:eastAsia="Times"/>
        </w:rPr>
        <w:t xml:space="preserve"> or a</w:t>
      </w:r>
      <w:r w:rsidR="0003643F" w:rsidRPr="007B5BE6">
        <w:rPr>
          <w:rFonts w:eastAsia="Times"/>
        </w:rPr>
        <w:t>n existing statutory role</w:t>
      </w:r>
      <w:r w:rsidR="00796637" w:rsidRPr="007B5BE6">
        <w:rPr>
          <w:rFonts w:eastAsia="Times"/>
        </w:rPr>
        <w:t xml:space="preserve">, </w:t>
      </w:r>
      <w:r w:rsidR="00C32A3B" w:rsidRPr="007B5BE6">
        <w:rPr>
          <w:rFonts w:eastAsia="Times"/>
        </w:rPr>
        <w:t>which</w:t>
      </w:r>
      <w:r w:rsidR="0003643F" w:rsidRPr="007B5BE6">
        <w:rPr>
          <w:rFonts w:eastAsia="Times"/>
        </w:rPr>
        <w:t xml:space="preserve"> could be expanded </w:t>
      </w:r>
      <w:r w:rsidR="00DB1DDF" w:rsidRPr="007B5BE6">
        <w:rPr>
          <w:rFonts w:eastAsia="Times"/>
        </w:rPr>
        <w:t xml:space="preserve">to include </w:t>
      </w:r>
      <w:r w:rsidR="00796637" w:rsidRPr="007B5BE6">
        <w:rPr>
          <w:rFonts w:eastAsia="Times"/>
        </w:rPr>
        <w:t>safeguarding of</w:t>
      </w:r>
      <w:r w:rsidR="00DB1DDF" w:rsidRPr="007B5BE6">
        <w:rPr>
          <w:rFonts w:eastAsia="Times"/>
        </w:rPr>
        <w:t xml:space="preserve"> older people</w:t>
      </w:r>
      <w:r w:rsidR="00F12EBD" w:rsidRPr="007B5BE6">
        <w:rPr>
          <w:rFonts w:eastAsia="Times"/>
        </w:rPr>
        <w:t>.</w:t>
      </w:r>
    </w:p>
    <w:p w14:paraId="58BC5581" w14:textId="7A24C373" w:rsidR="00272AEA" w:rsidRPr="007B5BE6" w:rsidRDefault="00F72283" w:rsidP="0015079E">
      <w:pPr>
        <w:tabs>
          <w:tab w:val="left" w:pos="851"/>
        </w:tabs>
        <w:spacing w:before="220"/>
      </w:pPr>
      <w:r w:rsidRPr="007B5BE6">
        <w:rPr>
          <w:rFonts w:eastAsia="Times" w:cs="Times New Roman"/>
          <w:szCs w:val="20"/>
        </w:rPr>
        <w:t xml:space="preserve">The </w:t>
      </w:r>
      <w:r w:rsidRPr="007B5BE6">
        <w:t>TLRI’s preferred approach</w:t>
      </w:r>
      <w:r w:rsidR="00C159FC" w:rsidRPr="007B5BE6">
        <w:t>—</w:t>
      </w:r>
      <w:r w:rsidR="002C60AA" w:rsidRPr="007B5BE6">
        <w:t xml:space="preserve">informed by consideration </w:t>
      </w:r>
      <w:r w:rsidR="00E02183" w:rsidRPr="007B5BE6">
        <w:t xml:space="preserve">of </w:t>
      </w:r>
      <w:r w:rsidR="00E55FB6" w:rsidRPr="007B5BE6">
        <w:t xml:space="preserve">these </w:t>
      </w:r>
      <w:r w:rsidR="00C159FC" w:rsidRPr="007B5BE6">
        <w:t xml:space="preserve">two </w:t>
      </w:r>
      <w:r w:rsidR="00E55FB6" w:rsidRPr="007B5BE6">
        <w:t>approaches</w:t>
      </w:r>
      <w:r w:rsidR="00EB3614" w:rsidRPr="007B5BE6">
        <w:t>,</w:t>
      </w:r>
      <w:r w:rsidR="00542C03" w:rsidRPr="007B5BE6">
        <w:t xml:space="preserve"> </w:t>
      </w:r>
      <w:r w:rsidR="00E02183" w:rsidRPr="007B5BE6">
        <w:rPr>
          <w:rFonts w:eastAsia="Times" w:cs="Times New Roman"/>
          <w:szCs w:val="20"/>
        </w:rPr>
        <w:t xml:space="preserve">stakeholder </w:t>
      </w:r>
      <w:r w:rsidR="00141F1F" w:rsidRPr="007B5BE6">
        <w:rPr>
          <w:rFonts w:eastAsia="Times" w:cs="Times New Roman"/>
          <w:szCs w:val="20"/>
        </w:rPr>
        <w:t>feedback</w:t>
      </w:r>
      <w:r w:rsidR="00EB3614" w:rsidRPr="007B5BE6">
        <w:rPr>
          <w:rFonts w:eastAsia="Times" w:cs="Times New Roman"/>
          <w:szCs w:val="20"/>
        </w:rPr>
        <w:t xml:space="preserve"> and </w:t>
      </w:r>
      <w:r w:rsidR="00141F1F" w:rsidRPr="007B5BE6">
        <w:rPr>
          <w:rFonts w:eastAsia="Times" w:cs="Times New Roman"/>
          <w:szCs w:val="20"/>
        </w:rPr>
        <w:t xml:space="preserve">the </w:t>
      </w:r>
      <w:r w:rsidR="00F239F6" w:rsidRPr="007B5BE6">
        <w:rPr>
          <w:rFonts w:eastAsia="Times" w:cs="Times New Roman"/>
          <w:szCs w:val="20"/>
        </w:rPr>
        <w:t xml:space="preserve">existing </w:t>
      </w:r>
      <w:r w:rsidR="00386152" w:rsidRPr="007B5BE6">
        <w:rPr>
          <w:rFonts w:eastAsia="Times" w:cs="Times New Roman"/>
          <w:szCs w:val="20"/>
        </w:rPr>
        <w:t>safeguarding mechanisms</w:t>
      </w:r>
      <w:r w:rsidR="00141F1F" w:rsidRPr="007B5BE6">
        <w:rPr>
          <w:rFonts w:eastAsia="Times" w:cs="Times New Roman"/>
          <w:szCs w:val="20"/>
        </w:rPr>
        <w:t xml:space="preserve"> in Tasmani</w:t>
      </w:r>
      <w:r w:rsidR="00C159FC" w:rsidRPr="007B5BE6">
        <w:rPr>
          <w:rFonts w:eastAsia="Times" w:cs="Times New Roman"/>
          <w:szCs w:val="20"/>
        </w:rPr>
        <w:t xml:space="preserve">a—is </w:t>
      </w:r>
      <w:r w:rsidR="0096702F" w:rsidRPr="007B5BE6">
        <w:t xml:space="preserve">to </w:t>
      </w:r>
      <w:r w:rsidR="00386152" w:rsidRPr="007B5BE6">
        <w:t>establish</w:t>
      </w:r>
      <w:r w:rsidR="0096702F" w:rsidRPr="007B5BE6">
        <w:t xml:space="preserve"> an independent statutory </w:t>
      </w:r>
      <w:r w:rsidR="005964B5" w:rsidRPr="007B5BE6">
        <w:t xml:space="preserve">Commissioner </w:t>
      </w:r>
      <w:r w:rsidR="0096702F" w:rsidRPr="007B5BE6">
        <w:t>role</w:t>
      </w:r>
      <w:r w:rsidR="00134840" w:rsidRPr="007B5BE6">
        <w:t xml:space="preserve"> </w:t>
      </w:r>
      <w:r w:rsidR="00134840" w:rsidRPr="007B5BE6">
        <w:rPr>
          <w:rFonts w:eastAsia="Times" w:cs="Times New Roman"/>
          <w:szCs w:val="20"/>
        </w:rPr>
        <w:t>(as exists in NSW)</w:t>
      </w:r>
      <w:r w:rsidR="00466644" w:rsidRPr="007B5BE6">
        <w:rPr>
          <w:rFonts w:eastAsia="Times" w:cs="Times New Roman"/>
          <w:szCs w:val="20"/>
        </w:rPr>
        <w:t>,</w:t>
      </w:r>
      <w:r w:rsidR="00134840" w:rsidRPr="007B5BE6">
        <w:rPr>
          <w:rFonts w:eastAsia="Times" w:cs="Times New Roman"/>
          <w:szCs w:val="20"/>
        </w:rPr>
        <w:t xml:space="preserve"> rather than an independent statutory unit within a government agency</w:t>
      </w:r>
      <w:r w:rsidR="00386152" w:rsidRPr="007B5BE6">
        <w:rPr>
          <w:rFonts w:eastAsia="Times" w:cs="Times New Roman"/>
          <w:szCs w:val="20"/>
        </w:rPr>
        <w:t xml:space="preserve"> (</w:t>
      </w:r>
      <w:r w:rsidR="00134840" w:rsidRPr="007B5BE6">
        <w:rPr>
          <w:rFonts w:eastAsia="Times" w:cs="Times New Roman"/>
          <w:szCs w:val="20"/>
        </w:rPr>
        <w:t xml:space="preserve">as exists in </w:t>
      </w:r>
      <w:r w:rsidR="0014054E" w:rsidRPr="007B5BE6">
        <w:rPr>
          <w:rFonts w:eastAsia="Times" w:cs="Times New Roman"/>
          <w:szCs w:val="20"/>
        </w:rPr>
        <w:t>SA</w:t>
      </w:r>
      <w:r w:rsidR="00386152" w:rsidRPr="007B5BE6">
        <w:rPr>
          <w:rFonts w:eastAsia="Times" w:cs="Times New Roman"/>
          <w:szCs w:val="20"/>
        </w:rPr>
        <w:t>)</w:t>
      </w:r>
      <w:r w:rsidR="00134840" w:rsidRPr="007B5BE6">
        <w:rPr>
          <w:rFonts w:eastAsia="Times" w:cs="Times New Roman"/>
          <w:szCs w:val="20"/>
        </w:rPr>
        <w:t>.</w:t>
      </w:r>
      <w:r w:rsidR="00134840" w:rsidRPr="007B5BE6">
        <w:rPr>
          <w:rStyle w:val="FootnoteReference"/>
          <w:rFonts w:eastAsia="Times"/>
        </w:rPr>
        <w:footnoteReference w:id="567"/>
      </w:r>
      <w:r w:rsidR="00134840" w:rsidRPr="007B5BE6">
        <w:rPr>
          <w:rFonts w:eastAsia="Times"/>
        </w:rPr>
        <w:t xml:space="preserve"> </w:t>
      </w:r>
      <w:r w:rsidR="00134840" w:rsidRPr="007B5BE6">
        <w:rPr>
          <w:rFonts w:eastAsia="Times" w:cs="Times New Roman"/>
          <w:szCs w:val="20"/>
        </w:rPr>
        <w:t xml:space="preserve">The TLRI’s view is that the Commissioner </w:t>
      </w:r>
      <w:r w:rsidR="00384211" w:rsidRPr="007B5BE6">
        <w:rPr>
          <w:rFonts w:eastAsia="Times" w:cs="Times New Roman"/>
          <w:szCs w:val="20"/>
        </w:rPr>
        <w:t>should</w:t>
      </w:r>
      <w:r w:rsidR="00E55FB6" w:rsidRPr="007B5BE6">
        <w:rPr>
          <w:rFonts w:eastAsia="Times" w:cs="Times New Roman"/>
          <w:szCs w:val="20"/>
        </w:rPr>
        <w:t xml:space="preserve"> </w:t>
      </w:r>
      <w:r w:rsidR="0096702F" w:rsidRPr="007B5BE6">
        <w:t xml:space="preserve">operate independently of </w:t>
      </w:r>
      <w:r w:rsidR="00D6411A" w:rsidRPr="007B5BE6">
        <w:t xml:space="preserve">any government agency and </w:t>
      </w:r>
      <w:r w:rsidR="00384211" w:rsidRPr="007B5BE6">
        <w:t>should have</w:t>
      </w:r>
      <w:r w:rsidR="009E4B99" w:rsidRPr="007B5BE6">
        <w:t xml:space="preserve"> its own d</w:t>
      </w:r>
      <w:r w:rsidR="00D6411A" w:rsidRPr="007B5BE6">
        <w:t xml:space="preserve">edicated legislative framework that focuses on </w:t>
      </w:r>
      <w:r w:rsidR="00233A56" w:rsidRPr="007B5BE6">
        <w:t xml:space="preserve">the safeguarding needs of </w:t>
      </w:r>
      <w:r w:rsidR="00D6411A" w:rsidRPr="007B5BE6">
        <w:t>older people</w:t>
      </w:r>
      <w:r w:rsidR="00233A56" w:rsidRPr="007B5BE6">
        <w:t>.</w:t>
      </w:r>
      <w:r w:rsidR="001645EB" w:rsidRPr="007B5BE6">
        <w:rPr>
          <w:rFonts w:eastAsia="Times" w:cs="Times New Roman"/>
          <w:szCs w:val="20"/>
        </w:rPr>
        <w:t xml:space="preserve"> </w:t>
      </w:r>
      <w:r w:rsidR="001645EB" w:rsidRPr="007B5BE6">
        <w:t xml:space="preserve">However, </w:t>
      </w:r>
      <w:r w:rsidR="005964B5" w:rsidRPr="007B5BE6">
        <w:t>th</w:t>
      </w:r>
      <w:r w:rsidR="00913791" w:rsidRPr="007B5BE6">
        <w:t xml:space="preserve">e TLRI </w:t>
      </w:r>
      <w:r w:rsidR="00F27EBD" w:rsidRPr="007B5BE6">
        <w:t xml:space="preserve">supports an </w:t>
      </w:r>
      <w:r w:rsidR="009E4B99" w:rsidRPr="007B5BE6">
        <w:t>approach</w:t>
      </w:r>
      <w:r w:rsidR="00CB7AD6" w:rsidRPr="007B5BE6">
        <w:t xml:space="preserve"> to developing this independent role</w:t>
      </w:r>
      <w:r w:rsidR="009E4B99" w:rsidRPr="007B5BE6">
        <w:t xml:space="preserve"> </w:t>
      </w:r>
      <w:r w:rsidR="00233A56" w:rsidRPr="007B5BE6">
        <w:t>that</w:t>
      </w:r>
      <w:r w:rsidR="00EE5E59" w:rsidRPr="007B5BE6">
        <w:t xml:space="preserve"> </w:t>
      </w:r>
      <w:r w:rsidR="00EE2D23" w:rsidRPr="007B5BE6">
        <w:t xml:space="preserve">would </w:t>
      </w:r>
      <w:r w:rsidR="00233A56" w:rsidRPr="007B5BE6">
        <w:t xml:space="preserve">align </w:t>
      </w:r>
      <w:r w:rsidR="00264AAD" w:rsidRPr="007B5BE6">
        <w:t>th</w:t>
      </w:r>
      <w:r w:rsidR="00F27EBD" w:rsidRPr="007B5BE6">
        <w:t>e powers and func</w:t>
      </w:r>
      <w:r w:rsidR="00201B59" w:rsidRPr="007B5BE6">
        <w:t>tions</w:t>
      </w:r>
      <w:r w:rsidR="00264AAD" w:rsidRPr="007B5BE6">
        <w:t xml:space="preserve"> of the </w:t>
      </w:r>
      <w:r w:rsidR="00994DB1" w:rsidRPr="007B5BE6">
        <w:t>Commissioner</w:t>
      </w:r>
      <w:r w:rsidR="00386152" w:rsidRPr="007B5BE6">
        <w:t xml:space="preserve"> for Older </w:t>
      </w:r>
      <w:r w:rsidR="001335E8" w:rsidRPr="007B5BE6">
        <w:t>People</w:t>
      </w:r>
      <w:r w:rsidR="00386152" w:rsidRPr="007B5BE6">
        <w:t xml:space="preserve"> </w:t>
      </w:r>
      <w:r w:rsidR="00233A56" w:rsidRPr="007B5BE6">
        <w:t>with</w:t>
      </w:r>
      <w:r w:rsidR="00EE5E59" w:rsidRPr="007B5BE6">
        <w:t xml:space="preserve"> </w:t>
      </w:r>
      <w:r w:rsidR="00264AAD" w:rsidRPr="007B5BE6">
        <w:t>th</w:t>
      </w:r>
      <w:r w:rsidR="00F27EBD" w:rsidRPr="007B5BE6">
        <w:t>e powers and func</w:t>
      </w:r>
      <w:r w:rsidR="00201B59" w:rsidRPr="007B5BE6">
        <w:t xml:space="preserve">tions </w:t>
      </w:r>
      <w:r w:rsidR="00264AAD" w:rsidRPr="007B5BE6">
        <w:t>of the</w:t>
      </w:r>
      <w:r w:rsidR="00272AEA" w:rsidRPr="007B5BE6">
        <w:t xml:space="preserve"> Disability Commissioner</w:t>
      </w:r>
      <w:r w:rsidR="00721937" w:rsidRPr="007B5BE6">
        <w:t xml:space="preserve"> Tasmania</w:t>
      </w:r>
      <w:r w:rsidR="00CB7AD6" w:rsidRPr="007B5BE6">
        <w:t xml:space="preserve">. </w:t>
      </w:r>
      <w:r w:rsidR="00E714C3" w:rsidRPr="007B5BE6">
        <w:t xml:space="preserve">The reasons for this are as </w:t>
      </w:r>
      <w:r w:rsidR="003E75E0" w:rsidRPr="007B5BE6">
        <w:t>follows:</w:t>
      </w:r>
    </w:p>
    <w:p w14:paraId="6F841B7C" w14:textId="1B7B9276" w:rsidR="00AA6E2C" w:rsidRPr="007B5BE6" w:rsidRDefault="005411A9" w:rsidP="0025451F">
      <w:pPr>
        <w:pStyle w:val="ListParagraph"/>
        <w:numPr>
          <w:ilvl w:val="0"/>
          <w:numId w:val="14"/>
        </w:numPr>
        <w:spacing w:after="120"/>
        <w:rPr>
          <w:rFonts w:eastAsia="Times New Roman" w:cs="Times New Roman"/>
        </w:rPr>
      </w:pPr>
      <w:r w:rsidRPr="007B5BE6">
        <w:rPr>
          <w:rFonts w:eastAsia="Times New Roman" w:cs="Times New Roman"/>
        </w:rPr>
        <w:t>Aligning</w:t>
      </w:r>
      <w:r w:rsidR="00D91E39" w:rsidRPr="007B5BE6">
        <w:rPr>
          <w:rFonts w:eastAsia="Times New Roman" w:cs="Times New Roman"/>
        </w:rPr>
        <w:t xml:space="preserve"> the role of the Commissioner for Older </w:t>
      </w:r>
      <w:r w:rsidR="001335E8" w:rsidRPr="007B5BE6">
        <w:rPr>
          <w:rFonts w:eastAsia="Times New Roman" w:cs="Times New Roman"/>
        </w:rPr>
        <w:t>People</w:t>
      </w:r>
      <w:r w:rsidR="00D91E39" w:rsidRPr="007B5BE6">
        <w:rPr>
          <w:rFonts w:eastAsia="Times New Roman" w:cs="Times New Roman"/>
        </w:rPr>
        <w:t xml:space="preserve"> </w:t>
      </w:r>
      <w:r w:rsidRPr="007B5BE6">
        <w:rPr>
          <w:rFonts w:eastAsia="Times New Roman" w:cs="Times New Roman"/>
        </w:rPr>
        <w:t>with</w:t>
      </w:r>
      <w:r w:rsidR="00D91E39" w:rsidRPr="007B5BE6">
        <w:rPr>
          <w:rFonts w:eastAsia="Times New Roman" w:cs="Times New Roman"/>
        </w:rPr>
        <w:t xml:space="preserve"> that of the </w:t>
      </w:r>
      <w:r w:rsidR="00272AEA" w:rsidRPr="007B5BE6">
        <w:rPr>
          <w:rFonts w:eastAsia="Times New Roman" w:cs="Times New Roman"/>
        </w:rPr>
        <w:t>Disability Commissioner role</w:t>
      </w:r>
      <w:r w:rsidR="004F52F7" w:rsidRPr="007B5BE6">
        <w:rPr>
          <w:rFonts w:eastAsia="Times New Roman" w:cs="Times New Roman"/>
        </w:rPr>
        <w:t xml:space="preserve">, </w:t>
      </w:r>
      <w:r w:rsidR="002F4FFF" w:rsidRPr="007B5BE6">
        <w:rPr>
          <w:rFonts w:eastAsia="Times New Roman" w:cs="Times New Roman"/>
        </w:rPr>
        <w:t xml:space="preserve">by </w:t>
      </w:r>
      <w:r w:rsidR="0060436C" w:rsidRPr="007B5BE6">
        <w:rPr>
          <w:rFonts w:eastAsia="Times New Roman" w:cs="Times New Roman"/>
        </w:rPr>
        <w:t xml:space="preserve">modelling </w:t>
      </w:r>
      <w:r w:rsidR="00C30A53" w:rsidRPr="007B5BE6">
        <w:rPr>
          <w:rFonts w:eastAsia="Times New Roman" w:cs="Times New Roman"/>
        </w:rPr>
        <w:t xml:space="preserve">the Commissioner for Older People’s </w:t>
      </w:r>
      <w:r w:rsidR="00272AEA" w:rsidRPr="007B5BE6">
        <w:rPr>
          <w:rFonts w:eastAsia="Times New Roman" w:cs="Times New Roman"/>
        </w:rPr>
        <w:t xml:space="preserve">safeguarding </w:t>
      </w:r>
      <w:r w:rsidR="00F72A8A" w:rsidRPr="007B5BE6">
        <w:rPr>
          <w:rFonts w:eastAsia="Times New Roman" w:cs="Times New Roman"/>
        </w:rPr>
        <w:t xml:space="preserve">powers and </w:t>
      </w:r>
      <w:r w:rsidR="00272AEA" w:rsidRPr="007B5BE6">
        <w:rPr>
          <w:rFonts w:eastAsia="Times New Roman" w:cs="Times New Roman"/>
        </w:rPr>
        <w:t xml:space="preserve">functions </w:t>
      </w:r>
      <w:r w:rsidR="00F72A8A" w:rsidRPr="007B5BE6">
        <w:rPr>
          <w:rFonts w:eastAsia="Times New Roman" w:cs="Times New Roman"/>
        </w:rPr>
        <w:t>on those of the Disability Commissioner</w:t>
      </w:r>
      <w:r w:rsidR="004F52F7" w:rsidRPr="007B5BE6">
        <w:rPr>
          <w:rFonts w:eastAsia="Times New Roman" w:cs="Times New Roman"/>
        </w:rPr>
        <w:t>,</w:t>
      </w:r>
      <w:r w:rsidR="00F72A8A" w:rsidRPr="007B5BE6">
        <w:rPr>
          <w:rFonts w:eastAsia="Times New Roman" w:cs="Times New Roman"/>
        </w:rPr>
        <w:t xml:space="preserve"> </w:t>
      </w:r>
      <w:r w:rsidR="00D91E39" w:rsidRPr="007B5BE6">
        <w:rPr>
          <w:rFonts w:eastAsia="Times New Roman" w:cs="Times New Roman"/>
        </w:rPr>
        <w:t>follows the</w:t>
      </w:r>
      <w:r w:rsidR="00272AEA" w:rsidRPr="007B5BE6">
        <w:rPr>
          <w:rFonts w:eastAsia="Times New Roman" w:cs="Times New Roman"/>
        </w:rPr>
        <w:t xml:space="preserve"> rights-based approach expressed in the </w:t>
      </w:r>
      <w:r w:rsidR="00272AEA" w:rsidRPr="007B5BE6">
        <w:rPr>
          <w:rFonts w:eastAsia="Times New Roman" w:cs="Times New Roman"/>
          <w:i/>
          <w:iCs/>
        </w:rPr>
        <w:t>Disability Rights, Inclusion and Safeguarding Act 2024</w:t>
      </w:r>
      <w:r w:rsidR="00272AEA" w:rsidRPr="007B5BE6">
        <w:rPr>
          <w:rFonts w:eastAsia="Times New Roman" w:cs="Times New Roman"/>
        </w:rPr>
        <w:t xml:space="preserve"> (Tas).</w:t>
      </w:r>
      <w:r w:rsidR="00D91E39" w:rsidRPr="007B5BE6">
        <w:rPr>
          <w:rFonts w:eastAsia="Times New Roman" w:cs="Times New Roman"/>
        </w:rPr>
        <w:t xml:space="preserve"> </w:t>
      </w:r>
      <w:r w:rsidR="00272AEA" w:rsidRPr="007B5BE6">
        <w:rPr>
          <w:rFonts w:eastAsia="Times New Roman" w:cs="Times New Roman"/>
        </w:rPr>
        <w:t>This reflects the significant national and Tasmanian review work that has recommended an</w:t>
      </w:r>
      <w:r w:rsidR="004F52F7" w:rsidRPr="007B5BE6">
        <w:rPr>
          <w:rFonts w:eastAsia="Times New Roman" w:cs="Times New Roman"/>
        </w:rPr>
        <w:t>d</w:t>
      </w:r>
      <w:r w:rsidR="00272AEA" w:rsidRPr="007B5BE6">
        <w:rPr>
          <w:rFonts w:eastAsia="Times New Roman" w:cs="Times New Roman"/>
        </w:rPr>
        <w:t xml:space="preserve"> established a right</w:t>
      </w:r>
      <w:r w:rsidR="004F52F7" w:rsidRPr="007B5BE6">
        <w:rPr>
          <w:rFonts w:eastAsia="Times New Roman" w:cs="Times New Roman"/>
        </w:rPr>
        <w:t>s</w:t>
      </w:r>
      <w:r w:rsidR="00272AEA" w:rsidRPr="007B5BE6">
        <w:rPr>
          <w:rFonts w:eastAsia="Times New Roman" w:cs="Times New Roman"/>
        </w:rPr>
        <w:t>-based approach for people with disability</w:t>
      </w:r>
      <w:r w:rsidR="005C75CE" w:rsidRPr="007B5BE6">
        <w:rPr>
          <w:rFonts w:eastAsia="Times New Roman" w:cs="Times New Roman"/>
        </w:rPr>
        <w:t>,</w:t>
      </w:r>
      <w:r w:rsidR="00272AEA" w:rsidRPr="007B5BE6">
        <w:rPr>
          <w:rFonts w:eastAsia="Times New Roman" w:cs="Times New Roman"/>
        </w:rPr>
        <w:t xml:space="preserve"> to promote equal recognition, inclusion and protection of rights under the law. The role also reflects international human rights law regarding people with disability </w:t>
      </w:r>
      <w:r w:rsidR="006D301A" w:rsidRPr="007B5BE6">
        <w:rPr>
          <w:rFonts w:eastAsia="Times New Roman" w:cs="Times New Roman"/>
        </w:rPr>
        <w:t>under</w:t>
      </w:r>
      <w:r w:rsidR="00272AEA" w:rsidRPr="007B5BE6">
        <w:rPr>
          <w:rFonts w:eastAsia="Times New Roman" w:cs="Times New Roman"/>
        </w:rPr>
        <w:t xml:space="preserve"> the </w:t>
      </w:r>
      <w:r w:rsidR="006D301A" w:rsidRPr="007B5BE6">
        <w:rPr>
          <w:i/>
          <w:iCs/>
        </w:rPr>
        <w:t>United Nations Convention on the Rights of Persons with Disabilities</w:t>
      </w:r>
      <w:r w:rsidR="00272AEA" w:rsidRPr="007B5BE6">
        <w:rPr>
          <w:rFonts w:eastAsia="Times New Roman" w:cs="Times New Roman"/>
        </w:rPr>
        <w:t>. This is an important foundation</w:t>
      </w:r>
      <w:r w:rsidR="006D301A" w:rsidRPr="007B5BE6">
        <w:rPr>
          <w:rFonts w:eastAsia="Times New Roman" w:cs="Times New Roman"/>
        </w:rPr>
        <w:t>,</w:t>
      </w:r>
      <w:r w:rsidR="00272AEA" w:rsidRPr="007B5BE6">
        <w:rPr>
          <w:rFonts w:eastAsia="Times New Roman" w:cs="Times New Roman"/>
        </w:rPr>
        <w:t xml:space="preserve"> given the importance of upholding older people’s rights, and principles around self-determination and choice in decision</w:t>
      </w:r>
      <w:r w:rsidR="00FF0E4A" w:rsidRPr="007B5BE6">
        <w:rPr>
          <w:rFonts w:eastAsia="Times New Roman" w:cs="Times New Roman"/>
        </w:rPr>
        <w:t xml:space="preserve"> </w:t>
      </w:r>
      <w:r w:rsidR="00272AEA" w:rsidRPr="007B5BE6">
        <w:rPr>
          <w:rFonts w:eastAsia="Times New Roman" w:cs="Times New Roman"/>
        </w:rPr>
        <w:t xml:space="preserve">making. </w:t>
      </w:r>
      <w:r w:rsidR="008E301D" w:rsidRPr="007B5BE6">
        <w:rPr>
          <w:rFonts w:eastAsia="Times New Roman" w:cs="Times New Roman"/>
        </w:rPr>
        <w:t xml:space="preserve">This </w:t>
      </w:r>
      <w:r w:rsidR="003A5A0A" w:rsidRPr="007B5BE6">
        <w:rPr>
          <w:rFonts w:eastAsia="Times New Roman" w:cs="Times New Roman"/>
        </w:rPr>
        <w:t xml:space="preserve">approach </w:t>
      </w:r>
      <w:r w:rsidR="008E301D" w:rsidRPr="007B5BE6">
        <w:rPr>
          <w:rFonts w:eastAsia="Times New Roman" w:cs="Times New Roman"/>
        </w:rPr>
        <w:t xml:space="preserve">is not aimed to detract from the approach </w:t>
      </w:r>
      <w:r w:rsidR="001645EB" w:rsidRPr="007B5BE6">
        <w:rPr>
          <w:rFonts w:eastAsia="Times New Roman" w:cs="Times New Roman"/>
        </w:rPr>
        <w:t>taken</w:t>
      </w:r>
      <w:r w:rsidR="008E301D" w:rsidRPr="007B5BE6">
        <w:rPr>
          <w:rFonts w:eastAsia="Times New Roman" w:cs="Times New Roman"/>
        </w:rPr>
        <w:t xml:space="preserve"> </w:t>
      </w:r>
      <w:r w:rsidR="006D301A" w:rsidRPr="007B5BE6">
        <w:rPr>
          <w:rFonts w:eastAsia="Times New Roman" w:cs="Times New Roman"/>
        </w:rPr>
        <w:t xml:space="preserve">in Tasmania </w:t>
      </w:r>
      <w:r w:rsidR="008E301D" w:rsidRPr="007B5BE6">
        <w:rPr>
          <w:rFonts w:eastAsia="Times New Roman" w:cs="Times New Roman"/>
        </w:rPr>
        <w:t>for people with disability,</w:t>
      </w:r>
      <w:r w:rsidR="00DC1D88" w:rsidRPr="007B5BE6">
        <w:rPr>
          <w:rFonts w:eastAsia="Times New Roman" w:cs="Times New Roman"/>
        </w:rPr>
        <w:t xml:space="preserve"> </w:t>
      </w:r>
      <w:r w:rsidR="001645EB" w:rsidRPr="007B5BE6">
        <w:rPr>
          <w:rFonts w:eastAsia="Times New Roman" w:cs="Times New Roman"/>
        </w:rPr>
        <w:t xml:space="preserve">which </w:t>
      </w:r>
      <w:r w:rsidR="00DC1D88" w:rsidRPr="007B5BE6">
        <w:rPr>
          <w:rFonts w:eastAsia="Times New Roman" w:cs="Times New Roman"/>
        </w:rPr>
        <w:t xml:space="preserve">has been developed in </w:t>
      </w:r>
      <w:r w:rsidR="001645EB" w:rsidRPr="007B5BE6">
        <w:rPr>
          <w:rFonts w:eastAsia="Times New Roman" w:cs="Times New Roman"/>
        </w:rPr>
        <w:t xml:space="preserve">a </w:t>
      </w:r>
      <w:r w:rsidR="00DC1D88" w:rsidRPr="007B5BE6">
        <w:rPr>
          <w:rFonts w:eastAsia="Times New Roman" w:cs="Times New Roman"/>
        </w:rPr>
        <w:t>specific policy and advocacy context</w:t>
      </w:r>
      <w:r w:rsidR="003A5A0A" w:rsidRPr="007B5BE6">
        <w:rPr>
          <w:rFonts w:eastAsia="Times New Roman" w:cs="Times New Roman"/>
        </w:rPr>
        <w:t>. R</w:t>
      </w:r>
      <w:r w:rsidR="008E301D" w:rsidRPr="007B5BE6">
        <w:rPr>
          <w:rFonts w:eastAsia="Times New Roman" w:cs="Times New Roman"/>
        </w:rPr>
        <w:t>ather</w:t>
      </w:r>
      <w:r w:rsidR="003A5A0A" w:rsidRPr="007B5BE6">
        <w:rPr>
          <w:rFonts w:eastAsia="Times New Roman" w:cs="Times New Roman"/>
        </w:rPr>
        <w:t xml:space="preserve">, this approach </w:t>
      </w:r>
      <w:r w:rsidR="008E301D" w:rsidRPr="007B5BE6">
        <w:rPr>
          <w:rFonts w:eastAsia="Times New Roman" w:cs="Times New Roman"/>
        </w:rPr>
        <w:t xml:space="preserve">draws on its strengths </w:t>
      </w:r>
      <w:r w:rsidR="001645EB" w:rsidRPr="007B5BE6">
        <w:rPr>
          <w:rFonts w:eastAsia="Times New Roman" w:cs="Times New Roman"/>
        </w:rPr>
        <w:t xml:space="preserve">to provide a rights-based safeguarding mechanism for </w:t>
      </w:r>
      <w:r w:rsidR="008E301D" w:rsidRPr="007B5BE6">
        <w:rPr>
          <w:rFonts w:eastAsia="Times New Roman" w:cs="Times New Roman"/>
        </w:rPr>
        <w:t>older adults, who are at risk of experiencing abuse</w:t>
      </w:r>
      <w:r w:rsidR="00360667" w:rsidRPr="007B5BE6">
        <w:rPr>
          <w:rFonts w:eastAsia="Times New Roman" w:cs="Times New Roman"/>
        </w:rPr>
        <w:t>,</w:t>
      </w:r>
      <w:r w:rsidR="008E301D" w:rsidRPr="007B5BE6">
        <w:rPr>
          <w:rFonts w:eastAsia="Times New Roman" w:cs="Times New Roman"/>
        </w:rPr>
        <w:t xml:space="preserve"> a</w:t>
      </w:r>
      <w:r w:rsidR="00714D36" w:rsidRPr="007B5BE6">
        <w:rPr>
          <w:rFonts w:eastAsia="Times New Roman" w:cs="Times New Roman"/>
        </w:rPr>
        <w:t xml:space="preserve">s well as </w:t>
      </w:r>
      <w:r w:rsidR="008E301D" w:rsidRPr="007B5BE6">
        <w:rPr>
          <w:rFonts w:eastAsia="Times New Roman" w:cs="Times New Roman"/>
        </w:rPr>
        <w:t xml:space="preserve">a solid foundation </w:t>
      </w:r>
      <w:r w:rsidR="00627825" w:rsidRPr="007B5BE6">
        <w:rPr>
          <w:rFonts w:eastAsia="Times New Roman" w:cs="Times New Roman"/>
        </w:rPr>
        <w:t xml:space="preserve">to ensure </w:t>
      </w:r>
      <w:r w:rsidR="00850075" w:rsidRPr="007B5BE6">
        <w:rPr>
          <w:rFonts w:eastAsia="Times New Roman" w:cs="Times New Roman"/>
        </w:rPr>
        <w:t>a</w:t>
      </w:r>
      <w:r w:rsidR="00BA1640" w:rsidRPr="007B5BE6">
        <w:rPr>
          <w:rFonts w:eastAsia="Times New Roman" w:cs="Times New Roman"/>
        </w:rPr>
        <w:t xml:space="preserve">n </w:t>
      </w:r>
      <w:r w:rsidR="004B6D43" w:rsidRPr="007B5BE6">
        <w:rPr>
          <w:rFonts w:eastAsia="Times New Roman" w:cs="Times New Roman"/>
        </w:rPr>
        <w:t>appropriate</w:t>
      </w:r>
      <w:r w:rsidR="00627825" w:rsidRPr="007B5BE6">
        <w:rPr>
          <w:rFonts w:eastAsia="Times New Roman" w:cs="Times New Roman"/>
        </w:rPr>
        <w:t>ly</w:t>
      </w:r>
      <w:r w:rsidR="001645EB" w:rsidRPr="007B5BE6">
        <w:rPr>
          <w:rFonts w:eastAsia="Times New Roman" w:cs="Times New Roman"/>
        </w:rPr>
        <w:t xml:space="preserve"> </w:t>
      </w:r>
      <w:r w:rsidR="008E301D" w:rsidRPr="007B5BE6">
        <w:rPr>
          <w:rFonts w:eastAsia="Times New Roman" w:cs="Times New Roman"/>
        </w:rPr>
        <w:t>principle</w:t>
      </w:r>
      <w:r w:rsidR="001645EB" w:rsidRPr="007B5BE6">
        <w:rPr>
          <w:rFonts w:eastAsia="Times New Roman" w:cs="Times New Roman"/>
        </w:rPr>
        <w:t>d approach</w:t>
      </w:r>
      <w:r w:rsidR="00850075" w:rsidRPr="007B5BE6">
        <w:rPr>
          <w:rFonts w:eastAsia="Times New Roman" w:cs="Times New Roman"/>
        </w:rPr>
        <w:t xml:space="preserve"> to safeguarding. </w:t>
      </w:r>
    </w:p>
    <w:p w14:paraId="24E1C60B" w14:textId="77777777" w:rsidR="005103E2" w:rsidRPr="007B5BE6" w:rsidRDefault="005103E2" w:rsidP="005103E2">
      <w:pPr>
        <w:pStyle w:val="ListParagraph"/>
      </w:pPr>
    </w:p>
    <w:p w14:paraId="0FF90AF7" w14:textId="5EAF27A0" w:rsidR="00272AEA" w:rsidRPr="007B5BE6" w:rsidRDefault="00272AEA" w:rsidP="005A71B7">
      <w:pPr>
        <w:pStyle w:val="ListParagraph"/>
        <w:numPr>
          <w:ilvl w:val="0"/>
          <w:numId w:val="14"/>
        </w:numPr>
      </w:pPr>
      <w:r w:rsidRPr="007B5BE6">
        <w:t>The Disability Commissioner</w:t>
      </w:r>
      <w:r w:rsidR="00EF11D1" w:rsidRPr="007B5BE6">
        <w:t>’s</w:t>
      </w:r>
      <w:r w:rsidRPr="007B5BE6">
        <w:t xml:space="preserve"> </w:t>
      </w:r>
      <w:r w:rsidR="00F04A6D" w:rsidRPr="007B5BE6">
        <w:t xml:space="preserve">safeguarding </w:t>
      </w:r>
      <w:r w:rsidRPr="007B5BE6">
        <w:t>role already applies to all people</w:t>
      </w:r>
      <w:r w:rsidR="00221905" w:rsidRPr="007B5BE6">
        <w:t xml:space="preserve"> with disability</w:t>
      </w:r>
      <w:r w:rsidRPr="007B5BE6">
        <w:t xml:space="preserve">, including older people with disability. As this </w:t>
      </w:r>
      <w:r w:rsidR="00533A1A" w:rsidRPr="007B5BE6">
        <w:t>is a newly established role</w:t>
      </w:r>
      <w:r w:rsidRPr="007B5BE6">
        <w:t xml:space="preserve">, there is opportunity to </w:t>
      </w:r>
      <w:r w:rsidR="008E301D" w:rsidRPr="007B5BE6">
        <w:t xml:space="preserve">draw on </w:t>
      </w:r>
      <w:r w:rsidR="00EF11D1" w:rsidRPr="007B5BE6">
        <w:t xml:space="preserve">its </w:t>
      </w:r>
      <w:r w:rsidR="008E301D" w:rsidRPr="007B5BE6">
        <w:t xml:space="preserve">key aspects </w:t>
      </w:r>
      <w:r w:rsidR="00A47837" w:rsidRPr="007B5BE6">
        <w:t>in creating the role of Commission</w:t>
      </w:r>
      <w:r w:rsidR="00D32E88" w:rsidRPr="007B5BE6">
        <w:t>er</w:t>
      </w:r>
      <w:r w:rsidR="00A47837" w:rsidRPr="007B5BE6">
        <w:t xml:space="preserve"> for Older </w:t>
      </w:r>
      <w:r w:rsidR="00372448" w:rsidRPr="007B5BE6">
        <w:t>People</w:t>
      </w:r>
      <w:r w:rsidR="000C34A6" w:rsidRPr="007B5BE6">
        <w:t xml:space="preserve">. </w:t>
      </w:r>
      <w:r w:rsidR="00857766" w:rsidRPr="007B5BE6">
        <w:t>In addition, b</w:t>
      </w:r>
      <w:r w:rsidR="00883284" w:rsidRPr="007B5BE6">
        <w:t>ased on the experience in other jurisdictions, there is</w:t>
      </w:r>
      <w:r w:rsidR="00857766" w:rsidRPr="007B5BE6">
        <w:t xml:space="preserve"> likely to be</w:t>
      </w:r>
      <w:r w:rsidR="00883284" w:rsidRPr="007B5BE6">
        <w:t xml:space="preserve"> overlap </w:t>
      </w:r>
      <w:r w:rsidR="002C2E07" w:rsidRPr="007B5BE6">
        <w:t>between these two groups</w:t>
      </w:r>
      <w:r w:rsidR="00E036C9" w:rsidRPr="007B5BE6">
        <w:t xml:space="preserve"> who may seek to access </w:t>
      </w:r>
      <w:r w:rsidR="00CF34BC" w:rsidRPr="007B5BE6">
        <w:t>safeguarding assistance</w:t>
      </w:r>
      <w:r w:rsidR="003B4108" w:rsidRPr="007B5BE6">
        <w:t xml:space="preserve"> </w:t>
      </w:r>
      <w:r w:rsidR="000A202C" w:rsidRPr="007B5BE6">
        <w:t>for abuse</w:t>
      </w:r>
      <w:r w:rsidR="008E7E3A" w:rsidRPr="007B5BE6">
        <w:t xml:space="preserve"> (or for whom </w:t>
      </w:r>
      <w:r w:rsidR="000C0DD8" w:rsidRPr="007B5BE6">
        <w:t>others may raise concerns</w:t>
      </w:r>
      <w:r w:rsidR="000A202C" w:rsidRPr="007B5BE6">
        <w:t xml:space="preserve"> around abuse</w:t>
      </w:r>
      <w:r w:rsidR="000C0DD8" w:rsidRPr="007B5BE6">
        <w:t>)</w:t>
      </w:r>
      <w:r w:rsidR="009B6837" w:rsidRPr="007B5BE6">
        <w:t xml:space="preserve">. For example, in </w:t>
      </w:r>
      <w:r w:rsidR="008E7E3A" w:rsidRPr="007B5BE6">
        <w:t>NSW</w:t>
      </w:r>
      <w:r w:rsidR="009B6837" w:rsidRPr="007B5BE6">
        <w:t>,</w:t>
      </w:r>
      <w:r w:rsidR="0099359E" w:rsidRPr="007B5BE6">
        <w:t xml:space="preserve"> in a five-year period between </w:t>
      </w:r>
      <w:r w:rsidR="0099359E" w:rsidRPr="007B5BE6">
        <w:rPr>
          <w:rFonts w:eastAsia="Times"/>
          <w:szCs w:val="20"/>
        </w:rPr>
        <w:t>1 July 2019 and 30 June 2024,</w:t>
      </w:r>
      <w:r w:rsidR="009B6837" w:rsidRPr="007B5BE6">
        <w:t xml:space="preserve"> </w:t>
      </w:r>
      <w:r w:rsidR="006B1A18" w:rsidRPr="007B5BE6">
        <w:t>25</w:t>
      </w:r>
      <w:r w:rsidR="008A0046" w:rsidRPr="007B5BE6">
        <w:t>% of repor</w:t>
      </w:r>
      <w:r w:rsidR="00960C44" w:rsidRPr="007B5BE6">
        <w:t xml:space="preserve">ts made to the </w:t>
      </w:r>
      <w:r w:rsidR="00496642" w:rsidRPr="007B5BE6">
        <w:t xml:space="preserve">ADC </w:t>
      </w:r>
      <w:r w:rsidR="002E02CB" w:rsidRPr="007B5BE6">
        <w:t xml:space="preserve">for consideration by the Ageing and Disability </w:t>
      </w:r>
      <w:r w:rsidR="00954342" w:rsidRPr="007B5BE6">
        <w:t>Commission</w:t>
      </w:r>
      <w:r w:rsidR="002E02CB" w:rsidRPr="007B5BE6">
        <w:t>er</w:t>
      </w:r>
      <w:r w:rsidR="00954342" w:rsidRPr="007B5BE6">
        <w:t xml:space="preserve"> rel</w:t>
      </w:r>
      <w:r w:rsidR="006B1A18" w:rsidRPr="007B5BE6">
        <w:t>a</w:t>
      </w:r>
      <w:r w:rsidR="00954342" w:rsidRPr="007B5BE6">
        <w:t xml:space="preserve">ted to older </w:t>
      </w:r>
      <w:r w:rsidR="00DC449A" w:rsidRPr="007B5BE6">
        <w:t xml:space="preserve">people </w:t>
      </w:r>
      <w:r w:rsidR="006B1A18" w:rsidRPr="007B5BE6">
        <w:t>with a disability</w:t>
      </w:r>
      <w:r w:rsidR="008C7E19" w:rsidRPr="007B5BE6">
        <w:t>.</w:t>
      </w:r>
      <w:r w:rsidR="00883284" w:rsidRPr="007B5BE6">
        <w:rPr>
          <w:rStyle w:val="FootnoteReference"/>
          <w:rFonts w:eastAsia="Times New Roman" w:cs="Times New Roman"/>
        </w:rPr>
        <w:footnoteReference w:id="568"/>
      </w:r>
      <w:r w:rsidR="000C34A6" w:rsidRPr="007B5BE6">
        <w:t xml:space="preserve"> </w:t>
      </w:r>
      <w:r w:rsidR="001C5C5D" w:rsidRPr="007B5BE6">
        <w:t xml:space="preserve">It removes the potential for inconsistency if </w:t>
      </w:r>
      <w:r w:rsidR="00C60D9E" w:rsidRPr="007B5BE6">
        <w:t xml:space="preserve">the powers and functions of both the Commissioner for Older </w:t>
      </w:r>
      <w:r w:rsidR="001335E8" w:rsidRPr="007B5BE6">
        <w:t>People</w:t>
      </w:r>
      <w:r w:rsidR="00C60D9E" w:rsidRPr="007B5BE6">
        <w:t xml:space="preserve"> and the Disability Commissioner are </w:t>
      </w:r>
      <w:r w:rsidR="00957FCB" w:rsidRPr="007B5BE6">
        <w:t>similar</w:t>
      </w:r>
      <w:r w:rsidR="00C85F07" w:rsidRPr="007B5BE6">
        <w:t>.</w:t>
      </w:r>
    </w:p>
    <w:p w14:paraId="32543E4F" w14:textId="77777777" w:rsidR="00AA6E2C" w:rsidRPr="007B5BE6" w:rsidRDefault="00AA6E2C" w:rsidP="00243EF2">
      <w:pPr>
        <w:pStyle w:val="ListParagraph"/>
      </w:pPr>
    </w:p>
    <w:p w14:paraId="739F91B4" w14:textId="1F09B4F9" w:rsidR="00F4167A" w:rsidRPr="007B5BE6" w:rsidRDefault="00272AEA" w:rsidP="005A71B7">
      <w:pPr>
        <w:pStyle w:val="ListParagraph"/>
        <w:numPr>
          <w:ilvl w:val="0"/>
          <w:numId w:val="14"/>
        </w:numPr>
      </w:pPr>
      <w:r w:rsidRPr="007B5BE6">
        <w:t xml:space="preserve">Under the </w:t>
      </w:r>
      <w:r w:rsidRPr="007B5BE6">
        <w:rPr>
          <w:i/>
          <w:iCs/>
        </w:rPr>
        <w:t>Disability Rights, Inclusion and Safeguarding Act 2024</w:t>
      </w:r>
      <w:r w:rsidRPr="007B5BE6">
        <w:t xml:space="preserve"> (Tas), there are already mechanisms in place for the Disability Commissioner to receive reports from </w:t>
      </w:r>
      <w:r w:rsidR="007D1CB6" w:rsidRPr="007B5BE6">
        <w:t>a</w:t>
      </w:r>
      <w:r w:rsidR="00F622E7" w:rsidRPr="007B5BE6">
        <w:t>ny</w:t>
      </w:r>
      <w:r w:rsidR="007D1CB6" w:rsidRPr="007B5BE6">
        <w:t xml:space="preserve"> person</w:t>
      </w:r>
      <w:r w:rsidR="002E02CB" w:rsidRPr="007B5BE6">
        <w:t>,</w:t>
      </w:r>
      <w:r w:rsidRPr="007B5BE6">
        <w:t xml:space="preserve"> or </w:t>
      </w:r>
      <w:r w:rsidR="007D1CB6" w:rsidRPr="007B5BE6">
        <w:t xml:space="preserve">to </w:t>
      </w:r>
      <w:r w:rsidR="00A80C3A" w:rsidRPr="007B5BE6">
        <w:t xml:space="preserve">act </w:t>
      </w:r>
      <w:r w:rsidR="007D1CB6" w:rsidRPr="007B5BE6">
        <w:t xml:space="preserve">on the Disability Commissioner’s </w:t>
      </w:r>
      <w:r w:rsidRPr="007B5BE6">
        <w:t>own motion</w:t>
      </w:r>
      <w:r w:rsidR="007D1CB6" w:rsidRPr="007B5BE6">
        <w:t>,</w:t>
      </w:r>
      <w:r w:rsidRPr="007B5BE6">
        <w:t xml:space="preserve"> </w:t>
      </w:r>
      <w:r w:rsidR="005E21FE" w:rsidRPr="007B5BE6">
        <w:t>about</w:t>
      </w:r>
      <w:r w:rsidRPr="007B5BE6">
        <w:t xml:space="preserve"> ‘</w:t>
      </w:r>
      <w:r w:rsidR="005E21FE" w:rsidRPr="007B5BE6">
        <w:t>matte</w:t>
      </w:r>
      <w:r w:rsidR="00EC0B8C" w:rsidRPr="007B5BE6">
        <w:t xml:space="preserve">rs relating to a person with disability if </w:t>
      </w:r>
      <w:r w:rsidR="00557017" w:rsidRPr="007B5BE6">
        <w:t xml:space="preserve">[there are] … </w:t>
      </w:r>
      <w:r w:rsidRPr="007B5BE6">
        <w:t xml:space="preserve">reasonable grounds to believe </w:t>
      </w:r>
      <w:r w:rsidR="00475569" w:rsidRPr="007B5BE6">
        <w:t>that</w:t>
      </w:r>
      <w:r w:rsidR="00557017" w:rsidRPr="007B5BE6">
        <w:t xml:space="preserve"> the</w:t>
      </w:r>
      <w:r w:rsidR="00475569" w:rsidRPr="007B5BE6">
        <w:t xml:space="preserve"> person with disability </w:t>
      </w:r>
      <w:r w:rsidR="006A3B8F" w:rsidRPr="007B5BE6">
        <w:t>is s</w:t>
      </w:r>
      <w:r w:rsidRPr="007B5BE6">
        <w:t>ubject to or at risk of violence, abuse, neglect, coercion or exploitation’ or</w:t>
      </w:r>
      <w:r w:rsidR="00A80C3A" w:rsidRPr="007B5BE6">
        <w:t xml:space="preserve"> </w:t>
      </w:r>
      <w:r w:rsidRPr="007B5BE6">
        <w:t>‘circumstances that the person has reasonable grounds to believe will result in violence against, or the abuse, neglect or exploitation</w:t>
      </w:r>
      <w:r w:rsidR="00396DF6" w:rsidRPr="007B5BE6">
        <w:t xml:space="preserve"> of a person </w:t>
      </w:r>
      <w:r w:rsidRPr="007B5BE6">
        <w:t>with disability</w:t>
      </w:r>
      <w:r w:rsidR="00396DF6" w:rsidRPr="007B5BE6">
        <w:t>’</w:t>
      </w:r>
      <w:r w:rsidRPr="007B5BE6">
        <w:t>.</w:t>
      </w:r>
      <w:r w:rsidR="00396DF6" w:rsidRPr="007B5BE6">
        <w:rPr>
          <w:rStyle w:val="FootnoteReference"/>
          <w:rFonts w:eastAsia="Times New Roman" w:cs="Times New Roman"/>
        </w:rPr>
        <w:footnoteReference w:id="569"/>
      </w:r>
      <w:r w:rsidRPr="007B5BE6">
        <w:t xml:space="preserve"> </w:t>
      </w:r>
      <w:r w:rsidR="00CC46E9" w:rsidRPr="007B5BE6">
        <w:t>Drawing on</w:t>
      </w:r>
      <w:r w:rsidR="004F2A85" w:rsidRPr="007B5BE6">
        <w:t xml:space="preserve"> these provisions in the creation of the safeguarding entity focused on older people would </w:t>
      </w:r>
      <w:r w:rsidR="00264B9B" w:rsidRPr="007B5BE6">
        <w:t>bring</w:t>
      </w:r>
      <w:r w:rsidR="004F2A85" w:rsidRPr="007B5BE6">
        <w:t xml:space="preserve"> consisten</w:t>
      </w:r>
      <w:r w:rsidR="00264B9B" w:rsidRPr="007B5BE6">
        <w:t>cy</w:t>
      </w:r>
      <w:r w:rsidR="00F1388E" w:rsidRPr="007B5BE6">
        <w:t xml:space="preserve"> through similar</w:t>
      </w:r>
      <w:r w:rsidR="004F2A85" w:rsidRPr="007B5BE6">
        <w:t xml:space="preserve"> </w:t>
      </w:r>
      <w:r w:rsidRPr="007B5BE6">
        <w:t>mechanisms</w:t>
      </w:r>
      <w:r w:rsidR="00F1388E" w:rsidRPr="007B5BE6">
        <w:t xml:space="preserve"> </w:t>
      </w:r>
      <w:r w:rsidRPr="007B5BE6">
        <w:t>apply</w:t>
      </w:r>
      <w:r w:rsidR="00F1388E" w:rsidRPr="007B5BE6">
        <w:t>ing</w:t>
      </w:r>
      <w:r w:rsidR="004F2A85" w:rsidRPr="007B5BE6">
        <w:t xml:space="preserve"> for </w:t>
      </w:r>
      <w:r w:rsidR="00612212" w:rsidRPr="007B5BE6">
        <w:t xml:space="preserve">the Commissioner for Older </w:t>
      </w:r>
      <w:r w:rsidR="00546275" w:rsidRPr="007B5BE6">
        <w:t>People</w:t>
      </w:r>
      <w:r w:rsidR="00612212" w:rsidRPr="007B5BE6">
        <w:t xml:space="preserve">’s </w:t>
      </w:r>
      <w:r w:rsidR="00246F42" w:rsidRPr="007B5BE6">
        <w:t>functions and powers to receive reports regarding older people</w:t>
      </w:r>
      <w:r w:rsidRPr="007B5BE6">
        <w:t>.</w:t>
      </w:r>
    </w:p>
    <w:p w14:paraId="256FA456" w14:textId="4F872539" w:rsidR="006A68C9" w:rsidRPr="007B5BE6" w:rsidRDefault="00535345" w:rsidP="00DD7892">
      <w:pPr>
        <w:pStyle w:val="NormalNumberedTextTLRI"/>
      </w:pPr>
      <w:r w:rsidRPr="007B5BE6">
        <w:t xml:space="preserve">The </w:t>
      </w:r>
      <w:r w:rsidR="00B66D2E" w:rsidRPr="007B5BE6">
        <w:t xml:space="preserve">TLRI </w:t>
      </w:r>
      <w:r w:rsidR="004F0AA0" w:rsidRPr="007B5BE6">
        <w:t xml:space="preserve">does not express its views or make </w:t>
      </w:r>
      <w:r w:rsidR="00B66D2E" w:rsidRPr="007B5BE6">
        <w:t xml:space="preserve">recommendations </w:t>
      </w:r>
      <w:r w:rsidR="004F0AA0" w:rsidRPr="007B5BE6">
        <w:t>about</w:t>
      </w:r>
      <w:r w:rsidR="00B66D2E" w:rsidRPr="007B5BE6">
        <w:t xml:space="preserve"> </w:t>
      </w:r>
      <w:r w:rsidR="00C149C0" w:rsidRPr="007B5BE6">
        <w:t>combin</w:t>
      </w:r>
      <w:r w:rsidR="004F0AA0" w:rsidRPr="007B5BE6">
        <w:t xml:space="preserve">ing the roles of the </w:t>
      </w:r>
      <w:r w:rsidR="00C149C0" w:rsidRPr="007B5BE6">
        <w:t xml:space="preserve"> </w:t>
      </w:r>
      <w:r w:rsidR="00540887" w:rsidRPr="007B5BE6">
        <w:t xml:space="preserve">Disability Commissioner and the Commissioner for Older </w:t>
      </w:r>
      <w:r w:rsidR="001335E8" w:rsidRPr="007B5BE6">
        <w:t>People</w:t>
      </w:r>
      <w:r w:rsidR="004F0AA0" w:rsidRPr="007B5BE6">
        <w:t xml:space="preserve"> (such as exists in </w:t>
      </w:r>
      <w:r w:rsidR="00F9566A" w:rsidRPr="007B5BE6">
        <w:t xml:space="preserve">different ways in the models in </w:t>
      </w:r>
      <w:r w:rsidR="00221794" w:rsidRPr="007B5BE6">
        <w:t>NSW</w:t>
      </w:r>
      <w:r w:rsidR="00F9566A" w:rsidRPr="007B5BE6">
        <w:t xml:space="preserve">, </w:t>
      </w:r>
      <w:r w:rsidR="00FE383E" w:rsidRPr="007B5BE6">
        <w:t>SA</w:t>
      </w:r>
      <w:r w:rsidR="00F9566A" w:rsidRPr="007B5BE6">
        <w:t xml:space="preserve"> and </w:t>
      </w:r>
      <w:r w:rsidR="004F0AA0" w:rsidRPr="007B5BE6">
        <w:t>the ACT)</w:t>
      </w:r>
      <w:r w:rsidR="006A68C9" w:rsidRPr="007B5BE6">
        <w:t>.</w:t>
      </w:r>
      <w:r w:rsidR="00773FC0" w:rsidRPr="007B5BE6">
        <w:rPr>
          <w:rStyle w:val="FootnoteReference"/>
        </w:rPr>
        <w:footnoteReference w:id="570"/>
      </w:r>
      <w:r w:rsidR="006A68C9" w:rsidRPr="007B5BE6">
        <w:t xml:space="preserve"> However, </w:t>
      </w:r>
      <w:r w:rsidR="006A68C9" w:rsidRPr="007B5BE6">
        <w:rPr>
          <w:rFonts w:eastAsia="Times New Roman"/>
        </w:rPr>
        <w:t>given the potential for the scope of the two roles to intersect (for example</w:t>
      </w:r>
      <w:r w:rsidR="00AC4154" w:rsidRPr="007B5BE6">
        <w:rPr>
          <w:rFonts w:eastAsia="Times New Roman"/>
        </w:rPr>
        <w:t>,</w:t>
      </w:r>
      <w:r w:rsidR="006A68C9" w:rsidRPr="007B5BE6">
        <w:rPr>
          <w:rFonts w:eastAsia="Times New Roman"/>
        </w:rPr>
        <w:t xml:space="preserve"> some people with disability may also be older </w:t>
      </w:r>
      <w:r w:rsidR="00440754" w:rsidRPr="007B5BE6">
        <w:rPr>
          <w:rFonts w:eastAsia="Times New Roman"/>
        </w:rPr>
        <w:t>people</w:t>
      </w:r>
      <w:r w:rsidR="006A68C9" w:rsidRPr="007B5BE6">
        <w:rPr>
          <w:rFonts w:eastAsia="Times New Roman"/>
        </w:rPr>
        <w:t>) and the approach</w:t>
      </w:r>
      <w:r w:rsidR="00260B99" w:rsidRPr="007B5BE6">
        <w:rPr>
          <w:rFonts w:eastAsia="Times New Roman"/>
        </w:rPr>
        <w:t>es</w:t>
      </w:r>
      <w:r w:rsidR="006A68C9" w:rsidRPr="007B5BE6">
        <w:rPr>
          <w:rFonts w:eastAsia="Times New Roman"/>
        </w:rPr>
        <w:t xml:space="preserve"> to safeguarding taken elsewhere, </w:t>
      </w:r>
      <w:r w:rsidR="006A68C9" w:rsidRPr="007B5BE6">
        <w:t>the TLRI notes that consideration could be given to</w:t>
      </w:r>
      <w:r w:rsidR="001E269E" w:rsidRPr="007B5BE6">
        <w:t>:</w:t>
      </w:r>
    </w:p>
    <w:p w14:paraId="22852E1B" w14:textId="0E9EC290" w:rsidR="00853D8B" w:rsidRPr="007B5BE6" w:rsidRDefault="00440754" w:rsidP="007A27F3">
      <w:pPr>
        <w:pStyle w:val="DotPointTLRI"/>
      </w:pPr>
      <w:r w:rsidRPr="007B5BE6">
        <w:t>w</w:t>
      </w:r>
      <w:r w:rsidR="001E269E" w:rsidRPr="007B5BE6">
        <w:t>hether and how</w:t>
      </w:r>
      <w:r w:rsidR="006A68C9" w:rsidRPr="007B5BE6">
        <w:t xml:space="preserve"> the two independent roles could operate out of the same office</w:t>
      </w:r>
      <w:r w:rsidR="008C4BC4" w:rsidRPr="007B5BE6">
        <w:t xml:space="preserve"> (that is, </w:t>
      </w:r>
      <w:r w:rsidR="00FC15ED" w:rsidRPr="007B5BE6">
        <w:t xml:space="preserve">be </w:t>
      </w:r>
      <w:r w:rsidR="008C4BC4" w:rsidRPr="007B5BE6">
        <w:t>administratively combined</w:t>
      </w:r>
      <w:r w:rsidR="0054066F" w:rsidRPr="007B5BE6">
        <w:t>)</w:t>
      </w:r>
      <w:r w:rsidRPr="007B5BE6">
        <w:t>; and</w:t>
      </w:r>
      <w:r w:rsidR="006A68C9" w:rsidRPr="007B5BE6">
        <w:t xml:space="preserve">  </w:t>
      </w:r>
    </w:p>
    <w:p w14:paraId="1628230F" w14:textId="390B6AE8" w:rsidR="00615549" w:rsidRPr="007B5BE6" w:rsidRDefault="00440754" w:rsidP="001E269E">
      <w:pPr>
        <w:pStyle w:val="DotPointTLRI"/>
      </w:pPr>
      <w:r w:rsidRPr="007B5BE6">
        <w:t>w</w:t>
      </w:r>
      <w:r w:rsidR="007A27F3" w:rsidRPr="007B5BE6">
        <w:t>hether</w:t>
      </w:r>
      <w:r w:rsidR="00615549" w:rsidRPr="007B5BE6">
        <w:t xml:space="preserve"> and </w:t>
      </w:r>
      <w:r w:rsidRPr="007B5BE6">
        <w:t>h</w:t>
      </w:r>
      <w:r w:rsidR="00615549" w:rsidRPr="007B5BE6">
        <w:t xml:space="preserve">ow the two roles could be </w:t>
      </w:r>
      <w:r w:rsidR="007A27F3" w:rsidRPr="007B5BE6">
        <w:t>combined</w:t>
      </w:r>
      <w:r w:rsidR="00F11634" w:rsidRPr="007B5BE6">
        <w:t xml:space="preserve"> s</w:t>
      </w:r>
      <w:r w:rsidR="008B7707" w:rsidRPr="007B5BE6">
        <w:t>uch</w:t>
      </w:r>
      <w:r w:rsidR="00F11634" w:rsidRPr="007B5BE6">
        <w:t xml:space="preserve"> that the current role of the Disability Commissioner encompass</w:t>
      </w:r>
      <w:r w:rsidR="008B7707" w:rsidRPr="007B5BE6">
        <w:t>es</w:t>
      </w:r>
      <w:r w:rsidR="00F11634" w:rsidRPr="007B5BE6">
        <w:t xml:space="preserve"> the role of Commissioner for Older People</w:t>
      </w:r>
      <w:r w:rsidR="002B7855" w:rsidRPr="007B5BE6">
        <w:t>.</w:t>
      </w:r>
    </w:p>
    <w:p w14:paraId="13931619" w14:textId="1EAFF9B0" w:rsidR="00074C35" w:rsidRPr="007B5BE6" w:rsidRDefault="007A27F3" w:rsidP="003B265C">
      <w:pPr>
        <w:pStyle w:val="NormalNumberedTextTLRI"/>
        <w:numPr>
          <w:ilvl w:val="0"/>
          <w:numId w:val="0"/>
        </w:numPr>
      </w:pPr>
      <w:r w:rsidRPr="007B5BE6">
        <w:t>Th</w:t>
      </w:r>
      <w:r w:rsidR="00430A4D" w:rsidRPr="007B5BE6">
        <w:t>ese</w:t>
      </w:r>
      <w:r w:rsidRPr="007B5BE6">
        <w:t xml:space="preserve"> approach</w:t>
      </w:r>
      <w:r w:rsidR="00430A4D" w:rsidRPr="007B5BE6">
        <w:t>es</w:t>
      </w:r>
      <w:r w:rsidR="009A60F0" w:rsidRPr="007B5BE6">
        <w:t>, noted by the TLRI,</w:t>
      </w:r>
      <w:r w:rsidRPr="007B5BE6">
        <w:t xml:space="preserve"> </w:t>
      </w:r>
      <w:r w:rsidR="00EE7374" w:rsidRPr="007B5BE6">
        <w:t xml:space="preserve">may </w:t>
      </w:r>
      <w:r w:rsidRPr="007B5BE6">
        <w:t xml:space="preserve">ensure that the response can be tailored to actual demand in relation to reports </w:t>
      </w:r>
      <w:r w:rsidR="006031D4" w:rsidRPr="007B5BE6">
        <w:t>regarding</w:t>
      </w:r>
      <w:r w:rsidRPr="007B5BE6">
        <w:t xml:space="preserve"> the abuse of older people and reports </w:t>
      </w:r>
      <w:r w:rsidR="006031D4" w:rsidRPr="007B5BE6">
        <w:t>regarding</w:t>
      </w:r>
      <w:r w:rsidRPr="007B5BE6">
        <w:t xml:space="preserve"> the abuse of people with disability</w:t>
      </w:r>
      <w:r w:rsidR="006031D4" w:rsidRPr="007B5BE6">
        <w:t>,</w:t>
      </w:r>
      <w:r w:rsidRPr="007B5BE6">
        <w:t xml:space="preserve"> </w:t>
      </w:r>
      <w:r w:rsidR="006031D4" w:rsidRPr="007B5BE6">
        <w:t>rather than</w:t>
      </w:r>
      <w:r w:rsidRPr="007B5BE6">
        <w:t xml:space="preserve"> using resources to create a new entity</w:t>
      </w:r>
      <w:r w:rsidR="00235B61" w:rsidRPr="007B5BE6">
        <w:t xml:space="preserve"> with a focus on older people</w:t>
      </w:r>
      <w:r w:rsidRPr="007B5BE6">
        <w:t>.</w:t>
      </w:r>
      <w:r w:rsidR="00430A4D" w:rsidRPr="007B5BE6">
        <w:t xml:space="preserve"> </w:t>
      </w:r>
      <w:r w:rsidR="00EE7374" w:rsidRPr="007B5BE6">
        <w:t>In addition, the</w:t>
      </w:r>
      <w:r w:rsidR="00235B61" w:rsidRPr="007B5BE6">
        <w:t>se approaches, noted for consideration,</w:t>
      </w:r>
      <w:r w:rsidR="00EE7374" w:rsidRPr="007B5BE6">
        <w:t xml:space="preserve"> reflect the overlap that is likely to arise in</w:t>
      </w:r>
      <w:r w:rsidR="00EE5B64" w:rsidRPr="007B5BE6">
        <w:t xml:space="preserve"> </w:t>
      </w:r>
      <w:r w:rsidR="00EE7374" w:rsidRPr="007B5BE6">
        <w:t>relation to the two roles</w:t>
      </w:r>
      <w:r w:rsidR="00235B61" w:rsidRPr="007B5BE6">
        <w:t xml:space="preserve">. Therefore, they </w:t>
      </w:r>
      <w:r w:rsidR="00C462B5" w:rsidRPr="007B5BE6">
        <w:t xml:space="preserve">support the provision of </w:t>
      </w:r>
      <w:r w:rsidR="00EE7374" w:rsidRPr="007B5BE6">
        <w:t>a consistent response</w:t>
      </w:r>
      <w:r w:rsidR="00BD6247" w:rsidRPr="007B5BE6">
        <w:t xml:space="preserve"> overall</w:t>
      </w:r>
      <w:r w:rsidR="00203097" w:rsidRPr="007B5BE6">
        <w:t xml:space="preserve">, and reflect the policy aim behind the TLRI’s recommendations of an overarching approach to safeguarding </w:t>
      </w:r>
      <w:r w:rsidR="00916E5B" w:rsidRPr="007B5BE6">
        <w:t xml:space="preserve">older people, </w:t>
      </w:r>
      <w:r w:rsidR="001A0B06" w:rsidRPr="007B5BE6">
        <w:t>within</w:t>
      </w:r>
      <w:r w:rsidR="00916E5B" w:rsidRPr="007B5BE6">
        <w:t xml:space="preserve"> an existing overarching approach to safeguarding people with disability</w:t>
      </w:r>
      <w:r w:rsidR="00464DBB" w:rsidRPr="007B5BE6">
        <w:t xml:space="preserve">. </w:t>
      </w:r>
      <w:r w:rsidR="00430A4D" w:rsidRPr="007B5BE6">
        <w:t xml:space="preserve">However, </w:t>
      </w:r>
      <w:r w:rsidR="00464DBB" w:rsidRPr="007B5BE6">
        <w:t xml:space="preserve">the </w:t>
      </w:r>
      <w:r w:rsidR="00EE5B64" w:rsidRPr="007B5BE6">
        <w:t>appropriateness</w:t>
      </w:r>
      <w:r w:rsidR="00464DBB" w:rsidRPr="007B5BE6">
        <w:t xml:space="preserve"> of these approach</w:t>
      </w:r>
      <w:r w:rsidR="002F7ABE" w:rsidRPr="007B5BE6">
        <w:t>es</w:t>
      </w:r>
      <w:r w:rsidR="00430A4D" w:rsidRPr="007B5BE6">
        <w:t xml:space="preserve"> </w:t>
      </w:r>
      <w:r w:rsidR="00EE5B64" w:rsidRPr="007B5BE6">
        <w:t xml:space="preserve">will </w:t>
      </w:r>
      <w:r w:rsidR="00430A4D" w:rsidRPr="007B5BE6">
        <w:t xml:space="preserve">require further </w:t>
      </w:r>
      <w:r w:rsidR="008C4BC4" w:rsidRPr="007B5BE6">
        <w:t>consultations</w:t>
      </w:r>
      <w:r w:rsidR="00430A4D" w:rsidRPr="007B5BE6">
        <w:t xml:space="preserve"> with </w:t>
      </w:r>
      <w:r w:rsidR="009E5B45" w:rsidRPr="007B5BE6">
        <w:t xml:space="preserve">relevant </w:t>
      </w:r>
      <w:r w:rsidR="00430A4D" w:rsidRPr="007B5BE6">
        <w:t>stakeholders</w:t>
      </w:r>
      <w:r w:rsidR="008C4BC4" w:rsidRPr="007B5BE6">
        <w:t xml:space="preserve">. </w:t>
      </w:r>
      <w:r w:rsidR="00430A4D" w:rsidRPr="007B5BE6">
        <w:t xml:space="preserve"> </w:t>
      </w:r>
    </w:p>
    <w:p w14:paraId="07AE7A03" w14:textId="600AA94E" w:rsidR="009560E1" w:rsidRPr="007B5BE6" w:rsidRDefault="00EE5B64" w:rsidP="00DB2A96">
      <w:pPr>
        <w:pStyle w:val="NormalNumberedTextTLRI"/>
      </w:pPr>
      <w:r w:rsidRPr="007B5BE6">
        <w:t>Further, t</w:t>
      </w:r>
      <w:r w:rsidR="00710DF9" w:rsidRPr="007B5BE6">
        <w:t xml:space="preserve">he TLRI notes that </w:t>
      </w:r>
      <w:r w:rsidR="0002711E" w:rsidRPr="007B5BE6">
        <w:t xml:space="preserve">consideration </w:t>
      </w:r>
      <w:r w:rsidR="00BD6247" w:rsidRPr="007B5BE6">
        <w:t xml:space="preserve">also </w:t>
      </w:r>
      <w:r w:rsidR="0002711E" w:rsidRPr="007B5BE6">
        <w:t>needs to be given to</w:t>
      </w:r>
      <w:r w:rsidRPr="007B5BE6">
        <w:t xml:space="preserve"> the name </w:t>
      </w:r>
      <w:r w:rsidR="0002711E" w:rsidRPr="007B5BE6">
        <w:t xml:space="preserve">of </w:t>
      </w:r>
      <w:r w:rsidRPr="007B5BE6">
        <w:t>the Commissioner that provides a safeguarding function for older p</w:t>
      </w:r>
      <w:r w:rsidR="00462FB3" w:rsidRPr="007B5BE6">
        <w:t>e</w:t>
      </w:r>
      <w:r w:rsidRPr="007B5BE6">
        <w:t>ople</w:t>
      </w:r>
      <w:r w:rsidR="00462FB3" w:rsidRPr="007B5BE6">
        <w:t xml:space="preserve">. </w:t>
      </w:r>
      <w:r w:rsidR="00710DF9" w:rsidRPr="007B5BE6">
        <w:t xml:space="preserve">For the purposes of this Research Paper, the TLRI </w:t>
      </w:r>
      <w:r w:rsidR="0002711E" w:rsidRPr="007B5BE6">
        <w:t>has adopted</w:t>
      </w:r>
      <w:r w:rsidR="00710DF9" w:rsidRPr="007B5BE6">
        <w:t xml:space="preserve"> the use of the term </w:t>
      </w:r>
      <w:r w:rsidR="00EE1EDC" w:rsidRPr="007B5BE6">
        <w:t xml:space="preserve">‘Older People’ as this is used in </w:t>
      </w:r>
      <w:r w:rsidR="00195DC0" w:rsidRPr="007B5BE6">
        <w:t xml:space="preserve">the </w:t>
      </w:r>
      <w:r w:rsidR="00EE1EDC" w:rsidRPr="007B5BE6">
        <w:t xml:space="preserve">Tasmanian policy framework </w:t>
      </w:r>
      <w:r w:rsidR="007865B2" w:rsidRPr="007B5BE6">
        <w:t xml:space="preserve">and specialist services under the current responses to the abuse of older people in Tasmania. </w:t>
      </w:r>
      <w:r w:rsidR="00710DF9" w:rsidRPr="007B5BE6">
        <w:t xml:space="preserve">However, this is a matter that </w:t>
      </w:r>
      <w:r w:rsidR="0002711E" w:rsidRPr="007B5BE6">
        <w:t>will require further consultation</w:t>
      </w:r>
      <w:r w:rsidR="00710DF9" w:rsidRPr="007B5BE6">
        <w:t xml:space="preserve"> in the implementation of the </w:t>
      </w:r>
      <w:r w:rsidR="001A4068" w:rsidRPr="007B5BE6">
        <w:t xml:space="preserve">TLRI’s </w:t>
      </w:r>
      <w:r w:rsidR="00710DF9" w:rsidRPr="007B5BE6">
        <w:t>recommendations.</w:t>
      </w:r>
      <w:r w:rsidR="00D86664" w:rsidRPr="007B5BE6">
        <w:t xml:space="preserve"> </w:t>
      </w:r>
    </w:p>
    <w:p w14:paraId="6545B3A1" w14:textId="4CB5B2F0" w:rsidR="00926336" w:rsidRPr="007B5BE6" w:rsidRDefault="00753A6E" w:rsidP="00926336">
      <w:pPr>
        <w:pStyle w:val="NormalNumberedTextTLRI"/>
      </w:pPr>
      <w:r w:rsidRPr="007B5BE6">
        <w:t xml:space="preserve">In </w:t>
      </w:r>
      <w:r w:rsidR="00B913DA" w:rsidRPr="007B5BE6">
        <w:t>making these recommendation</w:t>
      </w:r>
      <w:r w:rsidR="00F01B96" w:rsidRPr="007B5BE6">
        <w:t>s</w:t>
      </w:r>
      <w:r w:rsidR="00B913DA" w:rsidRPr="007B5BE6">
        <w:t xml:space="preserve"> for a </w:t>
      </w:r>
      <w:r w:rsidR="001C74BC" w:rsidRPr="007B5BE6">
        <w:t>safeguarding</w:t>
      </w:r>
      <w:r w:rsidR="00B913DA" w:rsidRPr="007B5BE6">
        <w:t xml:space="preserve"> entity</w:t>
      </w:r>
      <w:r w:rsidR="00195DC0" w:rsidRPr="007B5BE6">
        <w:t xml:space="preserve">, with the </w:t>
      </w:r>
      <w:r w:rsidR="00780BBB" w:rsidRPr="007B5BE6">
        <w:t xml:space="preserve">safeguarding role </w:t>
      </w:r>
      <w:r w:rsidR="001B4403" w:rsidRPr="007B5BE6">
        <w:t xml:space="preserve">to be performed by a </w:t>
      </w:r>
      <w:r w:rsidR="001C74BC" w:rsidRPr="007B5BE6">
        <w:t>Commissioner</w:t>
      </w:r>
      <w:r w:rsidR="001B4403" w:rsidRPr="007B5BE6">
        <w:t xml:space="preserve"> for Older </w:t>
      </w:r>
      <w:r w:rsidR="001C74BC" w:rsidRPr="007B5BE6">
        <w:t>People, the TLRI</w:t>
      </w:r>
      <w:r w:rsidR="00F01B96" w:rsidRPr="007B5BE6">
        <w:t xml:space="preserve">’s </w:t>
      </w:r>
      <w:r w:rsidR="001C74BC" w:rsidRPr="007B5BE6">
        <w:t>view is that a mechanism for monitoring should be established as part of the devel</w:t>
      </w:r>
      <w:r w:rsidR="002E4652" w:rsidRPr="007B5BE6">
        <w:t xml:space="preserve">opment of the role. It </w:t>
      </w:r>
      <w:r w:rsidR="007F2AC1" w:rsidRPr="007B5BE6">
        <w:t xml:space="preserve">will be </w:t>
      </w:r>
      <w:r w:rsidR="002E4652" w:rsidRPr="007B5BE6">
        <w:t>important to understand the way in which the Commissioner role operates</w:t>
      </w:r>
      <w:r w:rsidR="007F2AC1" w:rsidRPr="007B5BE6">
        <w:t xml:space="preserve"> (if it were to be established)</w:t>
      </w:r>
      <w:r w:rsidR="002E4652" w:rsidRPr="007B5BE6">
        <w:t xml:space="preserve"> and, </w:t>
      </w:r>
      <w:r w:rsidR="00926336" w:rsidRPr="007B5BE6">
        <w:t xml:space="preserve">in the context of the concerns </w:t>
      </w:r>
      <w:r w:rsidR="008F2959" w:rsidRPr="007B5BE6">
        <w:t xml:space="preserve">identified in </w:t>
      </w:r>
      <w:r w:rsidR="00926336" w:rsidRPr="007B5BE6">
        <w:t xml:space="preserve">this Research Paper, whether it adequately meets the needs of older Tasmanian. It is also necessary for the Commissioner’s role to be appropriately resourced to carry out </w:t>
      </w:r>
      <w:r w:rsidR="00CC4930" w:rsidRPr="007B5BE6">
        <w:t xml:space="preserve">safeguarding </w:t>
      </w:r>
      <w:r w:rsidR="00926336" w:rsidRPr="007B5BE6">
        <w:t>functions relating to older people.</w:t>
      </w:r>
    </w:p>
    <w:p w14:paraId="06A1BE84" w14:textId="645E8B18" w:rsidR="00E55346" w:rsidRPr="007B5BE6" w:rsidRDefault="00E55346" w:rsidP="00E55346">
      <w:r w:rsidRPr="007B5BE6">
        <w:rPr>
          <w:noProof/>
        </w:rPr>
        <w:lastRenderedPageBreak/>
        <mc:AlternateContent>
          <mc:Choice Requires="wps">
            <w:drawing>
              <wp:inline distT="0" distB="0" distL="0" distR="0" wp14:anchorId="1A0B117B" wp14:editId="7BA8F34F">
                <wp:extent cx="5727065" cy="1814170"/>
                <wp:effectExtent l="0" t="0" r="6985" b="0"/>
                <wp:docPr id="47947063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814170"/>
                        </a:xfrm>
                        <a:prstGeom prst="rect">
                          <a:avLst/>
                        </a:prstGeom>
                        <a:solidFill>
                          <a:srgbClr val="E8E8E8"/>
                        </a:solidFill>
                      </wps:spPr>
                      <wps:txbx>
                        <w:txbxContent>
                          <w:p w14:paraId="2E9328E5" w14:textId="77777777" w:rsidR="008D117D" w:rsidRPr="006F2DE6" w:rsidRDefault="008D117D" w:rsidP="008D117D">
                            <w:pPr>
                              <w:pStyle w:val="RecommendationBoxHeading"/>
                            </w:pPr>
                            <w:r w:rsidRPr="006F2DE6">
                              <w:t>Recommendation 3</w:t>
                            </w:r>
                          </w:p>
                          <w:p w14:paraId="5E94B2BB" w14:textId="77777777" w:rsidR="008D117D" w:rsidRPr="006F2DE6" w:rsidRDefault="008D117D" w:rsidP="008D117D">
                            <w:pPr>
                              <w:pStyle w:val="RecommendationBoxText"/>
                            </w:pPr>
                            <w:r w:rsidRPr="006F2DE6">
                              <w:t>The approach to creating the independent statutory entity should:</w:t>
                            </w:r>
                          </w:p>
                          <w:p w14:paraId="09998C19" w14:textId="027920D7" w:rsidR="008D117D" w:rsidRPr="00C36293" w:rsidRDefault="008D117D" w:rsidP="005A71B7">
                            <w:pPr>
                              <w:pStyle w:val="RecommendationBoxText"/>
                              <w:numPr>
                                <w:ilvl w:val="0"/>
                                <w:numId w:val="26"/>
                              </w:numPr>
                            </w:pPr>
                            <w:r w:rsidRPr="00C36293">
                              <w:t>comprise a Commissioner role for older people (‘Commissioner for Older People’); and</w:t>
                            </w:r>
                          </w:p>
                          <w:p w14:paraId="4934D5CF" w14:textId="702081D7" w:rsidR="00E55346" w:rsidRPr="00352D18" w:rsidRDefault="008D117D" w:rsidP="005A71B7">
                            <w:pPr>
                              <w:pStyle w:val="RecommendationBoxText"/>
                              <w:numPr>
                                <w:ilvl w:val="0"/>
                                <w:numId w:val="26"/>
                              </w:numPr>
                            </w:pPr>
                            <w:r w:rsidRPr="00C36293">
                              <w:t>be aligned with the Disability Commissioner role by modelling the powers and functions of the Commissioner for Older People with the powers and functions of the Disability Commissioner</w:t>
                            </w:r>
                            <w:r w:rsidRPr="00C36293" w:rsidDel="00E62D7D">
                              <w:t xml:space="preserve"> </w:t>
                            </w:r>
                            <w:r w:rsidRPr="00C36293">
                              <w:t xml:space="preserve">under the </w:t>
                            </w:r>
                            <w:r w:rsidRPr="004831EB">
                              <w:rPr>
                                <w:i/>
                                <w:iCs/>
                              </w:rPr>
                              <w:t xml:space="preserve">Disability Rights, Inclusion and Safeguarding Act 2024 </w:t>
                            </w:r>
                            <w:r w:rsidRPr="00C36293">
                              <w:t xml:space="preserve">(Tas). </w:t>
                            </w:r>
                          </w:p>
                        </w:txbxContent>
                      </wps:txbx>
                      <wps:bodyPr wrap="square" lIns="0" tIns="0" rIns="0" bIns="0" rtlCol="0">
                        <a:noAutofit/>
                      </wps:bodyPr>
                    </wps:wsp>
                  </a:graphicData>
                </a:graphic>
              </wp:inline>
            </w:drawing>
          </mc:Choice>
          <mc:Fallback>
            <w:pict>
              <v:shape w14:anchorId="1A0B117B" id="_x0000_s1029" type="#_x0000_t202" style="width:450.95pt;height:14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" fillcolor="#e8e8e8" stroked="f">
                <v:textbox inset="0,0,0,0">
                  <w:txbxContent>
                    <w:p w14:paraId="2E9328E5" w14:textId="77777777" w:rsidR="008D117D" w:rsidRPr="006F2DE6" w:rsidRDefault="008D117D" w:rsidP="008D117D">
                      <w:pPr>
                        <w:pStyle w:val="RecommendationBoxHeading"/>
                      </w:pPr>
                      <w:r w:rsidRPr="006F2DE6">
                        <w:t>Recommendation 3</w:t>
                      </w:r>
                    </w:p>
                    <w:p w14:paraId="5E94B2BB" w14:textId="77777777" w:rsidR="008D117D" w:rsidRPr="006F2DE6" w:rsidRDefault="008D117D" w:rsidP="008D117D">
                      <w:pPr>
                        <w:pStyle w:val="RecommendationBoxText"/>
                      </w:pPr>
                      <w:r w:rsidRPr="006F2DE6">
                        <w:t>The approach to creating the independent statutory entity should:</w:t>
                      </w:r>
                    </w:p>
                    <w:p w14:paraId="09998C19" w14:textId="027920D7" w:rsidR="008D117D" w:rsidRPr="00C36293" w:rsidRDefault="008D117D" w:rsidP="005A71B7">
                      <w:pPr>
                        <w:pStyle w:val="RecommendationBoxText"/>
                        <w:numPr>
                          <w:ilvl w:val="0"/>
                          <w:numId w:val="26"/>
                        </w:numPr>
                      </w:pPr>
                      <w:r w:rsidRPr="00C36293">
                        <w:t>comprise a Commissioner role for older people (‘Commissioner for Older People’); and</w:t>
                      </w:r>
                    </w:p>
                    <w:p w14:paraId="4934D5CF" w14:textId="702081D7" w:rsidR="00E55346" w:rsidRPr="00352D18" w:rsidRDefault="008D117D" w:rsidP="005A71B7">
                      <w:pPr>
                        <w:pStyle w:val="RecommendationBoxText"/>
                        <w:numPr>
                          <w:ilvl w:val="0"/>
                          <w:numId w:val="26"/>
                        </w:numPr>
                      </w:pPr>
                      <w:r w:rsidRPr="00C36293">
                        <w:t>be aligned with the Disability Commissioner role by modelling the powers and functions of the Commissioner for Older People with the powers and functions of the Disability Commissioner</w:t>
                      </w:r>
                      <w:r w:rsidRPr="00C36293" w:rsidDel="00E62D7D">
                        <w:t xml:space="preserve"> </w:t>
                      </w:r>
                      <w:r w:rsidRPr="00C36293">
                        <w:t xml:space="preserve">under the </w:t>
                      </w:r>
                      <w:r w:rsidRPr="004831EB">
                        <w:rPr>
                          <w:i/>
                          <w:iCs/>
                        </w:rPr>
                        <w:t xml:space="preserve">Disability Rights, Inclusion and Safeguarding Act 2024 </w:t>
                      </w:r>
                      <w:r w:rsidRPr="00C36293">
                        <w:t xml:space="preserve">(Tas). </w:t>
                      </w:r>
                    </w:p>
                  </w:txbxContent>
                </v:textbox>
                <w10:anchorlock/>
              </v:shape>
            </w:pict>
          </mc:Fallback>
        </mc:AlternateContent>
      </w:r>
    </w:p>
    <w:p w14:paraId="035196C4" w14:textId="19E70546" w:rsidR="00697AED" w:rsidRPr="007B5BE6" w:rsidRDefault="00697AED" w:rsidP="0012465F">
      <w:pPr>
        <w:spacing w:after="200" w:line="276" w:lineRule="auto"/>
        <w:jc w:val="left"/>
        <w:rPr>
          <w:b/>
          <w:bCs/>
        </w:rPr>
      </w:pPr>
      <w:r w:rsidRPr="007B5BE6">
        <w:rPr>
          <w:noProof/>
        </w:rPr>
        <mc:AlternateContent>
          <mc:Choice Requires="wps">
            <w:drawing>
              <wp:inline distT="0" distB="0" distL="0" distR="0" wp14:anchorId="4EC2214D" wp14:editId="0F181B17">
                <wp:extent cx="5727065" cy="1214323"/>
                <wp:effectExtent l="0" t="0" r="6985" b="5080"/>
                <wp:docPr id="77544346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14323"/>
                        </a:xfrm>
                        <a:prstGeom prst="rect">
                          <a:avLst/>
                        </a:prstGeom>
                        <a:solidFill>
                          <a:srgbClr val="E8E8E8"/>
                        </a:solidFill>
                      </wps:spPr>
                      <wps:txbx>
                        <w:txbxContent>
                          <w:p w14:paraId="6F5948C7" w14:textId="77777777" w:rsidR="00697AED" w:rsidRPr="006F2DE6" w:rsidRDefault="00697AED" w:rsidP="00697AED">
                            <w:pPr>
                              <w:pStyle w:val="RecommendationBoxHeading"/>
                            </w:pPr>
                            <w:r w:rsidRPr="006F2DE6">
                              <w:t xml:space="preserve">Recommendation 4 </w:t>
                            </w:r>
                          </w:p>
                          <w:p w14:paraId="7D0741E9" w14:textId="5FD02D40" w:rsidR="00697AED" w:rsidRPr="00352D18" w:rsidRDefault="00697AED" w:rsidP="00697AED">
                            <w:pPr>
                              <w:pStyle w:val="RecommendationBoxText"/>
                            </w:pPr>
                            <w:r w:rsidRPr="006F2DE6">
                              <w:t xml:space="preserve">Consideration and development of approaches regarding the structure and operation of the Commissioner for Older People role, including its intersection with the Disability Commissioner role, should be informed by consultation with relevant stakeholders. </w:t>
                            </w:r>
                          </w:p>
                        </w:txbxContent>
                      </wps:txbx>
                      <wps:bodyPr wrap="square" lIns="0" tIns="0" rIns="0" bIns="0" rtlCol="0">
                        <a:noAutofit/>
                      </wps:bodyPr>
                    </wps:wsp>
                  </a:graphicData>
                </a:graphic>
              </wp:inline>
            </w:drawing>
          </mc:Choice>
          <mc:Fallback>
            <w:pict>
              <v:shape w14:anchorId="4EC2214D" id="_x0000_s1030" type="#_x0000_t202" style="width:450.95pt;height: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" fillcolor="#e8e8e8" stroked="f">
                <v:textbox inset="0,0,0,0">
                  <w:txbxContent>
                    <w:p w14:paraId="6F5948C7" w14:textId="77777777" w:rsidR="00697AED" w:rsidRPr="006F2DE6" w:rsidRDefault="00697AED" w:rsidP="00697AED">
                      <w:pPr>
                        <w:pStyle w:val="RecommendationBoxHeading"/>
                      </w:pPr>
                      <w:r w:rsidRPr="006F2DE6">
                        <w:t xml:space="preserve">Recommendation 4 </w:t>
                      </w:r>
                    </w:p>
                    <w:p w14:paraId="7D0741E9" w14:textId="5FD02D40" w:rsidR="00697AED" w:rsidRPr="00352D18" w:rsidRDefault="00697AED" w:rsidP="00697AED">
                      <w:pPr>
                        <w:pStyle w:val="RecommendationBoxText"/>
                      </w:pPr>
                      <w:r w:rsidRPr="006F2DE6">
                        <w:t xml:space="preserve">Consideration and development of approaches regarding the structure and operation of the Commissioner for Older People role, including its intersection with the Disability Commissioner role, should be informed by consultation with relevant stakeholders. </w:t>
                      </w:r>
                    </w:p>
                  </w:txbxContent>
                </v:textbox>
                <w10:anchorlock/>
              </v:shape>
            </w:pict>
          </mc:Fallback>
        </mc:AlternateContent>
      </w:r>
    </w:p>
    <w:p w14:paraId="2B1B66A1" w14:textId="1AF7EEC3" w:rsidR="00697AED" w:rsidRPr="007B5BE6" w:rsidRDefault="00697AED" w:rsidP="00F47205">
      <w:pPr>
        <w:pStyle w:val="RecommendationBoxText"/>
        <w:ind w:left="0"/>
        <w:rPr>
          <w:b/>
        </w:rPr>
      </w:pPr>
      <w:r w:rsidRPr="007B5BE6">
        <w:rPr>
          <w:noProof/>
        </w:rPr>
        <mc:AlternateContent>
          <mc:Choice Requires="wps">
            <w:drawing>
              <wp:inline distT="0" distB="0" distL="0" distR="0" wp14:anchorId="348F7E1D" wp14:editId="36076995">
                <wp:extent cx="5727065" cy="1009498"/>
                <wp:effectExtent l="0" t="0" r="6985" b="635"/>
                <wp:docPr id="190940561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09498"/>
                        </a:xfrm>
                        <a:prstGeom prst="rect">
                          <a:avLst/>
                        </a:prstGeom>
                        <a:solidFill>
                          <a:srgbClr val="E8E8E8"/>
                        </a:solidFill>
                      </wps:spPr>
                      <wps:txbx>
                        <w:txbxContent>
                          <w:p w14:paraId="48BB769C" w14:textId="77777777" w:rsidR="00697AED" w:rsidRPr="006F2DE6" w:rsidRDefault="00697AED" w:rsidP="00697AED">
                            <w:pPr>
                              <w:pStyle w:val="RecommendationBoxHeading"/>
                            </w:pPr>
                            <w:r w:rsidRPr="006F2DE6">
                              <w:t>Recommendation 5</w:t>
                            </w:r>
                          </w:p>
                          <w:p w14:paraId="077644C3" w14:textId="2A0B5433" w:rsidR="00697AED" w:rsidRPr="00352D18" w:rsidRDefault="00697AED" w:rsidP="00697AED">
                            <w:pPr>
                              <w:pStyle w:val="RecommendationBoxText"/>
                            </w:pPr>
                            <w:r w:rsidRPr="006F2DE6">
                              <w:t xml:space="preserve">A mechanism for monitoring the Commissioner for Older People role should be implemented to allow for any issues to be identified and any further legislative reforms made. </w:t>
                            </w:r>
                          </w:p>
                        </w:txbxContent>
                      </wps:txbx>
                      <wps:bodyPr wrap="square" lIns="0" tIns="0" rIns="0" bIns="0" rtlCol="0">
                        <a:noAutofit/>
                      </wps:bodyPr>
                    </wps:wsp>
                  </a:graphicData>
                </a:graphic>
              </wp:inline>
            </w:drawing>
          </mc:Choice>
          <mc:Fallback>
            <w:pict>
              <v:shape w14:anchorId="348F7E1D" id="_x0000_s1031" type="#_x0000_t202" style="width:450.9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" fillcolor="#e8e8e8" stroked="f">
                <v:textbox inset="0,0,0,0">
                  <w:txbxContent>
                    <w:p w14:paraId="48BB769C" w14:textId="77777777" w:rsidR="00697AED" w:rsidRPr="006F2DE6" w:rsidRDefault="00697AED" w:rsidP="00697AED">
                      <w:pPr>
                        <w:pStyle w:val="RecommendationBoxHeading"/>
                      </w:pPr>
                      <w:r w:rsidRPr="006F2DE6">
                        <w:t>Recommendation 5</w:t>
                      </w:r>
                    </w:p>
                    <w:p w14:paraId="077644C3" w14:textId="2A0B5433" w:rsidR="00697AED" w:rsidRPr="00352D18" w:rsidRDefault="00697AED" w:rsidP="00697AED">
                      <w:pPr>
                        <w:pStyle w:val="RecommendationBoxText"/>
                      </w:pPr>
                      <w:r w:rsidRPr="006F2DE6">
                        <w:t xml:space="preserve">A mechanism for monitoring the Commissioner for Older People role should be implemented to allow for any issues to be identified and any further legislative reforms made. </w:t>
                      </w:r>
                    </w:p>
                  </w:txbxContent>
                </v:textbox>
                <w10:anchorlock/>
              </v:shape>
            </w:pict>
          </mc:Fallback>
        </mc:AlternateContent>
      </w:r>
    </w:p>
    <w:p w14:paraId="33F0CA93" w14:textId="4698CFD0" w:rsidR="00E14815" w:rsidRPr="007B5BE6" w:rsidRDefault="00697AED" w:rsidP="00AE0CF4">
      <w:pPr>
        <w:pStyle w:val="NormalNumberedTextTLRI"/>
        <w:numPr>
          <w:ilvl w:val="0"/>
          <w:numId w:val="0"/>
        </w:numPr>
        <w:rPr>
          <w:b/>
          <w:bCs/>
        </w:rPr>
      </w:pPr>
      <w:r w:rsidRPr="007B5BE6">
        <w:rPr>
          <w:b/>
          <w:i/>
          <w:noProof/>
        </w:rPr>
        <mc:AlternateContent>
          <mc:Choice Requires="wps">
            <w:drawing>
              <wp:inline distT="0" distB="0" distL="0" distR="0" wp14:anchorId="6639B0EC" wp14:editId="4E454339">
                <wp:extent cx="5727065" cy="1009498"/>
                <wp:effectExtent l="0" t="0" r="6985" b="635"/>
                <wp:docPr id="1513298158"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09498"/>
                        </a:xfrm>
                        <a:prstGeom prst="rect">
                          <a:avLst/>
                        </a:prstGeom>
                        <a:solidFill>
                          <a:srgbClr val="E8E8E8"/>
                        </a:solidFill>
                      </wps:spPr>
                      <wps:txbx>
                        <w:txbxContent>
                          <w:p w14:paraId="73AEEC45" w14:textId="77777777" w:rsidR="00697AED" w:rsidRPr="006F2DE6" w:rsidRDefault="00697AED" w:rsidP="00697AED">
                            <w:pPr>
                              <w:pStyle w:val="RecommendationBoxHeading"/>
                            </w:pPr>
                            <w:r w:rsidRPr="006F2DE6">
                              <w:t>Recommendation 6</w:t>
                            </w:r>
                          </w:p>
                          <w:p w14:paraId="24BC4743" w14:textId="0A195C14" w:rsidR="00697AED" w:rsidRPr="00352D18" w:rsidRDefault="00697AED" w:rsidP="004831EB">
                            <w:pPr>
                              <w:pStyle w:val="RecommendationBoxText"/>
                            </w:pPr>
                            <w:r w:rsidRPr="006F2DE6">
                              <w:t>The Commissioner for Older People role should be appropriately resourced to allow for the Commissioner to carry out</w:t>
                            </w:r>
                            <w:r>
                              <w:t xml:space="preserve"> </w:t>
                            </w:r>
                            <w:r w:rsidRPr="006F2DE6">
                              <w:t xml:space="preserve">functions relating to </w:t>
                            </w:r>
                            <w:r>
                              <w:t xml:space="preserve">safeguarding for </w:t>
                            </w:r>
                            <w:r w:rsidRPr="006F2DE6">
                              <w:t>older people.</w:t>
                            </w:r>
                          </w:p>
                        </w:txbxContent>
                      </wps:txbx>
                      <wps:bodyPr wrap="square" lIns="0" tIns="0" rIns="0" bIns="0" rtlCol="0">
                        <a:noAutofit/>
                      </wps:bodyPr>
                    </wps:wsp>
                  </a:graphicData>
                </a:graphic>
              </wp:inline>
            </w:drawing>
          </mc:Choice>
          <mc:Fallback>
            <w:pict>
              <v:shape w14:anchorId="6639B0EC" id="_x0000_s1032" type="#_x0000_t202" style="width:450.9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" fillcolor="#e8e8e8" stroked="f">
                <v:textbox inset="0,0,0,0">
                  <w:txbxContent>
                    <w:p w14:paraId="73AEEC45" w14:textId="77777777" w:rsidR="00697AED" w:rsidRPr="006F2DE6" w:rsidRDefault="00697AED" w:rsidP="00697AED">
                      <w:pPr>
                        <w:pStyle w:val="RecommendationBoxHeading"/>
                      </w:pPr>
                      <w:r w:rsidRPr="006F2DE6">
                        <w:t>Recommendation 6</w:t>
                      </w:r>
                    </w:p>
                    <w:p w14:paraId="24BC4743" w14:textId="0A195C14" w:rsidR="00697AED" w:rsidRPr="00352D18" w:rsidRDefault="00697AED" w:rsidP="004831EB">
                      <w:pPr>
                        <w:pStyle w:val="RecommendationBoxText"/>
                      </w:pPr>
                      <w:r w:rsidRPr="006F2DE6">
                        <w:t>The Commissioner for Older People role should be appropriately resourced to allow for the Commissioner to carry out</w:t>
                      </w:r>
                      <w:r>
                        <w:t xml:space="preserve"> </w:t>
                      </w:r>
                      <w:r w:rsidRPr="006F2DE6">
                        <w:t xml:space="preserve">functions relating to </w:t>
                      </w:r>
                      <w:r>
                        <w:t xml:space="preserve">safeguarding for </w:t>
                      </w:r>
                      <w:r w:rsidRPr="006F2DE6">
                        <w:t>older people.</w:t>
                      </w:r>
                    </w:p>
                  </w:txbxContent>
                </v:textbox>
                <w10:anchorlock/>
              </v:shape>
            </w:pict>
          </mc:Fallback>
        </mc:AlternateContent>
      </w:r>
    </w:p>
    <w:p w14:paraId="77FF5E29" w14:textId="11DADF56" w:rsidR="001F53D9" w:rsidRPr="007B5BE6" w:rsidRDefault="001F53D9" w:rsidP="00AE2D56">
      <w:pPr>
        <w:pStyle w:val="Sub-HeadingTLRI"/>
        <w:spacing w:before="360"/>
      </w:pPr>
      <w:bookmarkStart w:id="588" w:name="_Toc212561798"/>
      <w:r w:rsidRPr="007B5BE6">
        <w:t>Coverage of safeguarding legislation</w:t>
      </w:r>
      <w:bookmarkEnd w:id="588"/>
    </w:p>
    <w:p w14:paraId="1ACC5298" w14:textId="6DF90EB9" w:rsidR="001F53D9" w:rsidRPr="007B5BE6" w:rsidRDefault="00993CE3" w:rsidP="001F53D9">
      <w:pPr>
        <w:numPr>
          <w:ilvl w:val="2"/>
          <w:numId w:val="2"/>
        </w:numPr>
        <w:tabs>
          <w:tab w:val="left" w:pos="851"/>
        </w:tabs>
        <w:spacing w:before="220"/>
        <w:rPr>
          <w:rFonts w:eastAsia="Times" w:cs="Times New Roman"/>
          <w:szCs w:val="20"/>
        </w:rPr>
      </w:pPr>
      <w:r w:rsidRPr="007B5BE6">
        <w:rPr>
          <w:rFonts w:eastAsia="Times" w:cs="Times New Roman"/>
          <w:szCs w:val="20"/>
        </w:rPr>
        <w:t>C</w:t>
      </w:r>
      <w:r w:rsidR="00D8057B" w:rsidRPr="007B5BE6">
        <w:rPr>
          <w:rFonts w:eastAsia="Times" w:cs="Times New Roman"/>
          <w:szCs w:val="20"/>
        </w:rPr>
        <w:t>onsider</w:t>
      </w:r>
      <w:r w:rsidR="00735A8C" w:rsidRPr="007B5BE6">
        <w:rPr>
          <w:rFonts w:eastAsia="Times" w:cs="Times New Roman"/>
          <w:szCs w:val="20"/>
        </w:rPr>
        <w:t>ation needs to be given to</w:t>
      </w:r>
      <w:r w:rsidR="00D8057B" w:rsidRPr="007B5BE6">
        <w:rPr>
          <w:rFonts w:eastAsia="Times" w:cs="Times New Roman"/>
          <w:szCs w:val="20"/>
        </w:rPr>
        <w:t xml:space="preserve"> </w:t>
      </w:r>
      <w:r w:rsidR="001F53D9" w:rsidRPr="007B5BE6">
        <w:rPr>
          <w:rFonts w:eastAsia="Times" w:cs="Times New Roman"/>
          <w:szCs w:val="20"/>
        </w:rPr>
        <w:t xml:space="preserve">who would be covered by </w:t>
      </w:r>
      <w:r w:rsidR="00D8057B" w:rsidRPr="007B5BE6">
        <w:rPr>
          <w:rFonts w:eastAsia="Times" w:cs="Times New Roman"/>
          <w:szCs w:val="20"/>
        </w:rPr>
        <w:t xml:space="preserve">the </w:t>
      </w:r>
      <w:r w:rsidR="001F53D9" w:rsidRPr="007B5BE6">
        <w:rPr>
          <w:rFonts w:eastAsia="Times" w:cs="Times New Roman"/>
          <w:szCs w:val="20"/>
        </w:rPr>
        <w:t>new safeguarding legislation</w:t>
      </w:r>
      <w:r w:rsidR="004204FD" w:rsidRPr="007B5BE6">
        <w:rPr>
          <w:rFonts w:eastAsia="Times" w:cs="Times New Roman"/>
          <w:szCs w:val="20"/>
        </w:rPr>
        <w:t xml:space="preserve"> </w:t>
      </w:r>
      <w:r w:rsidR="0068646E" w:rsidRPr="007B5BE6">
        <w:rPr>
          <w:rFonts w:eastAsia="Times" w:cs="Times New Roman"/>
          <w:szCs w:val="20"/>
        </w:rPr>
        <w:t>covered by the</w:t>
      </w:r>
      <w:r w:rsidR="004204FD" w:rsidRPr="007B5BE6">
        <w:rPr>
          <w:rFonts w:eastAsia="Times" w:cs="Times New Roman"/>
          <w:szCs w:val="20"/>
        </w:rPr>
        <w:t xml:space="preserve"> Commissioner </w:t>
      </w:r>
      <w:r w:rsidR="0068646E" w:rsidRPr="007B5BE6">
        <w:rPr>
          <w:rFonts w:eastAsia="Times" w:cs="Times New Roman"/>
          <w:szCs w:val="20"/>
        </w:rPr>
        <w:t xml:space="preserve">for </w:t>
      </w:r>
      <w:r w:rsidR="00210936" w:rsidRPr="007B5BE6">
        <w:rPr>
          <w:rFonts w:eastAsia="Times" w:cs="Times New Roman"/>
          <w:szCs w:val="20"/>
        </w:rPr>
        <w:t>Older People</w:t>
      </w:r>
      <w:r w:rsidR="00F92341" w:rsidRPr="007B5BE6">
        <w:rPr>
          <w:rFonts w:eastAsia="Times" w:cs="Times New Roman"/>
          <w:szCs w:val="20"/>
        </w:rPr>
        <w:t>.</w:t>
      </w:r>
      <w:r w:rsidR="001F53D9" w:rsidRPr="007B5BE6">
        <w:rPr>
          <w:rFonts w:eastAsia="Times" w:cs="Times New Roman"/>
          <w:szCs w:val="20"/>
        </w:rPr>
        <w:t xml:space="preserve"> </w:t>
      </w:r>
    </w:p>
    <w:p w14:paraId="5024905C" w14:textId="661894F0" w:rsidR="00FC67F9" w:rsidRPr="007B5BE6" w:rsidRDefault="00597AF5" w:rsidP="001F53D9">
      <w:pPr>
        <w:numPr>
          <w:ilvl w:val="2"/>
          <w:numId w:val="2"/>
        </w:numPr>
        <w:tabs>
          <w:tab w:val="left" w:pos="851"/>
        </w:tabs>
        <w:spacing w:before="220"/>
        <w:rPr>
          <w:rFonts w:eastAsia="Times" w:cs="Times New Roman"/>
          <w:szCs w:val="20"/>
        </w:rPr>
      </w:pPr>
      <w:r w:rsidRPr="007B5BE6">
        <w:rPr>
          <w:rFonts w:eastAsia="Times" w:cs="Times New Roman"/>
          <w:szCs w:val="20"/>
        </w:rPr>
        <w:t>T</w:t>
      </w:r>
      <w:r w:rsidR="001857AB" w:rsidRPr="007B5BE6">
        <w:rPr>
          <w:rFonts w:eastAsia="Times" w:cs="Times New Roman"/>
          <w:szCs w:val="20"/>
        </w:rPr>
        <w:t>here is no consensus within Australia (as well as in England, Scotland, Wales and Northern Ireland) about the appropriate</w:t>
      </w:r>
      <w:r w:rsidRPr="007B5BE6">
        <w:rPr>
          <w:rFonts w:eastAsia="Times" w:cs="Times New Roman"/>
          <w:szCs w:val="20"/>
        </w:rPr>
        <w:t xml:space="preserve"> scope of</w:t>
      </w:r>
      <w:r w:rsidR="001857AB" w:rsidRPr="007B5BE6">
        <w:rPr>
          <w:rFonts w:eastAsia="Times" w:cs="Times New Roman"/>
          <w:szCs w:val="20"/>
        </w:rPr>
        <w:t xml:space="preserve"> safeguarding</w:t>
      </w:r>
      <w:r w:rsidR="006533E7" w:rsidRPr="007B5BE6">
        <w:rPr>
          <w:rFonts w:eastAsia="Times" w:cs="Times New Roman"/>
          <w:szCs w:val="20"/>
        </w:rPr>
        <w:t xml:space="preserve"> legislation</w:t>
      </w:r>
      <w:r w:rsidR="001857AB" w:rsidRPr="007B5BE6">
        <w:rPr>
          <w:rFonts w:eastAsia="Times" w:cs="Times New Roman"/>
          <w:szCs w:val="20"/>
        </w:rPr>
        <w:t>.</w:t>
      </w:r>
      <w:r w:rsidR="001857AB" w:rsidRPr="007B5BE6">
        <w:rPr>
          <w:rStyle w:val="FootnoteReference"/>
          <w:rFonts w:eastAsia="Times" w:cs="Times New Roman"/>
          <w:szCs w:val="20"/>
        </w:rPr>
        <w:footnoteReference w:id="571"/>
      </w:r>
      <w:r w:rsidR="001857AB" w:rsidRPr="007B5BE6">
        <w:rPr>
          <w:rFonts w:eastAsia="Times" w:cs="Times New Roman"/>
          <w:szCs w:val="20"/>
        </w:rPr>
        <w:t xml:space="preserve"> </w:t>
      </w:r>
      <w:r w:rsidR="00D35903" w:rsidRPr="007B5BE6">
        <w:rPr>
          <w:rFonts w:eastAsia="Times" w:cs="Times New Roman"/>
          <w:szCs w:val="20"/>
        </w:rPr>
        <w:t xml:space="preserve">Different </w:t>
      </w:r>
      <w:r w:rsidR="00FA6901" w:rsidRPr="007B5BE6">
        <w:rPr>
          <w:rFonts w:eastAsia="Times" w:cs="Times New Roman"/>
          <w:szCs w:val="20"/>
        </w:rPr>
        <w:t>jurisdictions</w:t>
      </w:r>
      <w:r w:rsidR="00D35903" w:rsidRPr="007B5BE6">
        <w:rPr>
          <w:rFonts w:eastAsia="Times" w:cs="Times New Roman"/>
          <w:szCs w:val="20"/>
        </w:rPr>
        <w:t xml:space="preserve"> have taken </w:t>
      </w:r>
      <w:r w:rsidR="00FA6901" w:rsidRPr="007B5BE6">
        <w:rPr>
          <w:rFonts w:eastAsia="Times" w:cs="Times New Roman"/>
          <w:szCs w:val="20"/>
        </w:rPr>
        <w:t xml:space="preserve">different approaches based on whether or not </w:t>
      </w:r>
      <w:r w:rsidR="00AE648F" w:rsidRPr="007B5BE6">
        <w:rPr>
          <w:rFonts w:eastAsia="Times" w:cs="Times New Roman"/>
          <w:szCs w:val="20"/>
        </w:rPr>
        <w:t xml:space="preserve">the safeguarding legislation is of general application (for example, all adults who </w:t>
      </w:r>
      <w:r w:rsidR="00F31F8E" w:rsidRPr="007B5BE6">
        <w:rPr>
          <w:rFonts w:eastAsia="Times" w:cs="Times New Roman"/>
          <w:szCs w:val="20"/>
        </w:rPr>
        <w:t>are</w:t>
      </w:r>
      <w:r w:rsidR="00AE648F" w:rsidRPr="007B5BE6">
        <w:rPr>
          <w:rFonts w:eastAsia="Times" w:cs="Times New Roman"/>
          <w:szCs w:val="20"/>
        </w:rPr>
        <w:t xml:space="preserve"> </w:t>
      </w:r>
      <w:r w:rsidR="000757B8" w:rsidRPr="007B5BE6">
        <w:rPr>
          <w:rFonts w:eastAsia="Times" w:cs="Times New Roman"/>
          <w:szCs w:val="20"/>
        </w:rPr>
        <w:t>‘</w:t>
      </w:r>
      <w:r w:rsidR="00AE648F" w:rsidRPr="007B5BE6">
        <w:rPr>
          <w:rFonts w:eastAsia="Times" w:cs="Times New Roman"/>
          <w:szCs w:val="20"/>
        </w:rPr>
        <w:t>vulnerable</w:t>
      </w:r>
      <w:r w:rsidR="000757B8" w:rsidRPr="007B5BE6">
        <w:rPr>
          <w:rFonts w:eastAsia="Times" w:cs="Times New Roman"/>
          <w:szCs w:val="20"/>
        </w:rPr>
        <w:t>’</w:t>
      </w:r>
      <w:r w:rsidR="00B3103B" w:rsidRPr="007B5BE6">
        <w:rPr>
          <w:rFonts w:eastAsia="Times" w:cs="Times New Roman"/>
          <w:szCs w:val="20"/>
        </w:rPr>
        <w:t xml:space="preserve"> for reasons</w:t>
      </w:r>
      <w:r w:rsidR="00232701" w:rsidRPr="007B5BE6">
        <w:rPr>
          <w:rFonts w:eastAsia="Times" w:cs="Times New Roman"/>
          <w:szCs w:val="20"/>
        </w:rPr>
        <w:t xml:space="preserve"> identified in the legislation</w:t>
      </w:r>
      <w:r w:rsidR="00B3103B" w:rsidRPr="007B5BE6">
        <w:rPr>
          <w:rFonts w:eastAsia="Times" w:cs="Times New Roman"/>
          <w:szCs w:val="20"/>
        </w:rPr>
        <w:t xml:space="preserve">) or if the legislation </w:t>
      </w:r>
      <w:r w:rsidR="00857FF7" w:rsidRPr="007B5BE6">
        <w:rPr>
          <w:rFonts w:eastAsia="Times" w:cs="Times New Roman"/>
          <w:szCs w:val="20"/>
        </w:rPr>
        <w:t>is focused on providing a safeguarding</w:t>
      </w:r>
      <w:r w:rsidR="00B3103B" w:rsidRPr="007B5BE6">
        <w:rPr>
          <w:rFonts w:eastAsia="Times" w:cs="Times New Roman"/>
          <w:szCs w:val="20"/>
        </w:rPr>
        <w:t xml:space="preserve"> </w:t>
      </w:r>
      <w:r w:rsidR="00993CE3" w:rsidRPr="007B5BE6">
        <w:rPr>
          <w:rFonts w:eastAsia="Times" w:cs="Times New Roman"/>
          <w:szCs w:val="20"/>
        </w:rPr>
        <w:t xml:space="preserve">function </w:t>
      </w:r>
      <w:r w:rsidR="00B3103B" w:rsidRPr="007B5BE6">
        <w:rPr>
          <w:rFonts w:eastAsia="Times" w:cs="Times New Roman"/>
          <w:szCs w:val="20"/>
        </w:rPr>
        <w:t xml:space="preserve">to a particular group of </w:t>
      </w:r>
      <w:r w:rsidR="00857FF7" w:rsidRPr="007B5BE6">
        <w:rPr>
          <w:rFonts w:eastAsia="Times" w:cs="Times New Roman"/>
          <w:szCs w:val="20"/>
        </w:rPr>
        <w:t>people (for example older people or people with disability)</w:t>
      </w:r>
      <w:r w:rsidR="00AB080C" w:rsidRPr="007B5BE6">
        <w:rPr>
          <w:rFonts w:eastAsia="Times" w:cs="Times New Roman"/>
          <w:szCs w:val="20"/>
        </w:rPr>
        <w:t>.</w:t>
      </w:r>
      <w:r w:rsidR="00857FF7" w:rsidRPr="007B5BE6">
        <w:rPr>
          <w:rFonts w:eastAsia="Times" w:cs="Times New Roman"/>
          <w:szCs w:val="20"/>
        </w:rPr>
        <w:t xml:space="preserve"> </w:t>
      </w:r>
      <w:r w:rsidR="00A27C48" w:rsidRPr="007B5BE6">
        <w:rPr>
          <w:rFonts w:eastAsia="Times" w:cs="Times New Roman"/>
          <w:szCs w:val="20"/>
        </w:rPr>
        <w:t xml:space="preserve">In jurisdictions </w:t>
      </w:r>
      <w:r w:rsidR="001F0F69" w:rsidRPr="007B5BE6">
        <w:rPr>
          <w:rFonts w:eastAsia="Times" w:cs="Times New Roman"/>
          <w:szCs w:val="20"/>
        </w:rPr>
        <w:t>that have</w:t>
      </w:r>
      <w:r w:rsidR="00A27C48" w:rsidRPr="007B5BE6">
        <w:rPr>
          <w:rFonts w:eastAsia="Times" w:cs="Times New Roman"/>
          <w:szCs w:val="20"/>
        </w:rPr>
        <w:t xml:space="preserve"> a </w:t>
      </w:r>
      <w:r w:rsidR="00DD1AE7" w:rsidRPr="007B5BE6">
        <w:rPr>
          <w:rFonts w:eastAsia="Times" w:cs="Times New Roman"/>
          <w:szCs w:val="20"/>
        </w:rPr>
        <w:t xml:space="preserve">broader safeguarding mechanism, the legislation </w:t>
      </w:r>
      <w:r w:rsidR="009724C1" w:rsidRPr="007B5BE6">
        <w:rPr>
          <w:rFonts w:eastAsia="Times" w:cs="Times New Roman"/>
          <w:szCs w:val="20"/>
        </w:rPr>
        <w:t xml:space="preserve">limits scope by additional factors of </w:t>
      </w:r>
      <w:r w:rsidR="005B1A5D" w:rsidRPr="007B5BE6">
        <w:rPr>
          <w:rFonts w:eastAsia="Times" w:cs="Times New Roman"/>
          <w:szCs w:val="20"/>
        </w:rPr>
        <w:t xml:space="preserve">vulnerability, in contrast to </w:t>
      </w:r>
      <w:r w:rsidR="00646360" w:rsidRPr="007B5BE6">
        <w:rPr>
          <w:rFonts w:eastAsia="Times" w:cs="Times New Roman"/>
          <w:szCs w:val="20"/>
        </w:rPr>
        <w:t xml:space="preserve">other </w:t>
      </w:r>
      <w:r w:rsidR="005B1A5D" w:rsidRPr="007B5BE6">
        <w:rPr>
          <w:rFonts w:eastAsia="Times" w:cs="Times New Roman"/>
          <w:szCs w:val="20"/>
        </w:rPr>
        <w:t xml:space="preserve">jurisdictions where </w:t>
      </w:r>
      <w:r w:rsidR="00813F27" w:rsidRPr="007B5BE6">
        <w:rPr>
          <w:rFonts w:eastAsia="Times" w:cs="Times New Roman"/>
          <w:szCs w:val="20"/>
        </w:rPr>
        <w:t xml:space="preserve">legislation </w:t>
      </w:r>
      <w:r w:rsidR="00646360" w:rsidRPr="007B5BE6">
        <w:rPr>
          <w:rFonts w:eastAsia="Times" w:cs="Times New Roman"/>
          <w:szCs w:val="20"/>
        </w:rPr>
        <w:t xml:space="preserve">that includes safeguarding provisions </w:t>
      </w:r>
      <w:r w:rsidR="00813F27" w:rsidRPr="007B5BE6">
        <w:rPr>
          <w:rFonts w:eastAsia="Times" w:cs="Times New Roman"/>
          <w:szCs w:val="20"/>
        </w:rPr>
        <w:t xml:space="preserve">is of more limited application. Approaches </w:t>
      </w:r>
      <w:r w:rsidR="008F34CB" w:rsidRPr="007B5BE6">
        <w:rPr>
          <w:rFonts w:eastAsia="Times" w:cs="Times New Roman"/>
          <w:szCs w:val="20"/>
        </w:rPr>
        <w:t xml:space="preserve">that </w:t>
      </w:r>
      <w:r w:rsidR="00AB080C" w:rsidRPr="007B5BE6">
        <w:rPr>
          <w:rFonts w:eastAsia="Times" w:cs="Times New Roman"/>
          <w:szCs w:val="20"/>
        </w:rPr>
        <w:t xml:space="preserve">can be </w:t>
      </w:r>
      <w:r w:rsidR="00C36215" w:rsidRPr="007B5BE6">
        <w:rPr>
          <w:rFonts w:eastAsia="Times" w:cs="Times New Roman"/>
          <w:szCs w:val="20"/>
        </w:rPr>
        <w:t>identified</w:t>
      </w:r>
      <w:r w:rsidR="00CA3619" w:rsidRPr="007B5BE6">
        <w:rPr>
          <w:rFonts w:eastAsia="Times" w:cs="Times New Roman"/>
          <w:szCs w:val="20"/>
        </w:rPr>
        <w:t xml:space="preserve"> include</w:t>
      </w:r>
      <w:r w:rsidR="00D853C1" w:rsidRPr="007B5BE6">
        <w:rPr>
          <w:rFonts w:eastAsia="Times" w:cs="Times New Roman"/>
          <w:szCs w:val="20"/>
        </w:rPr>
        <w:t>:</w:t>
      </w:r>
    </w:p>
    <w:p w14:paraId="2AAA750E" w14:textId="534D0245" w:rsidR="00FC67F9" w:rsidRPr="007B5BE6" w:rsidRDefault="00B85EA2" w:rsidP="00FC67F9">
      <w:pPr>
        <w:pStyle w:val="DotPointTLRI"/>
        <w:rPr>
          <w:rFonts w:eastAsia="Times"/>
        </w:rPr>
      </w:pPr>
      <w:r w:rsidRPr="007B5BE6">
        <w:rPr>
          <w:rFonts w:eastAsia="Times"/>
          <w:b/>
        </w:rPr>
        <w:t xml:space="preserve">Approach </w:t>
      </w:r>
      <w:r w:rsidR="00FC67F9" w:rsidRPr="007B5BE6">
        <w:rPr>
          <w:rFonts w:eastAsia="Times"/>
          <w:b/>
        </w:rPr>
        <w:t>1</w:t>
      </w:r>
      <w:r w:rsidR="00C25BD4" w:rsidRPr="007B5BE6">
        <w:rPr>
          <w:rFonts w:eastAsia="Times"/>
          <w:b/>
        </w:rPr>
        <w:t>:</w:t>
      </w:r>
      <w:r w:rsidR="00FC67F9" w:rsidRPr="007B5BE6">
        <w:rPr>
          <w:rFonts w:eastAsia="Times"/>
        </w:rPr>
        <w:t xml:space="preserve"> </w:t>
      </w:r>
      <w:r w:rsidR="005A6971" w:rsidRPr="007B5BE6">
        <w:rPr>
          <w:rFonts w:eastAsia="Times"/>
          <w:szCs w:val="20"/>
        </w:rPr>
        <w:t xml:space="preserve">Legislation is confined in its scope to </w:t>
      </w:r>
      <w:r w:rsidR="002F2E8E" w:rsidRPr="007B5BE6">
        <w:rPr>
          <w:rFonts w:eastAsia="Times"/>
          <w:szCs w:val="20"/>
        </w:rPr>
        <w:t>‘</w:t>
      </w:r>
      <w:r w:rsidR="005A6971" w:rsidRPr="007B5BE6">
        <w:rPr>
          <w:rFonts w:eastAsia="Times"/>
          <w:szCs w:val="20"/>
        </w:rPr>
        <w:t>o</w:t>
      </w:r>
      <w:r w:rsidR="001A33BD" w:rsidRPr="007B5BE6">
        <w:rPr>
          <w:rFonts w:eastAsia="Times"/>
          <w:szCs w:val="20"/>
        </w:rPr>
        <w:t>lder people</w:t>
      </w:r>
      <w:r w:rsidR="002F2E8E" w:rsidRPr="007B5BE6">
        <w:rPr>
          <w:rFonts w:eastAsia="Times"/>
          <w:szCs w:val="20"/>
        </w:rPr>
        <w:t>’</w:t>
      </w:r>
      <w:r w:rsidR="001A33BD" w:rsidRPr="007B5BE6">
        <w:rPr>
          <w:rFonts w:eastAsia="Times"/>
          <w:szCs w:val="20"/>
        </w:rPr>
        <w:t xml:space="preserve"> </w:t>
      </w:r>
      <w:r w:rsidR="00BD139F" w:rsidRPr="007B5BE6">
        <w:rPr>
          <w:rFonts w:eastAsia="Times"/>
          <w:szCs w:val="20"/>
        </w:rPr>
        <w:t xml:space="preserve">(and </w:t>
      </w:r>
      <w:r w:rsidR="00845385" w:rsidRPr="007B5BE6">
        <w:rPr>
          <w:rFonts w:eastAsia="Times"/>
          <w:szCs w:val="20"/>
        </w:rPr>
        <w:t>people</w:t>
      </w:r>
      <w:r w:rsidR="00BD139F" w:rsidRPr="007B5BE6">
        <w:rPr>
          <w:rFonts w:eastAsia="Times"/>
          <w:szCs w:val="20"/>
        </w:rPr>
        <w:t xml:space="preserve"> </w:t>
      </w:r>
      <w:r w:rsidR="00845385" w:rsidRPr="007B5BE6">
        <w:rPr>
          <w:rFonts w:eastAsia="Times"/>
          <w:szCs w:val="20"/>
        </w:rPr>
        <w:t>w</w:t>
      </w:r>
      <w:r w:rsidR="00BD139F" w:rsidRPr="007B5BE6">
        <w:rPr>
          <w:rFonts w:eastAsia="Times"/>
          <w:szCs w:val="20"/>
        </w:rPr>
        <w:t>ith disability)</w:t>
      </w:r>
      <w:r w:rsidR="002F2E8E" w:rsidRPr="007B5BE6">
        <w:rPr>
          <w:rFonts w:eastAsia="Times"/>
          <w:szCs w:val="20"/>
        </w:rPr>
        <w:t xml:space="preserve">, </w:t>
      </w:r>
      <w:r w:rsidR="004E5EA8" w:rsidRPr="007B5BE6">
        <w:rPr>
          <w:rFonts w:eastAsia="Times"/>
          <w:szCs w:val="20"/>
        </w:rPr>
        <w:t>with ‘</w:t>
      </w:r>
      <w:r w:rsidR="00845385" w:rsidRPr="007B5BE6">
        <w:rPr>
          <w:rFonts w:eastAsia="Times"/>
          <w:szCs w:val="20"/>
        </w:rPr>
        <w:t>older people</w:t>
      </w:r>
      <w:r w:rsidR="004E5EA8" w:rsidRPr="007B5BE6">
        <w:rPr>
          <w:rFonts w:eastAsia="Times"/>
          <w:szCs w:val="20"/>
        </w:rPr>
        <w:t>’</w:t>
      </w:r>
      <w:r w:rsidR="00845385" w:rsidRPr="007B5BE6">
        <w:rPr>
          <w:rFonts w:eastAsia="Times"/>
          <w:szCs w:val="20"/>
        </w:rPr>
        <w:t xml:space="preserve"> </w:t>
      </w:r>
      <w:r w:rsidR="001A33BD" w:rsidRPr="007B5BE6">
        <w:rPr>
          <w:rFonts w:eastAsia="Times"/>
          <w:szCs w:val="20"/>
        </w:rPr>
        <w:t xml:space="preserve">defined by </w:t>
      </w:r>
      <w:r w:rsidR="00845385" w:rsidRPr="007B5BE6">
        <w:rPr>
          <w:rFonts w:eastAsia="Times"/>
          <w:szCs w:val="20"/>
        </w:rPr>
        <w:t xml:space="preserve">a specific </w:t>
      </w:r>
      <w:r w:rsidR="001A33BD" w:rsidRPr="007B5BE6">
        <w:rPr>
          <w:rFonts w:eastAsia="Times"/>
          <w:szCs w:val="20"/>
        </w:rPr>
        <w:t>age. This is the approach i</w:t>
      </w:r>
      <w:r w:rsidR="002B0971" w:rsidRPr="007B5BE6">
        <w:rPr>
          <w:rFonts w:eastAsia="Times"/>
          <w:szCs w:val="20"/>
        </w:rPr>
        <w:t xml:space="preserve">n </w:t>
      </w:r>
      <w:r w:rsidR="002F2E8E" w:rsidRPr="007B5BE6">
        <w:rPr>
          <w:rFonts w:eastAsia="Times"/>
          <w:szCs w:val="20"/>
        </w:rPr>
        <w:t>NSW</w:t>
      </w:r>
      <w:r w:rsidR="002B0971" w:rsidRPr="007B5BE6">
        <w:rPr>
          <w:rFonts w:eastAsia="Times"/>
          <w:szCs w:val="20"/>
        </w:rPr>
        <w:t xml:space="preserve">, where the </w:t>
      </w:r>
      <w:r w:rsidR="002B0971" w:rsidRPr="007B5BE6">
        <w:rPr>
          <w:rFonts w:eastAsia="Times"/>
          <w:szCs w:val="20"/>
        </w:rPr>
        <w:lastRenderedPageBreak/>
        <w:t xml:space="preserve">safeguarding legislation relates to </w:t>
      </w:r>
      <w:r w:rsidR="00F03307" w:rsidRPr="007B5BE6">
        <w:rPr>
          <w:rFonts w:eastAsia="Times"/>
          <w:szCs w:val="20"/>
        </w:rPr>
        <w:t xml:space="preserve">protected adults defined as </w:t>
      </w:r>
      <w:r w:rsidR="00991BB1" w:rsidRPr="007B5BE6">
        <w:rPr>
          <w:rFonts w:eastAsia="Times"/>
          <w:szCs w:val="20"/>
        </w:rPr>
        <w:t>‘</w:t>
      </w:r>
      <w:r w:rsidR="00033C9E" w:rsidRPr="007B5BE6">
        <w:rPr>
          <w:rFonts w:eastAsia="Times"/>
          <w:szCs w:val="20"/>
        </w:rPr>
        <w:t>older adults</w:t>
      </w:r>
      <w:r w:rsidR="00991BB1" w:rsidRPr="007B5BE6">
        <w:rPr>
          <w:rFonts w:eastAsia="Times"/>
          <w:szCs w:val="20"/>
        </w:rPr>
        <w:t>’</w:t>
      </w:r>
      <w:r w:rsidR="00352D70" w:rsidRPr="007B5BE6">
        <w:rPr>
          <w:rFonts w:eastAsia="Times"/>
          <w:szCs w:val="20"/>
        </w:rPr>
        <w:t xml:space="preserve"> meaning a person who is aged 50 years </w:t>
      </w:r>
      <w:r w:rsidR="0073098E" w:rsidRPr="007B5BE6">
        <w:rPr>
          <w:rFonts w:eastAsia="Times"/>
          <w:szCs w:val="20"/>
        </w:rPr>
        <w:t xml:space="preserve">or over </w:t>
      </w:r>
      <w:r w:rsidR="00352D70" w:rsidRPr="007B5BE6">
        <w:rPr>
          <w:rFonts w:eastAsia="Times"/>
          <w:szCs w:val="20"/>
        </w:rPr>
        <w:t>(in the case of</w:t>
      </w:r>
      <w:r w:rsidR="00033C9E" w:rsidRPr="007B5BE6">
        <w:rPr>
          <w:rFonts w:eastAsia="Times"/>
          <w:szCs w:val="20"/>
        </w:rPr>
        <w:t xml:space="preserve"> </w:t>
      </w:r>
      <w:r w:rsidR="00352D70" w:rsidRPr="007B5BE6">
        <w:rPr>
          <w:rFonts w:eastAsia="Times"/>
          <w:szCs w:val="20"/>
        </w:rPr>
        <w:t xml:space="preserve">an </w:t>
      </w:r>
      <w:r w:rsidR="00033C9E" w:rsidRPr="007B5BE6">
        <w:rPr>
          <w:rFonts w:eastAsia="Times"/>
          <w:szCs w:val="20"/>
        </w:rPr>
        <w:t>Aboriginal</w:t>
      </w:r>
      <w:r w:rsidR="005269D4" w:rsidRPr="007B5BE6">
        <w:rPr>
          <w:rFonts w:eastAsia="Times"/>
          <w:szCs w:val="20"/>
        </w:rPr>
        <w:t xml:space="preserve"> and Torres Strait Islander</w:t>
      </w:r>
      <w:r w:rsidR="00352D70" w:rsidRPr="007B5BE6">
        <w:rPr>
          <w:rFonts w:eastAsia="Times"/>
          <w:szCs w:val="20"/>
        </w:rPr>
        <w:t xml:space="preserve"> person) and</w:t>
      </w:r>
      <w:r w:rsidR="0073098E" w:rsidRPr="007B5BE6">
        <w:rPr>
          <w:rFonts w:eastAsia="Times"/>
          <w:szCs w:val="20"/>
        </w:rPr>
        <w:t xml:space="preserve"> 65 years or over (in any other case)</w:t>
      </w:r>
      <w:r w:rsidR="00352D70" w:rsidRPr="007B5BE6">
        <w:rPr>
          <w:rFonts w:eastAsia="Times"/>
          <w:szCs w:val="20"/>
        </w:rPr>
        <w:t xml:space="preserve"> </w:t>
      </w:r>
      <w:r w:rsidR="009904FC" w:rsidRPr="007B5BE6">
        <w:rPr>
          <w:rFonts w:eastAsia="Times"/>
          <w:szCs w:val="20"/>
        </w:rPr>
        <w:t>and adults with disability.</w:t>
      </w:r>
      <w:r w:rsidR="00033C9E" w:rsidRPr="007B5BE6">
        <w:rPr>
          <w:rStyle w:val="FootnoteReference"/>
          <w:rFonts w:eastAsia="Times"/>
          <w:szCs w:val="20"/>
        </w:rPr>
        <w:footnoteReference w:id="572"/>
      </w:r>
      <w:r w:rsidR="009904FC" w:rsidRPr="007B5BE6">
        <w:rPr>
          <w:rFonts w:eastAsia="Times"/>
          <w:szCs w:val="20"/>
        </w:rPr>
        <w:t xml:space="preserve"> </w:t>
      </w:r>
      <w:r w:rsidR="00540360" w:rsidRPr="007B5BE6">
        <w:rPr>
          <w:rFonts w:eastAsia="Times"/>
          <w:szCs w:val="20"/>
        </w:rPr>
        <w:t>R</w:t>
      </w:r>
      <w:r w:rsidR="00F016DD" w:rsidRPr="007B5BE6">
        <w:rPr>
          <w:rFonts w:eastAsia="Times"/>
          <w:szCs w:val="20"/>
        </w:rPr>
        <w:t xml:space="preserve">eports can be made to the </w:t>
      </w:r>
      <w:r w:rsidR="004E5EA8" w:rsidRPr="007B5BE6">
        <w:rPr>
          <w:rFonts w:eastAsia="Times"/>
          <w:szCs w:val="20"/>
        </w:rPr>
        <w:t>Age</w:t>
      </w:r>
      <w:r w:rsidR="00746D58" w:rsidRPr="007B5BE6">
        <w:rPr>
          <w:rFonts w:eastAsia="Times"/>
          <w:szCs w:val="20"/>
        </w:rPr>
        <w:t>i</w:t>
      </w:r>
      <w:r w:rsidR="004E5EA8" w:rsidRPr="007B5BE6">
        <w:rPr>
          <w:rFonts w:eastAsia="Times"/>
          <w:szCs w:val="20"/>
        </w:rPr>
        <w:t xml:space="preserve">ng and Disability </w:t>
      </w:r>
      <w:r w:rsidR="00611494" w:rsidRPr="007B5BE6">
        <w:rPr>
          <w:rFonts w:eastAsia="Times"/>
          <w:szCs w:val="20"/>
        </w:rPr>
        <w:t>Commission</w:t>
      </w:r>
      <w:r w:rsidR="004E5EA8" w:rsidRPr="007B5BE6">
        <w:rPr>
          <w:rFonts w:eastAsia="Times"/>
          <w:szCs w:val="20"/>
        </w:rPr>
        <w:t>er</w:t>
      </w:r>
      <w:r w:rsidR="00F016DD" w:rsidRPr="007B5BE6">
        <w:rPr>
          <w:rFonts w:eastAsia="Times"/>
          <w:szCs w:val="20"/>
        </w:rPr>
        <w:t xml:space="preserve"> about an older </w:t>
      </w:r>
      <w:r w:rsidR="004E5EA8" w:rsidRPr="007B5BE6">
        <w:rPr>
          <w:rFonts w:eastAsia="Times"/>
          <w:szCs w:val="20"/>
        </w:rPr>
        <w:t xml:space="preserve">person </w:t>
      </w:r>
      <w:r w:rsidR="00760077" w:rsidRPr="007B5BE6">
        <w:rPr>
          <w:rFonts w:eastAsia="Times"/>
          <w:szCs w:val="20"/>
        </w:rPr>
        <w:t xml:space="preserve">(as defined) </w:t>
      </w:r>
      <w:r w:rsidR="00F016DD" w:rsidRPr="007B5BE6">
        <w:rPr>
          <w:rFonts w:eastAsia="Times"/>
          <w:szCs w:val="20"/>
        </w:rPr>
        <w:t xml:space="preserve">if a ‘person has reasonable grounds to believe the adult is </w:t>
      </w:r>
      <w:r w:rsidR="00611494" w:rsidRPr="007B5BE6">
        <w:rPr>
          <w:rFonts w:eastAsia="Times"/>
          <w:szCs w:val="20"/>
        </w:rPr>
        <w:t>subject</w:t>
      </w:r>
      <w:r w:rsidR="00F016DD" w:rsidRPr="007B5BE6">
        <w:rPr>
          <w:rFonts w:eastAsia="Times"/>
          <w:szCs w:val="20"/>
        </w:rPr>
        <w:t xml:space="preserve"> to, or at risk of, abuse, neglect or </w:t>
      </w:r>
      <w:r w:rsidR="00611494" w:rsidRPr="007B5BE6">
        <w:rPr>
          <w:rFonts w:eastAsia="Times"/>
          <w:szCs w:val="20"/>
        </w:rPr>
        <w:t>exploitation’</w:t>
      </w:r>
      <w:r w:rsidR="00297A69" w:rsidRPr="007B5BE6">
        <w:rPr>
          <w:rFonts w:eastAsia="Times"/>
          <w:szCs w:val="20"/>
        </w:rPr>
        <w:t>.</w:t>
      </w:r>
      <w:r w:rsidR="00297A69" w:rsidRPr="007B5BE6">
        <w:rPr>
          <w:rStyle w:val="FootnoteReference"/>
          <w:rFonts w:eastAsia="Times"/>
          <w:szCs w:val="20"/>
        </w:rPr>
        <w:footnoteReference w:id="573"/>
      </w:r>
      <w:r w:rsidR="0060611B" w:rsidRPr="007B5BE6">
        <w:rPr>
          <w:rFonts w:eastAsia="Times"/>
          <w:szCs w:val="20"/>
        </w:rPr>
        <w:t xml:space="preserve"> </w:t>
      </w:r>
    </w:p>
    <w:p w14:paraId="3AEF4E8B" w14:textId="68C8D70B" w:rsidR="00BB0AB9" w:rsidRPr="007B5BE6" w:rsidRDefault="00760077" w:rsidP="00FC67F9">
      <w:pPr>
        <w:pStyle w:val="DotPointTLRI"/>
        <w:rPr>
          <w:rFonts w:eastAsia="Times"/>
          <w:szCs w:val="20"/>
        </w:rPr>
      </w:pPr>
      <w:r w:rsidRPr="007B5BE6">
        <w:rPr>
          <w:rFonts w:eastAsia="Times"/>
          <w:b/>
        </w:rPr>
        <w:t xml:space="preserve">Approach </w:t>
      </w:r>
      <w:r w:rsidR="00FC67F9" w:rsidRPr="007B5BE6">
        <w:rPr>
          <w:rFonts w:eastAsia="Times"/>
          <w:b/>
        </w:rPr>
        <w:t>2</w:t>
      </w:r>
      <w:r w:rsidR="00C25BD4" w:rsidRPr="007B5BE6">
        <w:rPr>
          <w:rFonts w:eastAsia="Times"/>
          <w:b/>
        </w:rPr>
        <w:t xml:space="preserve">: </w:t>
      </w:r>
      <w:r w:rsidR="004E63A3" w:rsidRPr="007B5BE6">
        <w:rPr>
          <w:rFonts w:eastAsia="Times"/>
        </w:rPr>
        <w:t>Safeguarding is extended to all adults</w:t>
      </w:r>
      <w:r w:rsidR="00D74D0C" w:rsidRPr="007B5BE6">
        <w:rPr>
          <w:rFonts w:eastAsia="Times"/>
        </w:rPr>
        <w:t xml:space="preserve"> </w:t>
      </w:r>
      <w:r w:rsidR="00845385" w:rsidRPr="007B5BE6">
        <w:rPr>
          <w:rFonts w:eastAsia="Times"/>
        </w:rPr>
        <w:t xml:space="preserve">(from 18 years old) </w:t>
      </w:r>
      <w:r w:rsidR="00D74D0C" w:rsidRPr="007B5BE6">
        <w:rPr>
          <w:rFonts w:eastAsia="Times"/>
        </w:rPr>
        <w:t xml:space="preserve">defined by circumstances of </w:t>
      </w:r>
      <w:r w:rsidR="00A7253A" w:rsidRPr="007B5BE6">
        <w:rPr>
          <w:rFonts w:eastAsia="Times"/>
        </w:rPr>
        <w:t>‘</w:t>
      </w:r>
      <w:r w:rsidR="00D74D0C" w:rsidRPr="007B5BE6">
        <w:rPr>
          <w:rFonts w:eastAsia="Times"/>
        </w:rPr>
        <w:t>vulnerability</w:t>
      </w:r>
      <w:r w:rsidR="00A7253A" w:rsidRPr="007B5BE6">
        <w:rPr>
          <w:rFonts w:eastAsia="Times"/>
        </w:rPr>
        <w:t>’</w:t>
      </w:r>
      <w:r w:rsidR="00D74D0C" w:rsidRPr="007B5BE6">
        <w:rPr>
          <w:rFonts w:eastAsia="Times"/>
        </w:rPr>
        <w:t>. This is the approach in</w:t>
      </w:r>
      <w:r w:rsidR="00D74D0C" w:rsidRPr="007B5BE6">
        <w:rPr>
          <w:rFonts w:eastAsia="Times"/>
          <w:szCs w:val="20"/>
        </w:rPr>
        <w:t xml:space="preserve"> </w:t>
      </w:r>
      <w:r w:rsidR="00732EC4" w:rsidRPr="007B5BE6">
        <w:rPr>
          <w:rFonts w:eastAsia="Times"/>
          <w:szCs w:val="20"/>
        </w:rPr>
        <w:t>SA</w:t>
      </w:r>
      <w:r w:rsidR="00D74D0C" w:rsidRPr="007B5BE6">
        <w:rPr>
          <w:rFonts w:eastAsia="Times"/>
          <w:szCs w:val="20"/>
        </w:rPr>
        <w:t xml:space="preserve">, where </w:t>
      </w:r>
      <w:r w:rsidR="00BB0AB9" w:rsidRPr="007B5BE6">
        <w:rPr>
          <w:rFonts w:eastAsia="Times"/>
          <w:szCs w:val="20"/>
        </w:rPr>
        <w:t>a person can make a report to the ASU on the basis of a suspicion that a vulnerable adult is at risk of abuse.</w:t>
      </w:r>
      <w:r w:rsidR="00BB0AB9" w:rsidRPr="007B5BE6">
        <w:rPr>
          <w:rStyle w:val="FootnoteReference"/>
          <w:rFonts w:eastAsia="Times"/>
          <w:szCs w:val="20"/>
        </w:rPr>
        <w:footnoteReference w:id="574"/>
      </w:r>
      <w:r w:rsidR="00BB0AB9" w:rsidRPr="007B5BE6">
        <w:rPr>
          <w:rFonts w:eastAsia="Times"/>
          <w:szCs w:val="20"/>
        </w:rPr>
        <w:t xml:space="preserve"> As noted, a </w:t>
      </w:r>
      <w:r w:rsidR="00732EC4" w:rsidRPr="007B5BE6">
        <w:rPr>
          <w:rFonts w:eastAsia="Times"/>
          <w:szCs w:val="20"/>
        </w:rPr>
        <w:t>‘</w:t>
      </w:r>
      <w:r w:rsidR="00BB0AB9" w:rsidRPr="007B5BE6">
        <w:rPr>
          <w:rFonts w:eastAsia="Times"/>
          <w:szCs w:val="20"/>
        </w:rPr>
        <w:t>vulnerable adult</w:t>
      </w:r>
      <w:r w:rsidR="00732EC4" w:rsidRPr="007B5BE6">
        <w:rPr>
          <w:rFonts w:eastAsia="Times"/>
          <w:szCs w:val="20"/>
        </w:rPr>
        <w:t>’</w:t>
      </w:r>
      <w:r w:rsidR="00BB0AB9" w:rsidRPr="007B5BE6">
        <w:rPr>
          <w:rFonts w:eastAsia="Times"/>
          <w:szCs w:val="20"/>
        </w:rPr>
        <w:t xml:space="preserve"> is defined as someone who by reason </w:t>
      </w:r>
      <w:r w:rsidR="002669F0" w:rsidRPr="007B5BE6">
        <w:rPr>
          <w:rFonts w:eastAsia="Times"/>
          <w:szCs w:val="20"/>
        </w:rPr>
        <w:t>of age, ill health, disability, social isolation, dependence on others or other disadvantage is vulnerable to abuse.</w:t>
      </w:r>
      <w:r w:rsidR="002669F0" w:rsidRPr="007B5BE6">
        <w:rPr>
          <w:rStyle w:val="FootnoteReference"/>
          <w:rFonts w:eastAsia="Times"/>
          <w:szCs w:val="20"/>
        </w:rPr>
        <w:footnoteReference w:id="575"/>
      </w:r>
      <w:r w:rsidR="002669F0" w:rsidRPr="007B5BE6">
        <w:rPr>
          <w:rFonts w:eastAsia="Times"/>
          <w:szCs w:val="20"/>
        </w:rPr>
        <w:t xml:space="preserve"> This reflects the </w:t>
      </w:r>
      <w:r w:rsidR="00EC11AB" w:rsidRPr="007B5BE6">
        <w:rPr>
          <w:rFonts w:eastAsia="Times"/>
          <w:szCs w:val="20"/>
        </w:rPr>
        <w:t xml:space="preserve">ALRC’s recommended </w:t>
      </w:r>
      <w:r w:rsidR="002669F0" w:rsidRPr="007B5BE6">
        <w:rPr>
          <w:rFonts w:eastAsia="Times"/>
          <w:szCs w:val="20"/>
        </w:rPr>
        <w:t xml:space="preserve">approach that </w:t>
      </w:r>
      <w:r w:rsidR="00231C92" w:rsidRPr="007B5BE6">
        <w:rPr>
          <w:rFonts w:eastAsia="Times"/>
          <w:szCs w:val="20"/>
        </w:rPr>
        <w:t xml:space="preserve">adult safeguarding apply for adults who </w:t>
      </w:r>
      <w:r w:rsidR="00853582" w:rsidRPr="007B5BE6">
        <w:rPr>
          <w:rFonts w:eastAsia="Times"/>
          <w:szCs w:val="20"/>
        </w:rPr>
        <w:t>ha</w:t>
      </w:r>
      <w:r w:rsidR="00EC11AB" w:rsidRPr="007B5BE6">
        <w:rPr>
          <w:rFonts w:eastAsia="Times"/>
          <w:szCs w:val="20"/>
        </w:rPr>
        <w:t>ve</w:t>
      </w:r>
      <w:r w:rsidR="00853582" w:rsidRPr="007B5BE6">
        <w:rPr>
          <w:rFonts w:eastAsia="Times"/>
          <w:szCs w:val="20"/>
        </w:rPr>
        <w:t xml:space="preserve"> care and support needs, </w:t>
      </w:r>
      <w:r w:rsidR="0021281B" w:rsidRPr="007B5BE6">
        <w:rPr>
          <w:rFonts w:eastAsia="Times"/>
          <w:szCs w:val="20"/>
        </w:rPr>
        <w:t>are being abused or neglected</w:t>
      </w:r>
      <w:r w:rsidR="0021281B" w:rsidRPr="007B5BE6" w:rsidDel="0021281B">
        <w:rPr>
          <w:rFonts w:eastAsia="Times"/>
          <w:szCs w:val="20"/>
        </w:rPr>
        <w:t xml:space="preserve"> </w:t>
      </w:r>
      <w:r w:rsidR="003B31A1" w:rsidRPr="007B5BE6">
        <w:rPr>
          <w:rFonts w:eastAsia="Times"/>
          <w:szCs w:val="20"/>
        </w:rPr>
        <w:t xml:space="preserve">or </w:t>
      </w:r>
      <w:r w:rsidR="0021281B" w:rsidRPr="007B5BE6">
        <w:rPr>
          <w:rFonts w:eastAsia="Times"/>
          <w:szCs w:val="20"/>
        </w:rPr>
        <w:t>are</w:t>
      </w:r>
      <w:r w:rsidR="00631774" w:rsidRPr="007B5BE6">
        <w:rPr>
          <w:rFonts w:eastAsia="Times"/>
          <w:szCs w:val="20"/>
        </w:rPr>
        <w:t xml:space="preserve"> </w:t>
      </w:r>
      <w:r w:rsidR="003B31A1" w:rsidRPr="007B5BE6">
        <w:rPr>
          <w:rFonts w:eastAsia="Times"/>
          <w:szCs w:val="20"/>
        </w:rPr>
        <w:t xml:space="preserve">at risk of abuse or neglect, and </w:t>
      </w:r>
      <w:r w:rsidR="00631774" w:rsidRPr="007B5BE6">
        <w:rPr>
          <w:rFonts w:eastAsia="Times"/>
          <w:szCs w:val="20"/>
        </w:rPr>
        <w:t>are</w:t>
      </w:r>
      <w:r w:rsidR="003B31A1" w:rsidRPr="007B5BE6">
        <w:rPr>
          <w:rFonts w:eastAsia="Times"/>
          <w:szCs w:val="20"/>
        </w:rPr>
        <w:t xml:space="preserve"> unable to protect themselves from abuse or neglect because of their care and support needs.</w:t>
      </w:r>
      <w:r w:rsidR="003B31A1" w:rsidRPr="007B5BE6">
        <w:rPr>
          <w:rStyle w:val="FootnoteReference"/>
          <w:rFonts w:eastAsia="Times"/>
          <w:szCs w:val="20"/>
        </w:rPr>
        <w:footnoteReference w:id="576"/>
      </w:r>
      <w:r w:rsidR="00EF0C50" w:rsidRPr="007B5BE6">
        <w:rPr>
          <w:rFonts w:eastAsia="Times"/>
          <w:szCs w:val="20"/>
        </w:rPr>
        <w:t xml:space="preserve"> </w:t>
      </w:r>
      <w:r w:rsidR="00631774" w:rsidRPr="007B5BE6">
        <w:rPr>
          <w:rFonts w:eastAsia="Times"/>
          <w:szCs w:val="20"/>
        </w:rPr>
        <w:t xml:space="preserve">Such an </w:t>
      </w:r>
      <w:r w:rsidR="00371550" w:rsidRPr="007B5BE6">
        <w:rPr>
          <w:rFonts w:eastAsia="Times"/>
          <w:szCs w:val="20"/>
        </w:rPr>
        <w:t>a</w:t>
      </w:r>
      <w:r w:rsidR="00036FA0" w:rsidRPr="007B5BE6">
        <w:rPr>
          <w:rFonts w:eastAsia="Times"/>
          <w:szCs w:val="20"/>
        </w:rPr>
        <w:t xml:space="preserve">pproach </w:t>
      </w:r>
      <w:r w:rsidR="00371550" w:rsidRPr="007B5BE6">
        <w:rPr>
          <w:rFonts w:eastAsia="Times"/>
          <w:szCs w:val="20"/>
        </w:rPr>
        <w:t xml:space="preserve">is aimed at avoiding the notion that </w:t>
      </w:r>
      <w:r w:rsidR="002154E5" w:rsidRPr="007B5BE6">
        <w:rPr>
          <w:rFonts w:eastAsia="Times"/>
          <w:szCs w:val="20"/>
        </w:rPr>
        <w:t xml:space="preserve">age alone (or disability) </w:t>
      </w:r>
      <w:r w:rsidR="00371550" w:rsidRPr="007B5BE6">
        <w:rPr>
          <w:rFonts w:eastAsia="Times"/>
          <w:szCs w:val="20"/>
        </w:rPr>
        <w:t>is</w:t>
      </w:r>
      <w:r w:rsidR="002154E5" w:rsidRPr="007B5BE6">
        <w:rPr>
          <w:rFonts w:eastAsia="Times"/>
          <w:szCs w:val="20"/>
        </w:rPr>
        <w:t xml:space="preserve"> a matter that makes a person vulnerable</w:t>
      </w:r>
      <w:r w:rsidR="003D714F" w:rsidRPr="007B5BE6">
        <w:rPr>
          <w:rFonts w:eastAsia="Times"/>
          <w:szCs w:val="20"/>
        </w:rPr>
        <w:t>,</w:t>
      </w:r>
      <w:r w:rsidR="00D64F30" w:rsidRPr="007B5BE6">
        <w:rPr>
          <w:rFonts w:eastAsia="Times"/>
          <w:szCs w:val="20"/>
        </w:rPr>
        <w:t xml:space="preserve"> </w:t>
      </w:r>
      <w:r w:rsidR="00A7253A" w:rsidRPr="007B5BE6">
        <w:rPr>
          <w:rFonts w:eastAsia="Times"/>
          <w:szCs w:val="20"/>
        </w:rPr>
        <w:t xml:space="preserve">rather that </w:t>
      </w:r>
      <w:r w:rsidR="00680349" w:rsidRPr="007B5BE6">
        <w:rPr>
          <w:rFonts w:eastAsia="Times"/>
          <w:szCs w:val="20"/>
        </w:rPr>
        <w:t xml:space="preserve">the </w:t>
      </w:r>
      <w:r w:rsidR="00882AAD" w:rsidRPr="007B5BE6">
        <w:rPr>
          <w:rFonts w:eastAsia="Times"/>
          <w:szCs w:val="20"/>
        </w:rPr>
        <w:t>combination</w:t>
      </w:r>
      <w:r w:rsidR="00680349" w:rsidRPr="007B5BE6">
        <w:rPr>
          <w:rFonts w:eastAsia="Times"/>
          <w:szCs w:val="20"/>
        </w:rPr>
        <w:t xml:space="preserve"> of age with other factors </w:t>
      </w:r>
      <w:r w:rsidR="00A7253A" w:rsidRPr="007B5BE6">
        <w:rPr>
          <w:rFonts w:eastAsia="Times"/>
          <w:szCs w:val="20"/>
        </w:rPr>
        <w:t>leads</w:t>
      </w:r>
      <w:r w:rsidR="00662E0B" w:rsidRPr="007B5BE6">
        <w:rPr>
          <w:rFonts w:eastAsia="Times"/>
          <w:szCs w:val="20"/>
        </w:rPr>
        <w:t xml:space="preserve"> to vulnerability.</w:t>
      </w:r>
      <w:r w:rsidR="00662E0B" w:rsidRPr="007B5BE6">
        <w:rPr>
          <w:rStyle w:val="FootnoteReference"/>
          <w:rFonts w:eastAsia="Times"/>
          <w:szCs w:val="20"/>
        </w:rPr>
        <w:footnoteReference w:id="577"/>
      </w:r>
    </w:p>
    <w:p w14:paraId="2B8942E6" w14:textId="27A06A6F" w:rsidR="001F53D9" w:rsidRPr="007B5BE6" w:rsidRDefault="00D74D0C" w:rsidP="00FC67F9">
      <w:pPr>
        <w:pStyle w:val="DotPointTLRI"/>
        <w:rPr>
          <w:rFonts w:eastAsia="Times"/>
          <w:szCs w:val="20"/>
        </w:rPr>
      </w:pPr>
      <w:r w:rsidRPr="007B5BE6">
        <w:rPr>
          <w:rFonts w:eastAsia="Times"/>
          <w:b/>
          <w:szCs w:val="20"/>
        </w:rPr>
        <w:t>Approach</w:t>
      </w:r>
      <w:r w:rsidR="00EF4DF6" w:rsidRPr="007B5BE6">
        <w:rPr>
          <w:rFonts w:eastAsia="Times"/>
          <w:b/>
          <w:szCs w:val="20"/>
        </w:rPr>
        <w:t xml:space="preserve"> 3</w:t>
      </w:r>
      <w:r w:rsidR="00C25BD4" w:rsidRPr="007B5BE6">
        <w:rPr>
          <w:rFonts w:eastAsia="Times"/>
          <w:b/>
        </w:rPr>
        <w:t>:</w:t>
      </w:r>
      <w:r w:rsidR="003B31A1" w:rsidRPr="007B5BE6">
        <w:rPr>
          <w:rFonts w:eastAsia="Times"/>
          <w:szCs w:val="20"/>
        </w:rPr>
        <w:t xml:space="preserve"> A</w:t>
      </w:r>
      <w:r w:rsidR="001F53D9" w:rsidRPr="007B5BE6">
        <w:rPr>
          <w:rFonts w:eastAsia="Times"/>
          <w:szCs w:val="20"/>
        </w:rPr>
        <w:t xml:space="preserve"> combination approach</w:t>
      </w:r>
      <w:r w:rsidR="008613BF" w:rsidRPr="007B5BE6">
        <w:rPr>
          <w:rFonts w:eastAsia="Times"/>
          <w:szCs w:val="20"/>
        </w:rPr>
        <w:t xml:space="preserve">, </w:t>
      </w:r>
      <w:r w:rsidR="003B31A1" w:rsidRPr="007B5BE6">
        <w:rPr>
          <w:rFonts w:eastAsia="Times"/>
          <w:szCs w:val="20"/>
        </w:rPr>
        <w:t xml:space="preserve">as adopted </w:t>
      </w:r>
      <w:r w:rsidR="00EF4DF6" w:rsidRPr="007B5BE6">
        <w:rPr>
          <w:rFonts w:eastAsia="Times"/>
          <w:szCs w:val="20"/>
        </w:rPr>
        <w:t>in</w:t>
      </w:r>
      <w:r w:rsidR="006D542B" w:rsidRPr="007B5BE6">
        <w:rPr>
          <w:rFonts w:eastAsia="Times"/>
          <w:szCs w:val="20"/>
        </w:rPr>
        <w:t xml:space="preserve"> </w:t>
      </w:r>
      <w:r w:rsidR="003B31A1" w:rsidRPr="007B5BE6">
        <w:rPr>
          <w:rFonts w:eastAsia="Times"/>
          <w:szCs w:val="20"/>
        </w:rPr>
        <w:t>the ACT</w:t>
      </w:r>
      <w:r w:rsidR="006D542B" w:rsidRPr="007B5BE6">
        <w:rPr>
          <w:rFonts w:eastAsia="Times"/>
          <w:szCs w:val="20"/>
        </w:rPr>
        <w:t xml:space="preserve">, </w:t>
      </w:r>
      <w:r w:rsidR="008613BF" w:rsidRPr="007B5BE6">
        <w:rPr>
          <w:rFonts w:eastAsia="Times"/>
          <w:szCs w:val="20"/>
        </w:rPr>
        <w:t xml:space="preserve">where the safeguarding response extends to vulnerable </w:t>
      </w:r>
      <w:r w:rsidR="002C6057" w:rsidRPr="007B5BE6">
        <w:rPr>
          <w:rFonts w:eastAsia="Times"/>
          <w:szCs w:val="20"/>
        </w:rPr>
        <w:t>people</w:t>
      </w:r>
      <w:r w:rsidR="00A207FA" w:rsidRPr="007B5BE6">
        <w:rPr>
          <w:rFonts w:eastAsia="Times"/>
          <w:szCs w:val="20"/>
        </w:rPr>
        <w:t xml:space="preserve">. This </w:t>
      </w:r>
      <w:r w:rsidR="008613BF" w:rsidRPr="007B5BE6">
        <w:rPr>
          <w:rFonts w:eastAsia="Times"/>
          <w:szCs w:val="20"/>
        </w:rPr>
        <w:t xml:space="preserve">is defined as a person with </w:t>
      </w:r>
      <w:r w:rsidR="002C6057" w:rsidRPr="007B5BE6">
        <w:rPr>
          <w:rFonts w:eastAsia="Times"/>
          <w:szCs w:val="20"/>
        </w:rPr>
        <w:t>disability</w:t>
      </w:r>
      <w:r w:rsidR="008613BF" w:rsidRPr="007B5BE6">
        <w:rPr>
          <w:rFonts w:eastAsia="Times"/>
          <w:szCs w:val="20"/>
        </w:rPr>
        <w:t xml:space="preserve"> or a </w:t>
      </w:r>
      <w:r w:rsidR="002C6057" w:rsidRPr="007B5BE6">
        <w:rPr>
          <w:rFonts w:eastAsia="Times"/>
          <w:szCs w:val="20"/>
        </w:rPr>
        <w:t>person</w:t>
      </w:r>
      <w:r w:rsidR="008613BF" w:rsidRPr="007B5BE6">
        <w:rPr>
          <w:rFonts w:eastAsia="Times"/>
          <w:szCs w:val="20"/>
        </w:rPr>
        <w:t xml:space="preserve"> at </w:t>
      </w:r>
      <w:r w:rsidR="002C6057" w:rsidRPr="007B5BE6">
        <w:rPr>
          <w:rFonts w:eastAsia="Times"/>
          <w:szCs w:val="20"/>
        </w:rPr>
        <w:t>least</w:t>
      </w:r>
      <w:r w:rsidR="008613BF" w:rsidRPr="007B5BE6">
        <w:rPr>
          <w:rFonts w:eastAsia="Times"/>
          <w:szCs w:val="20"/>
        </w:rPr>
        <w:t xml:space="preserve"> </w:t>
      </w:r>
      <w:r w:rsidR="005821B6" w:rsidRPr="007B5BE6">
        <w:rPr>
          <w:rFonts w:eastAsia="Times"/>
          <w:szCs w:val="20"/>
        </w:rPr>
        <w:t xml:space="preserve">60 </w:t>
      </w:r>
      <w:r w:rsidR="00A7253A" w:rsidRPr="007B5BE6">
        <w:rPr>
          <w:rFonts w:eastAsia="Times"/>
          <w:szCs w:val="20"/>
        </w:rPr>
        <w:t xml:space="preserve">years old </w:t>
      </w:r>
      <w:r w:rsidR="005821B6" w:rsidRPr="007B5BE6">
        <w:rPr>
          <w:rFonts w:eastAsia="Times"/>
          <w:szCs w:val="20"/>
        </w:rPr>
        <w:t xml:space="preserve">who has a disorder, illness or </w:t>
      </w:r>
      <w:r w:rsidR="002C6057" w:rsidRPr="007B5BE6">
        <w:rPr>
          <w:rFonts w:eastAsia="Times"/>
          <w:szCs w:val="20"/>
        </w:rPr>
        <w:t>disease</w:t>
      </w:r>
      <w:r w:rsidR="005821B6" w:rsidRPr="007B5BE6">
        <w:rPr>
          <w:rFonts w:eastAsia="Times"/>
          <w:szCs w:val="20"/>
        </w:rPr>
        <w:t xml:space="preserve"> that </w:t>
      </w:r>
      <w:r w:rsidR="002C6057" w:rsidRPr="007B5BE6">
        <w:rPr>
          <w:rFonts w:eastAsia="Times"/>
          <w:szCs w:val="20"/>
        </w:rPr>
        <w:t>affects</w:t>
      </w:r>
      <w:r w:rsidR="005821B6" w:rsidRPr="007B5BE6">
        <w:rPr>
          <w:rFonts w:eastAsia="Times"/>
          <w:szCs w:val="20"/>
        </w:rPr>
        <w:t xml:space="preserve"> the person through processes, perception of </w:t>
      </w:r>
      <w:r w:rsidR="002C6057" w:rsidRPr="007B5BE6">
        <w:rPr>
          <w:rFonts w:eastAsia="Times"/>
          <w:szCs w:val="20"/>
        </w:rPr>
        <w:t>reality</w:t>
      </w:r>
      <w:r w:rsidR="005821B6" w:rsidRPr="007B5BE6">
        <w:rPr>
          <w:rFonts w:eastAsia="Times"/>
          <w:szCs w:val="20"/>
        </w:rPr>
        <w:t xml:space="preserve">, </w:t>
      </w:r>
      <w:r w:rsidR="002C6057" w:rsidRPr="007B5BE6">
        <w:rPr>
          <w:rFonts w:eastAsia="Times"/>
          <w:szCs w:val="20"/>
        </w:rPr>
        <w:t>emotions</w:t>
      </w:r>
      <w:r w:rsidR="005821B6" w:rsidRPr="007B5BE6">
        <w:rPr>
          <w:rFonts w:eastAsia="Times"/>
          <w:szCs w:val="20"/>
        </w:rPr>
        <w:t xml:space="preserve"> or </w:t>
      </w:r>
      <w:r w:rsidR="002C6057" w:rsidRPr="007B5BE6">
        <w:rPr>
          <w:rFonts w:eastAsia="Times"/>
          <w:szCs w:val="20"/>
        </w:rPr>
        <w:t>judgment</w:t>
      </w:r>
      <w:r w:rsidR="005821B6" w:rsidRPr="007B5BE6">
        <w:rPr>
          <w:rFonts w:eastAsia="Times"/>
          <w:szCs w:val="20"/>
        </w:rPr>
        <w:t xml:space="preserve"> o</w:t>
      </w:r>
      <w:r w:rsidR="002C6057" w:rsidRPr="007B5BE6">
        <w:rPr>
          <w:rFonts w:eastAsia="Times"/>
          <w:szCs w:val="20"/>
        </w:rPr>
        <w:t>r</w:t>
      </w:r>
      <w:r w:rsidR="005821B6" w:rsidRPr="007B5BE6">
        <w:rPr>
          <w:rFonts w:eastAsia="Times"/>
          <w:szCs w:val="20"/>
        </w:rPr>
        <w:t xml:space="preserve"> otherwise </w:t>
      </w:r>
      <w:r w:rsidR="002C6057" w:rsidRPr="007B5BE6">
        <w:rPr>
          <w:rFonts w:eastAsia="Times"/>
          <w:szCs w:val="20"/>
        </w:rPr>
        <w:t>results</w:t>
      </w:r>
      <w:r w:rsidR="005821B6" w:rsidRPr="007B5BE6">
        <w:rPr>
          <w:rFonts w:eastAsia="Times"/>
          <w:szCs w:val="20"/>
        </w:rPr>
        <w:t xml:space="preserve"> in </w:t>
      </w:r>
      <w:r w:rsidR="002C6057" w:rsidRPr="007B5BE6">
        <w:rPr>
          <w:rFonts w:eastAsia="Times"/>
          <w:szCs w:val="20"/>
        </w:rPr>
        <w:t>disturbed</w:t>
      </w:r>
      <w:r w:rsidR="005821B6" w:rsidRPr="007B5BE6">
        <w:rPr>
          <w:rFonts w:eastAsia="Times"/>
          <w:szCs w:val="20"/>
        </w:rPr>
        <w:t xml:space="preserve"> behaviour</w:t>
      </w:r>
      <w:r w:rsidR="00A7253A" w:rsidRPr="007B5BE6">
        <w:rPr>
          <w:rFonts w:eastAsia="Times"/>
          <w:szCs w:val="20"/>
        </w:rPr>
        <w:t>,</w:t>
      </w:r>
      <w:r w:rsidR="005821B6" w:rsidRPr="007B5BE6">
        <w:rPr>
          <w:rFonts w:eastAsia="Times"/>
          <w:szCs w:val="20"/>
        </w:rPr>
        <w:t xml:space="preserve"> or has an </w:t>
      </w:r>
      <w:r w:rsidR="002C6057" w:rsidRPr="007B5BE6">
        <w:rPr>
          <w:rFonts w:eastAsia="Times"/>
          <w:szCs w:val="20"/>
        </w:rPr>
        <w:t>impairment</w:t>
      </w:r>
      <w:r w:rsidR="005821B6" w:rsidRPr="007B5BE6">
        <w:rPr>
          <w:rFonts w:eastAsia="Times"/>
          <w:szCs w:val="20"/>
        </w:rPr>
        <w:t xml:space="preserve"> (</w:t>
      </w:r>
      <w:r w:rsidR="002C6057" w:rsidRPr="007B5BE6">
        <w:rPr>
          <w:rFonts w:eastAsia="Times"/>
          <w:szCs w:val="20"/>
        </w:rPr>
        <w:t>intellectual</w:t>
      </w:r>
      <w:r w:rsidR="005821B6" w:rsidRPr="007B5BE6">
        <w:rPr>
          <w:rFonts w:eastAsia="Times"/>
          <w:szCs w:val="20"/>
        </w:rPr>
        <w:t xml:space="preserve">, </w:t>
      </w:r>
      <w:r w:rsidR="002C6057" w:rsidRPr="007B5BE6">
        <w:rPr>
          <w:rFonts w:eastAsia="Times"/>
          <w:szCs w:val="20"/>
        </w:rPr>
        <w:t>psychiatric</w:t>
      </w:r>
      <w:r w:rsidR="005821B6" w:rsidRPr="007B5BE6">
        <w:rPr>
          <w:rFonts w:eastAsia="Times"/>
          <w:szCs w:val="20"/>
        </w:rPr>
        <w:t xml:space="preserve">, sensory or </w:t>
      </w:r>
      <w:r w:rsidR="002C6057" w:rsidRPr="007B5BE6">
        <w:rPr>
          <w:rFonts w:eastAsia="Times"/>
          <w:szCs w:val="20"/>
        </w:rPr>
        <w:t>physical</w:t>
      </w:r>
      <w:r w:rsidR="005821B6" w:rsidRPr="007B5BE6">
        <w:rPr>
          <w:rFonts w:eastAsia="Times"/>
          <w:szCs w:val="20"/>
        </w:rPr>
        <w:t xml:space="preserve"> </w:t>
      </w:r>
      <w:r w:rsidR="002C6057" w:rsidRPr="007B5BE6">
        <w:rPr>
          <w:rFonts w:eastAsia="Times"/>
          <w:szCs w:val="20"/>
        </w:rPr>
        <w:t>in</w:t>
      </w:r>
      <w:r w:rsidR="005821B6" w:rsidRPr="007B5BE6">
        <w:rPr>
          <w:rFonts w:eastAsia="Times"/>
          <w:szCs w:val="20"/>
        </w:rPr>
        <w:t xml:space="preserve"> nature</w:t>
      </w:r>
      <w:r w:rsidR="003B1AEE" w:rsidRPr="007B5BE6">
        <w:rPr>
          <w:rFonts w:eastAsia="Times"/>
          <w:szCs w:val="20"/>
        </w:rPr>
        <w:t xml:space="preserve"> that results in a substantially </w:t>
      </w:r>
      <w:r w:rsidR="002C6057" w:rsidRPr="007B5BE6">
        <w:rPr>
          <w:rFonts w:eastAsia="Times"/>
          <w:szCs w:val="20"/>
        </w:rPr>
        <w:t>reduced</w:t>
      </w:r>
      <w:r w:rsidR="003B1AEE" w:rsidRPr="007B5BE6">
        <w:rPr>
          <w:rFonts w:eastAsia="Times"/>
          <w:szCs w:val="20"/>
        </w:rPr>
        <w:t xml:space="preserve"> capacity for communication, learning or mobility</w:t>
      </w:r>
      <w:r w:rsidR="00A207FA" w:rsidRPr="007B5BE6">
        <w:rPr>
          <w:rFonts w:eastAsia="Times"/>
          <w:szCs w:val="20"/>
        </w:rPr>
        <w:t>)</w:t>
      </w:r>
      <w:r w:rsidR="00D66B19" w:rsidRPr="007B5BE6">
        <w:rPr>
          <w:rFonts w:eastAsia="Times"/>
          <w:szCs w:val="20"/>
        </w:rPr>
        <w:t>,</w:t>
      </w:r>
      <w:r w:rsidR="00A207FA" w:rsidRPr="007B5BE6">
        <w:rPr>
          <w:rFonts w:eastAsia="Times"/>
          <w:szCs w:val="20"/>
        </w:rPr>
        <w:t xml:space="preserve"> </w:t>
      </w:r>
      <w:r w:rsidR="003B1AEE" w:rsidRPr="007B5BE6">
        <w:rPr>
          <w:rFonts w:eastAsia="Times"/>
          <w:szCs w:val="20"/>
        </w:rPr>
        <w:t xml:space="preserve">or for any other reason is </w:t>
      </w:r>
      <w:r w:rsidR="002C6057" w:rsidRPr="007B5BE6">
        <w:rPr>
          <w:rFonts w:eastAsia="Times"/>
          <w:szCs w:val="20"/>
        </w:rPr>
        <w:t>socially</w:t>
      </w:r>
      <w:r w:rsidR="003B1AEE" w:rsidRPr="007B5BE6">
        <w:rPr>
          <w:rFonts w:eastAsia="Times"/>
          <w:szCs w:val="20"/>
        </w:rPr>
        <w:t xml:space="preserve"> </w:t>
      </w:r>
      <w:r w:rsidR="002C6057" w:rsidRPr="007B5BE6">
        <w:rPr>
          <w:rFonts w:eastAsia="Times"/>
          <w:szCs w:val="20"/>
        </w:rPr>
        <w:t>isolated</w:t>
      </w:r>
      <w:r w:rsidR="003B1AEE" w:rsidRPr="007B5BE6">
        <w:rPr>
          <w:rFonts w:eastAsia="Times"/>
          <w:szCs w:val="20"/>
        </w:rPr>
        <w:t xml:space="preserve"> or unable to </w:t>
      </w:r>
      <w:r w:rsidR="002C6057" w:rsidRPr="007B5BE6">
        <w:rPr>
          <w:rFonts w:eastAsia="Times"/>
          <w:szCs w:val="20"/>
        </w:rPr>
        <w:t>participate</w:t>
      </w:r>
      <w:r w:rsidR="003B1AEE" w:rsidRPr="007B5BE6">
        <w:rPr>
          <w:rFonts w:eastAsia="Times"/>
          <w:szCs w:val="20"/>
        </w:rPr>
        <w:t xml:space="preserve"> in the life of the person’s community.</w:t>
      </w:r>
      <w:r w:rsidR="003B1AEE" w:rsidRPr="007B5BE6">
        <w:rPr>
          <w:rStyle w:val="FootnoteReference"/>
          <w:rFonts w:eastAsia="Times"/>
          <w:szCs w:val="20"/>
        </w:rPr>
        <w:footnoteReference w:id="578"/>
      </w:r>
      <w:r w:rsidR="00055CED" w:rsidRPr="007B5BE6">
        <w:rPr>
          <w:rFonts w:eastAsia="Times"/>
          <w:szCs w:val="20"/>
        </w:rPr>
        <w:t xml:space="preserve"> </w:t>
      </w:r>
      <w:r w:rsidR="00EC166B" w:rsidRPr="007B5BE6">
        <w:rPr>
          <w:rFonts w:eastAsia="Times"/>
          <w:szCs w:val="20"/>
        </w:rPr>
        <w:t xml:space="preserve">This is more restrictive than </w:t>
      </w:r>
      <w:r w:rsidR="00D66B19" w:rsidRPr="007B5BE6">
        <w:rPr>
          <w:rFonts w:eastAsia="Times"/>
          <w:szCs w:val="20"/>
        </w:rPr>
        <w:t>both the NSW and S</w:t>
      </w:r>
      <w:r w:rsidR="002C30BA" w:rsidRPr="007B5BE6">
        <w:rPr>
          <w:rFonts w:eastAsia="Times"/>
          <w:szCs w:val="20"/>
        </w:rPr>
        <w:t>A</w:t>
      </w:r>
      <w:r w:rsidR="00D66B19" w:rsidRPr="007B5BE6">
        <w:rPr>
          <w:rFonts w:eastAsia="Times"/>
          <w:szCs w:val="20"/>
        </w:rPr>
        <w:t xml:space="preserve"> </w:t>
      </w:r>
      <w:r w:rsidR="00EC166B" w:rsidRPr="007B5BE6">
        <w:rPr>
          <w:rFonts w:eastAsia="Times"/>
          <w:szCs w:val="20"/>
        </w:rPr>
        <w:t>approach</w:t>
      </w:r>
      <w:r w:rsidR="00D66B19" w:rsidRPr="007B5BE6">
        <w:rPr>
          <w:rFonts w:eastAsia="Times"/>
          <w:szCs w:val="20"/>
        </w:rPr>
        <w:t>es,</w:t>
      </w:r>
      <w:r w:rsidR="00EC166B" w:rsidRPr="007B5BE6">
        <w:rPr>
          <w:rFonts w:eastAsia="Times"/>
          <w:szCs w:val="20"/>
        </w:rPr>
        <w:t xml:space="preserve"> as it</w:t>
      </w:r>
      <w:r w:rsidR="001F53D9" w:rsidRPr="007B5BE6">
        <w:rPr>
          <w:rFonts w:eastAsia="Times"/>
          <w:szCs w:val="20"/>
        </w:rPr>
        <w:t xml:space="preserve"> </w:t>
      </w:r>
      <w:r w:rsidR="00EC166B" w:rsidRPr="007B5BE6">
        <w:rPr>
          <w:rFonts w:eastAsia="Times"/>
          <w:szCs w:val="20"/>
        </w:rPr>
        <w:t xml:space="preserve">defines </w:t>
      </w:r>
      <w:r w:rsidR="001F53D9" w:rsidRPr="007B5BE6">
        <w:rPr>
          <w:rFonts w:eastAsia="Times"/>
          <w:szCs w:val="20"/>
        </w:rPr>
        <w:t xml:space="preserve">a ‘vulnerable adult’, by both an age limit </w:t>
      </w:r>
      <w:r w:rsidR="00AB23C7" w:rsidRPr="007B5BE6">
        <w:rPr>
          <w:rFonts w:eastAsia="Times"/>
          <w:szCs w:val="20"/>
        </w:rPr>
        <w:t>(</w:t>
      </w:r>
      <w:r w:rsidR="00051CF8" w:rsidRPr="007B5BE6">
        <w:rPr>
          <w:rFonts w:eastAsia="Times"/>
          <w:szCs w:val="20"/>
        </w:rPr>
        <w:t>at least 60</w:t>
      </w:r>
      <w:r w:rsidR="00D66B19" w:rsidRPr="007B5BE6">
        <w:rPr>
          <w:rFonts w:eastAsia="Times"/>
          <w:szCs w:val="20"/>
        </w:rPr>
        <w:t xml:space="preserve"> years old</w:t>
      </w:r>
      <w:r w:rsidR="00051CF8" w:rsidRPr="007B5BE6">
        <w:rPr>
          <w:rFonts w:eastAsia="Times"/>
          <w:szCs w:val="20"/>
        </w:rPr>
        <w:t xml:space="preserve">) </w:t>
      </w:r>
      <w:r w:rsidR="00E27B1B" w:rsidRPr="007B5BE6">
        <w:rPr>
          <w:rFonts w:eastAsia="Times"/>
          <w:szCs w:val="20"/>
        </w:rPr>
        <w:t>and</w:t>
      </w:r>
      <w:r w:rsidR="001F53D9" w:rsidRPr="007B5BE6">
        <w:rPr>
          <w:rFonts w:eastAsia="Times"/>
          <w:szCs w:val="20"/>
        </w:rPr>
        <w:t xml:space="preserve"> </w:t>
      </w:r>
      <w:r w:rsidR="00EC166B" w:rsidRPr="007B5BE6">
        <w:rPr>
          <w:rFonts w:eastAsia="Times"/>
          <w:szCs w:val="20"/>
        </w:rPr>
        <w:t xml:space="preserve">the need to establish additional </w:t>
      </w:r>
      <w:r w:rsidR="001F53D9" w:rsidRPr="007B5BE6">
        <w:rPr>
          <w:rFonts w:eastAsia="Times"/>
          <w:szCs w:val="20"/>
        </w:rPr>
        <w:t xml:space="preserve">circumstances that </w:t>
      </w:r>
      <w:r w:rsidR="00E27B1B" w:rsidRPr="007B5BE6">
        <w:rPr>
          <w:rFonts w:eastAsia="Times"/>
          <w:szCs w:val="20"/>
        </w:rPr>
        <w:t>mean that</w:t>
      </w:r>
      <w:r w:rsidR="001F53D9" w:rsidRPr="007B5BE6">
        <w:rPr>
          <w:rFonts w:eastAsia="Times"/>
          <w:szCs w:val="20"/>
        </w:rPr>
        <w:t xml:space="preserve"> a</w:t>
      </w:r>
      <w:r w:rsidR="00051CF8" w:rsidRPr="007B5BE6">
        <w:rPr>
          <w:rFonts w:eastAsia="Times"/>
          <w:szCs w:val="20"/>
        </w:rPr>
        <w:t xml:space="preserve"> person </w:t>
      </w:r>
      <w:r w:rsidR="00D66B19" w:rsidRPr="007B5BE6">
        <w:rPr>
          <w:rFonts w:eastAsia="Times"/>
          <w:szCs w:val="20"/>
        </w:rPr>
        <w:t xml:space="preserve">aged </w:t>
      </w:r>
      <w:r w:rsidR="00051CF8" w:rsidRPr="007B5BE6">
        <w:rPr>
          <w:rFonts w:eastAsia="Times"/>
          <w:szCs w:val="20"/>
        </w:rPr>
        <w:t>over 60</w:t>
      </w:r>
      <w:r w:rsidR="00E27B1B" w:rsidRPr="007B5BE6">
        <w:rPr>
          <w:rFonts w:eastAsia="Times"/>
          <w:szCs w:val="20"/>
        </w:rPr>
        <w:t xml:space="preserve"> </w:t>
      </w:r>
      <w:r w:rsidR="00567028" w:rsidRPr="007B5BE6">
        <w:rPr>
          <w:rFonts w:eastAsia="Times"/>
          <w:szCs w:val="20"/>
        </w:rPr>
        <w:t xml:space="preserve">years </w:t>
      </w:r>
      <w:r w:rsidR="00E27B1B" w:rsidRPr="007B5BE6">
        <w:rPr>
          <w:rFonts w:eastAsia="Times"/>
          <w:szCs w:val="20"/>
        </w:rPr>
        <w:t xml:space="preserve">is </w:t>
      </w:r>
      <w:r w:rsidR="001F53D9" w:rsidRPr="007B5BE6">
        <w:rPr>
          <w:rFonts w:eastAsia="Times"/>
          <w:szCs w:val="20"/>
        </w:rPr>
        <w:t xml:space="preserve"> </w:t>
      </w:r>
      <w:r w:rsidR="00051CF8" w:rsidRPr="007B5BE6">
        <w:rPr>
          <w:rFonts w:eastAsia="Times"/>
          <w:szCs w:val="20"/>
        </w:rPr>
        <w:t xml:space="preserve">a </w:t>
      </w:r>
      <w:r w:rsidR="002D5A28" w:rsidRPr="007B5BE6">
        <w:rPr>
          <w:rFonts w:eastAsia="Times"/>
          <w:szCs w:val="20"/>
        </w:rPr>
        <w:t>‘</w:t>
      </w:r>
      <w:r w:rsidR="00DC704F" w:rsidRPr="007B5BE6">
        <w:rPr>
          <w:rFonts w:eastAsia="Times"/>
          <w:szCs w:val="20"/>
        </w:rPr>
        <w:t>vulnerable</w:t>
      </w:r>
      <w:r w:rsidR="002D5A28" w:rsidRPr="007B5BE6">
        <w:rPr>
          <w:rFonts w:eastAsia="Times"/>
          <w:szCs w:val="20"/>
        </w:rPr>
        <w:t xml:space="preserve"> </w:t>
      </w:r>
      <w:r w:rsidR="00DC704F" w:rsidRPr="007B5BE6">
        <w:rPr>
          <w:rFonts w:eastAsia="Times"/>
          <w:szCs w:val="20"/>
        </w:rPr>
        <w:t>a</w:t>
      </w:r>
      <w:r w:rsidR="002D5A28" w:rsidRPr="007B5BE6">
        <w:rPr>
          <w:rFonts w:eastAsia="Times"/>
          <w:szCs w:val="20"/>
        </w:rPr>
        <w:t>dult’</w:t>
      </w:r>
      <w:r w:rsidR="001F53D9" w:rsidRPr="007B5BE6">
        <w:rPr>
          <w:rFonts w:eastAsia="Times"/>
          <w:szCs w:val="20"/>
        </w:rPr>
        <w:t>.</w:t>
      </w:r>
      <w:r w:rsidR="00E24AB4" w:rsidRPr="007B5BE6">
        <w:rPr>
          <w:rStyle w:val="FootnoteReference"/>
          <w:rFonts w:eastAsia="Times"/>
          <w:szCs w:val="20"/>
        </w:rPr>
        <w:footnoteReference w:id="579"/>
      </w:r>
      <w:r w:rsidR="001F53D9" w:rsidRPr="007B5BE6">
        <w:rPr>
          <w:rFonts w:eastAsia="Times"/>
          <w:szCs w:val="20"/>
        </w:rPr>
        <w:t xml:space="preserve"> </w:t>
      </w:r>
    </w:p>
    <w:p w14:paraId="0145094D" w14:textId="4F07C57A" w:rsidR="00F64D9C" w:rsidRPr="007B5BE6" w:rsidRDefault="007B3CC8">
      <w:pPr>
        <w:pStyle w:val="NormalNumberedTextTLRI"/>
      </w:pPr>
      <w:r w:rsidRPr="007B5BE6">
        <w:t>As discussed</w:t>
      </w:r>
      <w:r w:rsidR="00467DA2" w:rsidRPr="007B5BE6">
        <w:t>, the TLRI’s focus</w:t>
      </w:r>
      <w:r w:rsidR="00D66B19" w:rsidRPr="007B5BE6">
        <w:t xml:space="preserve">, </w:t>
      </w:r>
      <w:r w:rsidRPr="007B5BE6">
        <w:t>in this Research Paper</w:t>
      </w:r>
      <w:r w:rsidR="00D66B19" w:rsidRPr="007B5BE6">
        <w:t>,</w:t>
      </w:r>
      <w:r w:rsidRPr="007B5BE6">
        <w:t xml:space="preserve"> </w:t>
      </w:r>
      <w:r w:rsidR="00467DA2" w:rsidRPr="007B5BE6">
        <w:t xml:space="preserve">is on the provision of a safeguarding function for older Tasmanians and </w:t>
      </w:r>
      <w:r w:rsidR="00055CA7" w:rsidRPr="007B5BE6">
        <w:t xml:space="preserve">so </w:t>
      </w:r>
      <w:r w:rsidR="00467DA2" w:rsidRPr="007B5BE6">
        <w:t>does not address the broader question of whether it is appropriate for an age</w:t>
      </w:r>
      <w:r w:rsidR="00FF15F7" w:rsidRPr="007B5BE6">
        <w:t>-</w:t>
      </w:r>
      <w:r w:rsidR="00467DA2" w:rsidRPr="007B5BE6">
        <w:t xml:space="preserve"> and/or disability</w:t>
      </w:r>
      <w:r w:rsidR="00FF15F7" w:rsidRPr="007B5BE6">
        <w:t>-</w:t>
      </w:r>
      <w:r w:rsidR="00467DA2" w:rsidRPr="007B5BE6">
        <w:t>neutral safeguarding framework to be introduced in Tasmania</w:t>
      </w:r>
      <w:r w:rsidR="00B51F8B" w:rsidRPr="007B5BE6">
        <w:t xml:space="preserve"> (as </w:t>
      </w:r>
      <w:r w:rsidR="005670BC" w:rsidRPr="007B5BE6">
        <w:t xml:space="preserve">contained </w:t>
      </w:r>
      <w:r w:rsidR="00B51F8B" w:rsidRPr="007B5BE6">
        <w:t>i</w:t>
      </w:r>
      <w:r w:rsidR="00C270A8" w:rsidRPr="007B5BE6">
        <w:t>n</w:t>
      </w:r>
      <w:r w:rsidR="00B51F8B" w:rsidRPr="007B5BE6">
        <w:t xml:space="preserve"> Approach 2)</w:t>
      </w:r>
      <w:r w:rsidR="00467DA2" w:rsidRPr="007B5BE6">
        <w:t xml:space="preserve">. </w:t>
      </w:r>
      <w:r w:rsidR="00534513" w:rsidRPr="007B5BE6">
        <w:t xml:space="preserve">Accordingly, </w:t>
      </w:r>
      <w:r w:rsidR="001018CB" w:rsidRPr="007B5BE6">
        <w:t>t</w:t>
      </w:r>
      <w:r w:rsidR="00534513" w:rsidRPr="007B5BE6">
        <w:t xml:space="preserve">he TLRI </w:t>
      </w:r>
      <w:r w:rsidR="00BD13AE" w:rsidRPr="007B5BE6">
        <w:t xml:space="preserve">has not addressed </w:t>
      </w:r>
      <w:r w:rsidR="00174AE9" w:rsidRPr="007B5BE6">
        <w:t xml:space="preserve">issues </w:t>
      </w:r>
      <w:r w:rsidR="004C6B6D" w:rsidRPr="007B5BE6">
        <w:t xml:space="preserve">concerning </w:t>
      </w:r>
      <w:r w:rsidR="001047F8" w:rsidRPr="007B5BE6">
        <w:t xml:space="preserve">the </w:t>
      </w:r>
      <w:r w:rsidR="00BA5DDB" w:rsidRPr="007B5BE6">
        <w:t xml:space="preserve">creation of </w:t>
      </w:r>
      <w:r w:rsidR="001047F8" w:rsidRPr="007B5BE6">
        <w:t xml:space="preserve">a safeguarding </w:t>
      </w:r>
      <w:r w:rsidR="00D513B0" w:rsidRPr="007B5BE6">
        <w:t>function</w:t>
      </w:r>
      <w:r w:rsidR="001047F8" w:rsidRPr="007B5BE6">
        <w:t xml:space="preserve"> for younger adults who may be at risk</w:t>
      </w:r>
      <w:r w:rsidR="00D513B0" w:rsidRPr="007B5BE6">
        <w:t xml:space="preserve"> of </w:t>
      </w:r>
      <w:r w:rsidR="00FF15F7" w:rsidRPr="007B5BE6">
        <w:t>abuse and</w:t>
      </w:r>
      <w:r w:rsidR="0099568F" w:rsidRPr="007B5BE6">
        <w:t xml:space="preserve"> observes that </w:t>
      </w:r>
      <w:r w:rsidR="00215F03" w:rsidRPr="007B5BE6">
        <w:t xml:space="preserve">the focus of </w:t>
      </w:r>
      <w:r w:rsidR="008E2A7A" w:rsidRPr="007B5BE6">
        <w:t xml:space="preserve">this Research Paper does not preclude government from considering the introduction of </w:t>
      </w:r>
      <w:r w:rsidR="0099568F" w:rsidRPr="007B5BE6">
        <w:t xml:space="preserve">a </w:t>
      </w:r>
      <w:r w:rsidR="00215F03" w:rsidRPr="007B5BE6">
        <w:t>broader</w:t>
      </w:r>
      <w:r w:rsidR="0099568F" w:rsidRPr="007B5BE6">
        <w:t xml:space="preserve"> </w:t>
      </w:r>
      <w:r w:rsidR="00215F03" w:rsidRPr="007B5BE6">
        <w:t xml:space="preserve">adult </w:t>
      </w:r>
      <w:r w:rsidR="0099568F" w:rsidRPr="007B5BE6">
        <w:t>safeguarding response</w:t>
      </w:r>
      <w:r w:rsidR="001018CB" w:rsidRPr="007B5BE6">
        <w:t xml:space="preserve">. </w:t>
      </w:r>
      <w:r w:rsidR="008E2A7A" w:rsidRPr="007B5BE6">
        <w:t>However</w:t>
      </w:r>
      <w:r w:rsidR="001018CB" w:rsidRPr="007B5BE6">
        <w:t xml:space="preserve">, </w:t>
      </w:r>
      <w:r w:rsidR="008E2A7A" w:rsidRPr="007B5BE6">
        <w:t xml:space="preserve">in this paper, </w:t>
      </w:r>
      <w:r w:rsidR="001018CB" w:rsidRPr="007B5BE6">
        <w:t xml:space="preserve">the TLRI has focused on how to define the scope of </w:t>
      </w:r>
      <w:r w:rsidR="008E2A7A" w:rsidRPr="007B5BE6">
        <w:t xml:space="preserve">a </w:t>
      </w:r>
      <w:r w:rsidR="001018CB" w:rsidRPr="007B5BE6">
        <w:t>safeguarding response to older Tasmanians</w:t>
      </w:r>
      <w:r w:rsidR="0053218D" w:rsidRPr="007B5BE6">
        <w:t>. On this matter, the</w:t>
      </w:r>
      <w:r w:rsidR="000055B1" w:rsidRPr="007B5BE6">
        <w:t xml:space="preserve"> </w:t>
      </w:r>
      <w:r w:rsidR="001018CB" w:rsidRPr="007B5BE6">
        <w:t>TLRI</w:t>
      </w:r>
      <w:r w:rsidR="002C60E8" w:rsidRPr="007B5BE6">
        <w:t xml:space="preserve">’s view is that an approach aligned to the </w:t>
      </w:r>
      <w:r w:rsidR="00CA182A" w:rsidRPr="007B5BE6">
        <w:t xml:space="preserve">NSW </w:t>
      </w:r>
      <w:r w:rsidR="002C60E8" w:rsidRPr="007B5BE6">
        <w:t>position is preferable (</w:t>
      </w:r>
      <w:r w:rsidR="001346E7" w:rsidRPr="007B5BE6">
        <w:t>Approach</w:t>
      </w:r>
      <w:r w:rsidR="002C60E8" w:rsidRPr="007B5BE6">
        <w:t xml:space="preserve"> 1) </w:t>
      </w:r>
      <w:r w:rsidR="001346E7" w:rsidRPr="007B5BE6">
        <w:t xml:space="preserve">to an approach that would require an additional ‘hurdle’ </w:t>
      </w:r>
      <w:r w:rsidR="00A416B7" w:rsidRPr="007B5BE6">
        <w:t xml:space="preserve">of </w:t>
      </w:r>
      <w:r w:rsidR="001346E7" w:rsidRPr="007B5BE6">
        <w:t xml:space="preserve">vulnerability to be met </w:t>
      </w:r>
      <w:proofErr w:type="gramStart"/>
      <w:r w:rsidR="001346E7" w:rsidRPr="007B5BE6">
        <w:t>in order to</w:t>
      </w:r>
      <w:proofErr w:type="gramEnd"/>
      <w:r w:rsidR="001346E7" w:rsidRPr="007B5BE6">
        <w:t xml:space="preserve"> give rise to the Commissioner’s powers (Approaches 2 and 3). </w:t>
      </w:r>
      <w:r w:rsidR="001047F8" w:rsidRPr="007B5BE6">
        <w:t xml:space="preserve"> </w:t>
      </w:r>
    </w:p>
    <w:p w14:paraId="3F1D62BF" w14:textId="6274A9CC" w:rsidR="001047F8" w:rsidRPr="007B5BE6" w:rsidRDefault="00010560" w:rsidP="00790C19">
      <w:pPr>
        <w:pStyle w:val="NormalNumberedTextTLRI"/>
      </w:pPr>
      <w:r w:rsidRPr="007B5BE6">
        <w:t>This</w:t>
      </w:r>
      <w:r w:rsidR="008E2A7A" w:rsidRPr="007B5BE6">
        <w:t xml:space="preserve"> approach </w:t>
      </w:r>
      <w:r w:rsidR="00573AF7" w:rsidRPr="007B5BE6">
        <w:t xml:space="preserve">allows the Commissioner for </w:t>
      </w:r>
      <w:r w:rsidR="00210936" w:rsidRPr="007B5BE6">
        <w:t>Older People</w:t>
      </w:r>
      <w:r w:rsidR="00573AF7" w:rsidRPr="007B5BE6">
        <w:t xml:space="preserve"> to receive reports about any older person</w:t>
      </w:r>
      <w:r w:rsidR="00493197" w:rsidRPr="007B5BE6">
        <w:t>,</w:t>
      </w:r>
      <w:r w:rsidR="00573AF7" w:rsidRPr="007B5BE6">
        <w:t xml:space="preserve"> where there a basis </w:t>
      </w:r>
      <w:r w:rsidR="00F46DB0" w:rsidRPr="007B5BE6">
        <w:t>for</w:t>
      </w:r>
      <w:r w:rsidR="00573AF7" w:rsidRPr="007B5BE6">
        <w:t xml:space="preserve"> concern about </w:t>
      </w:r>
      <w:r w:rsidR="00F64D9C" w:rsidRPr="007B5BE6">
        <w:t xml:space="preserve">violence, </w:t>
      </w:r>
      <w:r w:rsidR="00573AF7" w:rsidRPr="007B5BE6">
        <w:t xml:space="preserve">abuse, </w:t>
      </w:r>
      <w:r w:rsidR="00F64D9C" w:rsidRPr="007B5BE6">
        <w:t>neglect, coercion or exploitation</w:t>
      </w:r>
      <w:r w:rsidR="00F46DB0" w:rsidRPr="007B5BE6">
        <w:t>,</w:t>
      </w:r>
      <w:r w:rsidR="00F64D9C" w:rsidRPr="007B5BE6">
        <w:t xml:space="preserve"> </w:t>
      </w:r>
      <w:r w:rsidR="00573AF7" w:rsidRPr="007B5BE6">
        <w:t xml:space="preserve">and then </w:t>
      </w:r>
      <w:r w:rsidRPr="007B5BE6">
        <w:t xml:space="preserve">empowers </w:t>
      </w:r>
      <w:r w:rsidR="00573AF7" w:rsidRPr="007B5BE6">
        <w:t>the Commissioner to make inquiries</w:t>
      </w:r>
      <w:r w:rsidRPr="007B5BE6">
        <w:t xml:space="preserve"> (and exercise </w:t>
      </w:r>
      <w:r w:rsidR="00493197" w:rsidRPr="007B5BE6">
        <w:t xml:space="preserve">any </w:t>
      </w:r>
      <w:r w:rsidRPr="007B5BE6">
        <w:t>other powers)</w:t>
      </w:r>
      <w:r w:rsidR="00573AF7" w:rsidRPr="007B5BE6">
        <w:t xml:space="preserve"> under the legislation to determine whether the person is experiencing</w:t>
      </w:r>
      <w:r w:rsidR="00202F8A" w:rsidRPr="007B5BE6">
        <w:t>,</w:t>
      </w:r>
      <w:r w:rsidR="00573AF7" w:rsidRPr="007B5BE6">
        <w:t xml:space="preserve"> or is at risk of experiencing</w:t>
      </w:r>
      <w:r w:rsidR="00202F8A" w:rsidRPr="007B5BE6">
        <w:t>,</w:t>
      </w:r>
      <w:r w:rsidR="00573AF7" w:rsidRPr="007B5BE6">
        <w:t xml:space="preserve"> </w:t>
      </w:r>
      <w:r w:rsidR="00493197" w:rsidRPr="007B5BE6">
        <w:t xml:space="preserve">such violence, </w:t>
      </w:r>
      <w:r w:rsidR="00493197" w:rsidRPr="007B5BE6">
        <w:lastRenderedPageBreak/>
        <w:t>abuse, neglect, coercion or exploitation</w:t>
      </w:r>
      <w:r w:rsidR="00573AF7" w:rsidRPr="007B5BE6">
        <w:t xml:space="preserve">. </w:t>
      </w:r>
      <w:r w:rsidRPr="007B5BE6">
        <w:t>In forming this view, the TLRI is not suggesting that older age</w:t>
      </w:r>
      <w:r w:rsidR="00202F8A" w:rsidRPr="007B5BE6">
        <w:t>,</w:t>
      </w:r>
      <w:r w:rsidRPr="007B5BE6">
        <w:t xml:space="preserve"> of itself</w:t>
      </w:r>
      <w:r w:rsidR="00202F8A" w:rsidRPr="007B5BE6">
        <w:t>,</w:t>
      </w:r>
      <w:r w:rsidRPr="007B5BE6">
        <w:t xml:space="preserve"> makes a person vulnerable to abuse</w:t>
      </w:r>
      <w:r w:rsidR="00A97BB5" w:rsidRPr="007B5BE6">
        <w:t>; rather that it</w:t>
      </w:r>
      <w:r w:rsidRPr="007B5BE6">
        <w:t xml:space="preserve"> is one of many factors that may make a person more susceptible to abuse.</w:t>
      </w:r>
      <w:r w:rsidRPr="007B5BE6">
        <w:rPr>
          <w:rStyle w:val="FootnoteReference"/>
        </w:rPr>
        <w:footnoteReference w:id="580"/>
      </w:r>
      <w:r w:rsidRPr="007B5BE6">
        <w:t xml:space="preserve"> Instead, t</w:t>
      </w:r>
      <w:r w:rsidR="00591F17" w:rsidRPr="007B5BE6">
        <w:t xml:space="preserve">his approach is informed by </w:t>
      </w:r>
      <w:r w:rsidR="00573AF7" w:rsidRPr="007B5BE6">
        <w:t xml:space="preserve">the </w:t>
      </w:r>
      <w:r w:rsidR="00591F17" w:rsidRPr="007B5BE6">
        <w:t xml:space="preserve">challenges created by the </w:t>
      </w:r>
      <w:r w:rsidR="00573AF7" w:rsidRPr="007B5BE6">
        <w:t>current siloed framework in Tasmania, and stakeholder concerns that there were gaps in accessing appropriate safeguard</w:t>
      </w:r>
      <w:r w:rsidR="00A97BB5" w:rsidRPr="007B5BE6">
        <w:t>s by way of response</w:t>
      </w:r>
      <w:r w:rsidR="00573AF7" w:rsidRPr="007B5BE6">
        <w:t xml:space="preserve">. The TLRI’s view is that an approach that excludes reports in relation to some older people, </w:t>
      </w:r>
      <w:r w:rsidR="00A97BB5" w:rsidRPr="007B5BE6">
        <w:t>on the basis that they do</w:t>
      </w:r>
      <w:r w:rsidR="00573AF7" w:rsidRPr="007B5BE6">
        <w:t xml:space="preserve"> not have certain characteristics or may not be in circumstances that are included in any definition of ‘at-risk’ or ‘vulnerable’ adult, creates complexity in the initial process of making a report and may not afford protection to older people who may nevertheless experience</w:t>
      </w:r>
      <w:r w:rsidR="00A97BB5" w:rsidRPr="007B5BE6">
        <w:t>,</w:t>
      </w:r>
      <w:r w:rsidR="00573AF7" w:rsidRPr="007B5BE6">
        <w:t xml:space="preserve"> or be at risk of experiencing</w:t>
      </w:r>
      <w:r w:rsidR="00A97BB5" w:rsidRPr="007B5BE6">
        <w:t>,</w:t>
      </w:r>
      <w:r w:rsidR="00573AF7" w:rsidRPr="007B5BE6">
        <w:t xml:space="preserve"> abuse. Accordingly, the TLRI’s view is that a broad approach should be adopted that would allow access to the protections afforded by an overarching safeguarding approach </w:t>
      </w:r>
      <w:r w:rsidR="006D005D" w:rsidRPr="007B5BE6">
        <w:t xml:space="preserve">for </w:t>
      </w:r>
      <w:r w:rsidR="00573AF7" w:rsidRPr="007B5BE6">
        <w:t xml:space="preserve">all older adults, irrespective of whether they have disability or </w:t>
      </w:r>
      <w:r w:rsidR="00D00CCA" w:rsidRPr="007B5BE6">
        <w:t xml:space="preserve">circumstances that have been </w:t>
      </w:r>
      <w:r w:rsidR="008A5727" w:rsidRPr="007B5BE6">
        <w:t xml:space="preserve">considered </w:t>
      </w:r>
      <w:r w:rsidR="00650B9D" w:rsidRPr="007B5BE6">
        <w:t xml:space="preserve">in other jurisdictions as factors relevant to </w:t>
      </w:r>
      <w:r w:rsidR="00573AF7" w:rsidRPr="007B5BE6">
        <w:t xml:space="preserve">vulnerability. </w:t>
      </w:r>
      <w:r w:rsidR="00650B9D" w:rsidRPr="007B5BE6">
        <w:t xml:space="preserve">This </w:t>
      </w:r>
      <w:r w:rsidR="00D525DB" w:rsidRPr="007B5BE6">
        <w:t xml:space="preserve">broad </w:t>
      </w:r>
      <w:r w:rsidR="007718C9" w:rsidRPr="007B5BE6">
        <w:t xml:space="preserve">approach </w:t>
      </w:r>
      <w:r w:rsidR="00D525DB" w:rsidRPr="007B5BE6">
        <w:t>has been adopted in NSW</w:t>
      </w:r>
      <w:r w:rsidR="007718C9" w:rsidRPr="007B5BE6">
        <w:t>.</w:t>
      </w:r>
    </w:p>
    <w:p w14:paraId="4D3C923F" w14:textId="71A95981" w:rsidR="00573AF7" w:rsidRPr="007B5BE6" w:rsidRDefault="001346E7" w:rsidP="00D13F60">
      <w:pPr>
        <w:numPr>
          <w:ilvl w:val="2"/>
          <w:numId w:val="2"/>
        </w:numPr>
        <w:tabs>
          <w:tab w:val="left" w:pos="851"/>
        </w:tabs>
        <w:spacing w:before="220"/>
        <w:rPr>
          <w:rFonts w:eastAsia="Times" w:cs="Times New Roman"/>
          <w:szCs w:val="20"/>
        </w:rPr>
      </w:pPr>
      <w:r w:rsidRPr="007B5BE6">
        <w:rPr>
          <w:rFonts w:eastAsia="Times" w:cs="Times New Roman"/>
          <w:szCs w:val="20"/>
        </w:rPr>
        <w:t>The TLRI acknowledges that</w:t>
      </w:r>
      <w:r w:rsidR="005C6643" w:rsidRPr="007B5BE6">
        <w:rPr>
          <w:rFonts w:eastAsia="Times" w:cs="Times New Roman"/>
          <w:szCs w:val="20"/>
        </w:rPr>
        <w:t>,</w:t>
      </w:r>
      <w:r w:rsidRPr="007B5BE6">
        <w:rPr>
          <w:rFonts w:eastAsia="Times" w:cs="Times New Roman"/>
          <w:szCs w:val="20"/>
        </w:rPr>
        <w:t xml:space="preserve"> i</w:t>
      </w:r>
      <w:r w:rsidR="00880992" w:rsidRPr="007B5BE6">
        <w:rPr>
          <w:rFonts w:eastAsia="Times" w:cs="Times New Roman"/>
          <w:szCs w:val="20"/>
        </w:rPr>
        <w:t xml:space="preserve">n </w:t>
      </w:r>
      <w:r w:rsidR="00C40004" w:rsidRPr="007B5BE6">
        <w:rPr>
          <w:rFonts w:eastAsia="Times" w:cs="Times New Roman"/>
          <w:szCs w:val="20"/>
        </w:rPr>
        <w:t>interviews</w:t>
      </w:r>
      <w:r w:rsidR="00880992" w:rsidRPr="007B5BE6">
        <w:rPr>
          <w:rFonts w:eastAsia="Times" w:cs="Times New Roman"/>
          <w:szCs w:val="20"/>
        </w:rPr>
        <w:t>, some</w:t>
      </w:r>
      <w:r w:rsidR="001F53D9" w:rsidRPr="007B5BE6">
        <w:rPr>
          <w:rFonts w:eastAsia="Times" w:cs="Times New Roman"/>
          <w:szCs w:val="20"/>
        </w:rPr>
        <w:t xml:space="preserve"> stakeholders </w:t>
      </w:r>
      <w:r w:rsidR="00880992" w:rsidRPr="007B5BE6">
        <w:rPr>
          <w:rFonts w:eastAsia="Times" w:cs="Times New Roman"/>
          <w:szCs w:val="20"/>
        </w:rPr>
        <w:t xml:space="preserve">raised concerns </w:t>
      </w:r>
      <w:r w:rsidR="001F53D9" w:rsidRPr="007B5BE6">
        <w:rPr>
          <w:rFonts w:eastAsia="Times" w:cs="Times New Roman"/>
          <w:szCs w:val="20"/>
        </w:rPr>
        <w:t xml:space="preserve">about </w:t>
      </w:r>
      <w:r w:rsidR="00CF7C30" w:rsidRPr="007B5BE6">
        <w:rPr>
          <w:rFonts w:eastAsia="Times" w:cs="Times New Roman"/>
          <w:szCs w:val="20"/>
        </w:rPr>
        <w:t xml:space="preserve">such </w:t>
      </w:r>
      <w:r w:rsidR="001F53D9" w:rsidRPr="007B5BE6">
        <w:rPr>
          <w:rFonts w:eastAsia="Times" w:cs="Times New Roman"/>
          <w:szCs w:val="20"/>
        </w:rPr>
        <w:t>an approach</w:t>
      </w:r>
      <w:r w:rsidR="005C6643" w:rsidRPr="007B5BE6">
        <w:rPr>
          <w:rFonts w:eastAsia="Times" w:cs="Times New Roman"/>
          <w:szCs w:val="20"/>
        </w:rPr>
        <w:t xml:space="preserve"> (</w:t>
      </w:r>
      <w:r w:rsidR="00B7621B" w:rsidRPr="007B5BE6">
        <w:rPr>
          <w:rFonts w:eastAsia="Times" w:cs="Times New Roman"/>
          <w:szCs w:val="20"/>
        </w:rPr>
        <w:t>as adopted in NSW)</w:t>
      </w:r>
      <w:r w:rsidR="001F53D9" w:rsidRPr="007B5BE6">
        <w:rPr>
          <w:rFonts w:eastAsia="Times" w:cs="Times New Roman"/>
          <w:szCs w:val="20"/>
        </w:rPr>
        <w:t xml:space="preserve"> that would target older Tasmanians solely based on their age</w:t>
      </w:r>
      <w:r w:rsidR="00B7621B" w:rsidRPr="007B5BE6">
        <w:rPr>
          <w:rFonts w:eastAsia="Times" w:cs="Times New Roman"/>
          <w:szCs w:val="20"/>
        </w:rPr>
        <w:t>,</w:t>
      </w:r>
      <w:r w:rsidR="0069266A" w:rsidRPr="007B5BE6">
        <w:rPr>
          <w:rFonts w:eastAsia="Times" w:cs="Times New Roman"/>
          <w:szCs w:val="20"/>
        </w:rPr>
        <w:t xml:space="preserve"> on the basis that it </w:t>
      </w:r>
      <w:r w:rsidR="00F22DB7" w:rsidRPr="007B5BE6">
        <w:rPr>
          <w:rFonts w:eastAsia="Times" w:cs="Times New Roman"/>
          <w:szCs w:val="20"/>
        </w:rPr>
        <w:t xml:space="preserve">could be </w:t>
      </w:r>
      <w:r w:rsidR="00124C5F" w:rsidRPr="007B5BE6">
        <w:rPr>
          <w:rFonts w:eastAsia="Times" w:cs="Times New Roman"/>
          <w:szCs w:val="20"/>
        </w:rPr>
        <w:t>perceived as being</w:t>
      </w:r>
      <w:r w:rsidR="00880992" w:rsidRPr="007B5BE6">
        <w:rPr>
          <w:rFonts w:eastAsia="Times" w:cs="Times New Roman"/>
          <w:szCs w:val="20"/>
        </w:rPr>
        <w:t xml:space="preserve"> </w:t>
      </w:r>
      <w:r w:rsidR="001F53D9" w:rsidRPr="007B5BE6">
        <w:rPr>
          <w:rFonts w:eastAsia="Times" w:cs="Times New Roman"/>
          <w:szCs w:val="20"/>
        </w:rPr>
        <w:t xml:space="preserve">overly paternalistic and fail to reflect the principles of self-determination and choice. </w:t>
      </w:r>
      <w:r w:rsidR="00600021" w:rsidRPr="007B5BE6">
        <w:rPr>
          <w:rFonts w:eastAsia="Times" w:cs="Times New Roman"/>
          <w:szCs w:val="20"/>
        </w:rPr>
        <w:t xml:space="preserve">Stakeholders </w:t>
      </w:r>
      <w:r w:rsidR="00B7621B" w:rsidRPr="007B5BE6">
        <w:rPr>
          <w:rFonts w:eastAsia="Times" w:cs="Times New Roman"/>
          <w:szCs w:val="20"/>
        </w:rPr>
        <w:t>who</w:t>
      </w:r>
      <w:r w:rsidR="00600021" w:rsidRPr="007B5BE6">
        <w:rPr>
          <w:rFonts w:eastAsia="Times" w:cs="Times New Roman"/>
          <w:szCs w:val="20"/>
        </w:rPr>
        <w:t xml:space="preserve"> discussed this issue noted</w:t>
      </w:r>
      <w:r w:rsidR="00856EE7" w:rsidRPr="007B5BE6">
        <w:rPr>
          <w:rFonts w:eastAsia="Times" w:cs="Times New Roman"/>
          <w:szCs w:val="20"/>
        </w:rPr>
        <w:t xml:space="preserve"> </w:t>
      </w:r>
      <w:r w:rsidR="001F53D9" w:rsidRPr="007B5BE6">
        <w:rPr>
          <w:rFonts w:eastAsia="Times" w:cs="Times New Roman"/>
          <w:szCs w:val="20"/>
        </w:rPr>
        <w:t xml:space="preserve">that age </w:t>
      </w:r>
      <w:r w:rsidR="00CE0F35" w:rsidRPr="007B5BE6">
        <w:rPr>
          <w:rFonts w:eastAsia="Times" w:cs="Times New Roman"/>
          <w:szCs w:val="20"/>
        </w:rPr>
        <w:t>can be</w:t>
      </w:r>
      <w:r w:rsidR="001F53D9" w:rsidRPr="007B5BE6" w:rsidDel="00CE0F35">
        <w:rPr>
          <w:rFonts w:eastAsia="Times" w:cs="Times New Roman"/>
          <w:szCs w:val="20"/>
        </w:rPr>
        <w:t xml:space="preserve"> </w:t>
      </w:r>
      <w:r w:rsidR="001F53D9" w:rsidRPr="007B5BE6">
        <w:rPr>
          <w:rFonts w:eastAsia="Times" w:cs="Times New Roman"/>
          <w:szCs w:val="20"/>
        </w:rPr>
        <w:t>a ‘blunt instrument’</w:t>
      </w:r>
      <w:r w:rsidR="00CB2F5E" w:rsidRPr="007B5BE6">
        <w:rPr>
          <w:rFonts w:eastAsia="Times" w:cs="Times New Roman"/>
          <w:szCs w:val="20"/>
        </w:rPr>
        <w:t xml:space="preserve"> when determining access to service</w:t>
      </w:r>
      <w:r w:rsidR="00A9696A" w:rsidRPr="007B5BE6">
        <w:rPr>
          <w:rFonts w:eastAsia="Times" w:cs="Times New Roman"/>
          <w:szCs w:val="20"/>
        </w:rPr>
        <w:t xml:space="preserve">s, and </w:t>
      </w:r>
      <w:r w:rsidR="00544AD5" w:rsidRPr="007B5BE6">
        <w:rPr>
          <w:rFonts w:eastAsia="Times" w:cs="Times New Roman"/>
          <w:szCs w:val="20"/>
        </w:rPr>
        <w:t xml:space="preserve">that </w:t>
      </w:r>
      <w:r w:rsidR="00E71F54" w:rsidRPr="007B5BE6">
        <w:rPr>
          <w:rFonts w:eastAsia="Times" w:cs="Times New Roman"/>
          <w:szCs w:val="20"/>
        </w:rPr>
        <w:t xml:space="preserve">being </w:t>
      </w:r>
      <w:r w:rsidR="00472DBB" w:rsidRPr="007B5BE6">
        <w:rPr>
          <w:rFonts w:eastAsia="Times" w:cs="Times New Roman"/>
          <w:szCs w:val="20"/>
        </w:rPr>
        <w:t xml:space="preserve">over a certain age </w:t>
      </w:r>
      <w:r w:rsidR="00E71F54" w:rsidRPr="007B5BE6">
        <w:rPr>
          <w:rFonts w:eastAsia="Times" w:cs="Times New Roman"/>
          <w:szCs w:val="20"/>
        </w:rPr>
        <w:t xml:space="preserve">does </w:t>
      </w:r>
      <w:r w:rsidR="001F53D9" w:rsidRPr="007B5BE6">
        <w:rPr>
          <w:rFonts w:eastAsia="Times" w:cs="Times New Roman"/>
          <w:szCs w:val="20"/>
        </w:rPr>
        <w:t>not necessarily render a person vulnerable to abuse</w:t>
      </w:r>
      <w:r w:rsidR="00856EE7" w:rsidRPr="007B5BE6">
        <w:rPr>
          <w:rFonts w:eastAsia="Times" w:cs="Times New Roman"/>
          <w:szCs w:val="20"/>
        </w:rPr>
        <w:t xml:space="preserve"> and is not determinative of a person’s capac</w:t>
      </w:r>
      <w:r w:rsidR="00472DBB" w:rsidRPr="007B5BE6">
        <w:rPr>
          <w:rFonts w:eastAsia="Times" w:cs="Times New Roman"/>
          <w:szCs w:val="20"/>
        </w:rPr>
        <w:t xml:space="preserve">ity to make </w:t>
      </w:r>
      <w:r w:rsidR="00B04F23" w:rsidRPr="007B5BE6">
        <w:rPr>
          <w:rFonts w:eastAsia="Times" w:cs="Times New Roman"/>
          <w:szCs w:val="20"/>
        </w:rPr>
        <w:t>decisions about their own life</w:t>
      </w:r>
      <w:r w:rsidR="009A3E24" w:rsidRPr="007B5BE6">
        <w:rPr>
          <w:rFonts w:eastAsia="Times" w:cs="Times New Roman"/>
          <w:szCs w:val="20"/>
        </w:rPr>
        <w:t>. It was considered that</w:t>
      </w:r>
      <w:r w:rsidR="001F53D9" w:rsidRPr="007B5BE6">
        <w:rPr>
          <w:rFonts w:eastAsia="Times" w:cs="Times New Roman"/>
          <w:szCs w:val="20"/>
        </w:rPr>
        <w:t xml:space="preserve"> </w:t>
      </w:r>
      <w:r w:rsidR="009A3E24" w:rsidRPr="007B5BE6">
        <w:rPr>
          <w:rFonts w:eastAsia="Times" w:cs="Times New Roman"/>
          <w:szCs w:val="20"/>
        </w:rPr>
        <w:t xml:space="preserve">an </w:t>
      </w:r>
      <w:r w:rsidR="001F53D9" w:rsidRPr="007B5BE6">
        <w:rPr>
          <w:rFonts w:eastAsia="Times" w:cs="Times New Roman"/>
          <w:szCs w:val="20"/>
        </w:rPr>
        <w:t xml:space="preserve">approach </w:t>
      </w:r>
      <w:r w:rsidR="009A3E24" w:rsidRPr="007B5BE6">
        <w:rPr>
          <w:rFonts w:eastAsia="Times" w:cs="Times New Roman"/>
          <w:szCs w:val="20"/>
        </w:rPr>
        <w:t xml:space="preserve">that views a person </w:t>
      </w:r>
      <w:r w:rsidR="00A9696A" w:rsidRPr="007B5BE6">
        <w:rPr>
          <w:rFonts w:eastAsia="Times" w:cs="Times New Roman"/>
          <w:szCs w:val="20"/>
        </w:rPr>
        <w:t>a</w:t>
      </w:r>
      <w:r w:rsidR="009A3E24" w:rsidRPr="007B5BE6">
        <w:rPr>
          <w:rFonts w:eastAsia="Times" w:cs="Times New Roman"/>
          <w:szCs w:val="20"/>
        </w:rPr>
        <w:t>s</w:t>
      </w:r>
      <w:r w:rsidR="00B7177C" w:rsidRPr="007B5BE6">
        <w:rPr>
          <w:rFonts w:eastAsia="Times" w:cs="Times New Roman"/>
          <w:szCs w:val="20"/>
        </w:rPr>
        <w:t xml:space="preserve"> </w:t>
      </w:r>
      <w:r w:rsidR="00A701E1" w:rsidRPr="007B5BE6">
        <w:rPr>
          <w:rFonts w:eastAsia="Times" w:cs="Times New Roman"/>
          <w:szCs w:val="20"/>
        </w:rPr>
        <w:t>needing</w:t>
      </w:r>
      <w:r w:rsidR="009A3E24" w:rsidRPr="007B5BE6">
        <w:rPr>
          <w:rFonts w:eastAsia="Times" w:cs="Times New Roman"/>
          <w:szCs w:val="20"/>
        </w:rPr>
        <w:t xml:space="preserve"> protection solely on the basis that they are an older perso</w:t>
      </w:r>
      <w:r w:rsidR="00B7177C" w:rsidRPr="007B5BE6">
        <w:rPr>
          <w:rFonts w:eastAsia="Times" w:cs="Times New Roman"/>
          <w:szCs w:val="20"/>
        </w:rPr>
        <w:t xml:space="preserve">n </w:t>
      </w:r>
      <w:r w:rsidR="001F53D9" w:rsidRPr="007B5BE6">
        <w:rPr>
          <w:rFonts w:eastAsia="Times" w:cs="Times New Roman"/>
          <w:szCs w:val="20"/>
        </w:rPr>
        <w:t>could perpetuate ageism</w:t>
      </w:r>
      <w:r w:rsidR="008F34BF" w:rsidRPr="007B5BE6">
        <w:rPr>
          <w:rFonts w:eastAsia="Times" w:cs="Times New Roman"/>
          <w:szCs w:val="20"/>
        </w:rPr>
        <w:t xml:space="preserve">. </w:t>
      </w:r>
      <w:r w:rsidR="00DA65D1" w:rsidRPr="007B5BE6">
        <w:rPr>
          <w:rFonts w:eastAsia="Times" w:cs="Times New Roman"/>
          <w:szCs w:val="20"/>
        </w:rPr>
        <w:t xml:space="preserve">At the same time, </w:t>
      </w:r>
      <w:r w:rsidR="0061127E" w:rsidRPr="007B5BE6">
        <w:rPr>
          <w:rFonts w:eastAsia="Times" w:cs="Times New Roman"/>
          <w:szCs w:val="20"/>
        </w:rPr>
        <w:t xml:space="preserve">it was suggested that </w:t>
      </w:r>
      <w:r w:rsidR="00D022FD" w:rsidRPr="007B5BE6">
        <w:rPr>
          <w:rFonts w:eastAsia="Times" w:cs="Times New Roman"/>
          <w:szCs w:val="20"/>
        </w:rPr>
        <w:t xml:space="preserve">older people </w:t>
      </w:r>
      <w:r w:rsidR="0036486A" w:rsidRPr="007B5BE6">
        <w:rPr>
          <w:rFonts w:eastAsia="Times" w:cs="Times New Roman"/>
          <w:szCs w:val="20"/>
        </w:rPr>
        <w:t>can be at</w:t>
      </w:r>
      <w:r w:rsidR="00D022FD" w:rsidRPr="007B5BE6">
        <w:rPr>
          <w:rFonts w:eastAsia="Times" w:cs="Times New Roman"/>
          <w:szCs w:val="20"/>
        </w:rPr>
        <w:t xml:space="preserve"> </w:t>
      </w:r>
      <w:r w:rsidR="0036486A" w:rsidRPr="007B5BE6">
        <w:rPr>
          <w:rFonts w:eastAsia="Times" w:cs="Times New Roman"/>
          <w:szCs w:val="20"/>
        </w:rPr>
        <w:t>‘</w:t>
      </w:r>
      <w:r w:rsidR="00D022FD" w:rsidRPr="007B5BE6">
        <w:rPr>
          <w:rFonts w:eastAsia="Times" w:cs="Times New Roman"/>
          <w:szCs w:val="20"/>
        </w:rPr>
        <w:t>an increased vulnerability for a range of reasons</w:t>
      </w:r>
      <w:r w:rsidR="0036486A" w:rsidRPr="007B5BE6">
        <w:rPr>
          <w:rFonts w:eastAsia="Times" w:cs="Times New Roman"/>
          <w:szCs w:val="20"/>
        </w:rPr>
        <w:t xml:space="preserve">’ and that </w:t>
      </w:r>
      <w:r w:rsidR="0061127E" w:rsidRPr="007B5BE6">
        <w:rPr>
          <w:rFonts w:eastAsia="Times" w:cs="Times New Roman"/>
          <w:szCs w:val="20"/>
        </w:rPr>
        <w:t xml:space="preserve">older age should not be </w:t>
      </w:r>
      <w:r w:rsidR="00094245" w:rsidRPr="007B5BE6">
        <w:rPr>
          <w:rFonts w:eastAsia="Times" w:cs="Times New Roman"/>
          <w:szCs w:val="20"/>
        </w:rPr>
        <w:t xml:space="preserve">viewed as a ‘cut off’ point where people </w:t>
      </w:r>
      <w:r w:rsidR="00B3327C" w:rsidRPr="007B5BE6">
        <w:rPr>
          <w:rFonts w:eastAsia="Times" w:cs="Times New Roman"/>
          <w:szCs w:val="20"/>
        </w:rPr>
        <w:t xml:space="preserve">are viewed as </w:t>
      </w:r>
      <w:r w:rsidR="00094245" w:rsidRPr="007B5BE6">
        <w:rPr>
          <w:rFonts w:eastAsia="Times" w:cs="Times New Roman"/>
          <w:szCs w:val="20"/>
        </w:rPr>
        <w:t>no longer</w:t>
      </w:r>
      <w:r w:rsidR="00B7780F" w:rsidRPr="007B5BE6">
        <w:rPr>
          <w:rFonts w:eastAsia="Times" w:cs="Times New Roman"/>
          <w:szCs w:val="20"/>
        </w:rPr>
        <w:t xml:space="preserve"> </w:t>
      </w:r>
      <w:r w:rsidR="00D95AE4" w:rsidRPr="007B5BE6">
        <w:rPr>
          <w:rFonts w:eastAsia="Times" w:cs="Times New Roman"/>
          <w:szCs w:val="20"/>
        </w:rPr>
        <w:t>being at risk</w:t>
      </w:r>
      <w:r w:rsidR="00F645E8" w:rsidRPr="007B5BE6">
        <w:rPr>
          <w:rFonts w:eastAsia="Times" w:cs="Times New Roman"/>
          <w:szCs w:val="20"/>
        </w:rPr>
        <w:t xml:space="preserve"> of experiencing </w:t>
      </w:r>
      <w:r w:rsidR="001C1EB5" w:rsidRPr="007B5BE6">
        <w:rPr>
          <w:rFonts w:eastAsia="Times" w:cs="Times New Roman"/>
          <w:szCs w:val="20"/>
        </w:rPr>
        <w:t>abus</w:t>
      </w:r>
      <w:r w:rsidR="00D95AE4" w:rsidRPr="007B5BE6">
        <w:rPr>
          <w:rFonts w:eastAsia="Times" w:cs="Times New Roman"/>
          <w:szCs w:val="20"/>
        </w:rPr>
        <w:t>e</w:t>
      </w:r>
      <w:r w:rsidR="00431218" w:rsidRPr="007B5BE6">
        <w:rPr>
          <w:rFonts w:eastAsia="Times" w:cs="Times New Roman"/>
          <w:szCs w:val="20"/>
        </w:rPr>
        <w:t xml:space="preserve">, wanting or </w:t>
      </w:r>
      <w:r w:rsidR="00B3327C" w:rsidRPr="007B5BE6">
        <w:rPr>
          <w:rFonts w:eastAsia="Times" w:cs="Times New Roman"/>
          <w:szCs w:val="20"/>
        </w:rPr>
        <w:t>needing</w:t>
      </w:r>
      <w:r w:rsidR="00647298" w:rsidRPr="007B5BE6">
        <w:rPr>
          <w:rFonts w:eastAsia="Times" w:cs="Times New Roman"/>
          <w:szCs w:val="20"/>
        </w:rPr>
        <w:t xml:space="preserve"> </w:t>
      </w:r>
      <w:r w:rsidR="00340AC2" w:rsidRPr="007B5BE6">
        <w:rPr>
          <w:rFonts w:eastAsia="Times" w:cs="Times New Roman"/>
          <w:szCs w:val="20"/>
        </w:rPr>
        <w:t>to seek help and</w:t>
      </w:r>
      <w:r w:rsidR="006B1427" w:rsidRPr="007B5BE6">
        <w:rPr>
          <w:rFonts w:eastAsia="Times" w:cs="Times New Roman"/>
          <w:szCs w:val="20"/>
        </w:rPr>
        <w:t xml:space="preserve"> have </w:t>
      </w:r>
      <w:r w:rsidR="002017B8" w:rsidRPr="007B5BE6">
        <w:rPr>
          <w:rFonts w:eastAsia="Times" w:cs="Times New Roman"/>
          <w:szCs w:val="20"/>
        </w:rPr>
        <w:t>appropriate supports</w:t>
      </w:r>
      <w:r w:rsidR="006B1427" w:rsidRPr="007B5BE6">
        <w:rPr>
          <w:rFonts w:eastAsia="Times" w:cs="Times New Roman"/>
          <w:szCs w:val="20"/>
        </w:rPr>
        <w:t xml:space="preserve"> and a safeguarding response </w:t>
      </w:r>
      <w:r w:rsidR="009E04E2" w:rsidRPr="007B5BE6">
        <w:rPr>
          <w:rFonts w:eastAsia="Times" w:cs="Times New Roman"/>
          <w:szCs w:val="20"/>
        </w:rPr>
        <w:t xml:space="preserve">available to them </w:t>
      </w:r>
      <w:r w:rsidR="006B1427" w:rsidRPr="007B5BE6">
        <w:rPr>
          <w:rFonts w:eastAsia="Times" w:cs="Times New Roman"/>
          <w:szCs w:val="20"/>
        </w:rPr>
        <w:t>(</w:t>
      </w:r>
      <w:r w:rsidR="00A14D77" w:rsidRPr="007B5BE6">
        <w:rPr>
          <w:rFonts w:eastAsia="Times" w:cs="Times New Roman"/>
          <w:szCs w:val="20"/>
        </w:rPr>
        <w:t>where they consent to that).</w:t>
      </w:r>
      <w:r w:rsidR="0064052A" w:rsidRPr="007B5BE6">
        <w:rPr>
          <w:rFonts w:eastAsia="Times" w:cs="Times New Roman"/>
          <w:szCs w:val="20"/>
        </w:rPr>
        <w:t xml:space="preserve"> </w:t>
      </w:r>
      <w:r w:rsidR="008F34BF" w:rsidRPr="007B5BE6">
        <w:rPr>
          <w:rFonts w:eastAsia="Times" w:cs="Times New Roman"/>
          <w:szCs w:val="20"/>
        </w:rPr>
        <w:t xml:space="preserve">In this regard, </w:t>
      </w:r>
      <w:r w:rsidR="007C53F0" w:rsidRPr="007B5BE6">
        <w:rPr>
          <w:rFonts w:eastAsia="Times" w:cs="Times New Roman"/>
          <w:szCs w:val="20"/>
        </w:rPr>
        <w:t>stakeholder</w:t>
      </w:r>
      <w:r w:rsidR="00B74B48" w:rsidRPr="007B5BE6">
        <w:rPr>
          <w:rFonts w:eastAsia="Times" w:cs="Times New Roman"/>
          <w:szCs w:val="20"/>
        </w:rPr>
        <w:t>s</w:t>
      </w:r>
      <w:r w:rsidR="007C53F0" w:rsidRPr="007B5BE6">
        <w:rPr>
          <w:rFonts w:eastAsia="Times" w:cs="Times New Roman"/>
          <w:szCs w:val="20"/>
        </w:rPr>
        <w:t xml:space="preserve"> referred to </w:t>
      </w:r>
      <w:r w:rsidR="00FC082E" w:rsidRPr="007B5BE6">
        <w:rPr>
          <w:rFonts w:eastAsia="Times" w:cs="Times New Roman"/>
          <w:szCs w:val="20"/>
        </w:rPr>
        <w:t>th</w:t>
      </w:r>
      <w:r w:rsidR="00B133F6" w:rsidRPr="007B5BE6">
        <w:rPr>
          <w:rFonts w:eastAsia="Times" w:cs="Times New Roman"/>
          <w:szCs w:val="20"/>
        </w:rPr>
        <w:t xml:space="preserve">e </w:t>
      </w:r>
      <w:r w:rsidR="007C53F0" w:rsidRPr="007B5BE6">
        <w:rPr>
          <w:rFonts w:eastAsia="Times" w:cs="Times New Roman"/>
          <w:szCs w:val="20"/>
        </w:rPr>
        <w:t>importance</w:t>
      </w:r>
      <w:r w:rsidR="00B133F6" w:rsidRPr="007B5BE6">
        <w:rPr>
          <w:rFonts w:eastAsia="Times" w:cs="Times New Roman"/>
          <w:szCs w:val="20"/>
        </w:rPr>
        <w:t xml:space="preserve"> of ‘lifelong respect’</w:t>
      </w:r>
      <w:r w:rsidR="0022669A" w:rsidRPr="007B5BE6">
        <w:rPr>
          <w:rFonts w:eastAsia="Times" w:cs="Times New Roman"/>
          <w:szCs w:val="20"/>
        </w:rPr>
        <w:t>, the notion</w:t>
      </w:r>
      <w:r w:rsidR="00B133F6" w:rsidRPr="007B5BE6">
        <w:rPr>
          <w:rFonts w:eastAsia="Times" w:cs="Times New Roman"/>
          <w:szCs w:val="20"/>
        </w:rPr>
        <w:t xml:space="preserve"> underpinning the </w:t>
      </w:r>
      <w:r w:rsidR="0052636F" w:rsidRPr="007B5BE6">
        <w:rPr>
          <w:rFonts w:eastAsia="Times" w:cs="Times New Roman"/>
          <w:szCs w:val="20"/>
        </w:rPr>
        <w:t>Tasmanian policy framework</w:t>
      </w:r>
      <w:r w:rsidR="00BF4B4D" w:rsidRPr="007B5BE6">
        <w:rPr>
          <w:rFonts w:eastAsia="Times" w:cs="Times New Roman"/>
          <w:szCs w:val="20"/>
        </w:rPr>
        <w:t xml:space="preserve"> and specialist service approach</w:t>
      </w:r>
      <w:r w:rsidR="0052636F" w:rsidRPr="007B5BE6">
        <w:rPr>
          <w:rFonts w:eastAsia="Times" w:cs="Times New Roman"/>
          <w:szCs w:val="20"/>
        </w:rPr>
        <w:t xml:space="preserve"> regarding abuse of older people.</w:t>
      </w:r>
      <w:r w:rsidR="00EB4C4E" w:rsidRPr="007B5BE6">
        <w:rPr>
          <w:rStyle w:val="FootnoteReference"/>
          <w:rFonts w:eastAsia="Times" w:cs="Times New Roman"/>
          <w:szCs w:val="20"/>
        </w:rPr>
        <w:footnoteReference w:id="581"/>
      </w:r>
      <w:r w:rsidR="00DC704F" w:rsidRPr="007B5BE6">
        <w:rPr>
          <w:rFonts w:eastAsia="Times" w:cs="Times New Roman"/>
          <w:szCs w:val="20"/>
        </w:rPr>
        <w:t xml:space="preserve"> </w:t>
      </w:r>
      <w:r w:rsidR="00BC4F9E" w:rsidRPr="007B5BE6">
        <w:rPr>
          <w:rFonts w:eastAsia="Times" w:cs="Times New Roman"/>
          <w:szCs w:val="20"/>
        </w:rPr>
        <w:t>A</w:t>
      </w:r>
      <w:r w:rsidR="00882F38" w:rsidRPr="007B5BE6">
        <w:rPr>
          <w:rFonts w:eastAsia="Times" w:cs="Times New Roman"/>
          <w:szCs w:val="20"/>
        </w:rPr>
        <w:t>cknowled</w:t>
      </w:r>
      <w:r w:rsidR="00D00205" w:rsidRPr="007B5BE6">
        <w:rPr>
          <w:rFonts w:eastAsia="Times" w:cs="Times New Roman"/>
          <w:szCs w:val="20"/>
        </w:rPr>
        <w:t>ging</w:t>
      </w:r>
      <w:r w:rsidR="00882F38" w:rsidRPr="007B5BE6">
        <w:rPr>
          <w:rFonts w:eastAsia="Times" w:cs="Times New Roman"/>
          <w:szCs w:val="20"/>
        </w:rPr>
        <w:t xml:space="preserve"> these concerns</w:t>
      </w:r>
      <w:r w:rsidR="00F220B2" w:rsidRPr="007B5BE6">
        <w:rPr>
          <w:rFonts w:eastAsia="Times" w:cs="Times New Roman"/>
          <w:szCs w:val="20"/>
        </w:rPr>
        <w:t xml:space="preserve"> and </w:t>
      </w:r>
      <w:r w:rsidR="00BC4F9E" w:rsidRPr="007B5BE6">
        <w:rPr>
          <w:rFonts w:eastAsia="Times" w:cs="Times New Roman"/>
          <w:szCs w:val="20"/>
        </w:rPr>
        <w:t>considerations, the TLRI</w:t>
      </w:r>
      <w:r w:rsidR="00A701E1" w:rsidRPr="007B5BE6">
        <w:rPr>
          <w:rFonts w:eastAsia="Times" w:cs="Times New Roman"/>
          <w:szCs w:val="20"/>
        </w:rPr>
        <w:t xml:space="preserve">’s </w:t>
      </w:r>
      <w:r w:rsidR="00BC4F9E" w:rsidRPr="007B5BE6">
        <w:rPr>
          <w:rFonts w:eastAsia="Times" w:cs="Times New Roman"/>
          <w:szCs w:val="20"/>
        </w:rPr>
        <w:t xml:space="preserve">view </w:t>
      </w:r>
      <w:r w:rsidR="00703DC2" w:rsidRPr="007B5BE6">
        <w:rPr>
          <w:rFonts w:eastAsia="Times" w:cs="Times New Roman"/>
          <w:szCs w:val="20"/>
        </w:rPr>
        <w:t xml:space="preserve">that </w:t>
      </w:r>
      <w:r w:rsidR="00E2780E" w:rsidRPr="007B5BE6">
        <w:rPr>
          <w:rFonts w:eastAsia="Times" w:cs="Times New Roman"/>
          <w:szCs w:val="20"/>
        </w:rPr>
        <w:t xml:space="preserve">safeguarding and autonomy can both exist in a model that provides legal </w:t>
      </w:r>
      <w:r w:rsidR="00703DC2" w:rsidRPr="007B5BE6">
        <w:rPr>
          <w:rFonts w:eastAsia="Times" w:cs="Times New Roman"/>
          <w:szCs w:val="20"/>
        </w:rPr>
        <w:t xml:space="preserve">safeguarding </w:t>
      </w:r>
      <w:r w:rsidR="00E2780E" w:rsidRPr="007B5BE6">
        <w:rPr>
          <w:rFonts w:eastAsia="Times" w:cs="Times New Roman"/>
          <w:szCs w:val="20"/>
        </w:rPr>
        <w:t>for all older people</w:t>
      </w:r>
      <w:r w:rsidR="001210ED" w:rsidRPr="007B5BE6">
        <w:rPr>
          <w:rFonts w:eastAsia="Times" w:cs="Times New Roman"/>
          <w:szCs w:val="20"/>
        </w:rPr>
        <w:t>, noting SALRI</w:t>
      </w:r>
      <w:r w:rsidR="00462276" w:rsidRPr="007B5BE6">
        <w:rPr>
          <w:rFonts w:eastAsia="Times" w:cs="Times New Roman"/>
          <w:szCs w:val="20"/>
        </w:rPr>
        <w:t>’s view expressed</w:t>
      </w:r>
      <w:r w:rsidR="001210ED" w:rsidRPr="007B5BE6">
        <w:rPr>
          <w:rFonts w:eastAsia="Times" w:cs="Times New Roman"/>
          <w:szCs w:val="20"/>
        </w:rPr>
        <w:t xml:space="preserve"> in its review </w:t>
      </w:r>
      <w:r w:rsidR="00541FF1" w:rsidRPr="007B5BE6">
        <w:rPr>
          <w:rFonts w:eastAsia="Times" w:cs="Times New Roman"/>
          <w:szCs w:val="20"/>
        </w:rPr>
        <w:t xml:space="preserve">of the underpinning legislation for </w:t>
      </w:r>
      <w:r w:rsidR="009E04E2" w:rsidRPr="007B5BE6">
        <w:rPr>
          <w:rFonts w:eastAsia="Times" w:cs="Times New Roman"/>
          <w:szCs w:val="20"/>
        </w:rPr>
        <w:t>SA’s ASU</w:t>
      </w:r>
      <w:r w:rsidR="00D00205" w:rsidRPr="007B5BE6">
        <w:rPr>
          <w:rFonts w:eastAsia="Times" w:cs="Times New Roman"/>
          <w:szCs w:val="20"/>
        </w:rPr>
        <w:t xml:space="preserve"> that </w:t>
      </w:r>
      <w:r w:rsidR="00462276" w:rsidRPr="007B5BE6">
        <w:rPr>
          <w:rFonts w:eastAsia="Times" w:cs="Times New Roman"/>
          <w:szCs w:val="20"/>
        </w:rPr>
        <w:t>‘autonomy and safeguarding are not mutually inconsistent’.</w:t>
      </w:r>
      <w:r w:rsidR="00462276" w:rsidRPr="007B5BE6">
        <w:rPr>
          <w:rStyle w:val="FootnoteReference"/>
          <w:rFonts w:eastAsia="Times" w:cs="Times New Roman"/>
          <w:szCs w:val="20"/>
        </w:rPr>
        <w:footnoteReference w:id="582"/>
      </w:r>
      <w:r w:rsidR="00E2780E" w:rsidRPr="007B5BE6">
        <w:rPr>
          <w:rFonts w:eastAsia="Times" w:cs="Times New Roman"/>
          <w:szCs w:val="20"/>
        </w:rPr>
        <w:t xml:space="preserve"> </w:t>
      </w:r>
      <w:r w:rsidR="00FF3A2C" w:rsidRPr="007B5BE6">
        <w:rPr>
          <w:rFonts w:eastAsia="Times" w:cs="Times New Roman"/>
          <w:szCs w:val="20"/>
        </w:rPr>
        <w:t xml:space="preserve">In relation to concerns about paternalism and the perpetuation of ageism that may arise due to including all older people within the scope of </w:t>
      </w:r>
      <w:r w:rsidR="00817554" w:rsidRPr="007B5BE6">
        <w:rPr>
          <w:rFonts w:eastAsia="Times" w:cs="Times New Roman"/>
          <w:szCs w:val="20"/>
        </w:rPr>
        <w:t>safeguarding</w:t>
      </w:r>
      <w:r w:rsidR="00FF3A2C" w:rsidRPr="007B5BE6">
        <w:rPr>
          <w:rFonts w:eastAsia="Times" w:cs="Times New Roman"/>
          <w:szCs w:val="20"/>
        </w:rPr>
        <w:t xml:space="preserve"> legislation, the TLRI’s view </w:t>
      </w:r>
      <w:r w:rsidR="00A701E1" w:rsidRPr="007B5BE6">
        <w:rPr>
          <w:rFonts w:eastAsia="Times" w:cs="Times New Roman"/>
          <w:szCs w:val="20"/>
        </w:rPr>
        <w:t xml:space="preserve">is </w:t>
      </w:r>
      <w:r w:rsidR="00FF3A2C" w:rsidRPr="007B5BE6">
        <w:rPr>
          <w:rFonts w:eastAsia="Times" w:cs="Times New Roman"/>
          <w:szCs w:val="20"/>
        </w:rPr>
        <w:t xml:space="preserve">that this can be addressed by fundamental principles upholding </w:t>
      </w:r>
      <w:r w:rsidR="009C414A" w:rsidRPr="007B5BE6">
        <w:rPr>
          <w:rFonts w:eastAsia="Times" w:cs="Times New Roman"/>
          <w:szCs w:val="20"/>
        </w:rPr>
        <w:t xml:space="preserve">the </w:t>
      </w:r>
      <w:r w:rsidR="00FF3A2C" w:rsidRPr="007B5BE6">
        <w:rPr>
          <w:rFonts w:eastAsia="Times" w:cs="Times New Roman"/>
          <w:szCs w:val="20"/>
        </w:rPr>
        <w:t>rights of older people, including rights to self-determination and consent thresholds.</w:t>
      </w:r>
      <w:r w:rsidR="002C31C0" w:rsidRPr="007B5BE6">
        <w:rPr>
          <w:rStyle w:val="FootnoteReference"/>
          <w:rFonts w:eastAsia="Times" w:cs="Times New Roman"/>
          <w:szCs w:val="20"/>
        </w:rPr>
        <w:footnoteReference w:id="583"/>
      </w:r>
      <w:r w:rsidR="00191D11" w:rsidRPr="007B5BE6">
        <w:rPr>
          <w:rFonts w:eastAsia="Times" w:cs="Times New Roman"/>
          <w:szCs w:val="20"/>
        </w:rPr>
        <w:t xml:space="preserve"> </w:t>
      </w:r>
      <w:r w:rsidR="00826675" w:rsidRPr="007B5BE6">
        <w:rPr>
          <w:rFonts w:eastAsia="Times" w:cs="Times New Roman"/>
          <w:szCs w:val="20"/>
        </w:rPr>
        <w:t>Again,</w:t>
      </w:r>
      <w:r w:rsidR="00FF3A2C" w:rsidRPr="007B5BE6">
        <w:rPr>
          <w:rFonts w:eastAsia="Times" w:cs="Times New Roman"/>
          <w:szCs w:val="20"/>
        </w:rPr>
        <w:t xml:space="preserve"> </w:t>
      </w:r>
      <w:r w:rsidR="00817554" w:rsidRPr="007B5BE6">
        <w:rPr>
          <w:rFonts w:eastAsia="Times" w:cs="Times New Roman"/>
          <w:szCs w:val="20"/>
        </w:rPr>
        <w:t>the TLRI</w:t>
      </w:r>
      <w:r w:rsidR="00FF3A2C" w:rsidRPr="007B5BE6">
        <w:rPr>
          <w:rFonts w:eastAsia="Times" w:cs="Times New Roman"/>
          <w:szCs w:val="20"/>
        </w:rPr>
        <w:t xml:space="preserve"> </w:t>
      </w:r>
      <w:r w:rsidR="00584714" w:rsidRPr="007B5BE6">
        <w:rPr>
          <w:rFonts w:eastAsia="Times" w:cs="Times New Roman"/>
          <w:szCs w:val="20"/>
        </w:rPr>
        <w:t xml:space="preserve">also </w:t>
      </w:r>
      <w:r w:rsidR="00817554" w:rsidRPr="007B5BE6">
        <w:rPr>
          <w:rFonts w:eastAsia="Times" w:cs="Times New Roman"/>
          <w:szCs w:val="20"/>
        </w:rPr>
        <w:t>emphasises</w:t>
      </w:r>
      <w:r w:rsidR="00FF3A2C" w:rsidRPr="007B5BE6">
        <w:rPr>
          <w:rFonts w:eastAsia="Times" w:cs="Times New Roman"/>
          <w:szCs w:val="20"/>
        </w:rPr>
        <w:t xml:space="preserve"> that</w:t>
      </w:r>
      <w:r w:rsidR="005F5E60" w:rsidRPr="007B5BE6">
        <w:rPr>
          <w:rFonts w:eastAsia="Times" w:cs="Times New Roman"/>
          <w:szCs w:val="20"/>
        </w:rPr>
        <w:t>,</w:t>
      </w:r>
      <w:r w:rsidR="00191D11" w:rsidRPr="007B5BE6">
        <w:rPr>
          <w:rFonts w:eastAsia="Times" w:cs="Times New Roman"/>
          <w:szCs w:val="20"/>
        </w:rPr>
        <w:t xml:space="preserve"> in making its recommendations</w:t>
      </w:r>
      <w:r w:rsidR="00817554" w:rsidRPr="007B5BE6">
        <w:rPr>
          <w:rFonts w:eastAsia="Times" w:cs="Times New Roman"/>
          <w:szCs w:val="20"/>
        </w:rPr>
        <w:t>,</w:t>
      </w:r>
      <w:r w:rsidR="00FF3A2C" w:rsidRPr="007B5BE6">
        <w:rPr>
          <w:rFonts w:eastAsia="Times" w:cs="Times New Roman"/>
          <w:szCs w:val="20"/>
        </w:rPr>
        <w:t xml:space="preserve"> </w:t>
      </w:r>
      <w:r w:rsidR="00817554" w:rsidRPr="007B5BE6">
        <w:rPr>
          <w:rFonts w:eastAsia="Times" w:cs="Times New Roman"/>
          <w:szCs w:val="20"/>
        </w:rPr>
        <w:t>it</w:t>
      </w:r>
      <w:r w:rsidR="00FF3A2C" w:rsidRPr="007B5BE6">
        <w:rPr>
          <w:rFonts w:eastAsia="Times" w:cs="Times New Roman"/>
          <w:szCs w:val="20"/>
        </w:rPr>
        <w:t xml:space="preserve"> is </w:t>
      </w:r>
      <w:r w:rsidR="00191D11" w:rsidRPr="007B5BE6">
        <w:rPr>
          <w:rFonts w:eastAsia="Times" w:cs="Times New Roman"/>
          <w:szCs w:val="20"/>
        </w:rPr>
        <w:t>seeking</w:t>
      </w:r>
      <w:r w:rsidR="00FF3A2C" w:rsidRPr="007B5BE6">
        <w:rPr>
          <w:rFonts w:eastAsia="Times" w:cs="Times New Roman"/>
          <w:szCs w:val="20"/>
        </w:rPr>
        <w:t xml:space="preserve"> to</w:t>
      </w:r>
      <w:r w:rsidR="00191D11" w:rsidRPr="007B5BE6">
        <w:rPr>
          <w:rFonts w:eastAsia="Times" w:cs="Times New Roman"/>
          <w:szCs w:val="20"/>
        </w:rPr>
        <w:t xml:space="preserve"> address identified gaps and</w:t>
      </w:r>
      <w:r w:rsidR="00FF3A2C" w:rsidRPr="007B5BE6">
        <w:rPr>
          <w:rFonts w:eastAsia="Times" w:cs="Times New Roman"/>
          <w:szCs w:val="20"/>
        </w:rPr>
        <w:t xml:space="preserve"> reduce </w:t>
      </w:r>
      <w:r w:rsidR="000B27F1" w:rsidRPr="007B5BE6">
        <w:rPr>
          <w:rFonts w:eastAsia="Times" w:cs="Times New Roman"/>
          <w:szCs w:val="20"/>
        </w:rPr>
        <w:t xml:space="preserve">existing </w:t>
      </w:r>
      <w:r w:rsidR="00FF3A2C" w:rsidRPr="007B5BE6">
        <w:rPr>
          <w:rFonts w:eastAsia="Times" w:cs="Times New Roman"/>
          <w:szCs w:val="20"/>
        </w:rPr>
        <w:t xml:space="preserve">barriers to accessing </w:t>
      </w:r>
      <w:r w:rsidR="00826675" w:rsidRPr="007B5BE6">
        <w:rPr>
          <w:rFonts w:eastAsia="Times" w:cs="Times New Roman"/>
          <w:szCs w:val="20"/>
        </w:rPr>
        <w:t xml:space="preserve">a safeguarding </w:t>
      </w:r>
      <w:r w:rsidR="005F5E60" w:rsidRPr="007B5BE6">
        <w:rPr>
          <w:rFonts w:eastAsia="Times" w:cs="Times New Roman"/>
          <w:szCs w:val="20"/>
        </w:rPr>
        <w:t>response</w:t>
      </w:r>
      <w:r w:rsidR="00584714" w:rsidRPr="007B5BE6">
        <w:rPr>
          <w:rFonts w:eastAsia="Times" w:cs="Times New Roman"/>
          <w:szCs w:val="20"/>
        </w:rPr>
        <w:t>.</w:t>
      </w:r>
      <w:r w:rsidR="00826675" w:rsidRPr="007B5BE6">
        <w:rPr>
          <w:rFonts w:eastAsia="Times" w:cs="Times New Roman"/>
          <w:szCs w:val="20"/>
        </w:rPr>
        <w:t xml:space="preserve"> </w:t>
      </w:r>
      <w:r w:rsidR="00C60FB1" w:rsidRPr="007B5BE6">
        <w:rPr>
          <w:rFonts w:eastAsia="Times" w:cs="Times New Roman"/>
          <w:szCs w:val="20"/>
        </w:rPr>
        <w:t xml:space="preserve">In addition, the </w:t>
      </w:r>
      <w:r w:rsidR="000B27F1" w:rsidRPr="007B5BE6">
        <w:rPr>
          <w:rFonts w:eastAsia="Times" w:cs="Times New Roman"/>
          <w:szCs w:val="20"/>
        </w:rPr>
        <w:t xml:space="preserve">TLRI’s proposed </w:t>
      </w:r>
      <w:r w:rsidR="0074570D" w:rsidRPr="007B5BE6">
        <w:rPr>
          <w:rFonts w:eastAsia="Times" w:cs="Times New Roman"/>
          <w:szCs w:val="20"/>
        </w:rPr>
        <w:t xml:space="preserve">approach </w:t>
      </w:r>
      <w:r w:rsidR="00C60FB1" w:rsidRPr="007B5BE6">
        <w:rPr>
          <w:rFonts w:eastAsia="Times" w:cs="Times New Roman"/>
          <w:szCs w:val="20"/>
        </w:rPr>
        <w:t xml:space="preserve">would also require a belief that the person </w:t>
      </w:r>
      <w:r w:rsidR="002C31C0" w:rsidRPr="007B5BE6">
        <w:rPr>
          <w:rFonts w:eastAsia="Times" w:cs="Times New Roman"/>
          <w:szCs w:val="20"/>
        </w:rPr>
        <w:t>is</w:t>
      </w:r>
      <w:r w:rsidR="00C60FB1" w:rsidRPr="007B5BE6">
        <w:rPr>
          <w:rFonts w:eastAsia="Times" w:cs="Times New Roman"/>
          <w:szCs w:val="20"/>
        </w:rPr>
        <w:t xml:space="preserve"> experiencing abuse</w:t>
      </w:r>
      <w:r w:rsidR="002C31C0" w:rsidRPr="007B5BE6">
        <w:rPr>
          <w:rFonts w:eastAsia="Times" w:cs="Times New Roman"/>
          <w:szCs w:val="20"/>
        </w:rPr>
        <w:t>,</w:t>
      </w:r>
      <w:r w:rsidR="00C60FB1" w:rsidRPr="007B5BE6">
        <w:rPr>
          <w:rFonts w:eastAsia="Times" w:cs="Times New Roman"/>
          <w:szCs w:val="20"/>
        </w:rPr>
        <w:t xml:space="preserve"> or</w:t>
      </w:r>
      <w:r w:rsidR="002C31C0" w:rsidRPr="007B5BE6">
        <w:rPr>
          <w:rFonts w:eastAsia="Times" w:cs="Times New Roman"/>
          <w:szCs w:val="20"/>
        </w:rPr>
        <w:t xml:space="preserve"> is</w:t>
      </w:r>
      <w:r w:rsidR="00C60FB1" w:rsidRPr="007B5BE6">
        <w:rPr>
          <w:rFonts w:eastAsia="Times" w:cs="Times New Roman"/>
          <w:szCs w:val="20"/>
        </w:rPr>
        <w:t xml:space="preserve"> at risk of abuse</w:t>
      </w:r>
      <w:r w:rsidR="002C31C0" w:rsidRPr="007B5BE6">
        <w:rPr>
          <w:rFonts w:eastAsia="Times" w:cs="Times New Roman"/>
          <w:szCs w:val="20"/>
        </w:rPr>
        <w:t>,</w:t>
      </w:r>
      <w:r w:rsidR="00721EE4" w:rsidRPr="007B5BE6">
        <w:rPr>
          <w:rFonts w:eastAsia="Times" w:cs="Times New Roman"/>
          <w:szCs w:val="20"/>
        </w:rPr>
        <w:t xml:space="preserve"> as the basis for making a report.</w:t>
      </w:r>
      <w:r w:rsidR="00721EE4" w:rsidRPr="007B5BE6">
        <w:rPr>
          <w:rStyle w:val="FootnoteReference"/>
          <w:rFonts w:eastAsia="Times" w:cs="Times New Roman"/>
          <w:szCs w:val="20"/>
        </w:rPr>
        <w:footnoteReference w:id="584"/>
      </w:r>
    </w:p>
    <w:p w14:paraId="4B505BB9" w14:textId="08DB8FFF" w:rsidR="009A320A" w:rsidRPr="007B5BE6" w:rsidRDefault="00BB6FCD">
      <w:pPr>
        <w:pStyle w:val="NormalNumberedTextTLRI"/>
      </w:pPr>
      <w:r w:rsidRPr="007B5BE6">
        <w:t>An additional question</w:t>
      </w:r>
      <w:r w:rsidR="00584714" w:rsidRPr="007B5BE6">
        <w:t xml:space="preserve"> that arises</w:t>
      </w:r>
      <w:r w:rsidRPr="007B5BE6">
        <w:t xml:space="preserve"> is </w:t>
      </w:r>
      <w:r w:rsidR="0007655D" w:rsidRPr="007B5BE6">
        <w:t xml:space="preserve">how the term ‘older adults’ should be defined. </w:t>
      </w:r>
      <w:r w:rsidR="002744B0" w:rsidRPr="007B5BE6">
        <w:t xml:space="preserve">As noted, there is not a clear </w:t>
      </w:r>
      <w:r w:rsidR="007C2EF5" w:rsidRPr="007B5BE6">
        <w:t xml:space="preserve">consensus on the </w:t>
      </w:r>
      <w:r w:rsidR="002744B0" w:rsidRPr="007B5BE6">
        <w:t xml:space="preserve">age at which </w:t>
      </w:r>
      <w:r w:rsidR="007C2EF5" w:rsidRPr="007B5BE6">
        <w:t xml:space="preserve">it </w:t>
      </w:r>
      <w:r w:rsidR="002744B0" w:rsidRPr="007B5BE6">
        <w:t>is appropriate to call a person an ‘</w:t>
      </w:r>
      <w:r w:rsidR="00311B1F" w:rsidRPr="007B5BE6">
        <w:t>older</w:t>
      </w:r>
      <w:r w:rsidR="002744B0" w:rsidRPr="007B5BE6">
        <w:t xml:space="preserve"> person’</w:t>
      </w:r>
      <w:r w:rsidR="00E72F7E" w:rsidRPr="007B5BE6">
        <w:t>.</w:t>
      </w:r>
      <w:r w:rsidR="002744B0" w:rsidRPr="007B5BE6">
        <w:rPr>
          <w:rStyle w:val="FootnoteReference"/>
        </w:rPr>
        <w:footnoteReference w:id="585"/>
      </w:r>
      <w:r w:rsidR="002744B0" w:rsidRPr="007B5BE6">
        <w:t xml:space="preserve"> </w:t>
      </w:r>
      <w:r w:rsidR="00E72F7E" w:rsidRPr="007B5BE6">
        <w:t>However,</w:t>
      </w:r>
      <w:r w:rsidR="00311B1F" w:rsidRPr="007B5BE6">
        <w:t xml:space="preserve"> </w:t>
      </w:r>
      <w:r w:rsidR="00785425" w:rsidRPr="007B5BE6">
        <w:t>accepting</w:t>
      </w:r>
      <w:r w:rsidR="00311B1F" w:rsidRPr="007B5BE6">
        <w:t xml:space="preserve"> </w:t>
      </w:r>
      <w:r w:rsidR="00785425" w:rsidRPr="007B5BE6">
        <w:t>there</w:t>
      </w:r>
      <w:r w:rsidR="00311B1F" w:rsidRPr="007B5BE6">
        <w:t xml:space="preserve"> is a degree of </w:t>
      </w:r>
      <w:r w:rsidR="00785425" w:rsidRPr="007B5BE6">
        <w:t>arbitrariness</w:t>
      </w:r>
      <w:r w:rsidR="00311B1F" w:rsidRPr="007B5BE6">
        <w:t xml:space="preserve"> in select</w:t>
      </w:r>
      <w:r w:rsidR="006B662B" w:rsidRPr="007B5BE6">
        <w:t>ing</w:t>
      </w:r>
      <w:r w:rsidR="00311B1F" w:rsidRPr="007B5BE6">
        <w:t xml:space="preserve"> an age</w:t>
      </w:r>
      <w:r w:rsidR="00785425" w:rsidRPr="007B5BE6">
        <w:t xml:space="preserve">, this is necessary to </w:t>
      </w:r>
      <w:r w:rsidR="004F2452" w:rsidRPr="007B5BE6">
        <w:t>create</w:t>
      </w:r>
      <w:r w:rsidR="00F35FE5" w:rsidRPr="007B5BE6">
        <w:t xml:space="preserve"> a </w:t>
      </w:r>
      <w:r w:rsidR="004F2452" w:rsidRPr="007B5BE6">
        <w:t xml:space="preserve">legislative </w:t>
      </w:r>
      <w:r w:rsidR="00F35FE5" w:rsidRPr="007B5BE6">
        <w:t xml:space="preserve">safeguarding function </w:t>
      </w:r>
      <w:r w:rsidR="004F2452" w:rsidRPr="007B5BE6">
        <w:t>for</w:t>
      </w:r>
      <w:r w:rsidR="00F35FE5" w:rsidRPr="007B5BE6">
        <w:t xml:space="preserve"> older adults (without the </w:t>
      </w:r>
      <w:r w:rsidR="008B3E9C" w:rsidRPr="007B5BE6">
        <w:t>requirement</w:t>
      </w:r>
      <w:r w:rsidR="00F35FE5" w:rsidRPr="007B5BE6">
        <w:t xml:space="preserve"> to establish some further vulnerability)</w:t>
      </w:r>
      <w:r w:rsidR="008B3E9C" w:rsidRPr="007B5BE6">
        <w:t xml:space="preserve">. </w:t>
      </w:r>
      <w:r w:rsidR="0007655D" w:rsidRPr="007B5BE6">
        <w:t xml:space="preserve">It is noted that in </w:t>
      </w:r>
      <w:r w:rsidR="006B662B" w:rsidRPr="007B5BE6">
        <w:t>NSW</w:t>
      </w:r>
      <w:r w:rsidR="0007655D" w:rsidRPr="007B5BE6">
        <w:t xml:space="preserve">, </w:t>
      </w:r>
      <w:r w:rsidR="00477C4F" w:rsidRPr="007B5BE6">
        <w:t xml:space="preserve">an </w:t>
      </w:r>
      <w:r w:rsidR="00584714" w:rsidRPr="007B5BE6">
        <w:t>‘</w:t>
      </w:r>
      <w:r w:rsidR="00EC093E" w:rsidRPr="007B5BE6">
        <w:t>older</w:t>
      </w:r>
      <w:r w:rsidR="00584714" w:rsidRPr="007B5BE6">
        <w:t xml:space="preserve"> adult</w:t>
      </w:r>
      <w:r w:rsidR="00EC093E" w:rsidRPr="007B5BE6">
        <w:t xml:space="preserve">’ is </w:t>
      </w:r>
      <w:r w:rsidR="00E43946" w:rsidRPr="007B5BE6">
        <w:t xml:space="preserve">defined as </w:t>
      </w:r>
      <w:r w:rsidR="00477C4F" w:rsidRPr="007B5BE6">
        <w:t xml:space="preserve">a person </w:t>
      </w:r>
      <w:r w:rsidR="00E43946" w:rsidRPr="007B5BE6">
        <w:t xml:space="preserve">who </w:t>
      </w:r>
      <w:r w:rsidR="00477C4F" w:rsidRPr="007B5BE6">
        <w:t>is</w:t>
      </w:r>
      <w:r w:rsidR="00E43946" w:rsidRPr="007B5BE6">
        <w:t xml:space="preserve"> aged 65 years or more </w:t>
      </w:r>
      <w:r w:rsidR="00477C4F" w:rsidRPr="007B5BE6">
        <w:t xml:space="preserve">or an </w:t>
      </w:r>
      <w:r w:rsidR="00E43946" w:rsidRPr="007B5BE6">
        <w:t>Aboriginal</w:t>
      </w:r>
      <w:r w:rsidR="00477C4F" w:rsidRPr="007B5BE6">
        <w:t xml:space="preserve"> or Torres Strait Islander person who is</w:t>
      </w:r>
      <w:r w:rsidR="00E43946" w:rsidRPr="007B5BE6">
        <w:t xml:space="preserve"> aged 50 years or more.</w:t>
      </w:r>
      <w:r w:rsidR="001546FB" w:rsidRPr="007B5BE6">
        <w:rPr>
          <w:rStyle w:val="FootnoteReference"/>
        </w:rPr>
        <w:footnoteReference w:id="586"/>
      </w:r>
      <w:r w:rsidR="00E43946" w:rsidRPr="007B5BE6">
        <w:t xml:space="preserve"> </w:t>
      </w:r>
      <w:r w:rsidR="00EC093E" w:rsidRPr="007B5BE6">
        <w:t xml:space="preserve">As </w:t>
      </w:r>
      <w:r w:rsidR="006B662B" w:rsidRPr="007B5BE6">
        <w:t xml:space="preserve">has been </w:t>
      </w:r>
      <w:r w:rsidR="00EC093E" w:rsidRPr="007B5BE6">
        <w:t>discussed, t</w:t>
      </w:r>
      <w:r w:rsidR="00F42BEA" w:rsidRPr="007B5BE6">
        <w:t>his reflects the d</w:t>
      </w:r>
      <w:r w:rsidR="00F96C73" w:rsidRPr="007B5BE6">
        <w:t xml:space="preserve">efinition of </w:t>
      </w:r>
      <w:r w:rsidR="006B662B" w:rsidRPr="007B5BE6">
        <w:t>an ‘</w:t>
      </w:r>
      <w:r w:rsidR="00F96C73" w:rsidRPr="007B5BE6">
        <w:t>older person</w:t>
      </w:r>
      <w:r w:rsidR="006B662B" w:rsidRPr="007B5BE6">
        <w:t>’</w:t>
      </w:r>
      <w:r w:rsidR="00F96C73" w:rsidRPr="007B5BE6">
        <w:t xml:space="preserve"> in </w:t>
      </w:r>
      <w:r w:rsidR="00B43135" w:rsidRPr="007B5BE6">
        <w:t xml:space="preserve">the </w:t>
      </w:r>
      <w:r w:rsidR="000D76EB" w:rsidRPr="007B5BE6">
        <w:t xml:space="preserve">national policy framework, where </w:t>
      </w:r>
      <w:r w:rsidR="001F6E29" w:rsidRPr="007B5BE6">
        <w:t xml:space="preserve">an older person is </w:t>
      </w:r>
      <w:r w:rsidR="001546FB" w:rsidRPr="007B5BE6">
        <w:t>‘</w:t>
      </w:r>
      <w:r w:rsidR="001F6E29" w:rsidRPr="007B5BE6">
        <w:t xml:space="preserve">typically defined as being aged 65 years or older, or 50 or older for First Nations </w:t>
      </w:r>
      <w:r w:rsidR="001F6E29" w:rsidRPr="007B5BE6">
        <w:lastRenderedPageBreak/>
        <w:t>People’.</w:t>
      </w:r>
      <w:r w:rsidR="001F6E29" w:rsidRPr="007B5BE6">
        <w:rPr>
          <w:rStyle w:val="FootnoteReference"/>
        </w:rPr>
        <w:footnoteReference w:id="587"/>
      </w:r>
      <w:r w:rsidR="00EF01F8" w:rsidRPr="007B5BE6">
        <w:t xml:space="preserve"> This is also the </w:t>
      </w:r>
      <w:r w:rsidR="007A6245" w:rsidRPr="007B5BE6">
        <w:t>definition</w:t>
      </w:r>
      <w:r w:rsidR="00EF01F8" w:rsidRPr="007B5BE6">
        <w:t xml:space="preserve"> used in the Tamanian policy framework</w:t>
      </w:r>
      <w:r w:rsidR="00156A59" w:rsidRPr="007B5BE6">
        <w:t>. T</w:t>
      </w:r>
      <w:r w:rsidR="001546FB" w:rsidRPr="007B5BE6">
        <w:t>asmania’s current strategy defines older people ‘as Aboriginal people aged over 50 years, and all others aged over 65 years’; with this definition also used in</w:t>
      </w:r>
      <w:r w:rsidR="00EB15B2" w:rsidRPr="007B5BE6">
        <w:t xml:space="preserve"> </w:t>
      </w:r>
      <w:r w:rsidR="001546FB" w:rsidRPr="007B5BE6">
        <w:t>the</w:t>
      </w:r>
      <w:r w:rsidR="001747FB" w:rsidRPr="007B5BE6">
        <w:t xml:space="preserve"> recently released action plan</w:t>
      </w:r>
      <w:r w:rsidR="00EF01F8" w:rsidRPr="007B5BE6">
        <w:t>.</w:t>
      </w:r>
      <w:r w:rsidR="00EF01F8" w:rsidRPr="007B5BE6">
        <w:rPr>
          <w:rStyle w:val="FootnoteReference"/>
        </w:rPr>
        <w:footnoteReference w:id="588"/>
      </w:r>
      <w:r w:rsidR="00430C35" w:rsidRPr="007B5BE6">
        <w:t xml:space="preserve"> </w:t>
      </w:r>
      <w:r w:rsidR="007A6245" w:rsidRPr="007B5BE6">
        <w:t xml:space="preserve">It reflects the scope of service delivery </w:t>
      </w:r>
      <w:r w:rsidR="00BF3CD5" w:rsidRPr="007B5BE6">
        <w:t xml:space="preserve">system that </w:t>
      </w:r>
      <w:r w:rsidR="003E0B95" w:rsidRPr="007B5BE6">
        <w:t xml:space="preserve">currently </w:t>
      </w:r>
      <w:r w:rsidR="00BF3CD5" w:rsidRPr="007B5BE6">
        <w:t xml:space="preserve">exist in Tasmania offered by the Helpline, Advocacy Tasmania, Relationships Australia and </w:t>
      </w:r>
      <w:r w:rsidR="007A6245" w:rsidRPr="007B5BE6">
        <w:t>by Senior Assist.</w:t>
      </w:r>
      <w:r w:rsidR="00BF3CD5" w:rsidRPr="007B5BE6">
        <w:t xml:space="preserve"> </w:t>
      </w:r>
      <w:r w:rsidR="003E0B95" w:rsidRPr="007B5BE6">
        <w:t xml:space="preserve">For </w:t>
      </w:r>
      <w:r w:rsidR="00050A4C" w:rsidRPr="007B5BE6">
        <w:t>these reasons</w:t>
      </w:r>
      <w:r w:rsidR="003E0B95" w:rsidRPr="007B5BE6">
        <w:t xml:space="preserve">, </w:t>
      </w:r>
      <w:r w:rsidR="002E714A" w:rsidRPr="007B5BE6">
        <w:t xml:space="preserve">while views may differ on </w:t>
      </w:r>
      <w:r w:rsidR="003E0B95" w:rsidRPr="007B5BE6">
        <w:t xml:space="preserve">the </w:t>
      </w:r>
      <w:r w:rsidR="002E714A" w:rsidRPr="007B5BE6">
        <w:t xml:space="preserve">appropriate age, the </w:t>
      </w:r>
      <w:r w:rsidR="003E0B95" w:rsidRPr="007B5BE6">
        <w:t xml:space="preserve">TLRI’s view is that </w:t>
      </w:r>
      <w:r w:rsidR="00B070D9" w:rsidRPr="007B5BE6">
        <w:t xml:space="preserve">adopting </w:t>
      </w:r>
      <w:r w:rsidR="003E0B95" w:rsidRPr="007B5BE6">
        <w:t xml:space="preserve">this </w:t>
      </w:r>
      <w:r w:rsidR="00F24BC2" w:rsidRPr="007B5BE6">
        <w:t xml:space="preserve">same </w:t>
      </w:r>
      <w:r w:rsidR="003E0B95" w:rsidRPr="007B5BE6">
        <w:t xml:space="preserve">definition </w:t>
      </w:r>
      <w:r w:rsidR="00B070D9" w:rsidRPr="007B5BE6">
        <w:t xml:space="preserve">provides </w:t>
      </w:r>
      <w:r w:rsidR="00C423E1" w:rsidRPr="007B5BE6">
        <w:t xml:space="preserve">for </w:t>
      </w:r>
      <w:r w:rsidR="00B070D9" w:rsidRPr="007B5BE6">
        <w:t xml:space="preserve">consistency </w:t>
      </w:r>
      <w:r w:rsidR="00C423E1" w:rsidRPr="007B5BE6">
        <w:t>with the broader policy framework</w:t>
      </w:r>
      <w:r w:rsidR="007A2BD7" w:rsidRPr="007B5BE6">
        <w:t xml:space="preserve">, as well as </w:t>
      </w:r>
      <w:r w:rsidR="00C423E1" w:rsidRPr="007B5BE6">
        <w:t>the Tasmanian service delivery structure</w:t>
      </w:r>
      <w:r w:rsidR="00FB50D6" w:rsidRPr="007B5BE6">
        <w:t xml:space="preserve"> for the operation of services </w:t>
      </w:r>
      <w:r w:rsidR="00C423E1" w:rsidRPr="007B5BE6">
        <w:t xml:space="preserve">that </w:t>
      </w:r>
      <w:r w:rsidR="003B3F98" w:rsidRPr="007B5BE6">
        <w:t xml:space="preserve">would be </w:t>
      </w:r>
      <w:r w:rsidR="004F2452" w:rsidRPr="007B5BE6">
        <w:t>a necessary part of</w:t>
      </w:r>
      <w:r w:rsidR="00C423E1" w:rsidRPr="007B5BE6">
        <w:t xml:space="preserve"> support</w:t>
      </w:r>
      <w:r w:rsidR="004F2452" w:rsidRPr="007B5BE6">
        <w:t>ing</w:t>
      </w:r>
      <w:r w:rsidR="00C423E1" w:rsidRPr="007B5BE6">
        <w:t xml:space="preserve"> the operation of the Office of the Commissioner for </w:t>
      </w:r>
      <w:r w:rsidR="00210936" w:rsidRPr="007B5BE6">
        <w:t>Older P</w:t>
      </w:r>
      <w:r w:rsidR="006D2B8A" w:rsidRPr="007B5BE6">
        <w:t>eople</w:t>
      </w:r>
      <w:r w:rsidR="004F2452" w:rsidRPr="007B5BE6">
        <w:t>. T</w:t>
      </w:r>
      <w:r w:rsidR="00CB0BC6" w:rsidRPr="007B5BE6">
        <w:t xml:space="preserve">his is a matter on which the TLRI </w:t>
      </w:r>
      <w:r w:rsidR="004F2452" w:rsidRPr="007B5BE6">
        <w:t xml:space="preserve">considers </w:t>
      </w:r>
      <w:r w:rsidR="00CB0BC6" w:rsidRPr="007B5BE6">
        <w:t>further consultation</w:t>
      </w:r>
      <w:r w:rsidR="003B3F98" w:rsidRPr="007B5BE6">
        <w:t xml:space="preserve"> could be conducted</w:t>
      </w:r>
      <w:r w:rsidR="00237E42" w:rsidRPr="007B5BE6">
        <w:t xml:space="preserve"> </w:t>
      </w:r>
      <w:r w:rsidR="004F2452" w:rsidRPr="007B5BE6">
        <w:t>to obtain</w:t>
      </w:r>
      <w:r w:rsidR="00237E42" w:rsidRPr="007B5BE6">
        <w:t xml:space="preserve"> feedback on the most appropriate age</w:t>
      </w:r>
      <w:r w:rsidR="00B1536F" w:rsidRPr="007B5BE6">
        <w:t xml:space="preserve"> to include in the definition of ‘older adult’</w:t>
      </w:r>
      <w:r w:rsidR="00CB0BC6" w:rsidRPr="007B5BE6">
        <w:t xml:space="preserve">. </w:t>
      </w:r>
      <w:r w:rsidR="004A032F" w:rsidRPr="007B5BE6">
        <w:t>The</w:t>
      </w:r>
      <w:r w:rsidR="009126E5" w:rsidRPr="007B5BE6">
        <w:t xml:space="preserve"> TLRI acknowledges that </w:t>
      </w:r>
      <w:r w:rsidR="00E42D9E" w:rsidRPr="007B5BE6">
        <w:t xml:space="preserve">including </w:t>
      </w:r>
      <w:r w:rsidR="009126E5" w:rsidRPr="007B5BE6">
        <w:t xml:space="preserve">a </w:t>
      </w:r>
      <w:r w:rsidR="004A032F" w:rsidRPr="007B5BE6">
        <w:t xml:space="preserve">specific age in </w:t>
      </w:r>
      <w:r w:rsidR="003B3F98" w:rsidRPr="007B5BE6">
        <w:t xml:space="preserve">the </w:t>
      </w:r>
      <w:r w:rsidR="004A032F" w:rsidRPr="007B5BE6">
        <w:t xml:space="preserve">legislation can be </w:t>
      </w:r>
      <w:r w:rsidR="002744B0" w:rsidRPr="007B5BE6">
        <w:t>criticised</w:t>
      </w:r>
      <w:r w:rsidR="004A032F" w:rsidRPr="007B5BE6">
        <w:t xml:space="preserve"> </w:t>
      </w:r>
      <w:r w:rsidR="002744B0" w:rsidRPr="007B5BE6">
        <w:t xml:space="preserve">as </w:t>
      </w:r>
      <w:r w:rsidR="00FE5C87" w:rsidRPr="007B5BE6">
        <w:t xml:space="preserve">an approach that could </w:t>
      </w:r>
      <w:r w:rsidR="002744B0" w:rsidRPr="007B5BE6">
        <w:t>giv</w:t>
      </w:r>
      <w:r w:rsidR="00FE5C87" w:rsidRPr="007B5BE6">
        <w:t>e</w:t>
      </w:r>
      <w:r w:rsidR="002744B0" w:rsidRPr="007B5BE6">
        <w:t xml:space="preserve"> rise</w:t>
      </w:r>
      <w:r w:rsidR="009126E5" w:rsidRPr="007B5BE6">
        <w:t xml:space="preserve"> to some </w:t>
      </w:r>
      <w:r w:rsidR="00253D1C" w:rsidRPr="007B5BE6">
        <w:t>anomalous situations (for example</w:t>
      </w:r>
      <w:r w:rsidR="002744B0" w:rsidRPr="007B5BE6">
        <w:t xml:space="preserve">, if the age </w:t>
      </w:r>
      <w:r w:rsidR="00FE5C87" w:rsidRPr="007B5BE6">
        <w:t xml:space="preserve">limit </w:t>
      </w:r>
      <w:r w:rsidR="002744B0" w:rsidRPr="007B5BE6">
        <w:t>is 65</w:t>
      </w:r>
      <w:r w:rsidR="00FE5C87" w:rsidRPr="007B5BE6">
        <w:t xml:space="preserve"> years,</w:t>
      </w:r>
      <w:r w:rsidR="002744B0" w:rsidRPr="007B5BE6">
        <w:t xml:space="preserve"> then</w:t>
      </w:r>
      <w:r w:rsidR="00253D1C" w:rsidRPr="007B5BE6">
        <w:t xml:space="preserve"> a person aged 64 </w:t>
      </w:r>
      <w:r w:rsidR="00FE5C87" w:rsidRPr="007B5BE6">
        <w:t xml:space="preserve">years </w:t>
      </w:r>
      <w:r w:rsidR="00253D1C" w:rsidRPr="007B5BE6">
        <w:t>and 11 months</w:t>
      </w:r>
      <w:r w:rsidR="002744B0" w:rsidRPr="007B5BE6">
        <w:t xml:space="preserve"> is not </w:t>
      </w:r>
      <w:r w:rsidR="00050A4C" w:rsidRPr="007B5BE6">
        <w:t>included</w:t>
      </w:r>
      <w:r w:rsidR="00253D1C" w:rsidRPr="007B5BE6">
        <w:t>)</w:t>
      </w:r>
      <w:r w:rsidR="00050A4C" w:rsidRPr="007B5BE6">
        <w:t>.</w:t>
      </w:r>
      <w:r w:rsidR="00050A4C" w:rsidRPr="007B5BE6">
        <w:rPr>
          <w:rStyle w:val="FootnoteReference"/>
        </w:rPr>
        <w:footnoteReference w:id="589"/>
      </w:r>
      <w:r w:rsidR="00AE3549" w:rsidRPr="007B5BE6">
        <w:t xml:space="preserve"> The TLRI accepts that this is a valid concern</w:t>
      </w:r>
      <w:r w:rsidR="00C0148A" w:rsidRPr="007B5BE6">
        <w:t>. However, the TLRI</w:t>
      </w:r>
      <w:r w:rsidR="00253D1C" w:rsidRPr="007B5BE6">
        <w:t xml:space="preserve"> </w:t>
      </w:r>
      <w:r w:rsidR="00E42D9E" w:rsidRPr="007B5BE6">
        <w:t>notes</w:t>
      </w:r>
      <w:r w:rsidR="00253D1C" w:rsidRPr="007B5BE6">
        <w:t xml:space="preserve"> that </w:t>
      </w:r>
      <w:r w:rsidR="006039C5" w:rsidRPr="007B5BE6">
        <w:t xml:space="preserve">(as </w:t>
      </w:r>
      <w:r w:rsidR="00C8395D" w:rsidRPr="007B5BE6">
        <w:t xml:space="preserve">occurs in </w:t>
      </w:r>
      <w:r w:rsidR="006039C5" w:rsidRPr="007B5BE6">
        <w:t>other jurisdictions)</w:t>
      </w:r>
      <w:r w:rsidR="00A64F20" w:rsidRPr="007B5BE6">
        <w:t xml:space="preserve">, </w:t>
      </w:r>
      <w:r w:rsidR="000756A1" w:rsidRPr="007B5BE6">
        <w:t>although</w:t>
      </w:r>
      <w:r w:rsidR="00560F70" w:rsidRPr="007B5BE6">
        <w:t xml:space="preserve"> </w:t>
      </w:r>
      <w:r w:rsidR="006039C5" w:rsidRPr="007B5BE6">
        <w:t xml:space="preserve">not meeting the legislative criteria </w:t>
      </w:r>
      <w:r w:rsidR="00086A6C" w:rsidRPr="007B5BE6">
        <w:t xml:space="preserve">in a reported matter </w:t>
      </w:r>
      <w:r w:rsidR="00F614B1" w:rsidRPr="007B5BE6">
        <w:t xml:space="preserve">would have </w:t>
      </w:r>
      <w:r w:rsidR="00A64F20" w:rsidRPr="007B5BE6">
        <w:t>the effect</w:t>
      </w:r>
      <w:r w:rsidR="004F7740" w:rsidRPr="007B5BE6">
        <w:t xml:space="preserve"> </w:t>
      </w:r>
      <w:r w:rsidR="00790118" w:rsidRPr="007B5BE6">
        <w:t xml:space="preserve">of </w:t>
      </w:r>
      <w:r w:rsidR="00A32DE7" w:rsidRPr="007B5BE6">
        <w:t xml:space="preserve">preventing </w:t>
      </w:r>
      <w:r w:rsidR="00E202DB" w:rsidRPr="007B5BE6">
        <w:t xml:space="preserve">the Commissioner for Older People from exercising </w:t>
      </w:r>
      <w:r w:rsidR="004F7740" w:rsidRPr="007B5BE6">
        <w:t xml:space="preserve">powers created in the ‘safeguarding function’, </w:t>
      </w:r>
      <w:r w:rsidR="00A64F20" w:rsidRPr="007B5BE6">
        <w:t>it</w:t>
      </w:r>
      <w:r w:rsidR="004F7740" w:rsidRPr="007B5BE6">
        <w:t xml:space="preserve"> </w:t>
      </w:r>
      <w:r w:rsidR="00F614B1" w:rsidRPr="007B5BE6">
        <w:t xml:space="preserve">would </w:t>
      </w:r>
      <w:r w:rsidR="004F7740" w:rsidRPr="007B5BE6">
        <w:t xml:space="preserve">not prevent the provision of </w:t>
      </w:r>
      <w:r w:rsidR="00C8395D" w:rsidRPr="007B5BE6">
        <w:t>information and advice</w:t>
      </w:r>
      <w:r w:rsidR="00086A6C" w:rsidRPr="007B5BE6">
        <w:t xml:space="preserve"> in that matter</w:t>
      </w:r>
      <w:r w:rsidR="004F7740" w:rsidRPr="007B5BE6">
        <w:t>. In addition</w:t>
      </w:r>
      <w:r w:rsidR="0048203E" w:rsidRPr="007B5BE6">
        <w:t>,</w:t>
      </w:r>
      <w:r w:rsidR="004F7740" w:rsidRPr="007B5BE6">
        <w:t xml:space="preserve"> for people aged under 65</w:t>
      </w:r>
      <w:r w:rsidR="00D72DB4" w:rsidRPr="007B5BE6">
        <w:t xml:space="preserve"> years</w:t>
      </w:r>
      <w:r w:rsidR="004F7740" w:rsidRPr="007B5BE6">
        <w:t xml:space="preserve"> </w:t>
      </w:r>
      <w:r w:rsidR="0048203E" w:rsidRPr="007B5BE6">
        <w:t>who have</w:t>
      </w:r>
      <w:r w:rsidR="005F489E" w:rsidRPr="007B5BE6">
        <w:t>,</w:t>
      </w:r>
      <w:r w:rsidR="0048203E" w:rsidRPr="007B5BE6">
        <w:t xml:space="preserve"> for example</w:t>
      </w:r>
      <w:r w:rsidR="005F489E" w:rsidRPr="007B5BE6">
        <w:t>,</w:t>
      </w:r>
      <w:r w:rsidR="0048203E" w:rsidRPr="007B5BE6">
        <w:t xml:space="preserve"> </w:t>
      </w:r>
      <w:r w:rsidR="00175B9D" w:rsidRPr="007B5BE6">
        <w:t xml:space="preserve">a cognitive impairment or </w:t>
      </w:r>
      <w:r w:rsidR="0048203E" w:rsidRPr="007B5BE6">
        <w:t xml:space="preserve">an </w:t>
      </w:r>
      <w:r w:rsidR="00175B9D" w:rsidRPr="007B5BE6">
        <w:t>illness (such as dementia)</w:t>
      </w:r>
      <w:r w:rsidR="003F7C15" w:rsidRPr="007B5BE6">
        <w:t>,</w:t>
      </w:r>
      <w:r w:rsidR="00175B9D" w:rsidRPr="007B5BE6">
        <w:t xml:space="preserve"> or otherwise lack </w:t>
      </w:r>
      <w:r w:rsidR="001B79DC" w:rsidRPr="007B5BE6">
        <w:t xml:space="preserve">capacity, a safeguarding function exists in Tasmania under </w:t>
      </w:r>
      <w:r w:rsidR="00E42D9E" w:rsidRPr="007B5BE6">
        <w:t>the</w:t>
      </w:r>
      <w:r w:rsidR="009A320A" w:rsidRPr="007B5BE6">
        <w:t xml:space="preserve"> </w:t>
      </w:r>
      <w:r w:rsidR="009A320A" w:rsidRPr="007B5BE6">
        <w:rPr>
          <w:i/>
        </w:rPr>
        <w:t xml:space="preserve">Disability Rights, Inclusion and Safeguarding Act 2024 </w:t>
      </w:r>
      <w:r w:rsidR="009A320A" w:rsidRPr="007B5BE6">
        <w:t>(Tas)</w:t>
      </w:r>
      <w:r w:rsidR="005F489E" w:rsidRPr="007B5BE6">
        <w:t xml:space="preserve">. This Act </w:t>
      </w:r>
      <w:r w:rsidR="009A320A" w:rsidRPr="007B5BE6">
        <w:t>applies for adults (regardless of age) who have a disability</w:t>
      </w:r>
      <w:r w:rsidR="004873CA" w:rsidRPr="007B5BE6">
        <w:t>,</w:t>
      </w:r>
      <w:r w:rsidR="009A320A" w:rsidRPr="007B5BE6">
        <w:t xml:space="preserve"> defined as including ‘long-term physical, mental, cognitive, intellectual or sensory impairments which in interaction with various barriers may hinder the person’s full and effective participation in society on an equal basis with others’.</w:t>
      </w:r>
      <w:r w:rsidR="009A320A" w:rsidRPr="007B5BE6">
        <w:rPr>
          <w:rStyle w:val="FootnoteReference"/>
        </w:rPr>
        <w:footnoteReference w:id="590"/>
      </w:r>
      <w:r w:rsidR="009A320A" w:rsidRPr="007B5BE6">
        <w:t xml:space="preserve"> </w:t>
      </w:r>
    </w:p>
    <w:p w14:paraId="550BFB8E" w14:textId="1E1F8EF3" w:rsidR="00697AED" w:rsidRPr="007B5BE6" w:rsidRDefault="00697AED" w:rsidP="001325DE">
      <w:pPr>
        <w:pStyle w:val="RecommendationBoxText"/>
        <w:ind w:left="0"/>
        <w:rPr>
          <w:b/>
        </w:rPr>
      </w:pPr>
      <w:r w:rsidRPr="007B5BE6">
        <w:rPr>
          <w:noProof/>
        </w:rPr>
        <mc:AlternateContent>
          <mc:Choice Requires="wps">
            <w:drawing>
              <wp:inline distT="0" distB="0" distL="0" distR="0" wp14:anchorId="3BBBC0A4" wp14:editId="18D56DCE">
                <wp:extent cx="5727065" cy="723900"/>
                <wp:effectExtent l="0" t="0" r="6985" b="0"/>
                <wp:docPr id="919519349"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723900"/>
                        </a:xfrm>
                        <a:prstGeom prst="rect">
                          <a:avLst/>
                        </a:prstGeom>
                        <a:solidFill>
                          <a:srgbClr val="E8E8E8"/>
                        </a:solidFill>
                      </wps:spPr>
                      <wps:txbx>
                        <w:txbxContent>
                          <w:p w14:paraId="7AABA918" w14:textId="77777777" w:rsidR="00697AED" w:rsidRPr="006F2DE6" w:rsidRDefault="00697AED" w:rsidP="00697AED">
                            <w:pPr>
                              <w:pStyle w:val="RecommendationBoxHeading"/>
                            </w:pPr>
                            <w:r w:rsidRPr="006F2DE6">
                              <w:t>Recommendation 7</w:t>
                            </w:r>
                          </w:p>
                          <w:p w14:paraId="70CCC623" w14:textId="23341688" w:rsidR="00697AED" w:rsidRPr="00352D18" w:rsidRDefault="00697AED" w:rsidP="00697AED">
                            <w:pPr>
                              <w:pStyle w:val="RecommendationBoxText"/>
                            </w:pPr>
                            <w:r w:rsidRPr="00697AED">
                              <w:t xml:space="preserve">The safeguarding functions of the Commissioner for Older People should apply to ‘older people’. </w:t>
                            </w:r>
                          </w:p>
                        </w:txbxContent>
                      </wps:txbx>
                      <wps:bodyPr wrap="square" lIns="0" tIns="0" rIns="0" bIns="0" rtlCol="0">
                        <a:noAutofit/>
                      </wps:bodyPr>
                    </wps:wsp>
                  </a:graphicData>
                </a:graphic>
              </wp:inline>
            </w:drawing>
          </mc:Choice>
          <mc:Fallback>
            <w:pict>
              <v:shape w14:anchorId="3BBBC0A4" id="_x0000_s1033" type="#_x0000_t202" style="width:450.9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" fillcolor="#e8e8e8" stroked="f">
                <v:textbox inset="0,0,0,0">
                  <w:txbxContent>
                    <w:p w14:paraId="7AABA918" w14:textId="77777777" w:rsidR="00697AED" w:rsidRPr="006F2DE6" w:rsidRDefault="00697AED" w:rsidP="00697AED">
                      <w:pPr>
                        <w:pStyle w:val="RecommendationBoxHeading"/>
                      </w:pPr>
                      <w:r w:rsidRPr="006F2DE6">
                        <w:t>Recommendation 7</w:t>
                      </w:r>
                    </w:p>
                    <w:p w14:paraId="70CCC623" w14:textId="23341688" w:rsidR="00697AED" w:rsidRPr="00352D18" w:rsidRDefault="00697AED" w:rsidP="00697AED">
                      <w:pPr>
                        <w:pStyle w:val="RecommendationBoxText"/>
                      </w:pPr>
                      <w:r w:rsidRPr="00697AED">
                        <w:t xml:space="preserve">The safeguarding functions of the Commissioner for Older People should apply to ‘older people’. </w:t>
                      </w:r>
                    </w:p>
                  </w:txbxContent>
                </v:textbox>
                <w10:anchorlock/>
              </v:shape>
            </w:pict>
          </mc:Fallback>
        </mc:AlternateContent>
      </w:r>
    </w:p>
    <w:p w14:paraId="57DD00AF" w14:textId="67B3A7E3" w:rsidR="00697AED" w:rsidRPr="007B5BE6" w:rsidRDefault="00697AED" w:rsidP="001325DE">
      <w:pPr>
        <w:pStyle w:val="RecommendationBoxText"/>
        <w:ind w:left="0"/>
        <w:rPr>
          <w:b/>
        </w:rPr>
      </w:pPr>
      <w:r w:rsidRPr="007B5BE6">
        <w:rPr>
          <w:noProof/>
        </w:rPr>
        <mc:AlternateContent>
          <mc:Choice Requires="wps">
            <w:drawing>
              <wp:inline distT="0" distB="0" distL="0" distR="0" wp14:anchorId="723C9211" wp14:editId="5E818782">
                <wp:extent cx="5727065" cy="1076325"/>
                <wp:effectExtent l="0" t="0" r="6985" b="9525"/>
                <wp:docPr id="108422318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76325"/>
                        </a:xfrm>
                        <a:prstGeom prst="rect">
                          <a:avLst/>
                        </a:prstGeom>
                        <a:solidFill>
                          <a:srgbClr val="E8E8E8"/>
                        </a:solidFill>
                      </wps:spPr>
                      <wps:txbx>
                        <w:txbxContent>
                          <w:p w14:paraId="2DB9428E" w14:textId="77777777" w:rsidR="00697AED" w:rsidRPr="006F2DE6" w:rsidRDefault="00697AED" w:rsidP="00697AED">
                            <w:pPr>
                              <w:pStyle w:val="RecommendationBoxHeading"/>
                            </w:pPr>
                            <w:r w:rsidRPr="006F2DE6">
                              <w:t>Recommendation 8</w:t>
                            </w:r>
                          </w:p>
                          <w:p w14:paraId="1C6ED60C" w14:textId="6FA04BAE" w:rsidR="00697AED" w:rsidRPr="00352D18" w:rsidRDefault="00697AED" w:rsidP="00697AED">
                            <w:pPr>
                              <w:pStyle w:val="RecommendationBoxText"/>
                            </w:pPr>
                            <w:r w:rsidRPr="00697AED">
                              <w:t>Consultation should be undertaken in relation to the age criteria that should be included in definition of ‘older people’, with an option being to define ‘older people’ as ‘people who are aged 65 years or more and Aboriginal people who are aged 50 years or more’.</w:t>
                            </w:r>
                          </w:p>
                        </w:txbxContent>
                      </wps:txbx>
                      <wps:bodyPr wrap="square" lIns="0" tIns="0" rIns="0" bIns="0" rtlCol="0">
                        <a:noAutofit/>
                      </wps:bodyPr>
                    </wps:wsp>
                  </a:graphicData>
                </a:graphic>
              </wp:inline>
            </w:drawing>
          </mc:Choice>
          <mc:Fallback>
            <w:pict>
              <v:shape w14:anchorId="723C9211" id="_x0000_s1034" type="#_x0000_t202" style="width:450.9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" fillcolor="#e8e8e8" stroked="f">
                <v:textbox inset="0,0,0,0">
                  <w:txbxContent>
                    <w:p w14:paraId="2DB9428E" w14:textId="77777777" w:rsidR="00697AED" w:rsidRPr="006F2DE6" w:rsidRDefault="00697AED" w:rsidP="00697AED">
                      <w:pPr>
                        <w:pStyle w:val="RecommendationBoxHeading"/>
                      </w:pPr>
                      <w:r w:rsidRPr="006F2DE6">
                        <w:t>Recommendation 8</w:t>
                      </w:r>
                    </w:p>
                    <w:p w14:paraId="1C6ED60C" w14:textId="6FA04BAE" w:rsidR="00697AED" w:rsidRPr="00352D18" w:rsidRDefault="00697AED" w:rsidP="00697AED">
                      <w:pPr>
                        <w:pStyle w:val="RecommendationBoxText"/>
                      </w:pPr>
                      <w:r w:rsidRPr="00697AED">
                        <w:t>Consultation should be undertaken in relation to the age criteria that should be included in definition of ‘older people’, with an option being to define ‘older people’ as ‘people who are aged 65 years or more and Aboriginal people who are aged 50 years or more’.</w:t>
                      </w:r>
                    </w:p>
                  </w:txbxContent>
                </v:textbox>
                <w10:anchorlock/>
              </v:shape>
            </w:pict>
          </mc:Fallback>
        </mc:AlternateContent>
      </w:r>
    </w:p>
    <w:p w14:paraId="6634D129" w14:textId="77777777" w:rsidR="001F53D9" w:rsidRPr="007B5BE6" w:rsidRDefault="001F53D9" w:rsidP="00AE2D56">
      <w:pPr>
        <w:pStyle w:val="Sub-HeadingTLRI"/>
        <w:spacing w:before="360"/>
      </w:pPr>
      <w:bookmarkStart w:id="589" w:name="_Toc212561799"/>
      <w:r w:rsidRPr="007B5BE6">
        <w:t>Defining abuse under the legislation</w:t>
      </w:r>
      <w:bookmarkEnd w:id="589"/>
    </w:p>
    <w:p w14:paraId="3B66AB08" w14:textId="20E05EC6" w:rsidR="00644009" w:rsidRPr="007B5BE6" w:rsidRDefault="00A15A5D" w:rsidP="001F53D9">
      <w:pPr>
        <w:numPr>
          <w:ilvl w:val="2"/>
          <w:numId w:val="2"/>
        </w:numPr>
        <w:tabs>
          <w:tab w:val="left" w:pos="851"/>
        </w:tabs>
        <w:spacing w:before="220"/>
        <w:rPr>
          <w:rFonts w:eastAsia="Times" w:cs="Times New Roman"/>
          <w:szCs w:val="20"/>
        </w:rPr>
      </w:pPr>
      <w:r w:rsidRPr="007B5BE6">
        <w:rPr>
          <w:rFonts w:eastAsia="Times" w:cs="Times New Roman"/>
          <w:szCs w:val="20"/>
        </w:rPr>
        <w:t>Related</w:t>
      </w:r>
      <w:r w:rsidR="001B64D5" w:rsidRPr="007B5BE6">
        <w:rPr>
          <w:rFonts w:eastAsia="Times" w:cs="Times New Roman"/>
          <w:szCs w:val="20"/>
        </w:rPr>
        <w:t xml:space="preserve"> to the </w:t>
      </w:r>
      <w:r w:rsidRPr="007B5BE6">
        <w:rPr>
          <w:rFonts w:eastAsia="Times" w:cs="Times New Roman"/>
          <w:szCs w:val="20"/>
        </w:rPr>
        <w:t xml:space="preserve">coverage of the safeguarding legislation </w:t>
      </w:r>
      <w:r w:rsidR="00AE150F" w:rsidRPr="007B5BE6">
        <w:rPr>
          <w:rFonts w:eastAsia="Times" w:cs="Times New Roman"/>
          <w:szCs w:val="20"/>
        </w:rPr>
        <w:t>(and the approach take</w:t>
      </w:r>
      <w:r w:rsidR="00994EA0" w:rsidRPr="007B5BE6">
        <w:rPr>
          <w:rFonts w:eastAsia="Times" w:cs="Times New Roman"/>
          <w:szCs w:val="20"/>
        </w:rPr>
        <w:t>n</w:t>
      </w:r>
      <w:r w:rsidR="00AE150F" w:rsidRPr="007B5BE6">
        <w:rPr>
          <w:rFonts w:eastAsia="Times" w:cs="Times New Roman"/>
          <w:szCs w:val="20"/>
        </w:rPr>
        <w:t xml:space="preserve"> by the TLRI in its recommendations) </w:t>
      </w:r>
      <w:r w:rsidRPr="007B5BE6">
        <w:rPr>
          <w:rFonts w:eastAsia="Times" w:cs="Times New Roman"/>
          <w:szCs w:val="20"/>
        </w:rPr>
        <w:t>is t</w:t>
      </w:r>
      <w:r w:rsidR="0034142F" w:rsidRPr="007B5BE6">
        <w:rPr>
          <w:rFonts w:eastAsia="Times" w:cs="Times New Roman"/>
          <w:szCs w:val="20"/>
        </w:rPr>
        <w:t>he</w:t>
      </w:r>
      <w:r w:rsidR="00063199" w:rsidRPr="007B5BE6">
        <w:rPr>
          <w:rFonts w:eastAsia="Times" w:cs="Times New Roman"/>
          <w:szCs w:val="20"/>
        </w:rPr>
        <w:t xml:space="preserve"> </w:t>
      </w:r>
      <w:r w:rsidR="006E6CA1" w:rsidRPr="007B5BE6">
        <w:rPr>
          <w:rFonts w:eastAsia="Times" w:cs="Times New Roman"/>
          <w:szCs w:val="20"/>
        </w:rPr>
        <w:t xml:space="preserve">issue of the </w:t>
      </w:r>
      <w:r w:rsidR="0034142F" w:rsidRPr="007B5BE6">
        <w:rPr>
          <w:rFonts w:eastAsia="Times" w:cs="Times New Roman"/>
          <w:szCs w:val="20"/>
        </w:rPr>
        <w:t>scope of conduct that is covered</w:t>
      </w:r>
      <w:r w:rsidRPr="007B5BE6">
        <w:rPr>
          <w:rFonts w:eastAsia="Times" w:cs="Times New Roman"/>
          <w:szCs w:val="20"/>
        </w:rPr>
        <w:t xml:space="preserve">. </w:t>
      </w:r>
      <w:r w:rsidR="00644009" w:rsidRPr="007B5BE6">
        <w:rPr>
          <w:rFonts w:eastAsia="Times" w:cs="Times New Roman"/>
          <w:szCs w:val="20"/>
        </w:rPr>
        <w:t xml:space="preserve">In addressing this issue, the TLRI has identified two </w:t>
      </w:r>
      <w:r w:rsidR="00210936" w:rsidRPr="007B5BE6">
        <w:rPr>
          <w:rFonts w:eastAsia="Times" w:cs="Times New Roman"/>
          <w:szCs w:val="20"/>
        </w:rPr>
        <w:t>approaches that could be adopted</w:t>
      </w:r>
      <w:r w:rsidR="00644009" w:rsidRPr="007B5BE6">
        <w:rPr>
          <w:rFonts w:eastAsia="Times" w:cs="Times New Roman"/>
          <w:szCs w:val="20"/>
        </w:rPr>
        <w:t>:</w:t>
      </w:r>
    </w:p>
    <w:p w14:paraId="4FDE7321" w14:textId="12BD3EC5" w:rsidR="00B40340" w:rsidRPr="007B5BE6" w:rsidRDefault="00210936" w:rsidP="00644009">
      <w:pPr>
        <w:pStyle w:val="DotPointTLRI"/>
        <w:rPr>
          <w:rFonts w:eastAsia="Times"/>
          <w:szCs w:val="20"/>
        </w:rPr>
      </w:pPr>
      <w:r w:rsidRPr="007B5BE6">
        <w:rPr>
          <w:rFonts w:eastAsia="Times"/>
          <w:b/>
          <w:bCs/>
        </w:rPr>
        <w:t xml:space="preserve">Approach </w:t>
      </w:r>
      <w:r w:rsidR="00644009" w:rsidRPr="007B5BE6">
        <w:rPr>
          <w:rFonts w:eastAsia="Times"/>
          <w:b/>
          <w:bCs/>
        </w:rPr>
        <w:t>1</w:t>
      </w:r>
      <w:r w:rsidR="00644009" w:rsidRPr="007B5BE6">
        <w:rPr>
          <w:rFonts w:eastAsia="Times"/>
        </w:rPr>
        <w:t xml:space="preserve">: </w:t>
      </w:r>
      <w:r w:rsidR="0059001F" w:rsidRPr="007B5BE6">
        <w:rPr>
          <w:rFonts w:eastAsia="Times"/>
        </w:rPr>
        <w:t xml:space="preserve">including </w:t>
      </w:r>
      <w:r w:rsidR="00644009" w:rsidRPr="007B5BE6">
        <w:rPr>
          <w:rFonts w:eastAsia="Times"/>
        </w:rPr>
        <w:t xml:space="preserve">a definition of </w:t>
      </w:r>
      <w:r w:rsidR="001F53D9" w:rsidRPr="007B5BE6">
        <w:rPr>
          <w:rFonts w:eastAsia="Times"/>
        </w:rPr>
        <w:t>abuse or any similar term</w:t>
      </w:r>
      <w:r w:rsidR="00644009" w:rsidRPr="007B5BE6">
        <w:rPr>
          <w:rFonts w:eastAsia="Times"/>
        </w:rPr>
        <w:t>. This</w:t>
      </w:r>
      <w:r w:rsidR="00644009" w:rsidRPr="007B5BE6">
        <w:rPr>
          <w:rFonts w:eastAsia="Times"/>
          <w:szCs w:val="20"/>
        </w:rPr>
        <w:t xml:space="preserve"> is </w:t>
      </w:r>
      <w:r w:rsidR="00644009" w:rsidRPr="007B5BE6">
        <w:rPr>
          <w:rFonts w:eastAsia="Times"/>
        </w:rPr>
        <w:t>the approach</w:t>
      </w:r>
      <w:r w:rsidR="00644009" w:rsidRPr="007B5BE6">
        <w:rPr>
          <w:rFonts w:eastAsia="Times"/>
          <w:szCs w:val="20"/>
        </w:rPr>
        <w:t xml:space="preserve"> in </w:t>
      </w:r>
      <w:r w:rsidR="00AE150F" w:rsidRPr="007B5BE6">
        <w:rPr>
          <w:rFonts w:eastAsia="Times"/>
          <w:szCs w:val="20"/>
        </w:rPr>
        <w:t>SA</w:t>
      </w:r>
      <w:r w:rsidR="00644009" w:rsidRPr="007B5BE6">
        <w:rPr>
          <w:rFonts w:eastAsia="Times"/>
        </w:rPr>
        <w:t>, where a</w:t>
      </w:r>
      <w:r w:rsidR="00B40340" w:rsidRPr="007B5BE6">
        <w:rPr>
          <w:rFonts w:eastAsia="Times"/>
        </w:rPr>
        <w:t xml:space="preserve">buse is defined under </w:t>
      </w:r>
      <w:r w:rsidR="00AE150F" w:rsidRPr="007B5BE6">
        <w:rPr>
          <w:rFonts w:eastAsia="Times"/>
          <w:szCs w:val="20"/>
        </w:rPr>
        <w:t>section</w:t>
      </w:r>
      <w:r w:rsidR="00B40340" w:rsidRPr="007B5BE6">
        <w:rPr>
          <w:rFonts w:eastAsia="Times"/>
          <w:szCs w:val="20"/>
        </w:rPr>
        <w:t xml:space="preserve"> 4 of the </w:t>
      </w:r>
      <w:r w:rsidR="00B40340" w:rsidRPr="007B5BE6">
        <w:rPr>
          <w:rFonts w:eastAsia="Times"/>
          <w:i/>
          <w:szCs w:val="20"/>
        </w:rPr>
        <w:t>Ageing and Adult Safeguarding Act 1995</w:t>
      </w:r>
      <w:r w:rsidR="00B40340" w:rsidRPr="007B5BE6">
        <w:rPr>
          <w:rFonts w:eastAsia="Times"/>
          <w:szCs w:val="20"/>
        </w:rPr>
        <w:t xml:space="preserve"> (SA) as:</w:t>
      </w:r>
    </w:p>
    <w:p w14:paraId="2A326692" w14:textId="520E72B8" w:rsidR="00E11184" w:rsidRPr="007B5BE6" w:rsidRDefault="00E11184" w:rsidP="005A71B7">
      <w:pPr>
        <w:pStyle w:val="Indentedquote"/>
        <w:numPr>
          <w:ilvl w:val="0"/>
          <w:numId w:val="13"/>
        </w:numPr>
      </w:pPr>
      <w:r w:rsidRPr="007B5BE6">
        <w:lastRenderedPageBreak/>
        <w:t xml:space="preserve">physical, sexual, </w:t>
      </w:r>
      <w:r w:rsidR="00AE150F" w:rsidRPr="007B5BE6">
        <w:t xml:space="preserve">or </w:t>
      </w:r>
      <w:r w:rsidRPr="007B5BE6">
        <w:t>emotional abuse</w:t>
      </w:r>
      <w:r w:rsidR="00AE150F" w:rsidRPr="007B5BE6">
        <w:t>;</w:t>
      </w:r>
    </w:p>
    <w:p w14:paraId="6A95B9F7" w14:textId="0F04D95D" w:rsidR="00E11184" w:rsidRPr="007B5BE6" w:rsidRDefault="00E11184" w:rsidP="005A71B7">
      <w:pPr>
        <w:pStyle w:val="Indentedquote"/>
        <w:numPr>
          <w:ilvl w:val="0"/>
          <w:numId w:val="13"/>
        </w:numPr>
      </w:pPr>
      <w:r w:rsidRPr="007B5BE6">
        <w:t>financial abuse or exploitation</w:t>
      </w:r>
      <w:r w:rsidR="00AE150F" w:rsidRPr="007B5BE6">
        <w:t>;</w:t>
      </w:r>
      <w:r w:rsidRPr="007B5BE6">
        <w:t xml:space="preserve"> </w:t>
      </w:r>
    </w:p>
    <w:p w14:paraId="0D0C2B26" w14:textId="48137929" w:rsidR="00E11184" w:rsidRPr="007B5BE6" w:rsidRDefault="00E11184" w:rsidP="005A71B7">
      <w:pPr>
        <w:pStyle w:val="Indentedquote"/>
        <w:numPr>
          <w:ilvl w:val="0"/>
          <w:numId w:val="13"/>
        </w:numPr>
      </w:pPr>
      <w:r w:rsidRPr="007B5BE6">
        <w:t>neglect</w:t>
      </w:r>
      <w:r w:rsidR="00AE150F" w:rsidRPr="007B5BE6">
        <w:t>;</w:t>
      </w:r>
    </w:p>
    <w:p w14:paraId="26E0124B" w14:textId="50156013" w:rsidR="00E11184" w:rsidRPr="007B5BE6" w:rsidRDefault="00E11184" w:rsidP="005A71B7">
      <w:pPr>
        <w:pStyle w:val="Indentedquote"/>
        <w:numPr>
          <w:ilvl w:val="0"/>
          <w:numId w:val="13"/>
        </w:numPr>
      </w:pPr>
      <w:r w:rsidRPr="007B5BE6">
        <w:t xml:space="preserve">abuse, exploitation or neglect consisting of </w:t>
      </w:r>
      <w:r w:rsidR="00AE150F" w:rsidRPr="007B5BE6">
        <w:t xml:space="preserve">an </w:t>
      </w:r>
      <w:r w:rsidRPr="007B5BE6">
        <w:t xml:space="preserve">omission to act where </w:t>
      </w:r>
      <w:r w:rsidR="00AE150F" w:rsidRPr="007B5BE6">
        <w:t xml:space="preserve">a </w:t>
      </w:r>
      <w:r w:rsidRPr="007B5BE6">
        <w:t xml:space="preserve">duty of care </w:t>
      </w:r>
      <w:r w:rsidR="00AE150F" w:rsidRPr="007B5BE6">
        <w:t xml:space="preserve">is </w:t>
      </w:r>
      <w:r w:rsidRPr="007B5BE6">
        <w:t>owed</w:t>
      </w:r>
      <w:r w:rsidR="00AE150F" w:rsidRPr="007B5BE6">
        <w:t>;</w:t>
      </w:r>
    </w:p>
    <w:p w14:paraId="7D2A97A4" w14:textId="3903A329" w:rsidR="00E11184" w:rsidRPr="007B5BE6" w:rsidRDefault="00E11184" w:rsidP="005A71B7">
      <w:pPr>
        <w:pStyle w:val="Indentedquote"/>
        <w:numPr>
          <w:ilvl w:val="0"/>
          <w:numId w:val="13"/>
        </w:numPr>
      </w:pPr>
      <w:r w:rsidRPr="007B5BE6">
        <w:t>abuse or exploitation of a position of trust or authority</w:t>
      </w:r>
      <w:r w:rsidR="00AE150F" w:rsidRPr="007B5BE6">
        <w:t>;</w:t>
      </w:r>
    </w:p>
    <w:p w14:paraId="66086AF5" w14:textId="77777777" w:rsidR="00E11184" w:rsidRPr="007B5BE6" w:rsidRDefault="00E11184" w:rsidP="005A71B7">
      <w:pPr>
        <w:pStyle w:val="Indentedquote"/>
        <w:numPr>
          <w:ilvl w:val="0"/>
          <w:numId w:val="13"/>
        </w:numPr>
      </w:pPr>
      <w:r w:rsidRPr="007B5BE6">
        <w:t>denial, without reasonable excuse, of basic rights; and</w:t>
      </w:r>
    </w:p>
    <w:p w14:paraId="0478F07B" w14:textId="65D7A923" w:rsidR="00A02979" w:rsidRPr="007B5BE6" w:rsidRDefault="00E11184" w:rsidP="005A71B7">
      <w:pPr>
        <w:pStyle w:val="Indentedquote"/>
        <w:numPr>
          <w:ilvl w:val="0"/>
          <w:numId w:val="13"/>
        </w:numPr>
      </w:pPr>
      <w:r w:rsidRPr="007B5BE6">
        <w:t>any other act or omission of a kind declared by regulations to be included.</w:t>
      </w:r>
      <w:r w:rsidR="005F1D6D" w:rsidRPr="007B5BE6">
        <w:rPr>
          <w:rStyle w:val="FootnoteReference"/>
        </w:rPr>
        <w:footnoteReference w:id="591"/>
      </w:r>
    </w:p>
    <w:p w14:paraId="584AA79C" w14:textId="414EB62B" w:rsidR="001F53D9" w:rsidRPr="007B5BE6" w:rsidRDefault="00210936" w:rsidP="0049365C">
      <w:pPr>
        <w:pStyle w:val="DotPointTLRI"/>
      </w:pPr>
      <w:r w:rsidRPr="007B5BE6">
        <w:rPr>
          <w:rFonts w:eastAsia="Times"/>
          <w:b/>
          <w:bCs/>
        </w:rPr>
        <w:t>Approach</w:t>
      </w:r>
      <w:r w:rsidR="00644009" w:rsidRPr="007B5BE6">
        <w:rPr>
          <w:rFonts w:eastAsia="Times"/>
          <w:b/>
          <w:bCs/>
        </w:rPr>
        <w:t xml:space="preserve"> 2</w:t>
      </w:r>
      <w:r w:rsidR="00644009" w:rsidRPr="007B5BE6">
        <w:rPr>
          <w:rFonts w:eastAsia="Times"/>
        </w:rPr>
        <w:t xml:space="preserve">: </w:t>
      </w:r>
      <w:r w:rsidR="00A02979" w:rsidRPr="007B5BE6">
        <w:rPr>
          <w:rFonts w:eastAsia="Times"/>
        </w:rPr>
        <w:t>setting out certain conduct that falls within</w:t>
      </w:r>
      <w:r w:rsidR="00A02979" w:rsidRPr="007B5BE6">
        <w:rPr>
          <w:rFonts w:eastAsia="Times"/>
          <w:szCs w:val="20"/>
        </w:rPr>
        <w:t xml:space="preserve"> the </w:t>
      </w:r>
      <w:r w:rsidR="00A02979" w:rsidRPr="007B5BE6">
        <w:rPr>
          <w:rFonts w:eastAsia="Times"/>
        </w:rPr>
        <w:t>scope</w:t>
      </w:r>
      <w:r w:rsidR="00A02979" w:rsidRPr="007B5BE6">
        <w:rPr>
          <w:rFonts w:eastAsia="Times"/>
          <w:szCs w:val="20"/>
        </w:rPr>
        <w:t xml:space="preserve"> of the legislation </w:t>
      </w:r>
      <w:r w:rsidR="00A02979" w:rsidRPr="007B5BE6">
        <w:rPr>
          <w:rFonts w:eastAsia="Times"/>
        </w:rPr>
        <w:t>but not defining those terms. This is the approach in NSW, where reports can be made</w:t>
      </w:r>
      <w:r w:rsidR="00E11184" w:rsidRPr="007B5BE6">
        <w:rPr>
          <w:rFonts w:eastAsia="Times"/>
        </w:rPr>
        <w:t xml:space="preserve"> </w:t>
      </w:r>
      <w:r w:rsidR="00A02979" w:rsidRPr="007B5BE6">
        <w:rPr>
          <w:rFonts w:eastAsia="Times"/>
        </w:rPr>
        <w:t xml:space="preserve">about </w:t>
      </w:r>
      <w:r w:rsidR="00E11184" w:rsidRPr="007B5BE6">
        <w:rPr>
          <w:rFonts w:eastAsia="Times"/>
          <w:szCs w:val="20"/>
        </w:rPr>
        <w:t xml:space="preserve">abuse, neglect or </w:t>
      </w:r>
      <w:r w:rsidR="00AA04DD" w:rsidRPr="007B5BE6">
        <w:rPr>
          <w:rFonts w:eastAsia="Times"/>
          <w:szCs w:val="20"/>
        </w:rPr>
        <w:t>exploitation</w:t>
      </w:r>
      <w:r w:rsidR="00023A65" w:rsidRPr="007B5BE6">
        <w:rPr>
          <w:rFonts w:eastAsia="Times"/>
          <w:szCs w:val="20"/>
        </w:rPr>
        <w:t>.</w:t>
      </w:r>
      <w:r w:rsidR="00EE6D02" w:rsidRPr="007B5BE6">
        <w:rPr>
          <w:rStyle w:val="FootnoteReference"/>
          <w:rFonts w:eastAsia="Times"/>
          <w:szCs w:val="20"/>
        </w:rPr>
        <w:footnoteReference w:id="592"/>
      </w:r>
      <w:r w:rsidR="00B40340" w:rsidRPr="007B5BE6">
        <w:rPr>
          <w:rFonts w:eastAsia="Times"/>
          <w:szCs w:val="20"/>
        </w:rPr>
        <w:t xml:space="preserve"> </w:t>
      </w:r>
      <w:r w:rsidR="00A02979" w:rsidRPr="007B5BE6">
        <w:rPr>
          <w:rFonts w:eastAsia="Times"/>
        </w:rPr>
        <w:t>It also</w:t>
      </w:r>
      <w:r w:rsidR="00A02979" w:rsidRPr="007B5BE6">
        <w:rPr>
          <w:rFonts w:eastAsia="Times"/>
          <w:szCs w:val="20"/>
        </w:rPr>
        <w:t xml:space="preserve"> </w:t>
      </w:r>
      <w:r w:rsidR="00211F5E" w:rsidRPr="007B5BE6">
        <w:rPr>
          <w:rFonts w:eastAsia="Times"/>
          <w:szCs w:val="20"/>
        </w:rPr>
        <w:t>reflects the approach under</w:t>
      </w:r>
      <w:r w:rsidR="001F53D9" w:rsidRPr="007B5BE6">
        <w:rPr>
          <w:rFonts w:eastAsia="Times"/>
          <w:szCs w:val="20"/>
        </w:rPr>
        <w:t xml:space="preserve"> the </w:t>
      </w:r>
      <w:r w:rsidR="001F53D9" w:rsidRPr="007B5BE6">
        <w:rPr>
          <w:rFonts w:eastAsia="Times"/>
          <w:i/>
          <w:szCs w:val="20"/>
        </w:rPr>
        <w:t xml:space="preserve">Disability Rights, Inclusion and Safeguarding Act 2024 </w:t>
      </w:r>
      <w:r w:rsidR="001F53D9" w:rsidRPr="007B5BE6">
        <w:rPr>
          <w:rFonts w:eastAsia="Times"/>
          <w:szCs w:val="20"/>
        </w:rPr>
        <w:t xml:space="preserve">(Tas) </w:t>
      </w:r>
      <w:r w:rsidR="003C125A" w:rsidRPr="007B5BE6">
        <w:rPr>
          <w:rFonts w:eastAsia="Times"/>
          <w:szCs w:val="20"/>
        </w:rPr>
        <w:t xml:space="preserve">that </w:t>
      </w:r>
      <w:r w:rsidR="001F53D9" w:rsidRPr="007B5BE6">
        <w:rPr>
          <w:rFonts w:eastAsia="Times"/>
          <w:szCs w:val="20"/>
        </w:rPr>
        <w:t>allows for a person to make a report to the Disability Commissioner concerning any matter relating to advancing and safeguarding the rights of people with disability.</w:t>
      </w:r>
      <w:r w:rsidR="00EE6D02" w:rsidRPr="007B5BE6">
        <w:rPr>
          <w:rStyle w:val="FootnoteReference"/>
          <w:rFonts w:eastAsia="Times"/>
          <w:szCs w:val="20"/>
        </w:rPr>
        <w:footnoteReference w:id="593"/>
      </w:r>
      <w:r w:rsidR="001F53D9" w:rsidRPr="007B5BE6">
        <w:rPr>
          <w:rFonts w:eastAsia="Times"/>
          <w:szCs w:val="20"/>
        </w:rPr>
        <w:t xml:space="preserve"> This includes reports</w:t>
      </w:r>
      <w:r w:rsidR="00A02979" w:rsidRPr="007B5BE6">
        <w:rPr>
          <w:rFonts w:eastAsia="Times"/>
        </w:rPr>
        <w:t xml:space="preserve"> </w:t>
      </w:r>
      <w:r w:rsidR="001F53D9" w:rsidRPr="007B5BE6">
        <w:t>about matters relating to a person with disability</w:t>
      </w:r>
      <w:r w:rsidR="00893B18" w:rsidRPr="007B5BE6">
        <w:t>,</w:t>
      </w:r>
      <w:r w:rsidR="001F53D9" w:rsidRPr="007B5BE6">
        <w:t xml:space="preserve"> if there are reasonable grounds to believe that the person with disability is </w:t>
      </w:r>
      <w:r w:rsidR="001F53D9" w:rsidRPr="007B5BE6">
        <w:rPr>
          <w:b/>
          <w:bCs/>
        </w:rPr>
        <w:t>subject to or at</w:t>
      </w:r>
      <w:r w:rsidR="001F53D9" w:rsidRPr="007B5BE6">
        <w:t xml:space="preserve"> </w:t>
      </w:r>
      <w:r w:rsidR="001F53D9" w:rsidRPr="007B5BE6">
        <w:rPr>
          <w:b/>
        </w:rPr>
        <w:t>risk of violence, abuse, neglect, coercion or exploitation</w:t>
      </w:r>
      <w:r w:rsidR="00893B18" w:rsidRPr="007B5BE6">
        <w:t>,</w:t>
      </w:r>
      <w:r w:rsidR="001F53D9" w:rsidRPr="007B5BE6">
        <w:t xml:space="preserve"> </w:t>
      </w:r>
      <w:r w:rsidR="0049365C" w:rsidRPr="007B5BE6">
        <w:t xml:space="preserve">or </w:t>
      </w:r>
      <w:r w:rsidR="001F53D9" w:rsidRPr="007B5BE6">
        <w:t xml:space="preserve">circumstances that the person has reasonable grounds to believe will </w:t>
      </w:r>
      <w:r w:rsidR="001F53D9" w:rsidRPr="007B5BE6">
        <w:rPr>
          <w:b/>
          <w:bCs/>
        </w:rPr>
        <w:t xml:space="preserve">result in violence against, or abuse, neglect, coercion or exploitation </w:t>
      </w:r>
      <w:r w:rsidR="001F53D9" w:rsidRPr="007B5BE6">
        <w:t>of a person with disability.</w:t>
      </w:r>
      <w:r w:rsidR="00EE6D02" w:rsidRPr="007B5BE6">
        <w:rPr>
          <w:rStyle w:val="FootnoteReference"/>
        </w:rPr>
        <w:footnoteReference w:id="594"/>
      </w:r>
    </w:p>
    <w:p w14:paraId="04AB994A" w14:textId="562D9EA2" w:rsidR="00000E5E" w:rsidRPr="007B5BE6" w:rsidRDefault="006F0013" w:rsidP="004A7455">
      <w:pPr>
        <w:tabs>
          <w:tab w:val="left" w:pos="851"/>
        </w:tabs>
        <w:spacing w:before="220"/>
        <w:ind w:left="720"/>
        <w:rPr>
          <w:rFonts w:eastAsia="Times" w:cs="Times New Roman"/>
          <w:szCs w:val="20"/>
        </w:rPr>
      </w:pPr>
      <w:r w:rsidRPr="007B5BE6">
        <w:rPr>
          <w:rFonts w:eastAsia="Times" w:cs="Times New Roman"/>
          <w:szCs w:val="20"/>
        </w:rPr>
        <w:t xml:space="preserve">This approach sets out the nature of conduct that may give rise to a report but </w:t>
      </w:r>
      <w:r w:rsidR="001F53D9" w:rsidRPr="007B5BE6">
        <w:rPr>
          <w:rFonts w:eastAsia="Times" w:cs="Times New Roman"/>
          <w:szCs w:val="20"/>
        </w:rPr>
        <w:t>does not include a definition of abuse or other terms (such as violence, neglect, coercion or exploitation)</w:t>
      </w:r>
      <w:r w:rsidR="003C125A" w:rsidRPr="007B5BE6">
        <w:rPr>
          <w:rFonts w:eastAsia="Times" w:cs="Times New Roman"/>
          <w:szCs w:val="20"/>
        </w:rPr>
        <w:t>.</w:t>
      </w:r>
    </w:p>
    <w:p w14:paraId="61EBC203" w14:textId="78E0B753" w:rsidR="00023A65" w:rsidRPr="007B5BE6" w:rsidRDefault="00023A65" w:rsidP="00BA291D">
      <w:pPr>
        <w:pStyle w:val="NormalNumberedTextTLRI"/>
      </w:pPr>
      <w:r w:rsidRPr="007B5BE6">
        <w:t xml:space="preserve">The TLRI </w:t>
      </w:r>
      <w:r w:rsidR="00992263" w:rsidRPr="007B5BE6">
        <w:t>considers</w:t>
      </w:r>
      <w:r w:rsidRPr="007B5BE6">
        <w:t xml:space="preserve"> that </w:t>
      </w:r>
      <w:r w:rsidR="00637C47" w:rsidRPr="007B5BE6">
        <w:t xml:space="preserve">there </w:t>
      </w:r>
      <w:r w:rsidR="00712A48" w:rsidRPr="007B5BE6">
        <w:t xml:space="preserve">can </w:t>
      </w:r>
      <w:r w:rsidR="00512E6C" w:rsidRPr="007B5BE6">
        <w:t>be</w:t>
      </w:r>
      <w:r w:rsidRPr="007B5BE6">
        <w:t xml:space="preserve"> benefits from including a definition of abuse in the </w:t>
      </w:r>
      <w:r w:rsidR="00512E6C" w:rsidRPr="007B5BE6">
        <w:t xml:space="preserve">legislation (such as the </w:t>
      </w:r>
      <w:r w:rsidR="00712A48" w:rsidRPr="007B5BE6">
        <w:t xml:space="preserve">definition </w:t>
      </w:r>
      <w:r w:rsidR="00512E6C" w:rsidRPr="007B5BE6">
        <w:t xml:space="preserve">set out in </w:t>
      </w:r>
      <w:r w:rsidR="00712A48" w:rsidRPr="007B5BE6">
        <w:t>SA</w:t>
      </w:r>
      <w:r w:rsidR="00512E6C" w:rsidRPr="007B5BE6">
        <w:t xml:space="preserve">). </w:t>
      </w:r>
      <w:r w:rsidR="00D97AB6" w:rsidRPr="007B5BE6">
        <w:t xml:space="preserve">One such key </w:t>
      </w:r>
      <w:r w:rsidRPr="007B5BE6">
        <w:t>benefit</w:t>
      </w:r>
      <w:r w:rsidR="00D97AB6" w:rsidRPr="007B5BE6">
        <w:t xml:space="preserve"> is</w:t>
      </w:r>
      <w:r w:rsidR="001C5197" w:rsidRPr="007B5BE6">
        <w:t xml:space="preserve"> </w:t>
      </w:r>
      <w:r w:rsidRPr="007B5BE6">
        <w:t xml:space="preserve">(as raised by stakeholders) </w:t>
      </w:r>
      <w:r w:rsidR="00BF5784" w:rsidRPr="007B5BE6">
        <w:t xml:space="preserve">providing a clear statement of what </w:t>
      </w:r>
      <w:r w:rsidR="00712A48" w:rsidRPr="007B5BE6">
        <w:t>constitutes</w:t>
      </w:r>
      <w:r w:rsidR="00BF5784" w:rsidRPr="007B5BE6">
        <w:t xml:space="preserve"> the abuse of an older person (which is currently lacking</w:t>
      </w:r>
      <w:r w:rsidR="008D2F9E" w:rsidRPr="007B5BE6">
        <w:t xml:space="preserve"> in Tasmania</w:t>
      </w:r>
      <w:r w:rsidR="00BF5784" w:rsidRPr="007B5BE6">
        <w:t>)</w:t>
      </w:r>
      <w:r w:rsidR="00D97AB6" w:rsidRPr="007B5BE6">
        <w:t>. This,</w:t>
      </w:r>
      <w:r w:rsidR="008D2F9E" w:rsidRPr="007B5BE6">
        <w:t xml:space="preserve"> in turn</w:t>
      </w:r>
      <w:r w:rsidR="00D97AB6" w:rsidRPr="007B5BE6">
        <w:t>,</w:t>
      </w:r>
      <w:r w:rsidR="008D2F9E" w:rsidRPr="007B5BE6">
        <w:t xml:space="preserve"> </w:t>
      </w:r>
      <w:r w:rsidR="00BF5784" w:rsidRPr="007B5BE6">
        <w:t xml:space="preserve">may </w:t>
      </w:r>
      <w:r w:rsidR="0003472E" w:rsidRPr="007B5BE6">
        <w:t>have an</w:t>
      </w:r>
      <w:r w:rsidR="00BF5784" w:rsidRPr="007B5BE6">
        <w:t xml:space="preserve"> educative role</w:t>
      </w:r>
      <w:r w:rsidR="0003472E" w:rsidRPr="007B5BE6">
        <w:t>, thereby</w:t>
      </w:r>
      <w:r w:rsidR="00BF5784" w:rsidRPr="007B5BE6">
        <w:t xml:space="preserve"> </w:t>
      </w:r>
      <w:r w:rsidR="0003472E" w:rsidRPr="007B5BE6">
        <w:t xml:space="preserve">bringing the further benefit of </w:t>
      </w:r>
      <w:r w:rsidRPr="007B5BE6">
        <w:t>increas</w:t>
      </w:r>
      <w:r w:rsidR="0003472E" w:rsidRPr="007B5BE6">
        <w:t>ing</w:t>
      </w:r>
      <w:r w:rsidRPr="007B5BE6">
        <w:t xml:space="preserve"> visibility of matters</w:t>
      </w:r>
      <w:r w:rsidR="0003472E" w:rsidRPr="007B5BE6">
        <w:t xml:space="preserve"> involving the abuse of older people</w:t>
      </w:r>
      <w:r w:rsidR="00BF5784" w:rsidRPr="007B5BE6">
        <w:t xml:space="preserve">. This is </w:t>
      </w:r>
      <w:r w:rsidR="00E6217C" w:rsidRPr="007B5BE6">
        <w:t>consistent with</w:t>
      </w:r>
      <w:r w:rsidR="00BF5784" w:rsidRPr="007B5BE6">
        <w:t xml:space="preserve"> </w:t>
      </w:r>
      <w:r w:rsidR="00E6217C" w:rsidRPr="007B5BE6">
        <w:t xml:space="preserve">other </w:t>
      </w:r>
      <w:r w:rsidR="003960D2" w:rsidRPr="007B5BE6">
        <w:t xml:space="preserve">recommendations by the </w:t>
      </w:r>
      <w:r w:rsidR="00DB33FF" w:rsidRPr="007B5BE6">
        <w:t xml:space="preserve">TLRI’s </w:t>
      </w:r>
      <w:r w:rsidR="00E6217C" w:rsidRPr="007B5BE6">
        <w:t>recommendations</w:t>
      </w:r>
      <w:r w:rsidR="00DB33FF" w:rsidRPr="007B5BE6">
        <w:t xml:space="preserve"> </w:t>
      </w:r>
      <w:r w:rsidR="00E6217C" w:rsidRPr="007B5BE6">
        <w:t xml:space="preserve">in this Research Paper </w:t>
      </w:r>
      <w:r w:rsidRPr="007B5BE6">
        <w:t>(</w:t>
      </w:r>
      <w:r w:rsidR="00A8461E" w:rsidRPr="007B5BE6">
        <w:t xml:space="preserve">for example, </w:t>
      </w:r>
      <w:r w:rsidRPr="007B5BE6">
        <w:t xml:space="preserve">see </w:t>
      </w:r>
      <w:r w:rsidRPr="007B5BE6">
        <w:rPr>
          <w:b/>
          <w:bCs/>
        </w:rPr>
        <w:t xml:space="preserve">Recommendation </w:t>
      </w:r>
      <w:r w:rsidR="00B51CF9" w:rsidRPr="007B5BE6">
        <w:rPr>
          <w:b/>
          <w:bCs/>
        </w:rPr>
        <w:t>18</w:t>
      </w:r>
      <w:r w:rsidRPr="007B5BE6">
        <w:t xml:space="preserve">). </w:t>
      </w:r>
      <w:r w:rsidR="00844006" w:rsidRPr="007B5BE6">
        <w:t xml:space="preserve">It is also </w:t>
      </w:r>
      <w:r w:rsidR="00E27F62" w:rsidRPr="007B5BE6">
        <w:t xml:space="preserve">consistent with </w:t>
      </w:r>
      <w:r w:rsidR="00184F56" w:rsidRPr="007B5BE6">
        <w:t xml:space="preserve">the </w:t>
      </w:r>
      <w:r w:rsidR="00260D02" w:rsidRPr="007B5BE6">
        <w:t xml:space="preserve">ALRC’s </w:t>
      </w:r>
      <w:r w:rsidR="00184F56" w:rsidRPr="007B5BE6">
        <w:t>views</w:t>
      </w:r>
      <w:r w:rsidR="00260D02" w:rsidRPr="007B5BE6">
        <w:t>.</w:t>
      </w:r>
      <w:r w:rsidR="00EE6D02" w:rsidRPr="007B5BE6">
        <w:rPr>
          <w:rStyle w:val="FootnoteReference"/>
        </w:rPr>
        <w:footnoteReference w:id="595"/>
      </w:r>
      <w:r w:rsidR="00080136" w:rsidRPr="007B5BE6">
        <w:t xml:space="preserve"> </w:t>
      </w:r>
      <w:r w:rsidR="00BA291D" w:rsidRPr="007B5BE6">
        <w:t>In defining abuse, g</w:t>
      </w:r>
      <w:r w:rsidR="00482093" w:rsidRPr="007B5BE6">
        <w:t xml:space="preserve">uidance could be provided </w:t>
      </w:r>
      <w:r w:rsidR="00260D02" w:rsidRPr="007B5BE6">
        <w:t xml:space="preserve">by drawing </w:t>
      </w:r>
      <w:r w:rsidR="00B174C5" w:rsidRPr="007B5BE6">
        <w:t xml:space="preserve">from the approach taken in the </w:t>
      </w:r>
      <w:r w:rsidR="00B174C5" w:rsidRPr="007B5BE6">
        <w:rPr>
          <w:i/>
          <w:iCs/>
        </w:rPr>
        <w:t xml:space="preserve">Family Violence Act 2004 </w:t>
      </w:r>
      <w:r w:rsidR="00B174C5" w:rsidRPr="007B5BE6">
        <w:t>(Tas), wh</w:t>
      </w:r>
      <w:r w:rsidR="00260D02" w:rsidRPr="007B5BE6">
        <w:t xml:space="preserve">ich defines </w:t>
      </w:r>
      <w:r w:rsidR="00B174C5" w:rsidRPr="007B5BE6">
        <w:t xml:space="preserve">conduct that amounts to </w:t>
      </w:r>
      <w:r w:rsidR="00260D02" w:rsidRPr="007B5BE6">
        <w:t>‘</w:t>
      </w:r>
      <w:r w:rsidR="00B174C5" w:rsidRPr="007B5BE6">
        <w:t>family violence</w:t>
      </w:r>
      <w:r w:rsidR="00260D02" w:rsidRPr="007B5BE6">
        <w:t>’</w:t>
      </w:r>
      <w:r w:rsidR="00B174C5" w:rsidRPr="007B5BE6">
        <w:t>.</w:t>
      </w:r>
      <w:r w:rsidR="00EE6D02" w:rsidRPr="007B5BE6">
        <w:rPr>
          <w:rStyle w:val="FootnoteReference"/>
        </w:rPr>
        <w:footnoteReference w:id="596"/>
      </w:r>
    </w:p>
    <w:p w14:paraId="288E1629" w14:textId="73ED74D6" w:rsidR="002E3A1F" w:rsidRPr="007B5BE6" w:rsidRDefault="00B93C3B" w:rsidP="00080136">
      <w:pPr>
        <w:numPr>
          <w:ilvl w:val="2"/>
          <w:numId w:val="2"/>
        </w:numPr>
        <w:tabs>
          <w:tab w:val="left" w:pos="851"/>
        </w:tabs>
        <w:spacing w:before="220"/>
        <w:rPr>
          <w:rFonts w:eastAsia="Times" w:cs="Times New Roman"/>
          <w:szCs w:val="20"/>
        </w:rPr>
      </w:pPr>
      <w:r w:rsidRPr="007B5BE6">
        <w:rPr>
          <w:rFonts w:eastAsia="Times" w:cs="Times New Roman"/>
          <w:szCs w:val="20"/>
        </w:rPr>
        <w:t xml:space="preserve">On the other hand, an approach </w:t>
      </w:r>
      <w:r w:rsidR="00887F3C" w:rsidRPr="007B5BE6">
        <w:rPr>
          <w:rFonts w:eastAsia="Times" w:cs="Times New Roman"/>
          <w:szCs w:val="20"/>
        </w:rPr>
        <w:t xml:space="preserve">that </w:t>
      </w:r>
      <w:r w:rsidR="001F72EE" w:rsidRPr="007B5BE6">
        <w:rPr>
          <w:rFonts w:eastAsia="Times" w:cs="Times New Roman"/>
          <w:szCs w:val="20"/>
        </w:rPr>
        <w:t>broadly defines safeguarding responsibilit</w:t>
      </w:r>
      <w:r w:rsidR="00CB7D86" w:rsidRPr="007B5BE6">
        <w:rPr>
          <w:rFonts w:eastAsia="Times" w:cs="Times New Roman"/>
          <w:szCs w:val="20"/>
        </w:rPr>
        <w:t>ies</w:t>
      </w:r>
      <w:r w:rsidR="001F72EE" w:rsidRPr="007B5BE6">
        <w:rPr>
          <w:rFonts w:eastAsia="Times" w:cs="Times New Roman"/>
          <w:szCs w:val="20"/>
        </w:rPr>
        <w:t xml:space="preserve"> in relation to abuse, exploitation</w:t>
      </w:r>
      <w:r w:rsidR="00B651A2" w:rsidRPr="007B5BE6">
        <w:rPr>
          <w:rFonts w:eastAsia="Times" w:cs="Times New Roman"/>
          <w:szCs w:val="20"/>
        </w:rPr>
        <w:t>,</w:t>
      </w:r>
      <w:r w:rsidR="001F72EE" w:rsidRPr="007B5BE6">
        <w:rPr>
          <w:rFonts w:eastAsia="Times" w:cs="Times New Roman"/>
          <w:szCs w:val="20"/>
        </w:rPr>
        <w:t xml:space="preserve"> neglect</w:t>
      </w:r>
      <w:r w:rsidR="00B651A2" w:rsidRPr="007B5BE6">
        <w:rPr>
          <w:rFonts w:eastAsia="Times" w:cs="Times New Roman"/>
          <w:szCs w:val="20"/>
        </w:rPr>
        <w:t xml:space="preserve"> and violence </w:t>
      </w:r>
      <w:r w:rsidR="00887F3C" w:rsidRPr="007B5BE6">
        <w:rPr>
          <w:rFonts w:eastAsia="Times" w:cs="Times New Roman"/>
          <w:szCs w:val="20"/>
        </w:rPr>
        <w:t>(</w:t>
      </w:r>
      <w:r w:rsidR="00221479" w:rsidRPr="007B5BE6">
        <w:rPr>
          <w:rFonts w:eastAsia="Times" w:cs="Times New Roman"/>
          <w:szCs w:val="20"/>
        </w:rPr>
        <w:t xml:space="preserve">as in </w:t>
      </w:r>
      <w:r w:rsidR="00887F3C" w:rsidRPr="007B5BE6">
        <w:rPr>
          <w:rFonts w:eastAsia="Times" w:cs="Times New Roman"/>
          <w:szCs w:val="20"/>
        </w:rPr>
        <w:t xml:space="preserve">NSW </w:t>
      </w:r>
      <w:r w:rsidR="00221479" w:rsidRPr="007B5BE6">
        <w:rPr>
          <w:rFonts w:eastAsia="Times" w:cs="Times New Roman"/>
          <w:szCs w:val="20"/>
        </w:rPr>
        <w:t xml:space="preserve">for the Ageing and Disability Commissioner, </w:t>
      </w:r>
      <w:r w:rsidR="00887F3C" w:rsidRPr="007B5BE6">
        <w:rPr>
          <w:rFonts w:eastAsia="Times" w:cs="Times New Roman"/>
          <w:szCs w:val="20"/>
        </w:rPr>
        <w:t xml:space="preserve">and </w:t>
      </w:r>
      <w:r w:rsidR="00221479" w:rsidRPr="007B5BE6">
        <w:rPr>
          <w:rFonts w:eastAsia="Times" w:cs="Times New Roman"/>
          <w:szCs w:val="20"/>
        </w:rPr>
        <w:t xml:space="preserve">in Tasmania for the </w:t>
      </w:r>
      <w:r w:rsidR="00887F3C" w:rsidRPr="007B5BE6">
        <w:rPr>
          <w:rFonts w:eastAsia="Times" w:cs="Times New Roman"/>
          <w:szCs w:val="20"/>
        </w:rPr>
        <w:t>Disability Commissioner</w:t>
      </w:r>
      <w:r w:rsidR="00221479" w:rsidRPr="007B5BE6">
        <w:rPr>
          <w:rFonts w:eastAsia="Times" w:cs="Times New Roman"/>
          <w:szCs w:val="20"/>
        </w:rPr>
        <w:t xml:space="preserve">) </w:t>
      </w:r>
      <w:r w:rsidR="00B651A2" w:rsidRPr="007B5BE6">
        <w:rPr>
          <w:rFonts w:eastAsia="Times" w:cs="Times New Roman"/>
          <w:szCs w:val="20"/>
        </w:rPr>
        <w:t xml:space="preserve">provides </w:t>
      </w:r>
      <w:r w:rsidR="00CA1D46" w:rsidRPr="007B5BE6">
        <w:rPr>
          <w:rFonts w:eastAsia="Times" w:cs="Times New Roman"/>
          <w:szCs w:val="20"/>
        </w:rPr>
        <w:t xml:space="preserve">wide scope for </w:t>
      </w:r>
      <w:r w:rsidR="00A21672" w:rsidRPr="007B5BE6">
        <w:rPr>
          <w:rFonts w:eastAsia="Times" w:cs="Times New Roman"/>
          <w:szCs w:val="20"/>
        </w:rPr>
        <w:t xml:space="preserve">a </w:t>
      </w:r>
      <w:r w:rsidR="00CA1D46" w:rsidRPr="007B5BE6">
        <w:rPr>
          <w:rFonts w:eastAsia="Times" w:cs="Times New Roman"/>
          <w:szCs w:val="20"/>
        </w:rPr>
        <w:t>safeguarding</w:t>
      </w:r>
      <w:r w:rsidR="00A21672" w:rsidRPr="007B5BE6">
        <w:rPr>
          <w:rFonts w:eastAsia="Times" w:cs="Times New Roman"/>
          <w:szCs w:val="20"/>
        </w:rPr>
        <w:t xml:space="preserve"> response</w:t>
      </w:r>
      <w:r w:rsidR="00080136" w:rsidRPr="007B5BE6">
        <w:rPr>
          <w:rFonts w:eastAsia="Times" w:cs="Times New Roman"/>
          <w:szCs w:val="20"/>
        </w:rPr>
        <w:t xml:space="preserve"> if these harms exist or are risk of existing</w:t>
      </w:r>
      <w:r w:rsidR="00B53940" w:rsidRPr="007B5BE6">
        <w:rPr>
          <w:rFonts w:eastAsia="Times" w:cs="Times New Roman"/>
          <w:szCs w:val="20"/>
        </w:rPr>
        <w:t xml:space="preserve">. </w:t>
      </w:r>
      <w:r w:rsidR="00C235EC" w:rsidRPr="007B5BE6">
        <w:rPr>
          <w:rFonts w:eastAsia="Times" w:cs="Times New Roman"/>
          <w:szCs w:val="20"/>
        </w:rPr>
        <w:t xml:space="preserve">Given the </w:t>
      </w:r>
      <w:r w:rsidR="00295E29" w:rsidRPr="007B5BE6">
        <w:rPr>
          <w:rFonts w:eastAsia="Times" w:cs="Times New Roman"/>
          <w:szCs w:val="20"/>
        </w:rPr>
        <w:t xml:space="preserve">TLRI’s view that the </w:t>
      </w:r>
      <w:r w:rsidR="00D85A4C" w:rsidRPr="007B5BE6">
        <w:rPr>
          <w:rFonts w:eastAsia="Times" w:cs="Times New Roman"/>
          <w:szCs w:val="20"/>
        </w:rPr>
        <w:t xml:space="preserve">role of the Commissioner </w:t>
      </w:r>
      <w:r w:rsidR="006D2B8A" w:rsidRPr="007B5BE6">
        <w:rPr>
          <w:rFonts w:eastAsia="Times" w:cs="Times New Roman"/>
          <w:szCs w:val="20"/>
        </w:rPr>
        <w:t xml:space="preserve">for Older People </w:t>
      </w:r>
      <w:r w:rsidR="00D85A4C" w:rsidRPr="007B5BE6">
        <w:rPr>
          <w:rFonts w:eastAsia="Times" w:cs="Times New Roman"/>
          <w:szCs w:val="20"/>
        </w:rPr>
        <w:t>should be</w:t>
      </w:r>
      <w:r w:rsidR="00CB7D86" w:rsidRPr="007B5BE6">
        <w:rPr>
          <w:rFonts w:eastAsia="Times" w:cs="Times New Roman"/>
          <w:szCs w:val="20"/>
        </w:rPr>
        <w:t xml:space="preserve"> aligned with the Disability Commissioner role</w:t>
      </w:r>
      <w:r w:rsidR="00B139D4" w:rsidRPr="007B5BE6">
        <w:rPr>
          <w:rFonts w:eastAsia="Times" w:cs="Times New Roman"/>
          <w:szCs w:val="20"/>
        </w:rPr>
        <w:t>,</w:t>
      </w:r>
      <w:r w:rsidR="00EE6D02" w:rsidRPr="007B5BE6">
        <w:rPr>
          <w:rStyle w:val="FootnoteReference"/>
          <w:rFonts w:eastAsia="Times" w:cs="Times New Roman"/>
          <w:szCs w:val="20"/>
        </w:rPr>
        <w:footnoteReference w:id="597"/>
      </w:r>
      <w:r w:rsidR="00CB7D86" w:rsidRPr="007B5BE6">
        <w:rPr>
          <w:rFonts w:eastAsia="Times" w:cs="Times New Roman"/>
          <w:szCs w:val="20"/>
        </w:rPr>
        <w:t xml:space="preserve"> </w:t>
      </w:r>
      <w:r w:rsidR="00080136" w:rsidRPr="007B5BE6">
        <w:rPr>
          <w:rFonts w:eastAsia="Times" w:cs="Times New Roman"/>
          <w:szCs w:val="20"/>
        </w:rPr>
        <w:t xml:space="preserve">it is the TLRI’s recommendation </w:t>
      </w:r>
      <w:r w:rsidR="00080136" w:rsidRPr="007B5BE6">
        <w:rPr>
          <w:rFonts w:eastAsia="Times" w:cs="Times New Roman"/>
          <w:szCs w:val="20"/>
        </w:rPr>
        <w:lastRenderedPageBreak/>
        <w:t xml:space="preserve">that </w:t>
      </w:r>
      <w:r w:rsidR="004254E5" w:rsidRPr="007B5BE6">
        <w:rPr>
          <w:rFonts w:eastAsia="Times" w:cs="Times New Roman"/>
          <w:szCs w:val="20"/>
        </w:rPr>
        <w:t xml:space="preserve">the same </w:t>
      </w:r>
      <w:r w:rsidR="00124582" w:rsidRPr="007B5BE6">
        <w:rPr>
          <w:rFonts w:eastAsia="Times" w:cs="Times New Roman"/>
          <w:szCs w:val="20"/>
        </w:rPr>
        <w:t xml:space="preserve">definitional </w:t>
      </w:r>
      <w:r w:rsidR="00C17943" w:rsidRPr="007B5BE6">
        <w:rPr>
          <w:rFonts w:eastAsia="Times" w:cs="Times New Roman"/>
          <w:szCs w:val="20"/>
        </w:rPr>
        <w:t xml:space="preserve">approach regarding </w:t>
      </w:r>
      <w:r w:rsidR="00124582" w:rsidRPr="007B5BE6">
        <w:rPr>
          <w:rFonts w:eastAsia="Times" w:cs="Times New Roman"/>
          <w:szCs w:val="20"/>
        </w:rPr>
        <w:t>abuse</w:t>
      </w:r>
      <w:r w:rsidR="00CB220A" w:rsidRPr="007B5BE6">
        <w:rPr>
          <w:rFonts w:eastAsia="Times" w:cs="Times New Roman"/>
          <w:szCs w:val="20"/>
        </w:rPr>
        <w:t xml:space="preserve"> be taken</w:t>
      </w:r>
      <w:r w:rsidR="00E302C9" w:rsidRPr="007B5BE6">
        <w:rPr>
          <w:rFonts w:eastAsia="Times" w:cs="Times New Roman"/>
          <w:szCs w:val="20"/>
        </w:rPr>
        <w:t xml:space="preserve"> in relation</w:t>
      </w:r>
      <w:r w:rsidR="004254E5" w:rsidRPr="007B5BE6">
        <w:rPr>
          <w:rFonts w:eastAsia="Times" w:cs="Times New Roman"/>
          <w:szCs w:val="20"/>
        </w:rPr>
        <w:t xml:space="preserve"> to older people as already exists for people with disability. </w:t>
      </w:r>
      <w:r w:rsidR="005F71E9" w:rsidRPr="007B5BE6">
        <w:rPr>
          <w:rFonts w:eastAsia="Times" w:cs="Times New Roman"/>
          <w:szCs w:val="20"/>
        </w:rPr>
        <w:t xml:space="preserve">The </w:t>
      </w:r>
      <w:r w:rsidR="00CB220A" w:rsidRPr="007B5BE6">
        <w:rPr>
          <w:rFonts w:eastAsia="Times" w:cs="Times New Roman"/>
          <w:szCs w:val="20"/>
        </w:rPr>
        <w:t>TLRI</w:t>
      </w:r>
      <w:r w:rsidR="00794FF5" w:rsidRPr="007B5BE6">
        <w:rPr>
          <w:rFonts w:eastAsia="Times" w:cs="Times New Roman"/>
          <w:szCs w:val="20"/>
        </w:rPr>
        <w:t xml:space="preserve">’s </w:t>
      </w:r>
      <w:r w:rsidR="00910DA9" w:rsidRPr="007B5BE6">
        <w:rPr>
          <w:rFonts w:eastAsia="Times" w:cs="Times New Roman"/>
          <w:szCs w:val="20"/>
        </w:rPr>
        <w:t xml:space="preserve">view </w:t>
      </w:r>
      <w:r w:rsidR="00794FF5" w:rsidRPr="007B5BE6">
        <w:rPr>
          <w:rFonts w:eastAsia="Times" w:cs="Times New Roman"/>
          <w:szCs w:val="20"/>
        </w:rPr>
        <w:t xml:space="preserve">is </w:t>
      </w:r>
      <w:r w:rsidR="00910DA9" w:rsidRPr="007B5BE6">
        <w:rPr>
          <w:rFonts w:eastAsia="Times" w:cs="Times New Roman"/>
          <w:szCs w:val="20"/>
        </w:rPr>
        <w:t xml:space="preserve">that </w:t>
      </w:r>
      <w:r w:rsidR="00DD05BB" w:rsidRPr="007B5BE6">
        <w:rPr>
          <w:rFonts w:eastAsia="Times" w:cs="Times New Roman"/>
          <w:szCs w:val="20"/>
        </w:rPr>
        <w:t>the need for</w:t>
      </w:r>
      <w:r w:rsidR="00910DA9" w:rsidRPr="007B5BE6">
        <w:rPr>
          <w:rFonts w:eastAsia="Times" w:cs="Times New Roman"/>
          <w:szCs w:val="20"/>
        </w:rPr>
        <w:t xml:space="preserve"> </w:t>
      </w:r>
      <w:r w:rsidR="005F71E9" w:rsidRPr="007B5BE6">
        <w:rPr>
          <w:rFonts w:eastAsia="Times" w:cs="Times New Roman"/>
          <w:szCs w:val="20"/>
        </w:rPr>
        <w:t>any legislative change to the definition would require additional</w:t>
      </w:r>
      <w:r w:rsidR="00C235EC" w:rsidRPr="007B5BE6">
        <w:rPr>
          <w:rFonts w:eastAsia="Times" w:cs="Times New Roman"/>
          <w:szCs w:val="20"/>
        </w:rPr>
        <w:t xml:space="preserve"> careful consideration</w:t>
      </w:r>
      <w:r w:rsidR="007F73A5" w:rsidRPr="007B5BE6">
        <w:rPr>
          <w:rFonts w:eastAsia="Times" w:cs="Times New Roman"/>
          <w:szCs w:val="20"/>
        </w:rPr>
        <w:t>. T</w:t>
      </w:r>
      <w:r w:rsidR="00DD05BB" w:rsidRPr="007B5BE6">
        <w:rPr>
          <w:rFonts w:eastAsia="Times" w:cs="Times New Roman"/>
          <w:szCs w:val="20"/>
        </w:rPr>
        <w:t xml:space="preserve">his </w:t>
      </w:r>
      <w:r w:rsidR="00E26934" w:rsidRPr="007B5BE6">
        <w:rPr>
          <w:rFonts w:eastAsia="Times" w:cs="Times New Roman"/>
          <w:szCs w:val="20"/>
        </w:rPr>
        <w:t xml:space="preserve">is </w:t>
      </w:r>
      <w:r w:rsidR="00DD05BB" w:rsidRPr="007B5BE6">
        <w:rPr>
          <w:rFonts w:eastAsia="Times" w:cs="Times New Roman"/>
          <w:szCs w:val="20"/>
        </w:rPr>
        <w:t xml:space="preserve">a </w:t>
      </w:r>
      <w:r w:rsidR="00E26934" w:rsidRPr="007B5BE6">
        <w:rPr>
          <w:rFonts w:eastAsia="Times" w:cs="Times New Roman"/>
          <w:szCs w:val="20"/>
        </w:rPr>
        <w:t xml:space="preserve">matter </w:t>
      </w:r>
      <w:r w:rsidR="001D008B" w:rsidRPr="007B5BE6">
        <w:rPr>
          <w:rFonts w:eastAsia="Times" w:cs="Times New Roman"/>
          <w:szCs w:val="20"/>
        </w:rPr>
        <w:t xml:space="preserve">that could be informed by </w:t>
      </w:r>
      <w:r w:rsidR="007F73A5" w:rsidRPr="007B5BE6">
        <w:rPr>
          <w:rFonts w:eastAsia="Times" w:cs="Times New Roman"/>
          <w:szCs w:val="20"/>
        </w:rPr>
        <w:t xml:space="preserve">the </w:t>
      </w:r>
      <w:r w:rsidR="001D008B" w:rsidRPr="007B5BE6">
        <w:rPr>
          <w:rFonts w:eastAsia="Times" w:cs="Times New Roman"/>
          <w:szCs w:val="20"/>
        </w:rPr>
        <w:t>monitor</w:t>
      </w:r>
      <w:r w:rsidR="00CF413C" w:rsidRPr="007B5BE6">
        <w:rPr>
          <w:rFonts w:eastAsia="Times" w:cs="Times New Roman"/>
          <w:szCs w:val="20"/>
        </w:rPr>
        <w:t>ing mechanism</w:t>
      </w:r>
      <w:r w:rsidR="007F73A5" w:rsidRPr="007B5BE6">
        <w:rPr>
          <w:rFonts w:eastAsia="Times" w:cs="Times New Roman"/>
          <w:szCs w:val="20"/>
        </w:rPr>
        <w:t>,</w:t>
      </w:r>
      <w:r w:rsidR="00CF413C" w:rsidRPr="007B5BE6">
        <w:rPr>
          <w:rFonts w:eastAsia="Times" w:cs="Times New Roman"/>
          <w:szCs w:val="20"/>
        </w:rPr>
        <w:t xml:space="preserve"> </w:t>
      </w:r>
      <w:r w:rsidR="007F73A5" w:rsidRPr="007B5BE6">
        <w:rPr>
          <w:rFonts w:eastAsia="Times" w:cs="Times New Roman"/>
          <w:szCs w:val="20"/>
        </w:rPr>
        <w:t xml:space="preserve">recommended by the TLRI, for any </w:t>
      </w:r>
      <w:r w:rsidR="00405D81" w:rsidRPr="007B5BE6">
        <w:rPr>
          <w:rFonts w:eastAsia="Times" w:cs="Times New Roman"/>
          <w:szCs w:val="20"/>
        </w:rPr>
        <w:t xml:space="preserve">reforms to introduce </w:t>
      </w:r>
      <w:r w:rsidR="007F73A5" w:rsidRPr="007B5BE6">
        <w:rPr>
          <w:rFonts w:eastAsia="Times" w:cs="Times New Roman"/>
          <w:szCs w:val="20"/>
        </w:rPr>
        <w:t xml:space="preserve">a </w:t>
      </w:r>
      <w:r w:rsidR="001D008B" w:rsidRPr="007B5BE6">
        <w:rPr>
          <w:rFonts w:eastAsia="Times" w:cs="Times New Roman"/>
          <w:szCs w:val="20"/>
        </w:rPr>
        <w:t xml:space="preserve">safeguarding response </w:t>
      </w:r>
      <w:r w:rsidR="00405D81" w:rsidRPr="007B5BE6">
        <w:rPr>
          <w:rFonts w:eastAsia="Times" w:cs="Times New Roman"/>
          <w:szCs w:val="20"/>
        </w:rPr>
        <w:t xml:space="preserve">for older </w:t>
      </w:r>
      <w:r w:rsidR="00DB025E" w:rsidRPr="007B5BE6">
        <w:rPr>
          <w:rFonts w:eastAsia="Times" w:cs="Times New Roman"/>
          <w:szCs w:val="20"/>
        </w:rPr>
        <w:t>people</w:t>
      </w:r>
      <w:r w:rsidR="00D70748" w:rsidRPr="007B5BE6">
        <w:rPr>
          <w:rFonts w:eastAsia="Times" w:cs="Times New Roman"/>
          <w:szCs w:val="20"/>
        </w:rPr>
        <w:t>.</w:t>
      </w:r>
      <w:r w:rsidR="00DB025E" w:rsidRPr="007B5BE6">
        <w:rPr>
          <w:rStyle w:val="FootnoteReference"/>
          <w:rFonts w:eastAsia="Times" w:cs="Times New Roman"/>
          <w:szCs w:val="20"/>
        </w:rPr>
        <w:footnoteReference w:id="598"/>
      </w:r>
      <w:r w:rsidR="00D70748" w:rsidRPr="007B5BE6">
        <w:rPr>
          <w:rFonts w:eastAsia="Times" w:cs="Times New Roman"/>
          <w:szCs w:val="20"/>
        </w:rPr>
        <w:t xml:space="preserve"> F</w:t>
      </w:r>
      <w:r w:rsidR="00E26934" w:rsidRPr="007B5BE6">
        <w:rPr>
          <w:rFonts w:eastAsia="Times" w:cs="Times New Roman"/>
          <w:szCs w:val="20"/>
        </w:rPr>
        <w:t>urther cons</w:t>
      </w:r>
      <w:r w:rsidR="00994A58" w:rsidRPr="007B5BE6">
        <w:rPr>
          <w:rFonts w:eastAsia="Times" w:cs="Times New Roman"/>
          <w:szCs w:val="20"/>
        </w:rPr>
        <w:t xml:space="preserve">ultation </w:t>
      </w:r>
      <w:r w:rsidR="00D70748" w:rsidRPr="007B5BE6">
        <w:rPr>
          <w:rFonts w:eastAsia="Times" w:cs="Times New Roman"/>
          <w:szCs w:val="20"/>
        </w:rPr>
        <w:t xml:space="preserve">on the matter </w:t>
      </w:r>
      <w:r w:rsidR="001D008B" w:rsidRPr="007B5BE6">
        <w:rPr>
          <w:rFonts w:eastAsia="Times" w:cs="Times New Roman"/>
          <w:szCs w:val="20"/>
        </w:rPr>
        <w:t xml:space="preserve">could be sought as part of </w:t>
      </w:r>
      <w:r w:rsidR="00D70748" w:rsidRPr="007B5BE6">
        <w:rPr>
          <w:rFonts w:eastAsia="Times" w:cs="Times New Roman"/>
          <w:szCs w:val="20"/>
        </w:rPr>
        <w:t>this</w:t>
      </w:r>
      <w:r w:rsidR="001D008B" w:rsidRPr="007B5BE6">
        <w:rPr>
          <w:rFonts w:eastAsia="Times" w:cs="Times New Roman"/>
          <w:szCs w:val="20"/>
        </w:rPr>
        <w:t xml:space="preserve"> review process</w:t>
      </w:r>
      <w:r w:rsidR="003D28D0" w:rsidRPr="007B5BE6">
        <w:rPr>
          <w:rFonts w:eastAsia="Times" w:cs="Times New Roman"/>
          <w:szCs w:val="20"/>
        </w:rPr>
        <w:t>.</w:t>
      </w:r>
    </w:p>
    <w:p w14:paraId="290E7245" w14:textId="1A871205" w:rsidR="00697AED" w:rsidRPr="007B5BE6" w:rsidRDefault="00697AED" w:rsidP="00697AED">
      <w:r w:rsidRPr="007B5BE6">
        <w:rPr>
          <w:noProof/>
        </w:rPr>
        <mc:AlternateContent>
          <mc:Choice Requires="wps">
            <w:drawing>
              <wp:inline distT="0" distB="0" distL="0" distR="0" wp14:anchorId="4ACAF799" wp14:editId="24C4C2F3">
                <wp:extent cx="5727065" cy="1076325"/>
                <wp:effectExtent l="0" t="0" r="6985" b="9525"/>
                <wp:docPr id="1969472548"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76325"/>
                        </a:xfrm>
                        <a:prstGeom prst="rect">
                          <a:avLst/>
                        </a:prstGeom>
                        <a:solidFill>
                          <a:srgbClr val="E8E8E8"/>
                        </a:solidFill>
                      </wps:spPr>
                      <wps:txbx>
                        <w:txbxContent>
                          <w:p w14:paraId="67FC4077" w14:textId="77777777" w:rsidR="00697AED" w:rsidRPr="006F2DE6" w:rsidRDefault="00697AED" w:rsidP="00697AED">
                            <w:pPr>
                              <w:pStyle w:val="RecommendationBoxHeading"/>
                              <w:rPr>
                                <w:rFonts w:eastAsia="Times"/>
                              </w:rPr>
                            </w:pPr>
                            <w:r w:rsidRPr="006F2DE6">
                              <w:rPr>
                                <w:rFonts w:eastAsia="Times"/>
                              </w:rPr>
                              <w:t>Recommendation 9</w:t>
                            </w:r>
                          </w:p>
                          <w:p w14:paraId="137EC581" w14:textId="3DE2780E" w:rsidR="00697AED" w:rsidRPr="00352D18" w:rsidRDefault="00697AED" w:rsidP="00697AED">
                            <w:pPr>
                              <w:pStyle w:val="RecommendationBoxText"/>
                            </w:pPr>
                            <w:r w:rsidRPr="00697AED">
                              <w:t xml:space="preserve">The safeguarding mechanism for older people should mirror the provisions in the </w:t>
                            </w:r>
                            <w:r w:rsidRPr="00697AED">
                              <w:rPr>
                                <w:rFonts w:eastAsia="Times"/>
                                <w:i/>
                                <w:iCs/>
                              </w:rPr>
                              <w:t>Disability Rights, Inclusion and Safeguarding Act 2024</w:t>
                            </w:r>
                            <w:r w:rsidRPr="00697AED">
                              <w:rPr>
                                <w:rFonts w:eastAsia="Times"/>
                              </w:rPr>
                              <w:t xml:space="preserve"> (Tas) and </w:t>
                            </w:r>
                            <w:r w:rsidRPr="00697AED">
                              <w:t>apply in relation to violence, abuse, neglect, coercion and exploitation of an older person.</w:t>
                            </w:r>
                          </w:p>
                        </w:txbxContent>
                      </wps:txbx>
                      <wps:bodyPr wrap="square" lIns="0" tIns="0" rIns="0" bIns="0" rtlCol="0">
                        <a:noAutofit/>
                      </wps:bodyPr>
                    </wps:wsp>
                  </a:graphicData>
                </a:graphic>
              </wp:inline>
            </w:drawing>
          </mc:Choice>
          <mc:Fallback>
            <w:pict>
              <v:shape w14:anchorId="4ACAF799" id="_x0000_s1035" type="#_x0000_t202" style="width:450.9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" fillcolor="#e8e8e8" stroked="f">
                <v:textbox inset="0,0,0,0">
                  <w:txbxContent>
                    <w:p w14:paraId="67FC4077" w14:textId="77777777" w:rsidR="00697AED" w:rsidRPr="006F2DE6" w:rsidRDefault="00697AED" w:rsidP="00697AED">
                      <w:pPr>
                        <w:pStyle w:val="RecommendationBoxHeading"/>
                        <w:rPr>
                          <w:rFonts w:eastAsia="Times"/>
                        </w:rPr>
                      </w:pPr>
                      <w:r w:rsidRPr="006F2DE6">
                        <w:rPr>
                          <w:rFonts w:eastAsia="Times"/>
                        </w:rPr>
                        <w:t>Recommendation 9</w:t>
                      </w:r>
                    </w:p>
                    <w:p w14:paraId="137EC581" w14:textId="3DE2780E" w:rsidR="00697AED" w:rsidRPr="00352D18" w:rsidRDefault="00697AED" w:rsidP="00697AED">
                      <w:pPr>
                        <w:pStyle w:val="RecommendationBoxText"/>
                      </w:pPr>
                      <w:r w:rsidRPr="00697AED">
                        <w:t xml:space="preserve">The safeguarding mechanism for older people should mirror the provisions in the </w:t>
                      </w:r>
                      <w:r w:rsidRPr="00697AED">
                        <w:rPr>
                          <w:rFonts w:eastAsia="Times"/>
                          <w:i/>
                          <w:iCs/>
                        </w:rPr>
                        <w:t>Disability Rights, Inclusion and Safeguarding Act 2024</w:t>
                      </w:r>
                      <w:r w:rsidRPr="00697AED">
                        <w:rPr>
                          <w:rFonts w:eastAsia="Times"/>
                        </w:rPr>
                        <w:t xml:space="preserve"> (Tas) and </w:t>
                      </w:r>
                      <w:r w:rsidRPr="00697AED">
                        <w:t>apply in relation to violence, abuse, neglect, coercion and exploitation of an older person.</w:t>
                      </w:r>
                    </w:p>
                  </w:txbxContent>
                </v:textbox>
                <w10:anchorlock/>
              </v:shape>
            </w:pict>
          </mc:Fallback>
        </mc:AlternateContent>
      </w:r>
    </w:p>
    <w:p w14:paraId="7D251A9B" w14:textId="6211F0F3" w:rsidR="001F53D9" w:rsidRPr="007B5BE6" w:rsidRDefault="000D65C8" w:rsidP="00AE2D56">
      <w:pPr>
        <w:pStyle w:val="Sub-HeadingTLRI"/>
        <w:spacing w:before="360"/>
      </w:pPr>
      <w:bookmarkStart w:id="590" w:name="_Toc212561800"/>
      <w:r w:rsidRPr="007B5BE6">
        <w:t xml:space="preserve">Power to make preliminary inquiries and </w:t>
      </w:r>
      <w:r w:rsidR="005B0559" w:rsidRPr="007B5BE6">
        <w:t xml:space="preserve">power </w:t>
      </w:r>
      <w:r w:rsidR="001F53D9" w:rsidRPr="007B5BE6">
        <w:t xml:space="preserve">to </w:t>
      </w:r>
      <w:r w:rsidR="008100C3" w:rsidRPr="007B5BE6">
        <w:t>investigate</w:t>
      </w:r>
      <w:bookmarkEnd w:id="590"/>
      <w:r w:rsidR="002504A2" w:rsidRPr="007B5BE6">
        <w:t xml:space="preserve"> </w:t>
      </w:r>
    </w:p>
    <w:p w14:paraId="5304AF8E" w14:textId="2C6CE5CE" w:rsidR="002F4C0A" w:rsidRPr="007B5BE6" w:rsidRDefault="001F53D9" w:rsidP="00E57F57">
      <w:pPr>
        <w:numPr>
          <w:ilvl w:val="2"/>
          <w:numId w:val="2"/>
        </w:numPr>
        <w:tabs>
          <w:tab w:val="left" w:pos="851"/>
        </w:tabs>
        <w:spacing w:before="220"/>
        <w:rPr>
          <w:rFonts w:eastAsia="Times" w:cs="Times New Roman"/>
          <w:szCs w:val="20"/>
        </w:rPr>
      </w:pPr>
      <w:r w:rsidRPr="007B5BE6">
        <w:rPr>
          <w:rFonts w:eastAsia="Times" w:cs="Times New Roman"/>
          <w:b/>
          <w:bCs/>
          <w:szCs w:val="20"/>
        </w:rPr>
        <w:t xml:space="preserve"> </w:t>
      </w:r>
      <w:r w:rsidR="001D71AF" w:rsidRPr="007B5BE6">
        <w:rPr>
          <w:rFonts w:eastAsia="Times" w:cs="Times New Roman"/>
          <w:szCs w:val="20"/>
        </w:rPr>
        <w:t xml:space="preserve">The TLRI has considered the responsibilities </w:t>
      </w:r>
      <w:r w:rsidR="00E505A6" w:rsidRPr="007B5BE6">
        <w:rPr>
          <w:rFonts w:eastAsia="Times" w:cs="Times New Roman"/>
          <w:szCs w:val="20"/>
        </w:rPr>
        <w:t>that should</w:t>
      </w:r>
      <w:r w:rsidR="001D71AF" w:rsidRPr="007B5BE6">
        <w:rPr>
          <w:rFonts w:eastAsia="Times" w:cs="Times New Roman"/>
          <w:szCs w:val="20"/>
        </w:rPr>
        <w:t xml:space="preserve"> be placed on the safeguarding entity</w:t>
      </w:r>
      <w:r w:rsidR="00E505A6" w:rsidRPr="007B5BE6">
        <w:rPr>
          <w:rFonts w:eastAsia="Times" w:cs="Times New Roman"/>
          <w:szCs w:val="20"/>
        </w:rPr>
        <w:t xml:space="preserve">, </w:t>
      </w:r>
      <w:r w:rsidR="00B85835" w:rsidRPr="007B5BE6">
        <w:rPr>
          <w:rFonts w:eastAsia="Times" w:cs="Times New Roman"/>
          <w:szCs w:val="20"/>
        </w:rPr>
        <w:t xml:space="preserve">through the role of the Commissioner for Older People, </w:t>
      </w:r>
      <w:r w:rsidR="00E505A6" w:rsidRPr="007B5BE6">
        <w:rPr>
          <w:rFonts w:eastAsia="Times" w:cs="Times New Roman"/>
          <w:szCs w:val="20"/>
        </w:rPr>
        <w:t>including</w:t>
      </w:r>
      <w:r w:rsidR="004F13E0" w:rsidRPr="007B5BE6">
        <w:rPr>
          <w:rFonts w:eastAsia="Times" w:cs="Times New Roman"/>
          <w:szCs w:val="20"/>
        </w:rPr>
        <w:t xml:space="preserve"> </w:t>
      </w:r>
      <w:r w:rsidR="00FF4212" w:rsidRPr="007B5BE6">
        <w:rPr>
          <w:rFonts w:eastAsia="Times" w:cs="Times New Roman"/>
          <w:szCs w:val="20"/>
        </w:rPr>
        <w:t xml:space="preserve">the nature </w:t>
      </w:r>
      <w:r w:rsidR="00B85835" w:rsidRPr="007B5BE6">
        <w:rPr>
          <w:rFonts w:eastAsia="Times" w:cs="Times New Roman"/>
          <w:szCs w:val="20"/>
        </w:rPr>
        <w:t xml:space="preserve">of any </w:t>
      </w:r>
      <w:r w:rsidR="003B25EC" w:rsidRPr="007B5BE6">
        <w:rPr>
          <w:rFonts w:eastAsia="Times" w:cs="Times New Roman"/>
          <w:szCs w:val="20"/>
        </w:rPr>
        <w:t>obligation</w:t>
      </w:r>
      <w:r w:rsidR="00B85835" w:rsidRPr="007B5BE6">
        <w:rPr>
          <w:rFonts w:eastAsia="Times" w:cs="Times New Roman"/>
          <w:szCs w:val="20"/>
        </w:rPr>
        <w:t>s</w:t>
      </w:r>
      <w:r w:rsidR="00E505A6" w:rsidRPr="007B5BE6">
        <w:rPr>
          <w:rFonts w:eastAsia="Times" w:cs="Times New Roman"/>
          <w:szCs w:val="20"/>
        </w:rPr>
        <w:t xml:space="preserve"> to </w:t>
      </w:r>
      <w:r w:rsidR="00263E92" w:rsidRPr="007B5BE6">
        <w:rPr>
          <w:rFonts w:eastAsia="Times" w:cs="Times New Roman"/>
          <w:szCs w:val="20"/>
        </w:rPr>
        <w:t>investigate</w:t>
      </w:r>
      <w:r w:rsidR="00404E75" w:rsidRPr="007B5BE6">
        <w:rPr>
          <w:rFonts w:eastAsia="Times" w:cs="Times New Roman"/>
          <w:szCs w:val="20"/>
        </w:rPr>
        <w:t xml:space="preserve">, </w:t>
      </w:r>
      <w:r w:rsidR="002F4C0A" w:rsidRPr="007B5BE6">
        <w:rPr>
          <w:rFonts w:eastAsia="Times" w:cs="Times New Roman"/>
          <w:szCs w:val="20"/>
        </w:rPr>
        <w:t>including</w:t>
      </w:r>
      <w:r w:rsidR="00E505A6" w:rsidRPr="007B5BE6">
        <w:rPr>
          <w:rFonts w:eastAsia="Times" w:cs="Times New Roman"/>
          <w:szCs w:val="20"/>
        </w:rPr>
        <w:t xml:space="preserve"> to make </w:t>
      </w:r>
      <w:r w:rsidR="00404E75" w:rsidRPr="007B5BE6">
        <w:rPr>
          <w:rFonts w:eastAsia="Times" w:cs="Times New Roman"/>
          <w:szCs w:val="20"/>
        </w:rPr>
        <w:t xml:space="preserve">preliminary </w:t>
      </w:r>
      <w:r w:rsidR="00E505A6" w:rsidRPr="007B5BE6">
        <w:rPr>
          <w:rFonts w:eastAsia="Times" w:cs="Times New Roman"/>
          <w:szCs w:val="20"/>
        </w:rPr>
        <w:t>inquiries</w:t>
      </w:r>
      <w:r w:rsidR="00404E75" w:rsidRPr="007B5BE6">
        <w:rPr>
          <w:rFonts w:eastAsia="Times" w:cs="Times New Roman"/>
          <w:szCs w:val="20"/>
        </w:rPr>
        <w:t xml:space="preserve"> or </w:t>
      </w:r>
      <w:r w:rsidR="003C6DC8" w:rsidRPr="007B5BE6">
        <w:rPr>
          <w:rFonts w:eastAsia="Times" w:cs="Times New Roman"/>
          <w:szCs w:val="20"/>
        </w:rPr>
        <w:t>assessments</w:t>
      </w:r>
      <w:r w:rsidR="002F4C0A" w:rsidRPr="007B5BE6">
        <w:rPr>
          <w:rFonts w:eastAsia="Times" w:cs="Times New Roman"/>
          <w:szCs w:val="20"/>
        </w:rPr>
        <w:t>.</w:t>
      </w:r>
    </w:p>
    <w:p w14:paraId="5DFC446A" w14:textId="6622A20D" w:rsidR="00A8598A" w:rsidRPr="007B5BE6" w:rsidRDefault="002F4C0A" w:rsidP="00D87BAA">
      <w:pPr>
        <w:pStyle w:val="NormalNumberedTextTLRI"/>
      </w:pPr>
      <w:r w:rsidRPr="007B5BE6">
        <w:t>A</w:t>
      </w:r>
      <w:r w:rsidR="002A376D" w:rsidRPr="007B5BE6">
        <w:t>ligned with the recommendation</w:t>
      </w:r>
      <w:r w:rsidR="005474C7" w:rsidRPr="007B5BE6">
        <w:t>s</w:t>
      </w:r>
      <w:r w:rsidR="002A376D" w:rsidRPr="007B5BE6">
        <w:t xml:space="preserve"> of the ALRC</w:t>
      </w:r>
      <w:r w:rsidRPr="007B5BE6">
        <w:t xml:space="preserve"> and the approach</w:t>
      </w:r>
      <w:r w:rsidR="00033E82" w:rsidRPr="007B5BE6">
        <w:t>es</w:t>
      </w:r>
      <w:r w:rsidRPr="007B5BE6">
        <w:t xml:space="preserve"> in </w:t>
      </w:r>
      <w:r w:rsidR="00460B1F" w:rsidRPr="007B5BE6">
        <w:t>NSW and SA</w:t>
      </w:r>
      <w:r w:rsidR="002A376D" w:rsidRPr="007B5BE6">
        <w:t>,</w:t>
      </w:r>
      <w:r w:rsidR="00B84CCB" w:rsidRPr="007B5BE6">
        <w:rPr>
          <w:rStyle w:val="FootnoteReference"/>
        </w:rPr>
        <w:footnoteReference w:id="599"/>
      </w:r>
      <w:r w:rsidR="002A376D" w:rsidRPr="007B5BE6">
        <w:t xml:space="preserve"> the </w:t>
      </w:r>
      <w:r w:rsidR="008567B7" w:rsidRPr="007B5BE6">
        <w:t xml:space="preserve">TLRI’s view is that </w:t>
      </w:r>
      <w:r w:rsidR="00ED56DA" w:rsidRPr="007B5BE6">
        <w:t xml:space="preserve">the </w:t>
      </w:r>
      <w:r w:rsidR="002A376D" w:rsidRPr="007B5BE6">
        <w:t>Commission</w:t>
      </w:r>
      <w:r w:rsidR="00E57F57" w:rsidRPr="007B5BE6">
        <w:t xml:space="preserve">er </w:t>
      </w:r>
      <w:r w:rsidR="002C1B89" w:rsidRPr="007B5BE6">
        <w:t xml:space="preserve">for Older People </w:t>
      </w:r>
      <w:r w:rsidR="0012097E" w:rsidRPr="007B5BE6">
        <w:t xml:space="preserve">should </w:t>
      </w:r>
      <w:r w:rsidR="00406EEB" w:rsidRPr="007B5BE6">
        <w:t>have power</w:t>
      </w:r>
      <w:r w:rsidR="001F53D9" w:rsidRPr="007B5BE6">
        <w:t xml:space="preserve"> to </w:t>
      </w:r>
      <w:r w:rsidR="00263E92" w:rsidRPr="007B5BE6">
        <w:t>investigate</w:t>
      </w:r>
      <w:r w:rsidR="001F53D9" w:rsidRPr="007B5BE6">
        <w:t xml:space="preserve"> where there are reasonable grounds to suspect that a person is an ‘at-risk adult’</w:t>
      </w:r>
      <w:r w:rsidR="00AE67E2" w:rsidRPr="007B5BE6">
        <w:t xml:space="preserve"> (as described by the ALRC). The power to investigate should </w:t>
      </w:r>
      <w:r w:rsidR="003308DB" w:rsidRPr="007B5BE6">
        <w:t xml:space="preserve">operate in conjunction with </w:t>
      </w:r>
      <w:r w:rsidR="0061368B" w:rsidRPr="007B5BE6">
        <w:t xml:space="preserve">powers to refer the matter to </w:t>
      </w:r>
      <w:r w:rsidR="000E31D7" w:rsidRPr="007B5BE6">
        <w:t>a</w:t>
      </w:r>
      <w:r w:rsidR="0061368B" w:rsidRPr="007B5BE6">
        <w:t xml:space="preserve"> more appropriate entity or not deal with a matter (in limited circumstances)</w:t>
      </w:r>
      <w:r w:rsidR="0012097E" w:rsidRPr="007B5BE6">
        <w:t xml:space="preserve">. </w:t>
      </w:r>
      <w:r w:rsidR="00490637" w:rsidRPr="007B5BE6">
        <w:t>The TLRI’s view is that the Commission</w:t>
      </w:r>
      <w:r w:rsidR="006A629B" w:rsidRPr="007B5BE6">
        <w:t>’s power to investigate</w:t>
      </w:r>
      <w:r w:rsidR="00490637" w:rsidRPr="007B5BE6">
        <w:t xml:space="preserve"> should </w:t>
      </w:r>
      <w:r w:rsidR="006A629B" w:rsidRPr="007B5BE6">
        <w:t xml:space="preserve">align </w:t>
      </w:r>
      <w:r w:rsidR="009B104A" w:rsidRPr="007B5BE6">
        <w:t>with</w:t>
      </w:r>
      <w:r w:rsidR="00A8598A" w:rsidRPr="007B5BE6">
        <w:t xml:space="preserve"> the power of the Disability Commissioner in Tasmania, where there is a discretion </w:t>
      </w:r>
      <w:r w:rsidR="009B104A" w:rsidRPr="007B5BE6">
        <w:t>as to</w:t>
      </w:r>
      <w:r w:rsidR="00A8598A" w:rsidRPr="007B5BE6">
        <w:t xml:space="preserve"> how to respond, either by investigating, making a referral to another person or body or declining to act</w:t>
      </w:r>
      <w:r w:rsidR="00175385" w:rsidRPr="007B5BE6">
        <w:t xml:space="preserve"> under </w:t>
      </w:r>
      <w:r w:rsidR="0012293E" w:rsidRPr="007B5BE6">
        <w:t>s</w:t>
      </w:r>
      <w:r w:rsidR="00033E82" w:rsidRPr="007B5BE6">
        <w:t>ection</w:t>
      </w:r>
      <w:r w:rsidR="0012293E" w:rsidRPr="007B5BE6">
        <w:t xml:space="preserve"> 37 of </w:t>
      </w:r>
      <w:r w:rsidR="00175385" w:rsidRPr="007B5BE6">
        <w:t xml:space="preserve">the </w:t>
      </w:r>
      <w:r w:rsidR="00175385" w:rsidRPr="007B5BE6">
        <w:rPr>
          <w:i/>
        </w:rPr>
        <w:t>Disability Rights, Inclusion and Safeguarding Act 2024</w:t>
      </w:r>
      <w:r w:rsidR="00175385" w:rsidRPr="007B5BE6">
        <w:t xml:space="preserve"> (Tas)</w:t>
      </w:r>
      <w:r w:rsidR="00A8598A" w:rsidRPr="007B5BE6">
        <w:t>.</w:t>
      </w:r>
      <w:r w:rsidR="0089783E" w:rsidRPr="007B5BE6">
        <w:rPr>
          <w:rStyle w:val="FootnoteReference"/>
        </w:rPr>
        <w:footnoteReference w:id="600"/>
      </w:r>
      <w:r w:rsidR="00A8598A" w:rsidRPr="007B5BE6">
        <w:t xml:space="preserve"> </w:t>
      </w:r>
      <w:r w:rsidR="00E86D6A" w:rsidRPr="007B5BE6">
        <w:t xml:space="preserve">The Disability Commissioner </w:t>
      </w:r>
      <w:r w:rsidR="0012391C" w:rsidRPr="007B5BE6">
        <w:t xml:space="preserve">also has the power to </w:t>
      </w:r>
      <w:r w:rsidR="002B77DC" w:rsidRPr="007B5BE6">
        <w:t>‘</w:t>
      </w:r>
      <w:r w:rsidR="0012391C" w:rsidRPr="007B5BE6">
        <w:t>decide to deal with a matter as a report if the matter relates to a person with disability that the Commissioner has reasonable grounds to believe is subject to, or at risk of, violence, abuse, neglect, coercion or exploitation</w:t>
      </w:r>
      <w:r w:rsidR="002B77DC" w:rsidRPr="007B5BE6">
        <w:t>’</w:t>
      </w:r>
      <w:r w:rsidR="0012391C" w:rsidRPr="007B5BE6">
        <w:t>.</w:t>
      </w:r>
      <w:r w:rsidR="002B77DC" w:rsidRPr="007B5BE6">
        <w:rPr>
          <w:rStyle w:val="FootnoteReference"/>
        </w:rPr>
        <w:footnoteReference w:id="601"/>
      </w:r>
    </w:p>
    <w:p w14:paraId="36E71121" w14:textId="5919A0AC" w:rsidR="00285944" w:rsidRPr="007B5BE6" w:rsidRDefault="006D24EF" w:rsidP="00991D44">
      <w:pPr>
        <w:pStyle w:val="NormalNumberedTextTLRI"/>
      </w:pPr>
      <w:r w:rsidRPr="007B5BE6">
        <w:t>I</w:t>
      </w:r>
      <w:r w:rsidR="00BA3A1F" w:rsidRPr="007B5BE6">
        <w:t>n</w:t>
      </w:r>
      <w:r w:rsidRPr="007B5BE6">
        <w:t xml:space="preserve"> </w:t>
      </w:r>
      <w:r w:rsidR="00A8598A" w:rsidRPr="007B5BE6">
        <w:t xml:space="preserve">making </w:t>
      </w:r>
      <w:r w:rsidR="00D14DCE" w:rsidRPr="007B5BE6">
        <w:t xml:space="preserve">an </w:t>
      </w:r>
      <w:r w:rsidR="00A8598A" w:rsidRPr="007B5BE6">
        <w:t>assessment</w:t>
      </w:r>
      <w:r w:rsidR="00D14DCE" w:rsidRPr="007B5BE6">
        <w:t xml:space="preserve"> </w:t>
      </w:r>
      <w:r w:rsidR="002C1B89" w:rsidRPr="007B5BE6">
        <w:t>as</w:t>
      </w:r>
      <w:r w:rsidR="00D14DCE" w:rsidRPr="007B5BE6">
        <w:t xml:space="preserve"> to the appropriate way to deal with a report</w:t>
      </w:r>
      <w:r w:rsidR="00F506C1" w:rsidRPr="007B5BE6">
        <w:t xml:space="preserve">, the Commissioner </w:t>
      </w:r>
      <w:r w:rsidR="002C1B89" w:rsidRPr="007B5BE6">
        <w:t xml:space="preserve">for Older People </w:t>
      </w:r>
      <w:r w:rsidR="00F506C1" w:rsidRPr="007B5BE6">
        <w:t xml:space="preserve">should have </w:t>
      </w:r>
      <w:r w:rsidR="00BA3A1F" w:rsidRPr="007B5BE6">
        <w:t>powers</w:t>
      </w:r>
      <w:r w:rsidR="00F506C1" w:rsidRPr="007B5BE6">
        <w:t xml:space="preserve"> to </w:t>
      </w:r>
      <w:r w:rsidR="003C7296" w:rsidRPr="007B5BE6">
        <w:t xml:space="preserve">make </w:t>
      </w:r>
      <w:r w:rsidR="00BA3A1F" w:rsidRPr="007B5BE6">
        <w:t>preliminary</w:t>
      </w:r>
      <w:r w:rsidR="003C7296" w:rsidRPr="007B5BE6">
        <w:t xml:space="preserve"> </w:t>
      </w:r>
      <w:r w:rsidR="00BA3A1F" w:rsidRPr="007B5BE6">
        <w:t>inquiries</w:t>
      </w:r>
      <w:r w:rsidR="00072AB4" w:rsidRPr="007B5BE6">
        <w:t>,</w:t>
      </w:r>
      <w:r w:rsidR="003C7296" w:rsidRPr="007B5BE6">
        <w:t xml:space="preserve"> </w:t>
      </w:r>
      <w:r w:rsidR="00BA3A1F" w:rsidRPr="007B5BE6">
        <w:t xml:space="preserve">or to make an assessment </w:t>
      </w:r>
      <w:r w:rsidR="003C7296" w:rsidRPr="007B5BE6">
        <w:t xml:space="preserve">for the purposes of deciding how to deal with a </w:t>
      </w:r>
      <w:r w:rsidR="005E6C3D" w:rsidRPr="007B5BE6">
        <w:t>report</w:t>
      </w:r>
      <w:r w:rsidR="003C7296" w:rsidRPr="007B5BE6">
        <w:t>.</w:t>
      </w:r>
      <w:r w:rsidR="0089783E" w:rsidRPr="007B5BE6">
        <w:rPr>
          <w:rStyle w:val="FootnoteReference"/>
        </w:rPr>
        <w:footnoteReference w:id="602"/>
      </w:r>
      <w:r w:rsidR="00413B4E" w:rsidRPr="007B5BE6">
        <w:t xml:space="preserve"> </w:t>
      </w:r>
      <w:r w:rsidR="000414BD" w:rsidRPr="007B5BE6">
        <w:t>This allows</w:t>
      </w:r>
      <w:r w:rsidR="00063A3F" w:rsidRPr="007B5BE6">
        <w:t xml:space="preserve"> the </w:t>
      </w:r>
      <w:r w:rsidR="00A8598A" w:rsidRPr="007B5BE6">
        <w:t>Commissioner</w:t>
      </w:r>
      <w:r w:rsidR="00460DCA" w:rsidRPr="007B5BE6">
        <w:t xml:space="preserve"> to have sufficient information</w:t>
      </w:r>
      <w:r w:rsidR="001F53D9" w:rsidRPr="007B5BE6">
        <w:t xml:space="preserve"> to decide whether any action, such as investigation, referral to other agencies or otherwise, should be taken</w:t>
      </w:r>
      <w:r w:rsidR="0012097E" w:rsidRPr="007B5BE6">
        <w:t>.</w:t>
      </w:r>
      <w:r w:rsidR="0089783E" w:rsidRPr="007B5BE6">
        <w:rPr>
          <w:rStyle w:val="FootnoteReference"/>
        </w:rPr>
        <w:footnoteReference w:id="603"/>
      </w:r>
      <w:r w:rsidR="00DF4002" w:rsidRPr="007B5BE6">
        <w:t xml:space="preserve"> </w:t>
      </w:r>
      <w:r w:rsidR="00D730BB" w:rsidRPr="007B5BE6">
        <w:t xml:space="preserve">This </w:t>
      </w:r>
      <w:r w:rsidR="00E54CF0" w:rsidRPr="007B5BE6">
        <w:t>approach is reflected</w:t>
      </w:r>
      <w:r w:rsidR="00D730BB" w:rsidRPr="007B5BE6">
        <w:t xml:space="preserve"> in the </w:t>
      </w:r>
      <w:r w:rsidR="0098274F" w:rsidRPr="007B5BE6">
        <w:rPr>
          <w:i/>
        </w:rPr>
        <w:t>Disability</w:t>
      </w:r>
      <w:r w:rsidR="00A45BD4" w:rsidRPr="007B5BE6">
        <w:rPr>
          <w:i/>
        </w:rPr>
        <w:t xml:space="preserve"> Rights, Inclusion and </w:t>
      </w:r>
      <w:r w:rsidR="0098274F" w:rsidRPr="007B5BE6">
        <w:rPr>
          <w:i/>
        </w:rPr>
        <w:t>Safeguarding</w:t>
      </w:r>
      <w:r w:rsidR="00A45BD4" w:rsidRPr="007B5BE6">
        <w:rPr>
          <w:i/>
        </w:rPr>
        <w:t xml:space="preserve"> Act 2024 </w:t>
      </w:r>
      <w:r w:rsidR="00A45BD4" w:rsidRPr="007B5BE6">
        <w:t>(Tas) s</w:t>
      </w:r>
      <w:r w:rsidR="00E54CF0" w:rsidRPr="007B5BE6">
        <w:t>ection</w:t>
      </w:r>
      <w:r w:rsidR="00A45BD4" w:rsidRPr="007B5BE6">
        <w:t xml:space="preserve"> 36</w:t>
      </w:r>
      <w:r w:rsidR="0098274F" w:rsidRPr="007B5BE6">
        <w:t>(3)</w:t>
      </w:r>
      <w:r w:rsidR="009B104A" w:rsidRPr="007B5BE6">
        <w:t xml:space="preserve">, where the Disability Commissioner has the power to </w:t>
      </w:r>
      <w:r w:rsidR="009D5968" w:rsidRPr="007B5BE6">
        <w:t xml:space="preserve">make </w:t>
      </w:r>
      <w:r w:rsidR="00E54CF0" w:rsidRPr="007B5BE6">
        <w:t xml:space="preserve">a </w:t>
      </w:r>
      <w:r w:rsidR="009D5968" w:rsidRPr="007B5BE6">
        <w:t>preliminary inquiry as a basis for deciding whether to take action</w:t>
      </w:r>
      <w:r w:rsidR="0098274F" w:rsidRPr="007B5BE6">
        <w:t>.</w:t>
      </w:r>
      <w:r w:rsidR="00144116" w:rsidRPr="007B5BE6">
        <w:t xml:space="preserve"> The potential of th</w:t>
      </w:r>
      <w:r w:rsidR="00C65090" w:rsidRPr="007B5BE6">
        <w:t>is</w:t>
      </w:r>
      <w:r w:rsidR="00144116" w:rsidRPr="007B5BE6">
        <w:t xml:space="preserve"> </w:t>
      </w:r>
      <w:r w:rsidR="00C65090" w:rsidRPr="007B5BE6">
        <w:t>preliminary inquiry stage to provide a safeguarding response</w:t>
      </w:r>
      <w:r w:rsidR="002D3055" w:rsidRPr="007B5BE6">
        <w:t xml:space="preserve"> is </w:t>
      </w:r>
      <w:r w:rsidR="00E54CF0" w:rsidRPr="007B5BE6">
        <w:t xml:space="preserve">evident </w:t>
      </w:r>
      <w:r w:rsidR="002D3055" w:rsidRPr="007B5BE6">
        <w:t xml:space="preserve">in </w:t>
      </w:r>
      <w:r w:rsidR="00E54CF0" w:rsidRPr="007B5BE6">
        <w:t xml:space="preserve">safeguarding approaches </w:t>
      </w:r>
      <w:r w:rsidR="002D3055" w:rsidRPr="007B5BE6">
        <w:t xml:space="preserve">in both </w:t>
      </w:r>
      <w:r w:rsidR="00E54CF0" w:rsidRPr="007B5BE6">
        <w:t>NSW</w:t>
      </w:r>
      <w:r w:rsidR="002D3055" w:rsidRPr="007B5BE6">
        <w:t xml:space="preserve"> and </w:t>
      </w:r>
      <w:r w:rsidR="00E54CF0" w:rsidRPr="007B5BE6">
        <w:t>SA</w:t>
      </w:r>
      <w:r w:rsidR="002D3055" w:rsidRPr="007B5BE6">
        <w:t xml:space="preserve">, where matters are recorded as enquiries (where the safeguarding </w:t>
      </w:r>
      <w:r w:rsidR="003B057B" w:rsidRPr="007B5BE6">
        <w:t>entity</w:t>
      </w:r>
      <w:r w:rsidR="002D3055" w:rsidRPr="007B5BE6">
        <w:t xml:space="preserve"> can provide confidential advice, information and support to the person) or reports (that result in investigation or other referrals). The </w:t>
      </w:r>
      <w:r w:rsidR="002D3055" w:rsidRPr="007B5BE6">
        <w:lastRenderedPageBreak/>
        <w:t xml:space="preserve">TLRI’s analysis of data </w:t>
      </w:r>
      <w:r w:rsidR="003B057B" w:rsidRPr="007B5BE6">
        <w:t xml:space="preserve">on approaches in </w:t>
      </w:r>
      <w:r w:rsidR="002D3055" w:rsidRPr="007B5BE6">
        <w:t>both jurisdictions</w:t>
      </w:r>
      <w:r w:rsidR="005D2475" w:rsidRPr="007B5BE6" w:rsidDel="00975B2B">
        <w:t xml:space="preserve"> </w:t>
      </w:r>
      <w:r w:rsidR="00975B2B" w:rsidRPr="007B5BE6">
        <w:t xml:space="preserve">demonstrates </w:t>
      </w:r>
      <w:r w:rsidR="00085E5D" w:rsidRPr="007B5BE6">
        <w:t>the potential</w:t>
      </w:r>
      <w:r w:rsidR="005D2475" w:rsidRPr="007B5BE6">
        <w:t xml:space="preserve"> for the</w:t>
      </w:r>
      <w:r w:rsidR="006142D6" w:rsidRPr="007B5BE6">
        <w:t xml:space="preserve"> </w:t>
      </w:r>
      <w:r w:rsidR="005D2475" w:rsidRPr="007B5BE6">
        <w:t>Commissioner</w:t>
      </w:r>
      <w:r w:rsidR="006142D6" w:rsidRPr="007B5BE6">
        <w:t xml:space="preserve"> for Older People</w:t>
      </w:r>
      <w:r w:rsidR="00D810C2" w:rsidRPr="007B5BE6">
        <w:t>’s safeguarding role</w:t>
      </w:r>
      <w:r w:rsidR="00803177" w:rsidRPr="007B5BE6">
        <w:t xml:space="preserve"> </w:t>
      </w:r>
      <w:r w:rsidR="006142D6" w:rsidRPr="007B5BE6">
        <w:t xml:space="preserve">(proposed by the TLRI) </w:t>
      </w:r>
      <w:r w:rsidR="00085E5D" w:rsidRPr="007B5BE6">
        <w:t xml:space="preserve">to </w:t>
      </w:r>
      <w:r w:rsidR="00803177" w:rsidRPr="007B5BE6">
        <w:t>operate</w:t>
      </w:r>
      <w:r w:rsidR="00085E5D" w:rsidRPr="007B5BE6">
        <w:t xml:space="preserve"> even during</w:t>
      </w:r>
      <w:r w:rsidR="005D2475" w:rsidRPr="007B5BE6">
        <w:t xml:space="preserve"> the initial </w:t>
      </w:r>
      <w:r w:rsidR="00276DFB" w:rsidRPr="007B5BE6">
        <w:t>investigative stage</w:t>
      </w:r>
      <w:r w:rsidR="00085E5D" w:rsidRPr="007B5BE6">
        <w:t xml:space="preserve">. </w:t>
      </w:r>
      <w:r w:rsidR="00B128E9" w:rsidRPr="007B5BE6">
        <w:t>Data from</w:t>
      </w:r>
      <w:r w:rsidR="0030634E" w:rsidRPr="007B5BE6">
        <w:t xml:space="preserve"> </w:t>
      </w:r>
      <w:r w:rsidR="00085E5D" w:rsidRPr="007B5BE6">
        <w:t xml:space="preserve">NSW and </w:t>
      </w:r>
      <w:r w:rsidR="006142D6" w:rsidRPr="007B5BE6">
        <w:t>SA</w:t>
      </w:r>
      <w:r w:rsidR="00B128E9" w:rsidRPr="007B5BE6">
        <w:t xml:space="preserve"> indicates that </w:t>
      </w:r>
      <w:proofErr w:type="gramStart"/>
      <w:r w:rsidR="005D2475" w:rsidRPr="007B5BE6">
        <w:rPr>
          <w:rFonts w:eastAsia="Times New Roman"/>
        </w:rPr>
        <w:t xml:space="preserve">the </w:t>
      </w:r>
      <w:r w:rsidR="00085E5D" w:rsidRPr="007B5BE6">
        <w:t>majority of</w:t>
      </w:r>
      <w:proofErr w:type="gramEnd"/>
      <w:r w:rsidR="00085E5D" w:rsidRPr="007B5BE6">
        <w:t xml:space="preserve"> matters </w:t>
      </w:r>
      <w:r w:rsidR="00682170" w:rsidRPr="007B5BE6">
        <w:t xml:space="preserve">reporting abuse concerns </w:t>
      </w:r>
      <w:r w:rsidR="00085E5D" w:rsidRPr="007B5BE6">
        <w:t>are dealt with as enquiries, with</w:t>
      </w:r>
      <w:r w:rsidR="005D2475" w:rsidRPr="007B5BE6">
        <w:rPr>
          <w:rFonts w:eastAsia="Times New Roman"/>
        </w:rPr>
        <w:t xml:space="preserve"> issues </w:t>
      </w:r>
      <w:r w:rsidR="00085E5D" w:rsidRPr="007B5BE6">
        <w:t>being</w:t>
      </w:r>
      <w:r w:rsidR="005D2475" w:rsidRPr="007B5BE6">
        <w:t xml:space="preserve"> identified </w:t>
      </w:r>
      <w:r w:rsidR="00AA24D4" w:rsidRPr="007B5BE6">
        <w:rPr>
          <w:rFonts w:eastAsia="Times New Roman"/>
        </w:rPr>
        <w:t>at that</w:t>
      </w:r>
      <w:r w:rsidR="005D2475" w:rsidRPr="007B5BE6">
        <w:rPr>
          <w:rFonts w:eastAsia="Times New Roman"/>
        </w:rPr>
        <w:t xml:space="preserve"> point where they can very often be resolved, without investigation and </w:t>
      </w:r>
      <w:r w:rsidR="00085E5D" w:rsidRPr="007B5BE6">
        <w:rPr>
          <w:rFonts w:eastAsia="Times New Roman"/>
        </w:rPr>
        <w:t xml:space="preserve">formal </w:t>
      </w:r>
      <w:r w:rsidR="005D2475" w:rsidRPr="007B5BE6">
        <w:rPr>
          <w:rFonts w:eastAsia="Times New Roman"/>
        </w:rPr>
        <w:t>safeguarding action being taken</w:t>
      </w:r>
      <w:r w:rsidR="00085E5D" w:rsidRPr="007B5BE6">
        <w:t xml:space="preserve">. In addition, </w:t>
      </w:r>
      <w:r w:rsidR="00DD7E42" w:rsidRPr="007B5BE6">
        <w:t xml:space="preserve">responses </w:t>
      </w:r>
      <w:r w:rsidR="005413E4" w:rsidRPr="007B5BE6">
        <w:t xml:space="preserve">typically </w:t>
      </w:r>
      <w:r w:rsidR="00C37C89" w:rsidRPr="007B5BE6">
        <w:t xml:space="preserve">include the provision of </w:t>
      </w:r>
      <w:r w:rsidR="005D2475" w:rsidRPr="007B5BE6">
        <w:t>education or advi</w:t>
      </w:r>
      <w:r w:rsidR="008F7A76" w:rsidRPr="007B5BE6">
        <w:t>c</w:t>
      </w:r>
      <w:r w:rsidR="005D2475" w:rsidRPr="007B5BE6">
        <w:t xml:space="preserve">e </w:t>
      </w:r>
      <w:r w:rsidR="006C58ED" w:rsidRPr="007B5BE6">
        <w:t>or assistance to</w:t>
      </w:r>
      <w:r w:rsidR="005D2475" w:rsidRPr="007B5BE6" w:rsidDel="008F7A76">
        <w:t xml:space="preserve"> </w:t>
      </w:r>
      <w:r w:rsidR="005D2475" w:rsidRPr="007B5BE6">
        <w:t>address gaps in human services support.</w:t>
      </w:r>
      <w:r w:rsidR="006C58ED" w:rsidRPr="007B5BE6">
        <w:rPr>
          <w:rStyle w:val="FootnoteReference"/>
        </w:rPr>
        <w:footnoteReference w:id="604"/>
      </w:r>
      <w:r w:rsidR="005D2475" w:rsidRPr="007B5BE6">
        <w:t xml:space="preserve"> Based on </w:t>
      </w:r>
      <w:r w:rsidR="0030634E" w:rsidRPr="007B5BE6">
        <w:t xml:space="preserve">such </w:t>
      </w:r>
      <w:r w:rsidR="005D2475" w:rsidRPr="007B5BE6">
        <w:t>data</w:t>
      </w:r>
      <w:r w:rsidR="00B128E9" w:rsidRPr="007B5BE6">
        <w:t>,</w:t>
      </w:r>
      <w:r w:rsidR="0031787F" w:rsidRPr="007B5BE6">
        <w:t xml:space="preserve"> it appears that,</w:t>
      </w:r>
      <w:r w:rsidR="00B128E9" w:rsidRPr="007B5BE6">
        <w:t xml:space="preserve"> in b</w:t>
      </w:r>
      <w:r w:rsidR="005D2475" w:rsidRPr="007B5BE6">
        <w:t xml:space="preserve">oth </w:t>
      </w:r>
      <w:r w:rsidR="005413E4" w:rsidRPr="007B5BE6">
        <w:t>NSW</w:t>
      </w:r>
      <w:r w:rsidR="0031787F" w:rsidRPr="007B5BE6">
        <w:t xml:space="preserve"> and SA</w:t>
      </w:r>
      <w:r w:rsidR="005D2475" w:rsidRPr="007B5BE6">
        <w:t xml:space="preserve">, </w:t>
      </w:r>
      <w:r w:rsidR="004F383F" w:rsidRPr="007B5BE6">
        <w:t>more</w:t>
      </w:r>
      <w:r w:rsidR="003114E9" w:rsidRPr="007B5BE6">
        <w:t xml:space="preserve"> </w:t>
      </w:r>
      <w:r w:rsidR="004F383F" w:rsidRPr="007B5BE6">
        <w:t>‘</w:t>
      </w:r>
      <w:r w:rsidR="003114E9" w:rsidRPr="007B5BE6">
        <w:t>informal</w:t>
      </w:r>
      <w:r w:rsidR="004F383F" w:rsidRPr="007B5BE6">
        <w:t xml:space="preserve">’ service-based </w:t>
      </w:r>
      <w:r w:rsidR="003114E9" w:rsidRPr="007B5BE6">
        <w:t>responses</w:t>
      </w:r>
      <w:r w:rsidR="005D2475" w:rsidRPr="007B5BE6">
        <w:t xml:space="preserve"> </w:t>
      </w:r>
      <w:r w:rsidR="0031787F" w:rsidRPr="007B5BE6">
        <w:t>are</w:t>
      </w:r>
      <w:r w:rsidR="005D2475" w:rsidRPr="007B5BE6">
        <w:t xml:space="preserve"> more common than a formal safeguarding response </w:t>
      </w:r>
      <w:r w:rsidR="005D2475" w:rsidRPr="007B5BE6" w:rsidDel="003114E9">
        <w:t xml:space="preserve">by </w:t>
      </w:r>
      <w:r w:rsidR="003114E9" w:rsidRPr="007B5BE6">
        <w:t xml:space="preserve">means of </w:t>
      </w:r>
      <w:r w:rsidR="005D2475" w:rsidRPr="007B5BE6">
        <w:t>conducting an investigation and making a report</w:t>
      </w:r>
      <w:r w:rsidR="006C58ED" w:rsidRPr="007B5BE6">
        <w:t>, with referral to legal or justice services.</w:t>
      </w:r>
      <w:r w:rsidR="006C58ED" w:rsidRPr="007B5BE6">
        <w:rPr>
          <w:rStyle w:val="FootnoteReference"/>
        </w:rPr>
        <w:footnoteReference w:id="605"/>
      </w:r>
      <w:r w:rsidR="00780D39" w:rsidRPr="007B5BE6">
        <w:t xml:space="preserve"> </w:t>
      </w:r>
      <w:r w:rsidR="00565A46" w:rsidRPr="007B5BE6">
        <w:t xml:space="preserve">Such an </w:t>
      </w:r>
      <w:r w:rsidR="00780D39" w:rsidRPr="007B5BE6">
        <w:t>a</w:t>
      </w:r>
      <w:r w:rsidR="002933D6" w:rsidRPr="007B5BE6">
        <w:t>pproach</w:t>
      </w:r>
      <w:r w:rsidR="00780D39" w:rsidRPr="007B5BE6">
        <w:t xml:space="preserve"> </w:t>
      </w:r>
      <w:r w:rsidR="003A6FA1" w:rsidRPr="007B5BE6">
        <w:t>maximises opportunities for people to seek help</w:t>
      </w:r>
      <w:r w:rsidR="00B51D94" w:rsidRPr="007B5BE6">
        <w:t>,</w:t>
      </w:r>
      <w:r w:rsidR="003A6FA1" w:rsidRPr="007B5BE6">
        <w:t xml:space="preserve"> and receive information, advice and support first</w:t>
      </w:r>
      <w:r w:rsidR="00565A46" w:rsidRPr="007B5BE6">
        <w:t>,</w:t>
      </w:r>
      <w:r w:rsidR="003A6FA1" w:rsidRPr="007B5BE6">
        <w:t xml:space="preserve"> before any </w:t>
      </w:r>
      <w:r w:rsidR="00565A46" w:rsidRPr="007B5BE6">
        <w:t xml:space="preserve">possible </w:t>
      </w:r>
      <w:r w:rsidR="003A6FA1" w:rsidRPr="007B5BE6">
        <w:t xml:space="preserve">safeguarding response is triggered. </w:t>
      </w:r>
      <w:r w:rsidR="002933D6" w:rsidRPr="007B5BE6">
        <w:t>It also</w:t>
      </w:r>
      <w:r w:rsidR="003A6FA1" w:rsidRPr="007B5BE6">
        <w:t xml:space="preserve"> allows for support and referrals to be provided, without necessarily leading to </w:t>
      </w:r>
      <w:r w:rsidR="00B51D94" w:rsidRPr="007B5BE6">
        <w:t xml:space="preserve">legal and other </w:t>
      </w:r>
      <w:r w:rsidR="003A6FA1" w:rsidRPr="007B5BE6">
        <w:t xml:space="preserve">consequences that an older person </w:t>
      </w:r>
      <w:r w:rsidR="00B51D94" w:rsidRPr="007B5BE6">
        <w:t>may</w:t>
      </w:r>
      <w:r w:rsidR="003A6FA1" w:rsidRPr="007B5BE6">
        <w:t xml:space="preserve"> not want</w:t>
      </w:r>
      <w:r w:rsidR="00D947D6" w:rsidRPr="007B5BE6">
        <w:t>.</w:t>
      </w:r>
    </w:p>
    <w:p w14:paraId="011A7413" w14:textId="7F0261B9" w:rsidR="0074435A" w:rsidRPr="007B5BE6" w:rsidRDefault="00166509" w:rsidP="00D10D99">
      <w:pPr>
        <w:pStyle w:val="NormalNumberedTextTLRI"/>
      </w:pPr>
      <w:r w:rsidRPr="007B5BE6">
        <w:t>The</w:t>
      </w:r>
      <w:r w:rsidR="00B05987" w:rsidRPr="007B5BE6">
        <w:t xml:space="preserve"> Commissioner </w:t>
      </w:r>
      <w:r w:rsidR="00CF5959" w:rsidRPr="007B5BE6">
        <w:t xml:space="preserve">for Older People </w:t>
      </w:r>
      <w:r w:rsidR="00B05987" w:rsidRPr="007B5BE6">
        <w:t xml:space="preserve">should have </w:t>
      </w:r>
      <w:r w:rsidR="00B44244" w:rsidRPr="007B5BE6">
        <w:t>numerous</w:t>
      </w:r>
      <w:r w:rsidR="00B05987" w:rsidRPr="007B5BE6">
        <w:t xml:space="preserve"> options </w:t>
      </w:r>
      <w:r w:rsidR="00CF5959" w:rsidRPr="007B5BE6">
        <w:t>when</w:t>
      </w:r>
      <w:r w:rsidR="00550FFB" w:rsidRPr="007B5BE6">
        <w:t xml:space="preserve"> dealing with a report including</w:t>
      </w:r>
      <w:r w:rsidR="001123B4" w:rsidRPr="007B5BE6">
        <w:t xml:space="preserve"> that the Commissioner may</w:t>
      </w:r>
      <w:r w:rsidR="00B05987" w:rsidRPr="007B5BE6">
        <w:t xml:space="preserve">: </w:t>
      </w:r>
    </w:p>
    <w:p w14:paraId="60BD2F00" w14:textId="4B38EB49" w:rsidR="0090609F" w:rsidRPr="007B5BE6" w:rsidRDefault="00B05987" w:rsidP="0090609F">
      <w:pPr>
        <w:pStyle w:val="ListParagraph"/>
        <w:numPr>
          <w:ilvl w:val="0"/>
          <w:numId w:val="32"/>
        </w:numPr>
      </w:pPr>
      <w:proofErr w:type="gramStart"/>
      <w:r w:rsidRPr="007B5BE6">
        <w:t>conduct an investigation</w:t>
      </w:r>
      <w:proofErr w:type="gramEnd"/>
      <w:r w:rsidR="005846AB" w:rsidRPr="007B5BE6">
        <w:t>;</w:t>
      </w:r>
    </w:p>
    <w:p w14:paraId="7CEEB417" w14:textId="77777777" w:rsidR="0090609F" w:rsidRPr="007B5BE6" w:rsidRDefault="0090609F" w:rsidP="002E5968">
      <w:pPr>
        <w:pStyle w:val="ListParagraph"/>
        <w:ind w:left="1080"/>
      </w:pPr>
    </w:p>
    <w:p w14:paraId="796FA8AF" w14:textId="6199F25E" w:rsidR="0090609F" w:rsidRPr="007B5BE6" w:rsidRDefault="00B05987" w:rsidP="0090609F">
      <w:pPr>
        <w:pStyle w:val="ListParagraph"/>
        <w:numPr>
          <w:ilvl w:val="0"/>
          <w:numId w:val="32"/>
        </w:numPr>
      </w:pPr>
      <w:r w:rsidRPr="007B5BE6">
        <w:t>mak</w:t>
      </w:r>
      <w:r w:rsidR="001123B4" w:rsidRPr="007B5BE6">
        <w:t>e</w:t>
      </w:r>
      <w:r w:rsidRPr="007B5BE6">
        <w:t xml:space="preserve"> a referral to another person or body; or </w:t>
      </w:r>
    </w:p>
    <w:p w14:paraId="37180330" w14:textId="77777777" w:rsidR="0090609F" w:rsidRPr="007B5BE6" w:rsidRDefault="0090609F" w:rsidP="002E5968">
      <w:pPr>
        <w:pStyle w:val="ListParagraph"/>
        <w:ind w:left="1080"/>
      </w:pPr>
    </w:p>
    <w:p w14:paraId="01BAED83" w14:textId="77777777" w:rsidR="0063235E" w:rsidRPr="007B5BE6" w:rsidRDefault="00B05987" w:rsidP="0090609F">
      <w:pPr>
        <w:pStyle w:val="ListParagraph"/>
      </w:pPr>
      <w:r w:rsidRPr="007B5BE6">
        <w:t xml:space="preserve">(c) </w:t>
      </w:r>
      <w:r w:rsidR="00550FFB" w:rsidRPr="007B5BE6">
        <w:t>declin</w:t>
      </w:r>
      <w:r w:rsidR="001123B4" w:rsidRPr="007B5BE6">
        <w:t>e</w:t>
      </w:r>
      <w:r w:rsidRPr="007B5BE6">
        <w:t xml:space="preserve"> to </w:t>
      </w:r>
      <w:proofErr w:type="gramStart"/>
      <w:r w:rsidR="00550FFB" w:rsidRPr="007B5BE6">
        <w:t>take</w:t>
      </w:r>
      <w:r w:rsidRPr="007B5BE6">
        <w:t xml:space="preserve"> action</w:t>
      </w:r>
      <w:proofErr w:type="gramEnd"/>
      <w:r w:rsidRPr="007B5BE6">
        <w:t xml:space="preserve"> on a report. </w:t>
      </w:r>
    </w:p>
    <w:p w14:paraId="6AFD4BE3" w14:textId="66B4763C" w:rsidR="00D10D99" w:rsidRPr="007B5BE6" w:rsidRDefault="00B05987" w:rsidP="0074435A">
      <w:pPr>
        <w:pStyle w:val="NormalNumberedTextTLRI"/>
        <w:numPr>
          <w:ilvl w:val="0"/>
          <w:numId w:val="0"/>
        </w:numPr>
      </w:pPr>
      <w:r w:rsidRPr="007B5BE6">
        <w:t xml:space="preserve">This is aligned with the </w:t>
      </w:r>
      <w:r w:rsidR="00623888" w:rsidRPr="007B5BE6">
        <w:t xml:space="preserve">powers set out in </w:t>
      </w:r>
      <w:r w:rsidR="00295DBA" w:rsidRPr="007B5BE6">
        <w:t>s</w:t>
      </w:r>
      <w:r w:rsidR="00CF5959" w:rsidRPr="007B5BE6">
        <w:t>ection</w:t>
      </w:r>
      <w:r w:rsidR="00295DBA" w:rsidRPr="007B5BE6">
        <w:t xml:space="preserve"> 37(1)</w:t>
      </w:r>
      <w:r w:rsidR="008F6F1B" w:rsidRPr="007B5BE6">
        <w:t xml:space="preserve"> </w:t>
      </w:r>
      <w:r w:rsidR="00C76318" w:rsidRPr="007B5BE6">
        <w:t xml:space="preserve">of </w:t>
      </w:r>
      <w:r w:rsidR="00623888" w:rsidRPr="007B5BE6">
        <w:t xml:space="preserve">the </w:t>
      </w:r>
      <w:r w:rsidR="00623888" w:rsidRPr="007B5BE6">
        <w:rPr>
          <w:i/>
          <w:iCs/>
        </w:rPr>
        <w:t xml:space="preserve">Disability Rights, </w:t>
      </w:r>
      <w:r w:rsidR="00550FFB" w:rsidRPr="007B5BE6">
        <w:rPr>
          <w:i/>
          <w:iCs/>
        </w:rPr>
        <w:t>Inclusion</w:t>
      </w:r>
      <w:r w:rsidR="00623888" w:rsidRPr="007B5BE6">
        <w:rPr>
          <w:i/>
          <w:iCs/>
        </w:rPr>
        <w:t xml:space="preserve"> and </w:t>
      </w:r>
      <w:r w:rsidR="00550FFB" w:rsidRPr="007B5BE6">
        <w:rPr>
          <w:i/>
          <w:iCs/>
        </w:rPr>
        <w:t>Safeguarding</w:t>
      </w:r>
      <w:r w:rsidR="00623888" w:rsidRPr="007B5BE6">
        <w:rPr>
          <w:i/>
          <w:iCs/>
        </w:rPr>
        <w:t xml:space="preserve"> Act 2024</w:t>
      </w:r>
      <w:r w:rsidR="00623888" w:rsidRPr="007B5BE6">
        <w:t xml:space="preserve"> (Tas). The Commission</w:t>
      </w:r>
      <w:r w:rsidR="00795F02" w:rsidRPr="007B5BE6">
        <w:t>er</w:t>
      </w:r>
      <w:r w:rsidR="00623888" w:rsidRPr="007B5BE6">
        <w:t xml:space="preserve"> </w:t>
      </w:r>
      <w:r w:rsidR="00CF5959" w:rsidRPr="007B5BE6">
        <w:t xml:space="preserve">for Older People </w:t>
      </w:r>
      <w:r w:rsidR="00623888" w:rsidRPr="007B5BE6">
        <w:t xml:space="preserve">should be able to </w:t>
      </w:r>
      <w:r w:rsidR="00166509" w:rsidRPr="007B5BE6">
        <w:t>decline</w:t>
      </w:r>
      <w:r w:rsidR="00623888" w:rsidRPr="007B5BE6">
        <w:t xml:space="preserve"> to </w:t>
      </w:r>
      <w:proofErr w:type="gramStart"/>
      <w:r w:rsidR="00623888" w:rsidRPr="007B5BE6">
        <w:t>take action</w:t>
      </w:r>
      <w:proofErr w:type="gramEnd"/>
      <w:r w:rsidR="00623888" w:rsidRPr="007B5BE6">
        <w:t xml:space="preserve"> on a report in limited </w:t>
      </w:r>
      <w:r w:rsidR="00166509" w:rsidRPr="007B5BE6">
        <w:t xml:space="preserve">legislative circumstances that mirror </w:t>
      </w:r>
      <w:r w:rsidR="00351F2B" w:rsidRPr="007B5BE6">
        <w:t xml:space="preserve">section 37(2) of the </w:t>
      </w:r>
      <w:r w:rsidR="00166509" w:rsidRPr="007B5BE6">
        <w:rPr>
          <w:i/>
          <w:iCs/>
        </w:rPr>
        <w:t xml:space="preserve">Disability Rights, </w:t>
      </w:r>
      <w:r w:rsidR="00550FFB" w:rsidRPr="007B5BE6">
        <w:rPr>
          <w:i/>
          <w:iCs/>
        </w:rPr>
        <w:t>Inclusion</w:t>
      </w:r>
      <w:r w:rsidR="00166509" w:rsidRPr="007B5BE6">
        <w:rPr>
          <w:i/>
          <w:iCs/>
        </w:rPr>
        <w:t xml:space="preserve"> and </w:t>
      </w:r>
      <w:r w:rsidR="00550FFB" w:rsidRPr="007B5BE6">
        <w:rPr>
          <w:i/>
          <w:iCs/>
        </w:rPr>
        <w:t>Safeguarding</w:t>
      </w:r>
      <w:r w:rsidR="00166509" w:rsidRPr="007B5BE6">
        <w:rPr>
          <w:i/>
          <w:iCs/>
        </w:rPr>
        <w:t xml:space="preserve"> Act 2024</w:t>
      </w:r>
      <w:r w:rsidR="00166509" w:rsidRPr="007B5BE6">
        <w:t xml:space="preserve"> (Tas)</w:t>
      </w:r>
      <w:r w:rsidR="00351F2B" w:rsidRPr="007B5BE6">
        <w:t>. This would provide that</w:t>
      </w:r>
      <w:r w:rsidR="00550FFB" w:rsidRPr="007B5BE6">
        <w:t xml:space="preserve"> the </w:t>
      </w:r>
      <w:r w:rsidR="00B23E9C" w:rsidRPr="007B5BE6">
        <w:t>Commissioner</w:t>
      </w:r>
      <w:r w:rsidR="00550FFB" w:rsidRPr="007B5BE6">
        <w:t xml:space="preserve"> </w:t>
      </w:r>
      <w:r w:rsidR="00351F2B" w:rsidRPr="007B5BE6">
        <w:t>for Older People m</w:t>
      </w:r>
      <w:r w:rsidR="00550FFB" w:rsidRPr="007B5BE6">
        <w:t>ay d</w:t>
      </w:r>
      <w:r w:rsidR="00B23E9C" w:rsidRPr="007B5BE6">
        <w:t>ecline</w:t>
      </w:r>
      <w:r w:rsidR="00550FFB" w:rsidRPr="007B5BE6">
        <w:t xml:space="preserve"> to </w:t>
      </w:r>
      <w:proofErr w:type="gramStart"/>
      <w:r w:rsidR="00550FFB" w:rsidRPr="007B5BE6">
        <w:t>take action</w:t>
      </w:r>
      <w:proofErr w:type="gramEnd"/>
      <w:r w:rsidR="00550FFB" w:rsidRPr="007B5BE6">
        <w:t xml:space="preserve"> if</w:t>
      </w:r>
      <w:r w:rsidR="00B23E9C" w:rsidRPr="007B5BE6">
        <w:t>:</w:t>
      </w:r>
    </w:p>
    <w:p w14:paraId="1B37FE29" w14:textId="4FC2E14F" w:rsidR="005846AB" w:rsidRPr="007B5BE6" w:rsidRDefault="00550FFB" w:rsidP="005A71B7">
      <w:pPr>
        <w:pStyle w:val="ListParagraph"/>
        <w:numPr>
          <w:ilvl w:val="0"/>
          <w:numId w:val="24"/>
        </w:numPr>
      </w:pPr>
      <w:r w:rsidRPr="007B5BE6">
        <w:t xml:space="preserve">the </w:t>
      </w:r>
      <w:r w:rsidR="00D10D99" w:rsidRPr="007B5BE6">
        <w:t>Commissioner</w:t>
      </w:r>
      <w:r w:rsidRPr="007B5BE6">
        <w:t xml:space="preserve"> considers that the </w:t>
      </w:r>
      <w:r w:rsidR="00D10D99" w:rsidRPr="007B5BE6">
        <w:t>report</w:t>
      </w:r>
      <w:r w:rsidRPr="007B5BE6">
        <w:t xml:space="preserve"> is </w:t>
      </w:r>
      <w:r w:rsidR="00D10D99" w:rsidRPr="007B5BE6">
        <w:t>frivolous</w:t>
      </w:r>
      <w:r w:rsidRPr="007B5BE6">
        <w:t xml:space="preserve">, </w:t>
      </w:r>
      <w:r w:rsidR="00D10D99" w:rsidRPr="007B5BE6">
        <w:t>vexatious</w:t>
      </w:r>
      <w:r w:rsidRPr="007B5BE6">
        <w:t>, misconceived or lacking in s</w:t>
      </w:r>
      <w:r w:rsidR="00D10D99" w:rsidRPr="007B5BE6">
        <w:t>ubsta</w:t>
      </w:r>
      <w:r w:rsidRPr="007B5BE6">
        <w:t>n</w:t>
      </w:r>
      <w:r w:rsidR="00D10D99" w:rsidRPr="007B5BE6">
        <w:t>ce</w:t>
      </w:r>
      <w:r w:rsidR="00795F02" w:rsidRPr="007B5BE6">
        <w:t>;</w:t>
      </w:r>
      <w:r w:rsidRPr="007B5BE6">
        <w:t xml:space="preserve"> </w:t>
      </w:r>
    </w:p>
    <w:p w14:paraId="156A1B8C" w14:textId="77777777" w:rsidR="0090609F" w:rsidRPr="007B5BE6" w:rsidRDefault="0090609F" w:rsidP="002E5968">
      <w:pPr>
        <w:pStyle w:val="ListParagraph"/>
        <w:ind w:left="1080"/>
      </w:pPr>
    </w:p>
    <w:p w14:paraId="0AB6E110" w14:textId="09C920A4" w:rsidR="0090609F" w:rsidRPr="007B5BE6" w:rsidRDefault="00B515FE" w:rsidP="002E5968">
      <w:pPr>
        <w:pStyle w:val="ListParagraph"/>
        <w:numPr>
          <w:ilvl w:val="0"/>
          <w:numId w:val="24"/>
        </w:numPr>
      </w:pPr>
      <w:r w:rsidRPr="007B5BE6">
        <w:t xml:space="preserve">it relates to </w:t>
      </w:r>
      <w:r w:rsidR="00202595" w:rsidRPr="007B5BE6">
        <w:t>a matter that has already been determ</w:t>
      </w:r>
      <w:r w:rsidR="00D10D99" w:rsidRPr="007B5BE6">
        <w:t>in</w:t>
      </w:r>
      <w:r w:rsidR="00202595" w:rsidRPr="007B5BE6">
        <w:t xml:space="preserve">ed by a </w:t>
      </w:r>
      <w:r w:rsidR="00D10D99" w:rsidRPr="007B5BE6">
        <w:t>court</w:t>
      </w:r>
      <w:r w:rsidR="00202595" w:rsidRPr="007B5BE6">
        <w:t xml:space="preserve">, </w:t>
      </w:r>
      <w:r w:rsidR="00D10D99" w:rsidRPr="007B5BE6">
        <w:t>board</w:t>
      </w:r>
      <w:r w:rsidR="00202595" w:rsidRPr="007B5BE6">
        <w:t xml:space="preserve"> or tribunal and </w:t>
      </w:r>
      <w:r w:rsidRPr="007B5BE6">
        <w:t>does</w:t>
      </w:r>
      <w:r w:rsidR="00202595" w:rsidRPr="007B5BE6">
        <w:t xml:space="preserve"> </w:t>
      </w:r>
      <w:r w:rsidRPr="007B5BE6">
        <w:t xml:space="preserve">not raise </w:t>
      </w:r>
      <w:r w:rsidR="00202595" w:rsidRPr="007B5BE6">
        <w:t xml:space="preserve">any matter or issue that was not </w:t>
      </w:r>
      <w:r w:rsidRPr="007B5BE6">
        <w:t>already</w:t>
      </w:r>
      <w:r w:rsidR="00202595" w:rsidRPr="007B5BE6">
        <w:t xml:space="preserve"> </w:t>
      </w:r>
      <w:r w:rsidRPr="007B5BE6">
        <w:t>considered</w:t>
      </w:r>
      <w:r w:rsidR="00795F02" w:rsidRPr="007B5BE6">
        <w:t>;</w:t>
      </w:r>
      <w:r w:rsidR="00202595" w:rsidRPr="007B5BE6">
        <w:t xml:space="preserve"> </w:t>
      </w:r>
    </w:p>
    <w:p w14:paraId="2C45D63E" w14:textId="77777777" w:rsidR="002E5968" w:rsidRPr="007B5BE6" w:rsidRDefault="002E5968" w:rsidP="002E5968">
      <w:pPr>
        <w:pStyle w:val="ListParagraph"/>
      </w:pPr>
    </w:p>
    <w:p w14:paraId="566EA6FB" w14:textId="1ED1FAD0" w:rsidR="005846AB" w:rsidRPr="007B5BE6" w:rsidRDefault="00B515FE" w:rsidP="005A71B7">
      <w:pPr>
        <w:pStyle w:val="ListParagraph"/>
        <w:numPr>
          <w:ilvl w:val="0"/>
          <w:numId w:val="24"/>
        </w:numPr>
      </w:pPr>
      <w:r w:rsidRPr="007B5BE6">
        <w:t>it relates to a</w:t>
      </w:r>
      <w:r w:rsidR="00202595" w:rsidRPr="007B5BE6">
        <w:t xml:space="preserve"> matter that is being considered by a </w:t>
      </w:r>
      <w:r w:rsidR="00B23E9C" w:rsidRPr="007B5BE6">
        <w:t xml:space="preserve">court, </w:t>
      </w:r>
      <w:r w:rsidRPr="007B5BE6">
        <w:t>board</w:t>
      </w:r>
      <w:r w:rsidR="00B23E9C" w:rsidRPr="007B5BE6">
        <w:t xml:space="preserve"> or tribunal</w:t>
      </w:r>
      <w:r w:rsidR="00795F02" w:rsidRPr="007B5BE6">
        <w:t>;</w:t>
      </w:r>
      <w:r w:rsidR="00B23E9C" w:rsidRPr="007B5BE6">
        <w:t xml:space="preserve"> </w:t>
      </w:r>
    </w:p>
    <w:p w14:paraId="251260CE" w14:textId="77777777" w:rsidR="002E5968" w:rsidRPr="007B5BE6" w:rsidRDefault="002E5968" w:rsidP="002E5968">
      <w:pPr>
        <w:pStyle w:val="ListParagraph"/>
      </w:pPr>
    </w:p>
    <w:p w14:paraId="6C4D401E" w14:textId="2E7EB289" w:rsidR="005846AB" w:rsidRPr="007B5BE6" w:rsidRDefault="00B23E9C" w:rsidP="005A71B7">
      <w:pPr>
        <w:pStyle w:val="ListParagraph"/>
        <w:numPr>
          <w:ilvl w:val="0"/>
          <w:numId w:val="24"/>
        </w:numPr>
      </w:pPr>
      <w:r w:rsidRPr="007B5BE6">
        <w:t xml:space="preserve">the report relates to an incident that </w:t>
      </w:r>
      <w:r w:rsidR="00B515FE" w:rsidRPr="007B5BE6">
        <w:t>occurred</w:t>
      </w:r>
      <w:r w:rsidRPr="007B5BE6">
        <w:t xml:space="preserve"> more than 12 </w:t>
      </w:r>
      <w:r w:rsidR="00B515FE" w:rsidRPr="007B5BE6">
        <w:t>months</w:t>
      </w:r>
      <w:r w:rsidRPr="007B5BE6">
        <w:t xml:space="preserve"> before the report wa</w:t>
      </w:r>
      <w:r w:rsidR="00B515FE" w:rsidRPr="007B5BE6">
        <w:t>s</w:t>
      </w:r>
      <w:r w:rsidRPr="007B5BE6">
        <w:t xml:space="preserve"> made and the </w:t>
      </w:r>
      <w:r w:rsidR="00B515FE" w:rsidRPr="007B5BE6">
        <w:t>Commissioner</w:t>
      </w:r>
      <w:r w:rsidRPr="007B5BE6">
        <w:t xml:space="preserve"> </w:t>
      </w:r>
      <w:r w:rsidR="00B515FE" w:rsidRPr="007B5BE6">
        <w:t>considers</w:t>
      </w:r>
      <w:r w:rsidRPr="007B5BE6">
        <w:t xml:space="preserve"> that person has not shown a good r</w:t>
      </w:r>
      <w:r w:rsidR="00B515FE" w:rsidRPr="007B5BE6">
        <w:t>eason</w:t>
      </w:r>
      <w:r w:rsidRPr="007B5BE6">
        <w:t xml:space="preserve"> for the delay</w:t>
      </w:r>
      <w:r w:rsidR="007A02CC" w:rsidRPr="007B5BE6">
        <w:t>;</w:t>
      </w:r>
    </w:p>
    <w:p w14:paraId="34341533" w14:textId="77777777" w:rsidR="002E5968" w:rsidRPr="007B5BE6" w:rsidRDefault="002E5968" w:rsidP="002E5968">
      <w:pPr>
        <w:pStyle w:val="ListParagraph"/>
      </w:pPr>
    </w:p>
    <w:p w14:paraId="23C81076" w14:textId="49511958" w:rsidR="005846AB" w:rsidRPr="007B5BE6" w:rsidRDefault="00B23E9C" w:rsidP="005A71B7">
      <w:pPr>
        <w:pStyle w:val="ListParagraph"/>
        <w:numPr>
          <w:ilvl w:val="0"/>
          <w:numId w:val="24"/>
        </w:numPr>
      </w:pPr>
      <w:r w:rsidRPr="007B5BE6">
        <w:t xml:space="preserve">the </w:t>
      </w:r>
      <w:r w:rsidR="00B515FE" w:rsidRPr="007B5BE6">
        <w:t>Commissioner</w:t>
      </w:r>
      <w:r w:rsidRPr="007B5BE6">
        <w:t xml:space="preserve"> does not have jurisdiction</w:t>
      </w:r>
      <w:r w:rsidR="00795F02" w:rsidRPr="007B5BE6">
        <w:t>; and</w:t>
      </w:r>
    </w:p>
    <w:p w14:paraId="1A207CA8" w14:textId="77777777" w:rsidR="002E5968" w:rsidRPr="007B5BE6" w:rsidRDefault="002E5968" w:rsidP="002E5968">
      <w:pPr>
        <w:pStyle w:val="ListParagraph"/>
      </w:pPr>
    </w:p>
    <w:p w14:paraId="039EFB1F" w14:textId="44E913D5" w:rsidR="00991D44" w:rsidRPr="007B5BE6" w:rsidRDefault="00B23E9C" w:rsidP="005A71B7">
      <w:pPr>
        <w:pStyle w:val="ListParagraph"/>
        <w:numPr>
          <w:ilvl w:val="0"/>
          <w:numId w:val="24"/>
        </w:numPr>
      </w:pPr>
      <w:r w:rsidRPr="007B5BE6">
        <w:t xml:space="preserve">the </w:t>
      </w:r>
      <w:r w:rsidR="00B515FE" w:rsidRPr="007B5BE6">
        <w:t>Commissioner considers</w:t>
      </w:r>
      <w:r w:rsidRPr="007B5BE6">
        <w:t xml:space="preserve"> that </w:t>
      </w:r>
      <w:r w:rsidR="00B515FE" w:rsidRPr="007B5BE6">
        <w:t xml:space="preserve">the report </w:t>
      </w:r>
      <w:r w:rsidRPr="007B5BE6">
        <w:t xml:space="preserve">raises issues which require </w:t>
      </w:r>
      <w:r w:rsidR="00B515FE" w:rsidRPr="007B5BE6">
        <w:t>investigation</w:t>
      </w:r>
      <w:r w:rsidRPr="007B5BE6">
        <w:t xml:space="preserve"> by </w:t>
      </w:r>
      <w:r w:rsidR="00B515FE" w:rsidRPr="007B5BE6">
        <w:t>another</w:t>
      </w:r>
      <w:r w:rsidRPr="007B5BE6">
        <w:t xml:space="preserve"> person, court, </w:t>
      </w:r>
      <w:r w:rsidR="00B515FE" w:rsidRPr="007B5BE6">
        <w:t>board</w:t>
      </w:r>
      <w:r w:rsidRPr="007B5BE6">
        <w:t xml:space="preserve"> or </w:t>
      </w:r>
      <w:r w:rsidR="00B515FE" w:rsidRPr="007B5BE6">
        <w:t>tribunal</w:t>
      </w:r>
      <w:r w:rsidRPr="007B5BE6">
        <w:t>.</w:t>
      </w:r>
    </w:p>
    <w:p w14:paraId="1065F443" w14:textId="5DE634DF" w:rsidR="00C22C43" w:rsidRPr="007B5BE6" w:rsidRDefault="0040555D" w:rsidP="00FF65FD">
      <w:pPr>
        <w:pStyle w:val="NormalNumberedTextTLRI"/>
      </w:pPr>
      <w:r w:rsidRPr="007B5BE6">
        <w:t xml:space="preserve">In recommending that </w:t>
      </w:r>
      <w:r w:rsidR="0021088E" w:rsidRPr="007B5BE6">
        <w:t>these</w:t>
      </w:r>
      <w:r w:rsidRPr="007B5BE6">
        <w:t xml:space="preserve"> powers be provided to the </w:t>
      </w:r>
      <w:r w:rsidR="0021088E" w:rsidRPr="007B5BE6">
        <w:t>Commissioner</w:t>
      </w:r>
      <w:r w:rsidRPr="007B5BE6">
        <w:t xml:space="preserve"> for Older </w:t>
      </w:r>
      <w:r w:rsidR="00444B33" w:rsidRPr="007B5BE6">
        <w:t>People</w:t>
      </w:r>
      <w:r w:rsidRPr="007B5BE6">
        <w:t>, the TLRI’s intention is that the Commissioner w</w:t>
      </w:r>
      <w:r w:rsidR="007A02CC" w:rsidRPr="007B5BE6">
        <w:t>ould</w:t>
      </w:r>
      <w:r w:rsidRPr="007B5BE6">
        <w:t xml:space="preserve"> </w:t>
      </w:r>
      <w:r w:rsidR="00BE3726" w:rsidRPr="007B5BE6">
        <w:t>operate as</w:t>
      </w:r>
      <w:r w:rsidRPr="007B5BE6">
        <w:t xml:space="preserve"> a centralised </w:t>
      </w:r>
      <w:r w:rsidR="008777AB" w:rsidRPr="007B5BE6">
        <w:t xml:space="preserve">point </w:t>
      </w:r>
      <w:r w:rsidR="00D81CFA" w:rsidRPr="007B5BE6">
        <w:t xml:space="preserve">for </w:t>
      </w:r>
      <w:r w:rsidR="008777AB" w:rsidRPr="007B5BE6">
        <w:t xml:space="preserve">receiving </w:t>
      </w:r>
      <w:r w:rsidR="00D81CFA" w:rsidRPr="007B5BE6">
        <w:t>and responding to reports of the abuse of older people</w:t>
      </w:r>
      <w:r w:rsidR="00561B9C" w:rsidRPr="007B5BE6">
        <w:t>. This will</w:t>
      </w:r>
      <w:r w:rsidR="00D81CFA" w:rsidRPr="007B5BE6">
        <w:t xml:space="preserve"> </w:t>
      </w:r>
      <w:r w:rsidR="00EF1668" w:rsidRPr="007B5BE6">
        <w:t>facilitate</w:t>
      </w:r>
      <w:r w:rsidR="00D059B0" w:rsidRPr="007B5BE6">
        <w:t xml:space="preserve"> </w:t>
      </w:r>
      <w:r w:rsidR="00EF1668" w:rsidRPr="007B5BE6">
        <w:t>coordination</w:t>
      </w:r>
      <w:r w:rsidR="0021088E" w:rsidRPr="007B5BE6">
        <w:t xml:space="preserve"> </w:t>
      </w:r>
      <w:r w:rsidR="00AB25A1" w:rsidRPr="007B5BE6">
        <w:t>through</w:t>
      </w:r>
      <w:r w:rsidR="0021088E" w:rsidRPr="007B5BE6">
        <w:t xml:space="preserve"> </w:t>
      </w:r>
      <w:r w:rsidR="00EF1668" w:rsidRPr="007B5BE6">
        <w:t xml:space="preserve">current </w:t>
      </w:r>
      <w:r w:rsidR="00EF1668" w:rsidRPr="007B5BE6">
        <w:lastRenderedPageBreak/>
        <w:t>referral pathways</w:t>
      </w:r>
      <w:r w:rsidR="00303DD5" w:rsidRPr="007B5BE6">
        <w:t xml:space="preserve">, including </w:t>
      </w:r>
      <w:r w:rsidR="00153D02" w:rsidRPr="007B5BE6">
        <w:t xml:space="preserve">voluntary </w:t>
      </w:r>
      <w:r w:rsidR="00873391" w:rsidRPr="007B5BE6">
        <w:t xml:space="preserve">referrals </w:t>
      </w:r>
      <w:r w:rsidR="007A0529" w:rsidRPr="007B5BE6">
        <w:t xml:space="preserve">from the Helpline to services such as Senior Assist </w:t>
      </w:r>
      <w:r w:rsidR="00381086" w:rsidRPr="007B5BE6">
        <w:t>(Tasmania Legal Aid</w:t>
      </w:r>
      <w:r w:rsidR="00DE4ABA" w:rsidRPr="007B5BE6">
        <w:t xml:space="preserve">), </w:t>
      </w:r>
      <w:r w:rsidR="00381086" w:rsidRPr="007B5BE6">
        <w:t xml:space="preserve">the Elder </w:t>
      </w:r>
      <w:r w:rsidR="007A0529" w:rsidRPr="007B5BE6">
        <w:t xml:space="preserve">Relationship </w:t>
      </w:r>
      <w:r w:rsidR="00381086" w:rsidRPr="007B5BE6">
        <w:t>Service (Relationships Australia Tasmania)</w:t>
      </w:r>
      <w:r w:rsidR="00DE4ABA" w:rsidRPr="007B5BE6">
        <w:t xml:space="preserve"> and </w:t>
      </w:r>
      <w:r w:rsidR="00BF0596" w:rsidRPr="007B5BE6">
        <w:t>Advocacy Tasmania</w:t>
      </w:r>
      <w:r w:rsidR="00561B9C" w:rsidRPr="007B5BE6">
        <w:t xml:space="preserve">, as well as referrals to Tasmania Police </w:t>
      </w:r>
      <w:r w:rsidR="003E04CB" w:rsidRPr="007B5BE6">
        <w:t xml:space="preserve">and/or </w:t>
      </w:r>
      <w:r w:rsidR="00695620" w:rsidRPr="007B5BE6">
        <w:t>existing oversight or complaint bodies</w:t>
      </w:r>
      <w:r w:rsidR="0068015B" w:rsidRPr="007B5BE6">
        <w:t>.</w:t>
      </w:r>
      <w:r w:rsidR="0068015B" w:rsidRPr="007B5BE6">
        <w:rPr>
          <w:rStyle w:val="FootnoteReference"/>
        </w:rPr>
        <w:footnoteReference w:id="606"/>
      </w:r>
      <w:r w:rsidR="0068015B" w:rsidRPr="007B5BE6">
        <w:t xml:space="preserve"> </w:t>
      </w:r>
      <w:r w:rsidR="00FD3335" w:rsidRPr="007B5BE6">
        <w:t>Further, a</w:t>
      </w:r>
      <w:r w:rsidR="00905733" w:rsidRPr="007B5BE6">
        <w:t xml:space="preserve">s discussed at </w:t>
      </w:r>
      <w:r w:rsidR="00260973" w:rsidRPr="007B5BE6">
        <w:t xml:space="preserve">[4.5.11]–[4.5.12] and </w:t>
      </w:r>
      <w:r w:rsidR="00BC0A9E" w:rsidRPr="007B5BE6">
        <w:t>[4.5.19]</w:t>
      </w:r>
      <w:r w:rsidR="00905733" w:rsidRPr="007B5BE6">
        <w:t xml:space="preserve">, </w:t>
      </w:r>
      <w:r w:rsidR="00FD3335" w:rsidRPr="007B5BE6">
        <w:t xml:space="preserve">consultation with </w:t>
      </w:r>
      <w:r w:rsidR="00BE3726" w:rsidRPr="007B5BE6">
        <w:t xml:space="preserve">these and other </w:t>
      </w:r>
      <w:r w:rsidR="00FD3335" w:rsidRPr="007B5BE6">
        <w:t xml:space="preserve">relevant services and agencies </w:t>
      </w:r>
      <w:r w:rsidR="00BE3726" w:rsidRPr="007B5BE6">
        <w:t>will be</w:t>
      </w:r>
      <w:r w:rsidR="00FD3335" w:rsidRPr="007B5BE6">
        <w:t xml:space="preserve"> a necessary part of</w:t>
      </w:r>
      <w:r w:rsidR="00905733" w:rsidRPr="007B5BE6">
        <w:t xml:space="preserve"> t</w:t>
      </w:r>
      <w:r w:rsidR="0068015B" w:rsidRPr="007B5BE6">
        <w:t xml:space="preserve">he </w:t>
      </w:r>
      <w:r w:rsidR="00905733" w:rsidRPr="007B5BE6">
        <w:t xml:space="preserve">development </w:t>
      </w:r>
      <w:r w:rsidR="003F4D26" w:rsidRPr="007B5BE6">
        <w:t xml:space="preserve">and </w:t>
      </w:r>
      <w:r w:rsidR="0068015B" w:rsidRPr="007B5BE6">
        <w:t>implementation o</w:t>
      </w:r>
      <w:r w:rsidR="006A4C60" w:rsidRPr="007B5BE6">
        <w:t xml:space="preserve">f </w:t>
      </w:r>
      <w:r w:rsidR="00905733" w:rsidRPr="007B5BE6">
        <w:t xml:space="preserve">the role of the Commissioner for Older </w:t>
      </w:r>
      <w:r w:rsidR="00D47742" w:rsidRPr="007B5BE6">
        <w:t>People</w:t>
      </w:r>
      <w:r w:rsidR="00555A7E" w:rsidRPr="007B5BE6">
        <w:t>,</w:t>
      </w:r>
      <w:r w:rsidR="00D47742" w:rsidRPr="007B5BE6">
        <w:t xml:space="preserve"> </w:t>
      </w:r>
      <w:r w:rsidR="00BE3726" w:rsidRPr="007B5BE6">
        <w:t>to ensure</w:t>
      </w:r>
      <w:r w:rsidR="00FD3335" w:rsidRPr="007B5BE6">
        <w:t xml:space="preserve"> that the </w:t>
      </w:r>
      <w:r w:rsidR="00406F98" w:rsidRPr="007B5BE6">
        <w:t>Commissioner’s</w:t>
      </w:r>
      <w:r w:rsidR="00FD3335" w:rsidRPr="007B5BE6">
        <w:t xml:space="preserve"> functions</w:t>
      </w:r>
      <w:r w:rsidR="00FD436E" w:rsidRPr="007B5BE6">
        <w:t xml:space="preserve"> </w:t>
      </w:r>
      <w:r w:rsidR="00BE3726" w:rsidRPr="007B5BE6">
        <w:t xml:space="preserve">complement and support </w:t>
      </w:r>
      <w:r w:rsidR="00555A7E" w:rsidRPr="007B5BE6">
        <w:t xml:space="preserve">the </w:t>
      </w:r>
      <w:r w:rsidR="00D47742" w:rsidRPr="007B5BE6">
        <w:t>existing</w:t>
      </w:r>
      <w:r w:rsidR="00AD60E9" w:rsidRPr="007B5BE6">
        <w:t xml:space="preserve"> </w:t>
      </w:r>
      <w:r w:rsidR="00FD436E" w:rsidRPr="007B5BE6">
        <w:t>service</w:t>
      </w:r>
      <w:r w:rsidR="00D47742" w:rsidRPr="007B5BE6">
        <w:t xml:space="preserve"> and </w:t>
      </w:r>
      <w:r w:rsidR="00AD60E9" w:rsidRPr="007B5BE6">
        <w:t>legal framework</w:t>
      </w:r>
      <w:r w:rsidR="008B2FC9" w:rsidRPr="007B5BE6">
        <w:t>.</w:t>
      </w:r>
    </w:p>
    <w:p w14:paraId="572F04D2" w14:textId="7A665730" w:rsidR="008E703E" w:rsidRPr="007B5BE6" w:rsidRDefault="00EC58FC" w:rsidP="008E703E">
      <w:pPr>
        <w:pStyle w:val="NormalNumberedTextTLRI"/>
      </w:pPr>
      <w:r w:rsidRPr="007B5BE6">
        <w:t>An additional matter relates to the need for consultation with the older person</w:t>
      </w:r>
      <w:r w:rsidR="00012DEA" w:rsidRPr="007B5BE6">
        <w:t xml:space="preserve"> and for consent to be obtained</w:t>
      </w:r>
      <w:r w:rsidR="00AF6BCF" w:rsidRPr="007B5BE6">
        <w:t xml:space="preserve">. </w:t>
      </w:r>
      <w:r w:rsidR="00985D43" w:rsidRPr="007B5BE6">
        <w:t>Reflecting</w:t>
      </w:r>
      <w:r w:rsidR="003B2BE8" w:rsidRPr="007B5BE6">
        <w:t xml:space="preserve"> the </w:t>
      </w:r>
      <w:r w:rsidR="001E7258" w:rsidRPr="007B5BE6">
        <w:t xml:space="preserve">ALRC’s </w:t>
      </w:r>
      <w:r w:rsidR="00F324EA" w:rsidRPr="007B5BE6">
        <w:t>recommendations, and approach</w:t>
      </w:r>
      <w:r w:rsidR="003024B2" w:rsidRPr="007B5BE6">
        <w:t>es</w:t>
      </w:r>
      <w:r w:rsidR="00F324EA" w:rsidRPr="007B5BE6">
        <w:t xml:space="preserve"> in NSW and </w:t>
      </w:r>
      <w:r w:rsidR="003024B2" w:rsidRPr="007B5BE6">
        <w:t>SA</w:t>
      </w:r>
      <w:r w:rsidR="00F324EA" w:rsidRPr="007B5BE6">
        <w:t xml:space="preserve">, </w:t>
      </w:r>
      <w:r w:rsidR="00985D43" w:rsidRPr="007B5BE6">
        <w:t>t</w:t>
      </w:r>
      <w:r w:rsidR="00D730BB" w:rsidRPr="007B5BE6">
        <w:t xml:space="preserve">he TLRI’s </w:t>
      </w:r>
      <w:r w:rsidR="0063037F" w:rsidRPr="007B5BE6">
        <w:t>view is</w:t>
      </w:r>
      <w:r w:rsidR="008E703E" w:rsidRPr="007B5BE6">
        <w:t xml:space="preserve"> that there should be </w:t>
      </w:r>
      <w:r w:rsidR="00D730BB" w:rsidRPr="007B5BE6">
        <w:t>consultation with the older person</w:t>
      </w:r>
      <w:r w:rsidR="008E703E" w:rsidRPr="007B5BE6">
        <w:t xml:space="preserve">, and consent obtained to </w:t>
      </w:r>
      <w:proofErr w:type="gramStart"/>
      <w:r w:rsidR="008E703E" w:rsidRPr="007B5BE6">
        <w:t>conduct an investigation</w:t>
      </w:r>
      <w:proofErr w:type="gramEnd"/>
      <w:r w:rsidR="00D730BB" w:rsidRPr="007B5BE6">
        <w:t xml:space="preserve">. Consent is discussed further at </w:t>
      </w:r>
      <w:r w:rsidR="00517D8F" w:rsidRPr="007B5BE6">
        <w:t>[4.5.37]–[4.5.41]</w:t>
      </w:r>
      <w:r w:rsidR="008E703E" w:rsidRPr="007B5BE6">
        <w:t>.</w:t>
      </w:r>
    </w:p>
    <w:p w14:paraId="7E564073" w14:textId="74D3DFF3" w:rsidR="00F77824" w:rsidRPr="007B5BE6" w:rsidRDefault="00F77824" w:rsidP="00F77824">
      <w:r w:rsidRPr="007B5BE6">
        <w:rPr>
          <w:noProof/>
        </w:rPr>
        <mc:AlternateContent>
          <mc:Choice Requires="wps">
            <w:drawing>
              <wp:inline distT="0" distB="0" distL="0" distR="0" wp14:anchorId="7F435B7E" wp14:editId="59EA4EF8">
                <wp:extent cx="5727065" cy="943661"/>
                <wp:effectExtent l="0" t="0" r="6985" b="8890"/>
                <wp:docPr id="621375705"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43661"/>
                        </a:xfrm>
                        <a:prstGeom prst="rect">
                          <a:avLst/>
                        </a:prstGeom>
                        <a:solidFill>
                          <a:srgbClr val="E8E8E8"/>
                        </a:solidFill>
                      </wps:spPr>
                      <wps:txbx>
                        <w:txbxContent>
                          <w:p w14:paraId="2185D9E5" w14:textId="77777777" w:rsidR="00F77824" w:rsidRPr="006F2DE6" w:rsidRDefault="00F77824" w:rsidP="00F77824">
                            <w:pPr>
                              <w:pStyle w:val="RecommendationBoxHeading"/>
                            </w:pPr>
                            <w:r w:rsidRPr="006F2DE6">
                              <w:t>Recommendation 10</w:t>
                            </w:r>
                          </w:p>
                          <w:p w14:paraId="6A3EBC31" w14:textId="73D5901E" w:rsidR="00F77824" w:rsidRPr="00F77824" w:rsidRDefault="00F77824" w:rsidP="00F77824">
                            <w:pPr>
                              <w:pStyle w:val="RecommendationBoxText"/>
                              <w:rPr>
                                <w:rFonts w:eastAsia="Times"/>
                              </w:rPr>
                            </w:pPr>
                            <w:r w:rsidRPr="006F2DE6">
                              <w:rPr>
                                <w:rFonts w:eastAsia="Times"/>
                              </w:rPr>
                              <w:t>The Commissioner for Older People should have legislative power to make preliminary inquiries to decide how to deal with a report.</w:t>
                            </w:r>
                          </w:p>
                        </w:txbxContent>
                      </wps:txbx>
                      <wps:bodyPr wrap="square" lIns="0" tIns="0" rIns="0" bIns="0" rtlCol="0">
                        <a:noAutofit/>
                      </wps:bodyPr>
                    </wps:wsp>
                  </a:graphicData>
                </a:graphic>
              </wp:inline>
            </w:drawing>
          </mc:Choice>
          <mc:Fallback>
            <w:pict>
              <v:shape w14:anchorId="7F435B7E" id="_x0000_s1036" type="#_x0000_t202" style="width:450.9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" fillcolor="#e8e8e8" stroked="f">
                <v:textbox inset="0,0,0,0">
                  <w:txbxContent>
                    <w:p w14:paraId="2185D9E5" w14:textId="77777777" w:rsidR="00F77824" w:rsidRPr="006F2DE6" w:rsidRDefault="00F77824" w:rsidP="00F77824">
                      <w:pPr>
                        <w:pStyle w:val="RecommendationBoxHeading"/>
                      </w:pPr>
                      <w:r w:rsidRPr="006F2DE6">
                        <w:t>Recommendation 10</w:t>
                      </w:r>
                    </w:p>
                    <w:p w14:paraId="6A3EBC31" w14:textId="73D5901E" w:rsidR="00F77824" w:rsidRPr="00F77824" w:rsidRDefault="00F77824" w:rsidP="00F77824">
                      <w:pPr>
                        <w:pStyle w:val="RecommendationBoxText"/>
                        <w:rPr>
                          <w:rFonts w:eastAsia="Times"/>
                        </w:rPr>
                      </w:pPr>
                      <w:r w:rsidRPr="006F2DE6">
                        <w:rPr>
                          <w:rFonts w:eastAsia="Times"/>
                        </w:rPr>
                        <w:t>The Commissioner for Older People should have legislative power to make preliminary inquiries to decide how to deal with a report.</w:t>
                      </w:r>
                    </w:p>
                  </w:txbxContent>
                </v:textbox>
                <w10:anchorlock/>
              </v:shape>
            </w:pict>
          </mc:Fallback>
        </mc:AlternateContent>
      </w:r>
    </w:p>
    <w:p w14:paraId="50E44139" w14:textId="21A3C8ED" w:rsidR="00012CE6" w:rsidRPr="007B5BE6" w:rsidRDefault="00F77824" w:rsidP="002E5968">
      <w:pPr>
        <w:pStyle w:val="NormalNumberedTextTLRI"/>
        <w:numPr>
          <w:ilvl w:val="0"/>
          <w:numId w:val="0"/>
        </w:numPr>
      </w:pPr>
      <w:r w:rsidRPr="007B5BE6">
        <w:rPr>
          <w:noProof/>
        </w:rPr>
        <mc:AlternateContent>
          <mc:Choice Requires="wps">
            <w:drawing>
              <wp:inline distT="0" distB="0" distL="0" distR="0" wp14:anchorId="54FC2F44" wp14:editId="6AB7414C">
                <wp:extent cx="5727065" cy="1104900"/>
                <wp:effectExtent l="0" t="0" r="6985" b="0"/>
                <wp:docPr id="98655177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104900"/>
                        </a:xfrm>
                        <a:prstGeom prst="rect">
                          <a:avLst/>
                        </a:prstGeom>
                        <a:solidFill>
                          <a:srgbClr val="E8E8E8"/>
                        </a:solidFill>
                      </wps:spPr>
                      <wps:txbx>
                        <w:txbxContent>
                          <w:p w14:paraId="7DD90EFC" w14:textId="77777777" w:rsidR="00F77824" w:rsidRPr="006F2DE6" w:rsidRDefault="00F77824" w:rsidP="00F77824">
                            <w:pPr>
                              <w:pStyle w:val="RecommendationBoxHeading"/>
                              <w:rPr>
                                <w:rFonts w:eastAsia="Times"/>
                              </w:rPr>
                            </w:pPr>
                            <w:r w:rsidRPr="006F2DE6">
                              <w:rPr>
                                <w:rFonts w:eastAsia="Times"/>
                              </w:rPr>
                              <w:t>Recommendation 11</w:t>
                            </w:r>
                          </w:p>
                          <w:p w14:paraId="6C0E485C" w14:textId="1350EDDC" w:rsidR="00F77824" w:rsidRPr="00F77824" w:rsidRDefault="00F77824" w:rsidP="00F77824">
                            <w:pPr>
                              <w:pStyle w:val="RecommendationBoxText"/>
                              <w:rPr>
                                <w:rFonts w:eastAsia="Times"/>
                              </w:rPr>
                            </w:pPr>
                            <w:r w:rsidRPr="006F2DE6">
                              <w:rPr>
                                <w:rFonts w:eastAsia="Times"/>
                              </w:rPr>
                              <w:t>The Commissioner for Older People should have legislative powers to investigate a report, refer the report to another person or body</w:t>
                            </w:r>
                            <w:r>
                              <w:rPr>
                                <w:rFonts w:eastAsia="Times"/>
                              </w:rPr>
                              <w:t>,</w:t>
                            </w:r>
                            <w:r w:rsidRPr="006F2DE6">
                              <w:rPr>
                                <w:rFonts w:eastAsia="Times"/>
                              </w:rPr>
                              <w:t xml:space="preserve"> or decline to take action once a report is received that mirror </w:t>
                            </w:r>
                            <w:r w:rsidRPr="006F2DE6">
                              <w:t>the provisions in s</w:t>
                            </w:r>
                            <w:r>
                              <w:t>ection</w:t>
                            </w:r>
                            <w:r w:rsidRPr="006F2DE6">
                              <w:t xml:space="preserve"> 37 of the </w:t>
                            </w:r>
                            <w:r w:rsidRPr="006F2DE6">
                              <w:rPr>
                                <w:i/>
                                <w:iCs/>
                              </w:rPr>
                              <w:t>Disability Rights, Inclusion and Safeguarding Act 2024</w:t>
                            </w:r>
                            <w:r w:rsidRPr="006F2DE6">
                              <w:t xml:space="preserve"> (Tas).</w:t>
                            </w:r>
                            <w:r w:rsidR="001C3BC7">
                              <w:t xml:space="preserve"> </w:t>
                            </w:r>
                          </w:p>
                        </w:txbxContent>
                      </wps:txbx>
                      <wps:bodyPr wrap="square" lIns="0" tIns="0" rIns="0" bIns="0" rtlCol="0">
                        <a:noAutofit/>
                      </wps:bodyPr>
                    </wps:wsp>
                  </a:graphicData>
                </a:graphic>
              </wp:inline>
            </w:drawing>
          </mc:Choice>
          <mc:Fallback>
            <w:pict>
              <v:shape w14:anchorId="54FC2F44" id="_x0000_s1037" type="#_x0000_t202" style="width:450.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" fillcolor="#e8e8e8" stroked="f">
                <v:textbox inset="0,0,0,0">
                  <w:txbxContent>
                    <w:p w14:paraId="7DD90EFC" w14:textId="77777777" w:rsidR="00F77824" w:rsidRPr="006F2DE6" w:rsidRDefault="00F77824" w:rsidP="00F77824">
                      <w:pPr>
                        <w:pStyle w:val="RecommendationBoxHeading"/>
                        <w:rPr>
                          <w:rFonts w:eastAsia="Times"/>
                        </w:rPr>
                      </w:pPr>
                      <w:r w:rsidRPr="006F2DE6">
                        <w:rPr>
                          <w:rFonts w:eastAsia="Times"/>
                        </w:rPr>
                        <w:t>Recommendation 11</w:t>
                      </w:r>
                    </w:p>
                    <w:p w14:paraId="6C0E485C" w14:textId="1350EDDC" w:rsidR="00F77824" w:rsidRPr="00F77824" w:rsidRDefault="00F77824" w:rsidP="00F77824">
                      <w:pPr>
                        <w:pStyle w:val="RecommendationBoxText"/>
                        <w:rPr>
                          <w:rFonts w:eastAsia="Times"/>
                        </w:rPr>
                      </w:pPr>
                      <w:r w:rsidRPr="006F2DE6">
                        <w:rPr>
                          <w:rFonts w:eastAsia="Times"/>
                        </w:rPr>
                        <w:t>The Commissioner for Older People should have legislative powers to investigate a report, refer the report to another person or body</w:t>
                      </w:r>
                      <w:r>
                        <w:rPr>
                          <w:rFonts w:eastAsia="Times"/>
                        </w:rPr>
                        <w:t>,</w:t>
                      </w:r>
                      <w:r w:rsidRPr="006F2DE6">
                        <w:rPr>
                          <w:rFonts w:eastAsia="Times"/>
                        </w:rPr>
                        <w:t xml:space="preserve"> or decline to take action once a report is received that mirror </w:t>
                      </w:r>
                      <w:r w:rsidRPr="006F2DE6">
                        <w:t>the provisions in s</w:t>
                      </w:r>
                      <w:r>
                        <w:t>ection</w:t>
                      </w:r>
                      <w:r w:rsidRPr="006F2DE6">
                        <w:t xml:space="preserve"> 37 of the </w:t>
                      </w:r>
                      <w:r w:rsidRPr="006F2DE6">
                        <w:rPr>
                          <w:i/>
                          <w:iCs/>
                        </w:rPr>
                        <w:t>Disability Rights, Inclusion and Safeguarding Act 2024</w:t>
                      </w:r>
                      <w:r w:rsidRPr="006F2DE6">
                        <w:t xml:space="preserve"> (Tas).</w:t>
                      </w:r>
                      <w:r w:rsidR="001C3BC7">
                        <w:t xml:space="preserve"> </w:t>
                      </w:r>
                    </w:p>
                  </w:txbxContent>
                </v:textbox>
                <w10:anchorlock/>
              </v:shape>
            </w:pict>
          </mc:Fallback>
        </mc:AlternateContent>
      </w:r>
    </w:p>
    <w:p w14:paraId="0AD942C3" w14:textId="606D01A0" w:rsidR="007F26CC" w:rsidRPr="007B5BE6" w:rsidRDefault="007F26CC" w:rsidP="00AE2D56">
      <w:pPr>
        <w:pStyle w:val="Sub-HeadingTLRI"/>
        <w:spacing w:before="360"/>
      </w:pPr>
      <w:bookmarkStart w:id="591" w:name="_Toc212561801"/>
      <w:r w:rsidRPr="007B5BE6">
        <w:t>Powers to act, including coercive powers</w:t>
      </w:r>
      <w:bookmarkEnd w:id="591"/>
      <w:r w:rsidRPr="007B5BE6">
        <w:t xml:space="preserve"> </w:t>
      </w:r>
    </w:p>
    <w:p w14:paraId="1994932B" w14:textId="4DE63150" w:rsidR="008C0CD9" w:rsidRPr="007B5BE6" w:rsidRDefault="008C065A" w:rsidP="00B04571">
      <w:pPr>
        <w:numPr>
          <w:ilvl w:val="2"/>
          <w:numId w:val="2"/>
        </w:numPr>
        <w:tabs>
          <w:tab w:val="left" w:pos="851"/>
        </w:tabs>
        <w:spacing w:before="220"/>
        <w:rPr>
          <w:rFonts w:eastAsia="Times" w:cs="Times New Roman"/>
          <w:szCs w:val="20"/>
        </w:rPr>
      </w:pPr>
      <w:r w:rsidRPr="007B5BE6">
        <w:rPr>
          <w:rFonts w:eastAsia="Times" w:cs="Times New Roman"/>
          <w:szCs w:val="20"/>
        </w:rPr>
        <w:t>T</w:t>
      </w:r>
      <w:r w:rsidR="007F26CC" w:rsidRPr="007B5BE6">
        <w:rPr>
          <w:rFonts w:eastAsia="Times" w:cs="Times New Roman"/>
          <w:szCs w:val="20"/>
        </w:rPr>
        <w:t>he TLRI has considered the scope of</w:t>
      </w:r>
      <w:r w:rsidRPr="007B5BE6">
        <w:rPr>
          <w:rFonts w:eastAsia="Times" w:cs="Times New Roman"/>
          <w:szCs w:val="20"/>
        </w:rPr>
        <w:t xml:space="preserve"> other</w:t>
      </w:r>
      <w:r w:rsidR="007F26CC" w:rsidRPr="007B5BE6">
        <w:rPr>
          <w:rFonts w:eastAsia="Times" w:cs="Times New Roman"/>
          <w:szCs w:val="20"/>
        </w:rPr>
        <w:t xml:space="preserve"> powers </w:t>
      </w:r>
      <w:r w:rsidRPr="007B5BE6">
        <w:rPr>
          <w:rFonts w:eastAsia="Times" w:cs="Times New Roman"/>
          <w:szCs w:val="20"/>
        </w:rPr>
        <w:t xml:space="preserve">(in addition to the broad power to investigate) </w:t>
      </w:r>
      <w:r w:rsidR="007F26CC" w:rsidRPr="007B5BE6">
        <w:rPr>
          <w:rFonts w:eastAsia="Times" w:cs="Times New Roman"/>
          <w:szCs w:val="20"/>
        </w:rPr>
        <w:t>that should be given to the Commission</w:t>
      </w:r>
      <w:r w:rsidR="00EA1D22" w:rsidRPr="007B5BE6">
        <w:rPr>
          <w:rFonts w:eastAsia="Times" w:cs="Times New Roman"/>
          <w:szCs w:val="20"/>
        </w:rPr>
        <w:t>er</w:t>
      </w:r>
      <w:r w:rsidRPr="007B5BE6">
        <w:rPr>
          <w:rFonts w:eastAsia="Times" w:cs="Times New Roman"/>
          <w:szCs w:val="20"/>
        </w:rPr>
        <w:t xml:space="preserve"> for Older People</w:t>
      </w:r>
      <w:r w:rsidR="007F26CC" w:rsidRPr="007B5BE6">
        <w:rPr>
          <w:rFonts w:eastAsia="Times" w:cs="Times New Roman"/>
          <w:szCs w:val="20"/>
        </w:rPr>
        <w:t xml:space="preserve"> as the legislated safeguarding entity for older people, including the extent of any coercive powers. This includes powers to make referrals, make mandatory reports to other agencies, powers to gather information </w:t>
      </w:r>
      <w:r w:rsidR="00F3777C" w:rsidRPr="007B5BE6">
        <w:rPr>
          <w:rFonts w:eastAsia="Times" w:cs="Times New Roman"/>
          <w:szCs w:val="20"/>
        </w:rPr>
        <w:t>(</w:t>
      </w:r>
      <w:r w:rsidR="007F26CC" w:rsidRPr="007B5BE6">
        <w:rPr>
          <w:rFonts w:eastAsia="Times" w:cs="Times New Roman"/>
          <w:szCs w:val="20"/>
        </w:rPr>
        <w:t>such as requiring people to answer questions and/or produce document</w:t>
      </w:r>
      <w:r w:rsidRPr="007B5BE6">
        <w:rPr>
          <w:rFonts w:eastAsia="Times" w:cs="Times New Roman"/>
          <w:szCs w:val="20"/>
        </w:rPr>
        <w:t>s</w:t>
      </w:r>
      <w:r w:rsidR="00F3777C" w:rsidRPr="007B5BE6">
        <w:rPr>
          <w:rFonts w:eastAsia="Times" w:cs="Times New Roman"/>
          <w:szCs w:val="20"/>
        </w:rPr>
        <w:t>)</w:t>
      </w:r>
      <w:r w:rsidR="007F26CC" w:rsidRPr="007B5BE6">
        <w:rPr>
          <w:rFonts w:eastAsia="Times" w:cs="Times New Roman"/>
          <w:szCs w:val="20"/>
        </w:rPr>
        <w:t xml:space="preserve">, and power to facilitate entry </w:t>
      </w:r>
      <w:r w:rsidRPr="007B5BE6">
        <w:rPr>
          <w:rFonts w:eastAsia="Times" w:cs="Times New Roman"/>
          <w:szCs w:val="20"/>
        </w:rPr>
        <w:t>i</w:t>
      </w:r>
      <w:r w:rsidR="007F26CC" w:rsidRPr="007B5BE6">
        <w:rPr>
          <w:rFonts w:eastAsia="Times" w:cs="Times New Roman"/>
          <w:szCs w:val="20"/>
        </w:rPr>
        <w:t>nto premises</w:t>
      </w:r>
      <w:r w:rsidR="008B4AAE" w:rsidRPr="007B5BE6">
        <w:rPr>
          <w:rFonts w:eastAsia="Times" w:cs="Times New Roman"/>
          <w:szCs w:val="20"/>
        </w:rPr>
        <w:t xml:space="preserve"> with a search warrant</w:t>
      </w:r>
      <w:r w:rsidR="007F26CC" w:rsidRPr="007B5BE6">
        <w:rPr>
          <w:rFonts w:eastAsia="Times" w:cs="Times New Roman"/>
          <w:szCs w:val="20"/>
        </w:rPr>
        <w:t>.</w:t>
      </w:r>
      <w:r w:rsidR="009A67BE" w:rsidRPr="007B5BE6">
        <w:rPr>
          <w:rFonts w:eastAsia="Times" w:cs="Times New Roman"/>
          <w:szCs w:val="20"/>
        </w:rPr>
        <w:t xml:space="preserve"> </w:t>
      </w:r>
    </w:p>
    <w:p w14:paraId="002B9714" w14:textId="1D2F764D" w:rsidR="007F26CC" w:rsidRPr="007B5BE6" w:rsidRDefault="00DC2BCB" w:rsidP="007F26CC">
      <w:pPr>
        <w:numPr>
          <w:ilvl w:val="2"/>
          <w:numId w:val="2"/>
        </w:numPr>
        <w:tabs>
          <w:tab w:val="left" w:pos="851"/>
        </w:tabs>
        <w:spacing w:before="220"/>
        <w:rPr>
          <w:rFonts w:eastAsia="Times" w:cs="Times New Roman"/>
          <w:szCs w:val="20"/>
        </w:rPr>
      </w:pPr>
      <w:r w:rsidRPr="007B5BE6">
        <w:rPr>
          <w:rFonts w:eastAsia="Times" w:cs="Times New Roman"/>
          <w:b/>
          <w:bCs/>
          <w:szCs w:val="20"/>
        </w:rPr>
        <w:t xml:space="preserve">Coercive powers. </w:t>
      </w:r>
      <w:r w:rsidR="00F3777C" w:rsidRPr="007B5BE6">
        <w:rPr>
          <w:rFonts w:eastAsia="Times" w:cs="Times New Roman"/>
          <w:szCs w:val="20"/>
        </w:rPr>
        <w:t>T</w:t>
      </w:r>
      <w:r w:rsidR="007F26CC" w:rsidRPr="007B5BE6">
        <w:rPr>
          <w:rFonts w:eastAsia="Times" w:cs="Times New Roman"/>
          <w:szCs w:val="20"/>
        </w:rPr>
        <w:t xml:space="preserve">he ALRC recommended that </w:t>
      </w:r>
      <w:r w:rsidR="00862A0B" w:rsidRPr="007B5BE6">
        <w:rPr>
          <w:rFonts w:eastAsia="Times" w:cs="Times New Roman"/>
          <w:szCs w:val="20"/>
        </w:rPr>
        <w:t>the powers of an</w:t>
      </w:r>
      <w:r w:rsidR="00F3777C" w:rsidRPr="007B5BE6">
        <w:rPr>
          <w:rFonts w:eastAsia="Times" w:cs="Times New Roman"/>
          <w:szCs w:val="20"/>
        </w:rPr>
        <w:t xml:space="preserve"> adult safeguarding agency should </w:t>
      </w:r>
      <w:r w:rsidR="00862A0B" w:rsidRPr="007B5BE6">
        <w:rPr>
          <w:rFonts w:eastAsia="Times" w:cs="Times New Roman"/>
          <w:szCs w:val="20"/>
        </w:rPr>
        <w:t>include</w:t>
      </w:r>
      <w:r w:rsidR="00FC0673" w:rsidRPr="007B5BE6">
        <w:rPr>
          <w:rFonts w:eastAsia="Times" w:cs="Times New Roman"/>
          <w:szCs w:val="20"/>
        </w:rPr>
        <w:t xml:space="preserve"> coercive information gathering</w:t>
      </w:r>
      <w:r w:rsidR="00515F54" w:rsidRPr="007B5BE6">
        <w:rPr>
          <w:rFonts w:eastAsia="Times" w:cs="Times New Roman"/>
          <w:szCs w:val="20"/>
        </w:rPr>
        <w:t xml:space="preserve">, such as a power to require </w:t>
      </w:r>
      <w:r w:rsidR="0064221F" w:rsidRPr="007B5BE6">
        <w:rPr>
          <w:rFonts w:eastAsia="Times" w:cs="Times New Roman"/>
          <w:szCs w:val="20"/>
        </w:rPr>
        <w:t xml:space="preserve">a person to answer a question or produce a document, but that these could only be </w:t>
      </w:r>
      <w:r w:rsidR="00F36050" w:rsidRPr="007B5BE6">
        <w:rPr>
          <w:rFonts w:eastAsia="Times" w:cs="Times New Roman"/>
          <w:szCs w:val="20"/>
        </w:rPr>
        <w:t xml:space="preserve">exercised where there </w:t>
      </w:r>
      <w:r w:rsidR="00432FD1" w:rsidRPr="007B5BE6">
        <w:rPr>
          <w:rFonts w:eastAsia="Times" w:cs="Times New Roman"/>
          <w:szCs w:val="20"/>
        </w:rPr>
        <w:t xml:space="preserve">is reasonable grounds to suspect that </w:t>
      </w:r>
      <w:r w:rsidR="001360DD" w:rsidRPr="007B5BE6">
        <w:rPr>
          <w:rFonts w:eastAsia="Times" w:cs="Times New Roman"/>
          <w:szCs w:val="20"/>
        </w:rPr>
        <w:t xml:space="preserve">there is ‘serious abuse’ </w:t>
      </w:r>
      <w:r w:rsidR="000A0D54" w:rsidRPr="007B5BE6">
        <w:rPr>
          <w:rFonts w:eastAsia="Times" w:cs="Times New Roman"/>
          <w:szCs w:val="20"/>
        </w:rPr>
        <w:t>and</w:t>
      </w:r>
      <w:r w:rsidR="001360DD" w:rsidRPr="007B5BE6">
        <w:rPr>
          <w:rFonts w:eastAsia="Times" w:cs="Times New Roman"/>
          <w:szCs w:val="20"/>
        </w:rPr>
        <w:t xml:space="preserve"> only to the </w:t>
      </w:r>
      <w:r w:rsidR="000A0D54" w:rsidRPr="007B5BE6">
        <w:rPr>
          <w:rFonts w:eastAsia="Times" w:cs="Times New Roman"/>
          <w:szCs w:val="20"/>
        </w:rPr>
        <w:t>extent</w:t>
      </w:r>
      <w:r w:rsidR="001360DD" w:rsidRPr="007B5BE6">
        <w:rPr>
          <w:rFonts w:eastAsia="Times" w:cs="Times New Roman"/>
          <w:szCs w:val="20"/>
        </w:rPr>
        <w:t xml:space="preserve"> that is necessary to safeguard against risk.</w:t>
      </w:r>
      <w:r w:rsidR="001360DD" w:rsidRPr="007B5BE6">
        <w:rPr>
          <w:rStyle w:val="FootnoteReference"/>
          <w:rFonts w:eastAsia="Times" w:cs="Times New Roman"/>
          <w:szCs w:val="20"/>
        </w:rPr>
        <w:footnoteReference w:id="607"/>
      </w:r>
      <w:r w:rsidR="00EB65C0" w:rsidRPr="007B5BE6">
        <w:rPr>
          <w:rFonts w:eastAsia="Times" w:cs="Times New Roman"/>
          <w:szCs w:val="20"/>
        </w:rPr>
        <w:t xml:space="preserve"> Currently, under the </w:t>
      </w:r>
      <w:r w:rsidR="00EB65C0" w:rsidRPr="007B5BE6">
        <w:rPr>
          <w:rFonts w:eastAsia="Times" w:cs="Times New Roman"/>
          <w:i/>
          <w:iCs/>
          <w:szCs w:val="20"/>
        </w:rPr>
        <w:t>Disability Rights, Inclusion and Safeguarding Act 2024</w:t>
      </w:r>
      <w:r w:rsidR="00EB65C0" w:rsidRPr="007B5BE6">
        <w:rPr>
          <w:rFonts w:eastAsia="Times" w:cs="Times New Roman"/>
          <w:i/>
          <w:szCs w:val="20"/>
        </w:rPr>
        <w:t xml:space="preserve"> </w:t>
      </w:r>
      <w:r w:rsidR="00EB65C0" w:rsidRPr="007B5BE6">
        <w:rPr>
          <w:rFonts w:eastAsia="Times" w:cs="Times New Roman"/>
          <w:szCs w:val="20"/>
        </w:rPr>
        <w:t>(Tas), the Disability Commissioner has coercive powers to investigate</w:t>
      </w:r>
      <w:r w:rsidR="00862A0B" w:rsidRPr="007B5BE6">
        <w:rPr>
          <w:rFonts w:eastAsia="Times" w:cs="Times New Roman"/>
          <w:szCs w:val="20"/>
        </w:rPr>
        <w:t>,</w:t>
      </w:r>
      <w:r w:rsidR="00EB65C0" w:rsidRPr="007B5BE6">
        <w:rPr>
          <w:rFonts w:eastAsia="Times" w:cs="Times New Roman"/>
          <w:szCs w:val="20"/>
        </w:rPr>
        <w:t xml:space="preserve"> including requiring a person to produce information or documents</w:t>
      </w:r>
      <w:r w:rsidR="009260C8" w:rsidRPr="007B5BE6">
        <w:rPr>
          <w:rFonts w:eastAsia="Times" w:cs="Times New Roman"/>
          <w:szCs w:val="20"/>
        </w:rPr>
        <w:t>.</w:t>
      </w:r>
      <w:r w:rsidR="00FB30EC" w:rsidRPr="007B5BE6">
        <w:rPr>
          <w:rStyle w:val="FootnoteReference"/>
          <w:rFonts w:eastAsia="Times" w:cs="Times New Roman"/>
          <w:szCs w:val="20"/>
        </w:rPr>
        <w:footnoteReference w:id="608"/>
      </w:r>
      <w:r w:rsidR="009260C8" w:rsidRPr="007B5BE6">
        <w:rPr>
          <w:rFonts w:eastAsia="Times" w:cs="Times New Roman"/>
          <w:szCs w:val="20"/>
        </w:rPr>
        <w:t xml:space="preserve"> There is no requirement</w:t>
      </w:r>
      <w:r w:rsidR="00862A0B" w:rsidRPr="007B5BE6">
        <w:rPr>
          <w:rFonts w:eastAsia="Times" w:cs="Times New Roman"/>
          <w:szCs w:val="20"/>
        </w:rPr>
        <w:t>, for the purpose of this power,</w:t>
      </w:r>
      <w:r w:rsidR="009260C8" w:rsidRPr="007B5BE6">
        <w:rPr>
          <w:rFonts w:eastAsia="Times" w:cs="Times New Roman"/>
          <w:szCs w:val="20"/>
        </w:rPr>
        <w:t xml:space="preserve"> that the Commissioner have a view about the </w:t>
      </w:r>
      <w:r w:rsidR="00405A31" w:rsidRPr="007B5BE6">
        <w:rPr>
          <w:rFonts w:eastAsia="Times" w:cs="Times New Roman"/>
          <w:szCs w:val="20"/>
        </w:rPr>
        <w:t>seriousness</w:t>
      </w:r>
      <w:r w:rsidR="009260C8" w:rsidRPr="007B5BE6">
        <w:rPr>
          <w:rFonts w:eastAsia="Times" w:cs="Times New Roman"/>
          <w:szCs w:val="20"/>
        </w:rPr>
        <w:t xml:space="preserve"> of the harm, with the statutory test </w:t>
      </w:r>
      <w:r w:rsidR="00405A31" w:rsidRPr="007B5BE6">
        <w:rPr>
          <w:rFonts w:eastAsia="Times" w:cs="Times New Roman"/>
          <w:szCs w:val="20"/>
        </w:rPr>
        <w:t>based on a belief that a person is capable of providing releva</w:t>
      </w:r>
      <w:r w:rsidR="007C2438" w:rsidRPr="007B5BE6">
        <w:rPr>
          <w:rFonts w:eastAsia="Times" w:cs="Times New Roman"/>
          <w:szCs w:val="20"/>
        </w:rPr>
        <w:t>n</w:t>
      </w:r>
      <w:r w:rsidR="00405A31" w:rsidRPr="007B5BE6">
        <w:rPr>
          <w:rFonts w:eastAsia="Times" w:cs="Times New Roman"/>
          <w:szCs w:val="20"/>
        </w:rPr>
        <w:t>t information.</w:t>
      </w:r>
      <w:r w:rsidR="00405A31" w:rsidRPr="007B5BE6">
        <w:rPr>
          <w:rStyle w:val="FootnoteReference"/>
          <w:rFonts w:eastAsia="Times" w:cs="Times New Roman"/>
          <w:szCs w:val="20"/>
        </w:rPr>
        <w:footnoteReference w:id="609"/>
      </w:r>
      <w:r w:rsidR="00DC5A31" w:rsidRPr="007B5BE6">
        <w:rPr>
          <w:rFonts w:eastAsia="Times" w:cs="Times New Roman"/>
          <w:szCs w:val="20"/>
        </w:rPr>
        <w:t xml:space="preserve"> </w:t>
      </w:r>
      <w:r w:rsidR="00405647" w:rsidRPr="007B5BE6">
        <w:rPr>
          <w:rFonts w:eastAsia="Times" w:cs="Times New Roman"/>
          <w:szCs w:val="20"/>
        </w:rPr>
        <w:t xml:space="preserve">The Disability Commissioner also has powers to </w:t>
      </w:r>
      <w:r w:rsidR="007220DB" w:rsidRPr="007B5BE6">
        <w:rPr>
          <w:rFonts w:eastAsia="Times" w:cs="Times New Roman"/>
          <w:szCs w:val="20"/>
        </w:rPr>
        <w:t>authorise</w:t>
      </w:r>
      <w:r w:rsidR="001953CA" w:rsidRPr="007B5BE6">
        <w:rPr>
          <w:rFonts w:eastAsia="Times" w:cs="Times New Roman"/>
          <w:szCs w:val="20"/>
        </w:rPr>
        <w:t xml:space="preserve"> a person to enter premises if there are concerns about serious abuse</w:t>
      </w:r>
      <w:r w:rsidR="00F65F80" w:rsidRPr="007B5BE6">
        <w:rPr>
          <w:rFonts w:eastAsia="Times" w:cs="Times New Roman"/>
          <w:szCs w:val="20"/>
        </w:rPr>
        <w:t>.</w:t>
      </w:r>
      <w:r w:rsidR="00F65F80" w:rsidRPr="007B5BE6">
        <w:rPr>
          <w:rStyle w:val="FootnoteReference"/>
          <w:rFonts w:eastAsia="Times" w:cs="Times New Roman"/>
          <w:szCs w:val="20"/>
        </w:rPr>
        <w:footnoteReference w:id="610"/>
      </w:r>
      <w:r w:rsidR="00F65F80" w:rsidRPr="007B5BE6">
        <w:rPr>
          <w:rFonts w:eastAsia="Times" w:cs="Times New Roman"/>
          <w:szCs w:val="20"/>
        </w:rPr>
        <w:t xml:space="preserve"> In</w:t>
      </w:r>
      <w:r w:rsidR="00DC5A31" w:rsidRPr="007B5BE6">
        <w:rPr>
          <w:rFonts w:eastAsia="Times" w:cs="Times New Roman"/>
          <w:szCs w:val="20"/>
        </w:rPr>
        <w:t xml:space="preserve"> </w:t>
      </w:r>
      <w:r w:rsidR="00C55080" w:rsidRPr="007B5BE6">
        <w:rPr>
          <w:rFonts w:eastAsia="Times" w:cs="Times New Roman"/>
          <w:szCs w:val="20"/>
        </w:rPr>
        <w:t>NSW</w:t>
      </w:r>
      <w:r w:rsidR="00F65F80" w:rsidRPr="007B5BE6">
        <w:rPr>
          <w:rFonts w:eastAsia="Times" w:cs="Times New Roman"/>
          <w:szCs w:val="20"/>
        </w:rPr>
        <w:t xml:space="preserve">, the </w:t>
      </w:r>
      <w:r w:rsidR="00C55080" w:rsidRPr="007B5BE6">
        <w:rPr>
          <w:rFonts w:eastAsia="Times" w:cs="Times New Roman"/>
          <w:szCs w:val="20"/>
        </w:rPr>
        <w:t xml:space="preserve">Ageing and Disability </w:t>
      </w:r>
      <w:r w:rsidR="00F65F80" w:rsidRPr="007B5BE6">
        <w:rPr>
          <w:rFonts w:eastAsia="Times" w:cs="Times New Roman"/>
          <w:szCs w:val="20"/>
        </w:rPr>
        <w:t>Commissioner can require attendance of witnesses and the production of documents</w:t>
      </w:r>
      <w:r w:rsidR="00C55080" w:rsidRPr="007B5BE6">
        <w:rPr>
          <w:rFonts w:eastAsia="Times" w:cs="Times New Roman"/>
          <w:szCs w:val="20"/>
        </w:rPr>
        <w:t>,</w:t>
      </w:r>
      <w:r w:rsidR="00F65F80" w:rsidRPr="007B5BE6">
        <w:rPr>
          <w:rFonts w:eastAsia="Times" w:cs="Times New Roman"/>
          <w:szCs w:val="20"/>
        </w:rPr>
        <w:t xml:space="preserve"> as well as being </w:t>
      </w:r>
      <w:r w:rsidR="00F65F80" w:rsidRPr="007B5BE6">
        <w:rPr>
          <w:rFonts w:eastAsia="Times" w:cs="Times New Roman"/>
          <w:szCs w:val="20"/>
        </w:rPr>
        <w:lastRenderedPageBreak/>
        <w:t>able to apply to a search warrant</w:t>
      </w:r>
      <w:r w:rsidR="00D04FEF" w:rsidRPr="007B5BE6">
        <w:rPr>
          <w:rFonts w:eastAsia="Times" w:cs="Times New Roman"/>
          <w:szCs w:val="20"/>
        </w:rPr>
        <w:t>.</w:t>
      </w:r>
      <w:r w:rsidR="00D04FEF" w:rsidRPr="007B5BE6">
        <w:rPr>
          <w:rStyle w:val="FootnoteReference"/>
          <w:rFonts w:eastAsia="Times" w:cs="Times New Roman"/>
          <w:szCs w:val="20"/>
        </w:rPr>
        <w:footnoteReference w:id="611"/>
      </w:r>
      <w:r w:rsidR="00F65F80" w:rsidRPr="007B5BE6">
        <w:rPr>
          <w:rFonts w:eastAsia="Times" w:cs="Times New Roman"/>
          <w:szCs w:val="20"/>
        </w:rPr>
        <w:t xml:space="preserve"> In </w:t>
      </w:r>
      <w:r w:rsidR="00C55080" w:rsidRPr="007B5BE6">
        <w:rPr>
          <w:rFonts w:eastAsia="Times" w:cs="Times New Roman"/>
          <w:szCs w:val="20"/>
        </w:rPr>
        <w:t>SA</w:t>
      </w:r>
      <w:r w:rsidR="00F65F80" w:rsidRPr="007B5BE6">
        <w:rPr>
          <w:rFonts w:eastAsia="Times" w:cs="Times New Roman"/>
          <w:szCs w:val="20"/>
        </w:rPr>
        <w:t xml:space="preserve">, </w:t>
      </w:r>
      <w:r w:rsidR="001617BF" w:rsidRPr="007B5BE6">
        <w:rPr>
          <w:rFonts w:eastAsia="Times" w:cs="Times New Roman"/>
          <w:szCs w:val="20"/>
        </w:rPr>
        <w:t xml:space="preserve">the </w:t>
      </w:r>
      <w:r w:rsidR="00C55080" w:rsidRPr="007B5BE6">
        <w:rPr>
          <w:rFonts w:eastAsia="Times" w:cs="Times New Roman"/>
          <w:szCs w:val="20"/>
        </w:rPr>
        <w:t xml:space="preserve">ASU </w:t>
      </w:r>
      <w:r w:rsidR="001617BF" w:rsidRPr="007B5BE6">
        <w:rPr>
          <w:rFonts w:eastAsia="Times" w:cs="Times New Roman"/>
          <w:szCs w:val="20"/>
        </w:rPr>
        <w:t xml:space="preserve">can require </w:t>
      </w:r>
      <w:r w:rsidR="00C9354D" w:rsidRPr="007B5BE6">
        <w:rPr>
          <w:rFonts w:eastAsia="Times" w:cs="Times New Roman"/>
          <w:szCs w:val="20"/>
        </w:rPr>
        <w:t>witnesses to provide information relating to an assessment</w:t>
      </w:r>
      <w:r w:rsidR="006B6BB2" w:rsidRPr="007B5BE6">
        <w:rPr>
          <w:rFonts w:eastAsia="Times" w:cs="Times New Roman"/>
          <w:szCs w:val="20"/>
        </w:rPr>
        <w:t>.</w:t>
      </w:r>
      <w:r w:rsidR="006B6BB2" w:rsidRPr="007B5BE6">
        <w:rPr>
          <w:rStyle w:val="FootnoteReference"/>
          <w:rFonts w:eastAsia="Times" w:cs="Times New Roman"/>
          <w:szCs w:val="20"/>
        </w:rPr>
        <w:footnoteReference w:id="612"/>
      </w:r>
      <w:r w:rsidR="006B6BB2" w:rsidRPr="007B5BE6">
        <w:rPr>
          <w:rFonts w:eastAsia="Times" w:cs="Times New Roman"/>
          <w:szCs w:val="20"/>
        </w:rPr>
        <w:t xml:space="preserve"> </w:t>
      </w:r>
      <w:r w:rsidR="00C55080" w:rsidRPr="007B5BE6">
        <w:rPr>
          <w:rFonts w:eastAsia="Times" w:cs="Times New Roman"/>
          <w:szCs w:val="20"/>
        </w:rPr>
        <w:t xml:space="preserve">Further, SA’s ASU has </w:t>
      </w:r>
      <w:r w:rsidR="00F33B26" w:rsidRPr="007B5BE6">
        <w:rPr>
          <w:rFonts w:eastAsia="Times" w:cs="Times New Roman"/>
          <w:szCs w:val="20"/>
        </w:rPr>
        <w:t xml:space="preserve">powers to apply for </w:t>
      </w:r>
      <w:r w:rsidR="00F4157B" w:rsidRPr="007B5BE6">
        <w:rPr>
          <w:rFonts w:eastAsia="Times" w:cs="Times New Roman"/>
          <w:szCs w:val="20"/>
        </w:rPr>
        <w:t xml:space="preserve">a </w:t>
      </w:r>
      <w:r w:rsidR="00F33B26" w:rsidRPr="007B5BE6">
        <w:rPr>
          <w:rFonts w:eastAsia="Times" w:cs="Times New Roman"/>
          <w:szCs w:val="20"/>
        </w:rPr>
        <w:t>search warrant and</w:t>
      </w:r>
      <w:r w:rsidR="00F65F80" w:rsidRPr="007B5BE6">
        <w:rPr>
          <w:rFonts w:eastAsia="Times" w:cs="Times New Roman"/>
          <w:szCs w:val="20"/>
        </w:rPr>
        <w:t xml:space="preserve"> </w:t>
      </w:r>
      <w:r w:rsidR="00F33B26" w:rsidRPr="007B5BE6">
        <w:rPr>
          <w:rFonts w:eastAsia="Times" w:cs="Times New Roman"/>
          <w:szCs w:val="20"/>
        </w:rPr>
        <w:t>t</w:t>
      </w:r>
      <w:r w:rsidR="00F65F80" w:rsidRPr="007B5BE6">
        <w:rPr>
          <w:rFonts w:eastAsia="Times" w:cs="Times New Roman"/>
          <w:szCs w:val="20"/>
        </w:rPr>
        <w:t>o enter premises</w:t>
      </w:r>
      <w:r w:rsidR="00336132" w:rsidRPr="007B5BE6">
        <w:rPr>
          <w:rFonts w:eastAsia="Times" w:cs="Times New Roman"/>
          <w:szCs w:val="20"/>
        </w:rPr>
        <w:t xml:space="preserve"> </w:t>
      </w:r>
      <w:r w:rsidR="0085374B" w:rsidRPr="007B5BE6">
        <w:rPr>
          <w:rFonts w:eastAsia="Times" w:cs="Times New Roman"/>
          <w:szCs w:val="20"/>
        </w:rPr>
        <w:t xml:space="preserve">in </w:t>
      </w:r>
      <w:r w:rsidR="00600E9A" w:rsidRPr="007B5BE6">
        <w:rPr>
          <w:rFonts w:eastAsia="Times" w:cs="Times New Roman"/>
          <w:szCs w:val="20"/>
        </w:rPr>
        <w:t>cases</w:t>
      </w:r>
      <w:r w:rsidR="0085374B" w:rsidRPr="007B5BE6">
        <w:rPr>
          <w:rFonts w:eastAsia="Times" w:cs="Times New Roman"/>
          <w:szCs w:val="20"/>
        </w:rPr>
        <w:t xml:space="preserve"> where there is a suspicion of serious abuse</w:t>
      </w:r>
      <w:r w:rsidR="00FC370D" w:rsidRPr="007B5BE6">
        <w:rPr>
          <w:rFonts w:eastAsia="Times" w:cs="Times New Roman"/>
          <w:szCs w:val="20"/>
        </w:rPr>
        <w:t>.</w:t>
      </w:r>
      <w:r w:rsidR="00CE5928" w:rsidRPr="007B5BE6">
        <w:rPr>
          <w:rStyle w:val="FootnoteReference"/>
          <w:rFonts w:eastAsia="Times" w:cs="Times New Roman"/>
          <w:szCs w:val="20"/>
        </w:rPr>
        <w:footnoteReference w:id="613"/>
      </w:r>
    </w:p>
    <w:p w14:paraId="1152AE1A" w14:textId="658402CE" w:rsidR="007C27E1" w:rsidRPr="007B5BE6" w:rsidRDefault="00121B85" w:rsidP="007F26CC">
      <w:pPr>
        <w:numPr>
          <w:ilvl w:val="2"/>
          <w:numId w:val="2"/>
        </w:numPr>
        <w:tabs>
          <w:tab w:val="left" w:pos="851"/>
        </w:tabs>
        <w:spacing w:before="220"/>
        <w:rPr>
          <w:rFonts w:eastAsia="Times" w:cs="Times New Roman"/>
          <w:szCs w:val="20"/>
        </w:rPr>
      </w:pPr>
      <w:r w:rsidRPr="007B5BE6">
        <w:rPr>
          <w:rFonts w:eastAsia="Times" w:cs="Times New Roman"/>
          <w:b/>
          <w:bCs/>
          <w:szCs w:val="20"/>
        </w:rPr>
        <w:t>Powers to a</w:t>
      </w:r>
      <w:r w:rsidR="00E20200" w:rsidRPr="007B5BE6">
        <w:rPr>
          <w:rFonts w:eastAsia="Times" w:cs="Times New Roman"/>
          <w:b/>
          <w:bCs/>
          <w:szCs w:val="20"/>
        </w:rPr>
        <w:t>ct</w:t>
      </w:r>
      <w:r w:rsidR="00C4249A" w:rsidRPr="007B5BE6">
        <w:rPr>
          <w:rFonts w:eastAsia="Times" w:cs="Times New Roman"/>
          <w:szCs w:val="20"/>
        </w:rPr>
        <w:t xml:space="preserve">. </w:t>
      </w:r>
      <w:r w:rsidR="007F26CC" w:rsidRPr="007B5BE6">
        <w:rPr>
          <w:rFonts w:eastAsia="Times" w:cs="Times New Roman"/>
          <w:szCs w:val="20"/>
        </w:rPr>
        <w:t>As a result of any report or investigation conducted, the</w:t>
      </w:r>
      <w:r w:rsidR="009E45DF" w:rsidRPr="007B5BE6">
        <w:rPr>
          <w:rFonts w:eastAsia="Times" w:cs="Times New Roman"/>
          <w:szCs w:val="20"/>
        </w:rPr>
        <w:t xml:space="preserve">re </w:t>
      </w:r>
      <w:r w:rsidR="007C27E1" w:rsidRPr="007B5BE6">
        <w:rPr>
          <w:rFonts w:eastAsia="Times" w:cs="Times New Roman"/>
          <w:szCs w:val="20"/>
        </w:rPr>
        <w:t xml:space="preserve">is a range of potential actions that </w:t>
      </w:r>
      <w:r w:rsidR="00C71418" w:rsidRPr="007B5BE6">
        <w:rPr>
          <w:rFonts w:eastAsia="Times" w:cs="Times New Roman"/>
          <w:szCs w:val="20"/>
        </w:rPr>
        <w:t xml:space="preserve">could be recommended </w:t>
      </w:r>
      <w:r w:rsidR="004379F8" w:rsidRPr="007B5BE6">
        <w:rPr>
          <w:rFonts w:eastAsia="Times" w:cs="Times New Roman"/>
          <w:szCs w:val="20"/>
        </w:rPr>
        <w:t>in empowering the</w:t>
      </w:r>
      <w:r w:rsidR="00C71418" w:rsidRPr="007B5BE6">
        <w:rPr>
          <w:rFonts w:eastAsia="Times" w:cs="Times New Roman"/>
          <w:szCs w:val="20"/>
        </w:rPr>
        <w:t xml:space="preserve"> </w:t>
      </w:r>
      <w:r w:rsidR="007C27E1" w:rsidRPr="007B5BE6">
        <w:rPr>
          <w:rFonts w:eastAsia="Times" w:cs="Times New Roman"/>
          <w:szCs w:val="20"/>
        </w:rPr>
        <w:t xml:space="preserve">Commissioner </w:t>
      </w:r>
      <w:r w:rsidR="001A231C" w:rsidRPr="007B5BE6">
        <w:rPr>
          <w:rFonts w:eastAsia="Times" w:cs="Times New Roman"/>
          <w:szCs w:val="20"/>
        </w:rPr>
        <w:t xml:space="preserve">for Older </w:t>
      </w:r>
      <w:r w:rsidR="001335E8" w:rsidRPr="007B5BE6">
        <w:rPr>
          <w:rFonts w:eastAsia="Times" w:cs="Times New Roman"/>
          <w:szCs w:val="20"/>
        </w:rPr>
        <w:t>People</w:t>
      </w:r>
      <w:r w:rsidR="00466AC5" w:rsidRPr="007B5BE6">
        <w:rPr>
          <w:rFonts w:eastAsia="Times" w:cs="Times New Roman"/>
          <w:szCs w:val="20"/>
        </w:rPr>
        <w:t xml:space="preserve"> </w:t>
      </w:r>
      <w:r w:rsidR="004379F8" w:rsidRPr="007B5BE6">
        <w:rPr>
          <w:rFonts w:eastAsia="Times" w:cs="Times New Roman"/>
          <w:szCs w:val="20"/>
        </w:rPr>
        <w:t>to take safeguarding action</w:t>
      </w:r>
      <w:r w:rsidR="007C27E1" w:rsidRPr="007B5BE6">
        <w:rPr>
          <w:rFonts w:eastAsia="Times" w:cs="Times New Roman"/>
          <w:szCs w:val="20"/>
        </w:rPr>
        <w:t>. Th</w:t>
      </w:r>
      <w:r w:rsidR="002A1885" w:rsidRPr="007B5BE6">
        <w:rPr>
          <w:rFonts w:eastAsia="Times" w:cs="Times New Roman"/>
          <w:szCs w:val="20"/>
        </w:rPr>
        <w:t>e ALRC recommended that the actions available should</w:t>
      </w:r>
      <w:r w:rsidR="007C27E1" w:rsidRPr="007B5BE6">
        <w:rPr>
          <w:rFonts w:eastAsia="Times" w:cs="Times New Roman"/>
          <w:szCs w:val="20"/>
        </w:rPr>
        <w:t xml:space="preserve"> include:</w:t>
      </w:r>
    </w:p>
    <w:p w14:paraId="5CB22AB5" w14:textId="777CDF7C" w:rsidR="007C27E1" w:rsidRPr="007B5BE6" w:rsidRDefault="00900EF4" w:rsidP="007C27E1">
      <w:pPr>
        <w:pStyle w:val="DotPointTLRI"/>
        <w:rPr>
          <w:rFonts w:eastAsia="Times"/>
        </w:rPr>
      </w:pPr>
      <w:r w:rsidRPr="007B5BE6">
        <w:rPr>
          <w:rFonts w:eastAsia="Times"/>
        </w:rPr>
        <w:t>m</w:t>
      </w:r>
      <w:r w:rsidR="007C27E1" w:rsidRPr="007B5BE6">
        <w:rPr>
          <w:rFonts w:eastAsia="Times"/>
        </w:rPr>
        <w:t xml:space="preserve">aking referrals </w:t>
      </w:r>
      <w:r w:rsidR="00124C73" w:rsidRPr="007B5BE6">
        <w:rPr>
          <w:rFonts w:eastAsia="Times"/>
        </w:rPr>
        <w:t xml:space="preserve">or reports </w:t>
      </w:r>
      <w:r w:rsidR="007C27E1" w:rsidRPr="007B5BE6">
        <w:rPr>
          <w:rFonts w:eastAsia="Times"/>
        </w:rPr>
        <w:t>to other agencies</w:t>
      </w:r>
      <w:r w:rsidR="00124C73" w:rsidRPr="007B5BE6">
        <w:rPr>
          <w:rFonts w:eastAsia="Times"/>
        </w:rPr>
        <w:t>, including the police</w:t>
      </w:r>
      <w:r w:rsidRPr="007B5BE6">
        <w:rPr>
          <w:rFonts w:eastAsia="Times"/>
        </w:rPr>
        <w:t>;</w:t>
      </w:r>
    </w:p>
    <w:p w14:paraId="2EE89B9D" w14:textId="360D61E2" w:rsidR="00AA3C96" w:rsidRPr="007B5BE6" w:rsidRDefault="00900EF4" w:rsidP="007C27E1">
      <w:pPr>
        <w:pStyle w:val="DotPointTLRI"/>
        <w:rPr>
          <w:rFonts w:eastAsia="Times"/>
        </w:rPr>
      </w:pPr>
      <w:r w:rsidRPr="007B5BE6">
        <w:rPr>
          <w:rFonts w:eastAsia="Times"/>
        </w:rPr>
        <w:t>a</w:t>
      </w:r>
      <w:r w:rsidR="00AA3C96" w:rsidRPr="007B5BE6">
        <w:rPr>
          <w:rFonts w:eastAsia="Times"/>
        </w:rPr>
        <w:t xml:space="preserve">pplying for a </w:t>
      </w:r>
      <w:r w:rsidR="006A6FA1" w:rsidRPr="007B5BE6">
        <w:rPr>
          <w:rFonts w:eastAsia="Times"/>
        </w:rPr>
        <w:t xml:space="preserve">court order (such as family violence </w:t>
      </w:r>
      <w:r w:rsidR="00F4157B" w:rsidRPr="007B5BE6">
        <w:rPr>
          <w:rFonts w:eastAsia="Times"/>
        </w:rPr>
        <w:t xml:space="preserve">order </w:t>
      </w:r>
      <w:r w:rsidR="006A6FA1" w:rsidRPr="007B5BE6">
        <w:rPr>
          <w:rFonts w:eastAsia="Times"/>
        </w:rPr>
        <w:t xml:space="preserve">or </w:t>
      </w:r>
      <w:r w:rsidR="00F4157B" w:rsidRPr="007B5BE6">
        <w:rPr>
          <w:rFonts w:eastAsia="Times"/>
        </w:rPr>
        <w:t xml:space="preserve">a </w:t>
      </w:r>
      <w:r w:rsidR="006A6FA1" w:rsidRPr="007B5BE6">
        <w:rPr>
          <w:rFonts w:eastAsia="Times"/>
        </w:rPr>
        <w:t>restraint order)</w:t>
      </w:r>
      <w:r w:rsidRPr="007B5BE6">
        <w:rPr>
          <w:rFonts w:eastAsia="Times"/>
        </w:rPr>
        <w:t>;</w:t>
      </w:r>
      <w:r w:rsidR="00402B60" w:rsidRPr="007B5BE6">
        <w:rPr>
          <w:rFonts w:eastAsia="Times"/>
        </w:rPr>
        <w:t xml:space="preserve"> and</w:t>
      </w:r>
    </w:p>
    <w:p w14:paraId="72FDFA31" w14:textId="6A2FCCED" w:rsidR="000E123F" w:rsidRPr="007B5BE6" w:rsidRDefault="00900EF4" w:rsidP="007C27E1">
      <w:pPr>
        <w:pStyle w:val="DotPointTLRI"/>
        <w:rPr>
          <w:rFonts w:eastAsia="Times"/>
        </w:rPr>
      </w:pPr>
      <w:r w:rsidRPr="007B5BE6">
        <w:rPr>
          <w:rFonts w:eastAsia="Times"/>
        </w:rPr>
        <w:t>m</w:t>
      </w:r>
      <w:r w:rsidR="002A1885" w:rsidRPr="007B5BE6">
        <w:rPr>
          <w:rFonts w:eastAsia="Times"/>
        </w:rPr>
        <w:t>eeting</w:t>
      </w:r>
      <w:r w:rsidR="00124C73" w:rsidRPr="007B5BE6">
        <w:rPr>
          <w:rFonts w:eastAsia="Times"/>
        </w:rPr>
        <w:t xml:space="preserve"> with other relevant agencies </w:t>
      </w:r>
      <w:r w:rsidR="002A1885" w:rsidRPr="007B5BE6">
        <w:rPr>
          <w:rFonts w:eastAsia="Times"/>
        </w:rPr>
        <w:t>and bodies to p</w:t>
      </w:r>
      <w:r w:rsidR="000D39A2" w:rsidRPr="007B5BE6">
        <w:rPr>
          <w:rFonts w:eastAsia="Times"/>
        </w:rPr>
        <w:t>repare a plan to stop the abuse and support the adult.</w:t>
      </w:r>
      <w:r w:rsidR="000D39A2" w:rsidRPr="007B5BE6">
        <w:rPr>
          <w:rStyle w:val="FootnoteReference"/>
          <w:rFonts w:eastAsia="Times"/>
        </w:rPr>
        <w:footnoteReference w:id="614"/>
      </w:r>
    </w:p>
    <w:p w14:paraId="1572A4DA" w14:textId="1F94E73B" w:rsidR="006400A0" w:rsidRPr="007B5BE6" w:rsidRDefault="00DA5B6F" w:rsidP="00E2489A">
      <w:pPr>
        <w:pStyle w:val="NormalNumberedTextTLRI"/>
      </w:pPr>
      <w:r w:rsidRPr="007B5BE6">
        <w:t xml:space="preserve">In </w:t>
      </w:r>
      <w:r w:rsidR="00AA2127" w:rsidRPr="007B5BE6">
        <w:t>NSW</w:t>
      </w:r>
      <w:r w:rsidRPr="007B5BE6">
        <w:t xml:space="preserve">, </w:t>
      </w:r>
      <w:r w:rsidR="00E2489A" w:rsidRPr="007B5BE6">
        <w:t xml:space="preserve">the </w:t>
      </w:r>
      <w:r w:rsidR="00E2489A" w:rsidRPr="007B5BE6">
        <w:rPr>
          <w:i/>
          <w:iCs/>
        </w:rPr>
        <w:t>Ageing and Disability Commissioner Act 2019</w:t>
      </w:r>
      <w:r w:rsidR="00E2489A" w:rsidRPr="007B5BE6">
        <w:t xml:space="preserve"> (NSW) </w:t>
      </w:r>
      <w:r w:rsidR="00EF225D" w:rsidRPr="007B5BE6">
        <w:t>sets out the powers of</w:t>
      </w:r>
      <w:r w:rsidR="00FA6745" w:rsidRPr="007B5BE6">
        <w:t xml:space="preserve"> </w:t>
      </w:r>
      <w:r w:rsidR="00791EE1" w:rsidRPr="007B5BE6">
        <w:t xml:space="preserve">the </w:t>
      </w:r>
      <w:r w:rsidR="006400A0" w:rsidRPr="007B5BE6">
        <w:t>Commissioner</w:t>
      </w:r>
      <w:r w:rsidR="00060EAC" w:rsidRPr="007B5BE6">
        <w:t xml:space="preserve"> as follows</w:t>
      </w:r>
      <w:r w:rsidR="006400A0" w:rsidRPr="007B5BE6">
        <w:t xml:space="preserve">: </w:t>
      </w:r>
    </w:p>
    <w:p w14:paraId="101C1A96" w14:textId="6916B583" w:rsidR="006400A0" w:rsidRPr="007B5BE6" w:rsidRDefault="00FA6745" w:rsidP="00E2489A">
      <w:pPr>
        <w:pStyle w:val="DotPointTLRI"/>
      </w:pPr>
      <w:r w:rsidRPr="007B5BE6">
        <w:t xml:space="preserve">May </w:t>
      </w:r>
      <w:r w:rsidR="006400A0" w:rsidRPr="007B5BE6">
        <w:t xml:space="preserve">refer </w:t>
      </w:r>
      <w:r w:rsidR="008B42E8" w:rsidRPr="007B5BE6">
        <w:t>a report</w:t>
      </w:r>
      <w:r w:rsidR="006400A0" w:rsidRPr="007B5BE6">
        <w:t xml:space="preserve"> to </w:t>
      </w:r>
      <w:r w:rsidR="008B42E8" w:rsidRPr="007B5BE6">
        <w:t xml:space="preserve">other </w:t>
      </w:r>
      <w:r w:rsidR="006400A0" w:rsidRPr="007B5BE6">
        <w:t xml:space="preserve">persons or bodies </w:t>
      </w:r>
      <w:r w:rsidR="008B42E8" w:rsidRPr="007B5BE6">
        <w:t>in the exercise of discretion</w:t>
      </w:r>
      <w:r w:rsidR="006400A0" w:rsidRPr="007B5BE6">
        <w:t>: s</w:t>
      </w:r>
      <w:r w:rsidR="00AA2127" w:rsidRPr="007B5BE6">
        <w:t>ection</w:t>
      </w:r>
      <w:r w:rsidR="006400A0" w:rsidRPr="007B5BE6">
        <w:t xml:space="preserve"> 1</w:t>
      </w:r>
      <w:r w:rsidR="008B42E8" w:rsidRPr="007B5BE6">
        <w:t>3</w:t>
      </w:r>
      <w:r w:rsidR="006400A0" w:rsidRPr="007B5BE6">
        <w:t>(</w:t>
      </w:r>
      <w:r w:rsidR="008B42E8" w:rsidRPr="007B5BE6">
        <w:t>8</w:t>
      </w:r>
      <w:r w:rsidR="006400A0" w:rsidRPr="007B5BE6">
        <w:t>)</w:t>
      </w:r>
      <w:r w:rsidR="00E2489A" w:rsidRPr="007B5BE6">
        <w:t>.</w:t>
      </w:r>
    </w:p>
    <w:p w14:paraId="5B0A386C" w14:textId="4F5B3434" w:rsidR="00012CE6" w:rsidRPr="007B5BE6" w:rsidRDefault="00FA6745" w:rsidP="002E5968">
      <w:pPr>
        <w:pStyle w:val="DotPointTLRI"/>
      </w:pPr>
      <w:r w:rsidRPr="007B5BE6">
        <w:t xml:space="preserve">Must </w:t>
      </w:r>
      <w:r w:rsidR="00060EAC" w:rsidRPr="007B5BE6">
        <w:t xml:space="preserve">report to police or prosecution if </w:t>
      </w:r>
      <w:r w:rsidR="0072557B" w:rsidRPr="007B5BE6">
        <w:t xml:space="preserve">the report or part of </w:t>
      </w:r>
      <w:r w:rsidR="00305A50" w:rsidRPr="007B5BE6">
        <w:t xml:space="preserve">the </w:t>
      </w:r>
      <w:r w:rsidR="0072557B" w:rsidRPr="007B5BE6">
        <w:t>report may provide evidence of the commission of c</w:t>
      </w:r>
      <w:r w:rsidR="004A1F1E" w:rsidRPr="007B5BE6">
        <w:t xml:space="preserve">riminal </w:t>
      </w:r>
      <w:r w:rsidR="0072557B" w:rsidRPr="007B5BE6">
        <w:t>offence</w:t>
      </w:r>
      <w:r w:rsidR="006400A0" w:rsidRPr="007B5BE6">
        <w:t>s</w:t>
      </w:r>
      <w:r w:rsidR="004A1F1E" w:rsidRPr="007B5BE6">
        <w:t>: s</w:t>
      </w:r>
      <w:r w:rsidR="00AA2127" w:rsidRPr="007B5BE6">
        <w:t>ection</w:t>
      </w:r>
      <w:r w:rsidR="004A1F1E" w:rsidRPr="007B5BE6">
        <w:t xml:space="preserve"> 13(</w:t>
      </w:r>
      <w:r w:rsidR="005D7EE6" w:rsidRPr="007B5BE6">
        <w:t>9</w:t>
      </w:r>
      <w:r w:rsidR="006400A0" w:rsidRPr="007B5BE6">
        <w:t>)</w:t>
      </w:r>
      <w:r w:rsidR="00E2489A" w:rsidRPr="007B5BE6">
        <w:t>.</w:t>
      </w:r>
    </w:p>
    <w:p w14:paraId="266235E0" w14:textId="1569F2A1" w:rsidR="00BF656B" w:rsidRPr="007B5BE6" w:rsidRDefault="00A903FB" w:rsidP="004C2AEF">
      <w:pPr>
        <w:pStyle w:val="NormalNumberedTextTLRI"/>
      </w:pPr>
      <w:r w:rsidRPr="007B5BE6">
        <w:t>Similarly, i</w:t>
      </w:r>
      <w:r w:rsidR="004C2AEF" w:rsidRPr="007B5BE6">
        <w:t xml:space="preserve">n </w:t>
      </w:r>
      <w:r w:rsidR="0088389D" w:rsidRPr="007B5BE6">
        <w:t>SA</w:t>
      </w:r>
      <w:r w:rsidR="004C2AEF" w:rsidRPr="007B5BE6">
        <w:t xml:space="preserve">, the ASU </w:t>
      </w:r>
      <w:r w:rsidR="00041940" w:rsidRPr="007B5BE6">
        <w:t xml:space="preserve">can make referrals to </w:t>
      </w:r>
      <w:r w:rsidR="00186A16" w:rsidRPr="007B5BE6">
        <w:t>other</w:t>
      </w:r>
      <w:r w:rsidR="00041940" w:rsidRPr="007B5BE6">
        <w:t xml:space="preserve"> agencies or bodies. It can also </w:t>
      </w:r>
      <w:r w:rsidR="00575AC4" w:rsidRPr="007B5BE6">
        <w:t xml:space="preserve">make </w:t>
      </w:r>
      <w:r w:rsidR="0054084B" w:rsidRPr="007B5BE6">
        <w:t xml:space="preserve">complaints to other </w:t>
      </w:r>
      <w:r w:rsidR="00186A16" w:rsidRPr="007B5BE6">
        <w:t>bodies.</w:t>
      </w:r>
      <w:r w:rsidR="00186A16" w:rsidRPr="007B5BE6">
        <w:rPr>
          <w:rStyle w:val="FootnoteReference"/>
        </w:rPr>
        <w:footnoteReference w:id="615"/>
      </w:r>
      <w:r w:rsidR="00186A16" w:rsidRPr="007B5BE6">
        <w:t xml:space="preserve"> </w:t>
      </w:r>
      <w:r w:rsidR="00874DDC" w:rsidRPr="007B5BE6">
        <w:t>There is no mandatory reporting requirement to police</w:t>
      </w:r>
      <w:r w:rsidR="00186A16" w:rsidRPr="007B5BE6">
        <w:t xml:space="preserve">. In addition, </w:t>
      </w:r>
      <w:r w:rsidR="0088389D" w:rsidRPr="007B5BE6">
        <w:t xml:space="preserve">the ASU </w:t>
      </w:r>
      <w:r w:rsidR="00186A16" w:rsidRPr="007B5BE6">
        <w:t xml:space="preserve">can apply to the court for a </w:t>
      </w:r>
      <w:r w:rsidR="00775749" w:rsidRPr="007B5BE6">
        <w:t>protection</w:t>
      </w:r>
      <w:r w:rsidR="00186A16" w:rsidRPr="007B5BE6">
        <w:t xml:space="preserve"> order</w:t>
      </w:r>
      <w:r w:rsidR="00B73964" w:rsidRPr="007B5BE6">
        <w:t xml:space="preserve"> under the provisions of the </w:t>
      </w:r>
      <w:r w:rsidR="0088389D" w:rsidRPr="007B5BE6">
        <w:rPr>
          <w:i/>
          <w:iCs/>
        </w:rPr>
        <w:t>Ageing and Adult Safeguarding Act 1995</w:t>
      </w:r>
      <w:r w:rsidR="0088389D" w:rsidRPr="007B5BE6">
        <w:t xml:space="preserve"> (SA)</w:t>
      </w:r>
      <w:r w:rsidR="00186A16" w:rsidRPr="007B5BE6">
        <w:t>.</w:t>
      </w:r>
      <w:r w:rsidR="00186A16" w:rsidRPr="007B5BE6">
        <w:rPr>
          <w:rStyle w:val="FootnoteReference"/>
        </w:rPr>
        <w:footnoteReference w:id="616"/>
      </w:r>
    </w:p>
    <w:p w14:paraId="234F928A" w14:textId="17C568B9" w:rsidR="007F26CC" w:rsidRPr="007B5BE6" w:rsidRDefault="00874DDC" w:rsidP="00874DDC">
      <w:pPr>
        <w:pStyle w:val="NormalNumberedTextTLRI"/>
      </w:pPr>
      <w:r w:rsidRPr="007B5BE6">
        <w:t>I</w:t>
      </w:r>
      <w:r w:rsidR="00BE0EFC" w:rsidRPr="007B5BE6">
        <w:t>n</w:t>
      </w:r>
      <w:r w:rsidRPr="007B5BE6">
        <w:t xml:space="preserve"> Tasmania, under the </w:t>
      </w:r>
      <w:r w:rsidR="00862DCB" w:rsidRPr="007B5BE6">
        <w:rPr>
          <w:i/>
          <w:iCs/>
        </w:rPr>
        <w:t xml:space="preserve">Disability Rights, Inclusion and Safeguarding Act 2024 </w:t>
      </w:r>
      <w:r w:rsidR="00862DCB" w:rsidRPr="007B5BE6">
        <w:t>(Tas)</w:t>
      </w:r>
      <w:r w:rsidRPr="007B5BE6">
        <w:t>,</w:t>
      </w:r>
      <w:r w:rsidR="007F26CC" w:rsidRPr="007B5BE6">
        <w:t xml:space="preserve"> </w:t>
      </w:r>
      <w:r w:rsidR="00EF4CF1" w:rsidRPr="007B5BE6">
        <w:t xml:space="preserve">the Disability </w:t>
      </w:r>
      <w:r w:rsidR="007F26CC" w:rsidRPr="007B5BE6">
        <w:t>Commissioner is empowered to make referrals and</w:t>
      </w:r>
      <w:r w:rsidR="00EF4CF1" w:rsidRPr="007B5BE6">
        <w:t>,</w:t>
      </w:r>
      <w:r w:rsidR="007F26CC" w:rsidRPr="007B5BE6">
        <w:t xml:space="preserve"> as a result of an investigation</w:t>
      </w:r>
      <w:r w:rsidR="00EF4CF1" w:rsidRPr="007B5BE6">
        <w:t>,</w:t>
      </w:r>
      <w:r w:rsidR="007F26CC" w:rsidRPr="007B5BE6">
        <w:t xml:space="preserve"> may take further action or make recommendations to others as the Commissioner thinks fit.</w:t>
      </w:r>
      <w:r w:rsidR="00A72001" w:rsidRPr="007B5BE6">
        <w:rPr>
          <w:rStyle w:val="FootnoteReference"/>
        </w:rPr>
        <w:footnoteReference w:id="617"/>
      </w:r>
      <w:r w:rsidR="007F26CC" w:rsidRPr="007B5BE6">
        <w:t xml:space="preserve"> The Disability Commissioner is also subject to mandatory requirements to refer reports or matters to other agencies or bodies in certain circumstances: </w:t>
      </w:r>
    </w:p>
    <w:p w14:paraId="275B415D" w14:textId="42ECB1B8" w:rsidR="0069653B" w:rsidRPr="007B5BE6" w:rsidRDefault="0069653B" w:rsidP="005A71B7">
      <w:pPr>
        <w:pStyle w:val="ListParagraph"/>
        <w:numPr>
          <w:ilvl w:val="0"/>
          <w:numId w:val="15"/>
        </w:numPr>
      </w:pPr>
      <w:r w:rsidRPr="007B5BE6">
        <w:t>R</w:t>
      </w:r>
      <w:r w:rsidR="007F26CC" w:rsidRPr="007B5BE6">
        <w:t>eferral to Commissioner of Police or the Director of Public Prosecutions</w:t>
      </w:r>
      <w:r w:rsidR="00EF4CF1" w:rsidRPr="007B5BE6">
        <w:t>,</w:t>
      </w:r>
      <w:r w:rsidR="007F26CC" w:rsidRPr="007B5BE6">
        <w:t xml:space="preserve"> if the report or investigation may provide evidence of the commission of a criminal offence.</w:t>
      </w:r>
      <w:r w:rsidR="00751990" w:rsidRPr="007B5BE6">
        <w:rPr>
          <w:rStyle w:val="FootnoteReference"/>
        </w:rPr>
        <w:footnoteReference w:id="618"/>
      </w:r>
      <w:r w:rsidR="007F26CC" w:rsidRPr="007B5BE6">
        <w:t xml:space="preserve"> </w:t>
      </w:r>
    </w:p>
    <w:p w14:paraId="7C80CC85" w14:textId="77777777" w:rsidR="008F61D6" w:rsidRPr="007B5BE6" w:rsidRDefault="008F61D6" w:rsidP="002E5968">
      <w:pPr>
        <w:pStyle w:val="ListParagraph"/>
      </w:pPr>
    </w:p>
    <w:p w14:paraId="534CA471" w14:textId="2CE3C36C" w:rsidR="007F26CC" w:rsidRPr="007B5BE6" w:rsidRDefault="0069653B" w:rsidP="005A71B7">
      <w:pPr>
        <w:pStyle w:val="ListParagraph"/>
        <w:numPr>
          <w:ilvl w:val="0"/>
          <w:numId w:val="15"/>
        </w:numPr>
      </w:pPr>
      <w:r w:rsidRPr="007B5BE6">
        <w:t>R</w:t>
      </w:r>
      <w:r w:rsidR="007F26CC" w:rsidRPr="007B5BE6">
        <w:t xml:space="preserve">eferrals to other prescribed persons or bodies if the Commissioner considers that it constitutes a complaint that may be made to them, such as to the </w:t>
      </w:r>
      <w:r w:rsidR="005867B0">
        <w:t>Anti-Discrimination</w:t>
      </w:r>
      <w:r w:rsidR="007F26CC" w:rsidRPr="007B5BE6">
        <w:t xml:space="preserve"> Commissioner (see [</w:t>
      </w:r>
      <w:r w:rsidR="008F1DE1" w:rsidRPr="007B5BE6">
        <w:t>3.3.41</w:t>
      </w:r>
      <w:r w:rsidR="007F26CC" w:rsidRPr="007B5BE6">
        <w:t>]</w:t>
      </w:r>
      <w:r w:rsidR="008F1DE1" w:rsidRPr="007B5BE6">
        <w:t>–[3.3.42]</w:t>
      </w:r>
      <w:r w:rsidR="007F26CC" w:rsidRPr="007B5BE6">
        <w:t>), the Health Complaints Commissioner (see [</w:t>
      </w:r>
      <w:r w:rsidR="0099006A" w:rsidRPr="007B5BE6">
        <w:t>3.3.</w:t>
      </w:r>
      <w:r w:rsidR="00DC688F" w:rsidRPr="007B5BE6">
        <w:t>3</w:t>
      </w:r>
      <w:r w:rsidR="0099006A" w:rsidRPr="007B5BE6">
        <w:t>8</w:t>
      </w:r>
      <w:r w:rsidR="007F26CC" w:rsidRPr="007B5BE6">
        <w:t>]</w:t>
      </w:r>
      <w:r w:rsidR="0099006A" w:rsidRPr="007B5BE6">
        <w:t>–[3.3.40]</w:t>
      </w:r>
      <w:r w:rsidR="007F26CC" w:rsidRPr="007B5BE6">
        <w:t>), the NDIS Quality and Safeguards Commission, the Australian Health Practitioner Regulation Agency or ‘any other prescribed body or person’.</w:t>
      </w:r>
      <w:r w:rsidR="00DC3172" w:rsidRPr="007B5BE6">
        <w:rPr>
          <w:rStyle w:val="FootnoteReference"/>
        </w:rPr>
        <w:footnoteReference w:id="619"/>
      </w:r>
    </w:p>
    <w:p w14:paraId="432F7B19" w14:textId="5A6C84A9" w:rsidR="003D74A7" w:rsidRPr="007B5BE6" w:rsidRDefault="00556609" w:rsidP="00AE02A9">
      <w:pPr>
        <w:pStyle w:val="NormalNumberedTextTLRI"/>
      </w:pPr>
      <w:r w:rsidRPr="007B5BE6">
        <w:t xml:space="preserve">As part of its </w:t>
      </w:r>
      <w:r w:rsidR="009B17F0" w:rsidRPr="007B5BE6">
        <w:t>recommend</w:t>
      </w:r>
      <w:r w:rsidRPr="007B5BE6">
        <w:t xml:space="preserve">ed approach to </w:t>
      </w:r>
      <w:r w:rsidR="001A78F0" w:rsidRPr="007B5BE6">
        <w:t>creati</w:t>
      </w:r>
      <w:r w:rsidRPr="007B5BE6">
        <w:t>ng</w:t>
      </w:r>
      <w:r w:rsidR="00957F79" w:rsidRPr="007B5BE6">
        <w:t xml:space="preserve"> the</w:t>
      </w:r>
      <w:r w:rsidR="003D74A7" w:rsidRPr="007B5BE6">
        <w:t xml:space="preserve"> Commissioner for Older </w:t>
      </w:r>
      <w:r w:rsidR="00EB0F90" w:rsidRPr="007B5BE6">
        <w:t>People</w:t>
      </w:r>
      <w:r w:rsidR="009B17F0" w:rsidRPr="007B5BE6">
        <w:t xml:space="preserve"> role</w:t>
      </w:r>
      <w:r w:rsidR="003D74A7" w:rsidRPr="007B5BE6">
        <w:t xml:space="preserve">, </w:t>
      </w:r>
      <w:r w:rsidR="009F59C5" w:rsidRPr="007B5BE6">
        <w:t>t</w:t>
      </w:r>
      <w:r w:rsidR="003D74A7" w:rsidRPr="007B5BE6">
        <w:t>he TLRI’s view is that referral obligation</w:t>
      </w:r>
      <w:r w:rsidR="00957F79" w:rsidRPr="007B5BE6">
        <w:t>s</w:t>
      </w:r>
      <w:r w:rsidR="0026606E" w:rsidRPr="007B5BE6">
        <w:t xml:space="preserve"> </w:t>
      </w:r>
      <w:r w:rsidR="003D74A7" w:rsidRPr="007B5BE6">
        <w:t xml:space="preserve">should </w:t>
      </w:r>
      <w:r w:rsidR="007116FC" w:rsidRPr="007B5BE6">
        <w:t xml:space="preserve">be </w:t>
      </w:r>
      <w:r w:rsidR="00FC4A9E" w:rsidRPr="007B5BE6">
        <w:t>included</w:t>
      </w:r>
      <w:r w:rsidR="00957F79" w:rsidRPr="007B5BE6">
        <w:t xml:space="preserve"> in the statutory framework</w:t>
      </w:r>
      <w:r w:rsidR="00576EE3" w:rsidRPr="007B5BE6">
        <w:t>,</w:t>
      </w:r>
      <w:r w:rsidR="00FC4A9E" w:rsidRPr="007B5BE6">
        <w:t xml:space="preserve"> and </w:t>
      </w:r>
      <w:r w:rsidR="00083EBD" w:rsidRPr="007B5BE6">
        <w:t xml:space="preserve">that </w:t>
      </w:r>
      <w:r w:rsidR="00FC4A9E" w:rsidRPr="007B5BE6">
        <w:t>this obligation should be</w:t>
      </w:r>
      <w:r w:rsidR="003D74A7" w:rsidRPr="007B5BE6">
        <w:t xml:space="preserve"> aligned with the current powers of the Disability Commissioner in Tasmania</w:t>
      </w:r>
      <w:r w:rsidR="0026606E" w:rsidRPr="007B5BE6">
        <w:t xml:space="preserve"> </w:t>
      </w:r>
      <w:r w:rsidRPr="007B5BE6">
        <w:t xml:space="preserve">under </w:t>
      </w:r>
      <w:r w:rsidR="0026606E" w:rsidRPr="007B5BE6">
        <w:lastRenderedPageBreak/>
        <w:t xml:space="preserve">the </w:t>
      </w:r>
      <w:r w:rsidR="0026606E" w:rsidRPr="007B5BE6">
        <w:rPr>
          <w:i/>
          <w:szCs w:val="22"/>
        </w:rPr>
        <w:t>Disability Rights, Inclusion and Safeguarding Act 2024</w:t>
      </w:r>
      <w:r w:rsidR="0026606E" w:rsidRPr="007B5BE6">
        <w:rPr>
          <w:szCs w:val="22"/>
        </w:rPr>
        <w:t xml:space="preserve"> (Tas</w:t>
      </w:r>
      <w:r w:rsidRPr="007B5BE6">
        <w:rPr>
          <w:szCs w:val="22"/>
        </w:rPr>
        <w:t>)—</w:t>
      </w:r>
      <w:r w:rsidR="00083EBD" w:rsidRPr="007B5BE6">
        <w:rPr>
          <w:szCs w:val="22"/>
        </w:rPr>
        <w:t xml:space="preserve">set out in </w:t>
      </w:r>
      <w:r w:rsidRPr="007B5BE6">
        <w:rPr>
          <w:szCs w:val="22"/>
        </w:rPr>
        <w:t>section</w:t>
      </w:r>
      <w:r w:rsidR="0026606E" w:rsidRPr="007B5BE6">
        <w:rPr>
          <w:szCs w:val="22"/>
        </w:rPr>
        <w:t xml:space="preserve"> 38(3)</w:t>
      </w:r>
      <w:r w:rsidR="00FC4A9E" w:rsidRPr="007B5BE6">
        <w:rPr>
          <w:szCs w:val="22"/>
        </w:rPr>
        <w:t>.</w:t>
      </w:r>
      <w:r w:rsidR="00083EBD" w:rsidRPr="007B5BE6">
        <w:rPr>
          <w:rStyle w:val="FootnoteReference"/>
          <w:szCs w:val="22"/>
        </w:rPr>
        <w:footnoteReference w:id="620"/>
      </w:r>
      <w:r w:rsidR="00FC4A9E" w:rsidRPr="007B5BE6">
        <w:t xml:space="preserve"> </w:t>
      </w:r>
      <w:r w:rsidR="00D61E84" w:rsidRPr="007B5BE6">
        <w:t xml:space="preserve">This would mean that the Commissioner </w:t>
      </w:r>
      <w:r w:rsidR="00C253C9" w:rsidRPr="007B5BE6">
        <w:t xml:space="preserve">for Older People </w:t>
      </w:r>
      <w:r w:rsidR="00D61E84" w:rsidRPr="007B5BE6">
        <w:t xml:space="preserve">would be required to refer a matter to police if the report or investigation may provide evidence of the commission of a criminal offence. </w:t>
      </w:r>
      <w:r w:rsidR="003D74A7" w:rsidRPr="007B5BE6">
        <w:t>The TLRI acknowledges concerns expressed by some stakeholders</w:t>
      </w:r>
      <w:r w:rsidR="00B44C9C" w:rsidRPr="007B5BE6">
        <w:t>, in interviews</w:t>
      </w:r>
      <w:r w:rsidR="003D74A7" w:rsidRPr="007B5BE6">
        <w:t>, that some older people may not want police involved, particularly where they may be experiencing abuse from family members or carers (in some cases the abuser may be both). However, the TLRI</w:t>
      </w:r>
      <w:r w:rsidR="00726BCB" w:rsidRPr="007B5BE6">
        <w:t xml:space="preserve">’s </w:t>
      </w:r>
      <w:r w:rsidR="003D74A7" w:rsidRPr="007B5BE6">
        <w:t xml:space="preserve">view </w:t>
      </w:r>
      <w:r w:rsidR="00726BCB" w:rsidRPr="007B5BE6">
        <w:t xml:space="preserve">is </w:t>
      </w:r>
      <w:r w:rsidR="00D61E84" w:rsidRPr="007B5BE6">
        <w:t>a requirement to report to police</w:t>
      </w:r>
      <w:r w:rsidR="00726BCB" w:rsidRPr="007B5BE6">
        <w:t xml:space="preserve"> is </w:t>
      </w:r>
      <w:r w:rsidR="00B04424" w:rsidRPr="007B5BE6">
        <w:t xml:space="preserve">necessary </w:t>
      </w:r>
      <w:r w:rsidR="00726BCB" w:rsidRPr="007B5BE6">
        <w:t>to provide</w:t>
      </w:r>
      <w:r w:rsidR="003D74A7" w:rsidRPr="007B5BE6">
        <w:t xml:space="preserve"> older pe</w:t>
      </w:r>
      <w:r w:rsidR="00726BCB" w:rsidRPr="007B5BE6">
        <w:t>ople</w:t>
      </w:r>
      <w:r w:rsidR="003D74A7" w:rsidRPr="007B5BE6">
        <w:t xml:space="preserve"> who </w:t>
      </w:r>
      <w:r w:rsidR="00726BCB" w:rsidRPr="007B5BE6">
        <w:t>are</w:t>
      </w:r>
      <w:r w:rsidR="003D74A7" w:rsidRPr="007B5BE6">
        <w:t xml:space="preserve"> experiencing abuse the opportunity to be offered</w:t>
      </w:r>
      <w:r w:rsidR="00B04424" w:rsidRPr="007B5BE6">
        <w:t>,</w:t>
      </w:r>
      <w:r w:rsidR="003D74A7" w:rsidRPr="007B5BE6">
        <w:t xml:space="preserve"> and seek</w:t>
      </w:r>
      <w:r w:rsidR="00B04424" w:rsidRPr="007B5BE6">
        <w:t>,</w:t>
      </w:r>
      <w:r w:rsidR="003D74A7" w:rsidRPr="007B5BE6">
        <w:t xml:space="preserve"> </w:t>
      </w:r>
      <w:r w:rsidR="008B6539" w:rsidRPr="007B5BE6">
        <w:t xml:space="preserve">the </w:t>
      </w:r>
      <w:r w:rsidR="003D74A7" w:rsidRPr="007B5BE6">
        <w:t xml:space="preserve">protection </w:t>
      </w:r>
      <w:r w:rsidR="008B6539" w:rsidRPr="007B5BE6">
        <w:t>of</w:t>
      </w:r>
      <w:r w:rsidR="003D74A7" w:rsidRPr="007B5BE6">
        <w:t xml:space="preserve"> the criminal law. As with all criminal matters, if such a referral results in the investigation of the matter by police, the older person may decline to provide a statement </w:t>
      </w:r>
      <w:r w:rsidR="008B6539" w:rsidRPr="007B5BE6">
        <w:t>and/</w:t>
      </w:r>
      <w:r w:rsidR="003D74A7" w:rsidRPr="007B5BE6">
        <w:t xml:space="preserve">or police contact may result in other supports being able to be provided to the older person (as part of wide range of responses that police may provide (see </w:t>
      </w:r>
      <w:r w:rsidR="00014751" w:rsidRPr="007B5BE6">
        <w:t>[3.5.2]</w:t>
      </w:r>
      <w:r w:rsidR="00B323C0" w:rsidRPr="007B5BE6">
        <w:t>–[3.5.3]</w:t>
      </w:r>
      <w:r w:rsidR="003D74A7" w:rsidRPr="007B5BE6">
        <w:t>)</w:t>
      </w:r>
      <w:r w:rsidR="00DA2418" w:rsidRPr="007B5BE6">
        <w:t xml:space="preserve">. </w:t>
      </w:r>
      <w:r w:rsidR="00D31A6B" w:rsidRPr="007B5BE6">
        <w:t>Such an approach</w:t>
      </w:r>
      <w:r w:rsidR="00DA2418" w:rsidRPr="007B5BE6">
        <w:t xml:space="preserve"> is also aligned</w:t>
      </w:r>
      <w:r w:rsidR="003D74A7" w:rsidRPr="007B5BE6">
        <w:t xml:space="preserve"> with the </w:t>
      </w:r>
      <w:r w:rsidR="00DA2418" w:rsidRPr="007B5BE6">
        <w:t>TLRI</w:t>
      </w:r>
      <w:r w:rsidR="001425D2" w:rsidRPr="007B5BE6">
        <w:t>’s view that</w:t>
      </w:r>
      <w:r w:rsidR="003D74A7" w:rsidRPr="007B5BE6">
        <w:t xml:space="preserve"> specialist policing roles</w:t>
      </w:r>
      <w:r w:rsidR="00792C9E" w:rsidRPr="007B5BE6">
        <w:t xml:space="preserve"> need to be created</w:t>
      </w:r>
      <w:r w:rsidR="003D74A7" w:rsidRPr="007B5BE6">
        <w:t xml:space="preserve"> and </w:t>
      </w:r>
      <w:r w:rsidR="00792C9E" w:rsidRPr="007B5BE6">
        <w:t xml:space="preserve">additional </w:t>
      </w:r>
      <w:r w:rsidR="003D74A7" w:rsidRPr="007B5BE6">
        <w:t>training</w:t>
      </w:r>
      <w:r w:rsidR="00792C9E" w:rsidRPr="007B5BE6">
        <w:t xml:space="preserve"> provid</w:t>
      </w:r>
      <w:r w:rsidR="00D31A6B" w:rsidRPr="007B5BE6">
        <w:t>ed</w:t>
      </w:r>
      <w:r w:rsidR="00792C9E" w:rsidRPr="007B5BE6">
        <w:t xml:space="preserve"> to police</w:t>
      </w:r>
      <w:r w:rsidR="003D74A7" w:rsidRPr="007B5BE6">
        <w:t xml:space="preserve"> (see </w:t>
      </w:r>
      <w:r w:rsidR="00D31A6B" w:rsidRPr="007B5BE6">
        <w:rPr>
          <w:b/>
          <w:bCs/>
        </w:rPr>
        <w:t>Part 5</w:t>
      </w:r>
      <w:r w:rsidR="00D31A6B" w:rsidRPr="007B5BE6">
        <w:t xml:space="preserve">, </w:t>
      </w:r>
      <w:r w:rsidR="003D74A7" w:rsidRPr="007B5BE6">
        <w:rPr>
          <w:b/>
          <w:bCs/>
        </w:rPr>
        <w:t xml:space="preserve">Recommendations </w:t>
      </w:r>
      <w:r w:rsidR="00F4658B" w:rsidRPr="007B5BE6">
        <w:rPr>
          <w:b/>
          <w:bCs/>
        </w:rPr>
        <w:t>28–3</w:t>
      </w:r>
      <w:r w:rsidR="0049302A" w:rsidRPr="007B5BE6">
        <w:rPr>
          <w:b/>
          <w:bCs/>
        </w:rPr>
        <w:t>0</w:t>
      </w:r>
      <w:r w:rsidR="003D74A7" w:rsidRPr="007B5BE6">
        <w:t>)</w:t>
      </w:r>
      <w:r w:rsidR="00043C32" w:rsidRPr="007B5BE6">
        <w:t xml:space="preserve"> to facilitate better access to </w:t>
      </w:r>
      <w:r w:rsidR="00DA2418" w:rsidRPr="007B5BE6">
        <w:t xml:space="preserve">the criminal law. </w:t>
      </w:r>
      <w:r w:rsidR="00043C32" w:rsidRPr="007B5BE6">
        <w:t>R</w:t>
      </w:r>
      <w:r w:rsidR="00BA7FC3" w:rsidRPr="007B5BE6">
        <w:t xml:space="preserve">eferrals from the Commissioner for Older </w:t>
      </w:r>
      <w:r w:rsidR="00EB0F90" w:rsidRPr="007B5BE6">
        <w:t>Peopl</w:t>
      </w:r>
      <w:r w:rsidR="00830F73" w:rsidRPr="007B5BE6">
        <w:t>e—i</w:t>
      </w:r>
      <w:r w:rsidR="00104680" w:rsidRPr="007B5BE6">
        <w:t xml:space="preserve">n circumstances </w:t>
      </w:r>
      <w:r w:rsidR="00D31A6B" w:rsidRPr="007B5BE6">
        <w:t xml:space="preserve">where </w:t>
      </w:r>
      <w:r w:rsidR="00B0625E" w:rsidRPr="007B5BE6">
        <w:t xml:space="preserve">the Commissioner is of the view that </w:t>
      </w:r>
      <w:r w:rsidR="00020758" w:rsidRPr="007B5BE6">
        <w:t xml:space="preserve">a </w:t>
      </w:r>
      <w:r w:rsidR="00B0625E" w:rsidRPr="007B5BE6">
        <w:t xml:space="preserve">report </w:t>
      </w:r>
      <w:r w:rsidR="00020758" w:rsidRPr="007B5BE6">
        <w:t>concerning</w:t>
      </w:r>
      <w:r w:rsidR="00104680" w:rsidRPr="007B5BE6">
        <w:t xml:space="preserve"> abuse of </w:t>
      </w:r>
      <w:r w:rsidR="00020758" w:rsidRPr="007B5BE6">
        <w:t>a</w:t>
      </w:r>
      <w:r w:rsidR="001E4110" w:rsidRPr="007B5BE6">
        <w:t>n</w:t>
      </w:r>
      <w:r w:rsidR="00020758" w:rsidRPr="007B5BE6">
        <w:t xml:space="preserve"> </w:t>
      </w:r>
      <w:r w:rsidR="00104680" w:rsidRPr="007B5BE6">
        <w:t>older pe</w:t>
      </w:r>
      <w:r w:rsidR="00020758" w:rsidRPr="007B5BE6">
        <w:t>rson</w:t>
      </w:r>
      <w:r w:rsidR="00104680" w:rsidRPr="007B5BE6">
        <w:t xml:space="preserve"> </w:t>
      </w:r>
      <w:r w:rsidR="00B0625E" w:rsidRPr="007B5BE6">
        <w:t>may</w:t>
      </w:r>
      <w:r w:rsidR="00043C32" w:rsidRPr="007B5BE6">
        <w:t xml:space="preserve"> disclose evidence of criminal offendin</w:t>
      </w:r>
      <w:r w:rsidR="00830F73" w:rsidRPr="007B5BE6">
        <w:t>g—h</w:t>
      </w:r>
      <w:r w:rsidR="0055105E" w:rsidRPr="007B5BE6">
        <w:t xml:space="preserve">as the potential to </w:t>
      </w:r>
      <w:r w:rsidR="00104680" w:rsidRPr="007B5BE6">
        <w:t>support these recommendations</w:t>
      </w:r>
      <w:r w:rsidR="005758EC" w:rsidRPr="007B5BE6">
        <w:t>. This is because such referrals</w:t>
      </w:r>
      <w:r w:rsidR="0042191F" w:rsidRPr="007B5BE6">
        <w:t xml:space="preserve"> can</w:t>
      </w:r>
      <w:r w:rsidR="001E4110" w:rsidRPr="007B5BE6">
        <w:t xml:space="preserve"> </w:t>
      </w:r>
      <w:r w:rsidR="0042191F" w:rsidRPr="007B5BE6">
        <w:t xml:space="preserve">support </w:t>
      </w:r>
      <w:r w:rsidR="003C687F" w:rsidRPr="007B5BE6">
        <w:t xml:space="preserve">enhancements in </w:t>
      </w:r>
      <w:r w:rsidR="005758EC" w:rsidRPr="007B5BE6">
        <w:t>the</w:t>
      </w:r>
      <w:r w:rsidR="0042191F" w:rsidRPr="007B5BE6">
        <w:t xml:space="preserve"> u</w:t>
      </w:r>
      <w:r w:rsidR="00166C80" w:rsidRPr="007B5BE6">
        <w:t>nderstanding</w:t>
      </w:r>
      <w:r w:rsidR="00830F73" w:rsidRPr="007B5BE6">
        <w:t>,</w:t>
      </w:r>
      <w:r w:rsidR="00166C80" w:rsidRPr="007B5BE6">
        <w:t xml:space="preserve"> </w:t>
      </w:r>
      <w:r w:rsidR="00CD4123" w:rsidRPr="007B5BE6">
        <w:t xml:space="preserve">including </w:t>
      </w:r>
      <w:r w:rsidR="00104680" w:rsidRPr="007B5BE6">
        <w:t>within police</w:t>
      </w:r>
      <w:r w:rsidR="00830F73" w:rsidRPr="007B5BE6">
        <w:t>,</w:t>
      </w:r>
      <w:r w:rsidR="00104680" w:rsidRPr="007B5BE6">
        <w:t xml:space="preserve"> </w:t>
      </w:r>
      <w:r w:rsidR="00166C80" w:rsidRPr="007B5BE6">
        <w:t xml:space="preserve">of </w:t>
      </w:r>
      <w:r w:rsidR="00104680" w:rsidRPr="007B5BE6">
        <w:t xml:space="preserve">the potential criminal nature </w:t>
      </w:r>
      <w:r w:rsidR="00166C80" w:rsidRPr="007B5BE6">
        <w:t xml:space="preserve">of </w:t>
      </w:r>
      <w:r w:rsidR="008F3763" w:rsidRPr="007B5BE6">
        <w:t xml:space="preserve">such </w:t>
      </w:r>
      <w:r w:rsidR="00166C80" w:rsidRPr="007B5BE6">
        <w:t>behaviour</w:t>
      </w:r>
      <w:r w:rsidR="0065183E" w:rsidRPr="007B5BE6">
        <w:t>, which may</w:t>
      </w:r>
      <w:r w:rsidR="00166C80" w:rsidRPr="007B5BE6">
        <w:t xml:space="preserve"> not typically</w:t>
      </w:r>
      <w:r w:rsidR="0065183E" w:rsidRPr="007B5BE6">
        <w:t xml:space="preserve"> have</w:t>
      </w:r>
      <w:r w:rsidR="00166C80" w:rsidRPr="007B5BE6">
        <w:t xml:space="preserve"> been viewed as a police matter (for example, </w:t>
      </w:r>
      <w:r w:rsidR="00AE02A9" w:rsidRPr="007B5BE6">
        <w:t>financial abuse)</w:t>
      </w:r>
      <w:r w:rsidR="0026606E" w:rsidRPr="007B5BE6">
        <w:t>.</w:t>
      </w:r>
      <w:r w:rsidR="00781B53" w:rsidRPr="007B5BE6">
        <w:t xml:space="preserve"> </w:t>
      </w:r>
    </w:p>
    <w:p w14:paraId="0B49D089" w14:textId="3F638097" w:rsidR="007F26CC" w:rsidRPr="007B5BE6" w:rsidRDefault="00B861BC" w:rsidP="007F26CC">
      <w:pPr>
        <w:numPr>
          <w:ilvl w:val="2"/>
          <w:numId w:val="2"/>
        </w:numPr>
        <w:tabs>
          <w:tab w:val="left" w:pos="851"/>
        </w:tabs>
        <w:spacing w:before="220"/>
        <w:rPr>
          <w:rFonts w:eastAsia="Times" w:cs="Times New Roman"/>
          <w:szCs w:val="20"/>
        </w:rPr>
      </w:pPr>
      <w:r w:rsidRPr="007B5BE6">
        <w:rPr>
          <w:rFonts w:eastAsia="Times" w:cs="Times New Roman"/>
          <w:szCs w:val="20"/>
        </w:rPr>
        <w:t xml:space="preserve">In addition, </w:t>
      </w:r>
      <w:r w:rsidR="004B7459" w:rsidRPr="007B5BE6">
        <w:rPr>
          <w:rFonts w:eastAsia="Times" w:cs="Times New Roman"/>
          <w:szCs w:val="20"/>
        </w:rPr>
        <w:t>regarding</w:t>
      </w:r>
      <w:r w:rsidRPr="007B5BE6">
        <w:rPr>
          <w:rFonts w:eastAsia="Times" w:cs="Times New Roman"/>
          <w:szCs w:val="20"/>
        </w:rPr>
        <w:t xml:space="preserve"> the other </w:t>
      </w:r>
      <w:r w:rsidR="00E76432" w:rsidRPr="007B5BE6">
        <w:rPr>
          <w:rFonts w:eastAsia="Times" w:cs="Times New Roman"/>
          <w:szCs w:val="20"/>
        </w:rPr>
        <w:t xml:space="preserve">referral </w:t>
      </w:r>
      <w:r w:rsidRPr="007B5BE6">
        <w:rPr>
          <w:rFonts w:eastAsia="Times" w:cs="Times New Roman"/>
          <w:szCs w:val="20"/>
        </w:rPr>
        <w:t xml:space="preserve">powers </w:t>
      </w:r>
      <w:r w:rsidR="004B7459" w:rsidRPr="007B5BE6">
        <w:rPr>
          <w:rFonts w:eastAsia="Times" w:cs="Times New Roman"/>
          <w:szCs w:val="20"/>
        </w:rPr>
        <w:t>that could be</w:t>
      </w:r>
      <w:r w:rsidR="000210ED" w:rsidRPr="007B5BE6">
        <w:rPr>
          <w:rFonts w:eastAsia="Times" w:cs="Times New Roman"/>
          <w:szCs w:val="20"/>
        </w:rPr>
        <w:t xml:space="preserve"> provided</w:t>
      </w:r>
      <w:r w:rsidRPr="007B5BE6">
        <w:rPr>
          <w:rFonts w:eastAsia="Times" w:cs="Times New Roman"/>
          <w:szCs w:val="20"/>
        </w:rPr>
        <w:t xml:space="preserve"> </w:t>
      </w:r>
      <w:r w:rsidR="004B7459" w:rsidRPr="007B5BE6">
        <w:rPr>
          <w:rFonts w:eastAsia="Times" w:cs="Times New Roman"/>
          <w:szCs w:val="20"/>
        </w:rPr>
        <w:t xml:space="preserve">to </w:t>
      </w:r>
      <w:r w:rsidRPr="007B5BE6">
        <w:rPr>
          <w:rFonts w:eastAsia="Times" w:cs="Times New Roman"/>
          <w:szCs w:val="20"/>
        </w:rPr>
        <w:t xml:space="preserve">the </w:t>
      </w:r>
      <w:r w:rsidR="007F26CC" w:rsidRPr="007B5BE6">
        <w:rPr>
          <w:rFonts w:eastAsia="Times" w:cs="Times New Roman"/>
          <w:szCs w:val="20"/>
        </w:rPr>
        <w:t xml:space="preserve">Commissioner </w:t>
      </w:r>
      <w:r w:rsidRPr="007B5BE6">
        <w:rPr>
          <w:rFonts w:eastAsia="Times" w:cs="Times New Roman"/>
          <w:szCs w:val="20"/>
        </w:rPr>
        <w:t xml:space="preserve">for Older </w:t>
      </w:r>
      <w:r w:rsidR="001335E8" w:rsidRPr="007B5BE6">
        <w:rPr>
          <w:rFonts w:eastAsia="Times" w:cs="Times New Roman"/>
          <w:szCs w:val="20"/>
        </w:rPr>
        <w:t>People</w:t>
      </w:r>
      <w:r w:rsidR="004B7459" w:rsidRPr="007B5BE6">
        <w:rPr>
          <w:rFonts w:eastAsia="Times" w:cs="Times New Roman"/>
          <w:szCs w:val="20"/>
        </w:rPr>
        <w:t>,</w:t>
      </w:r>
      <w:r w:rsidR="001335E8" w:rsidRPr="007B5BE6">
        <w:rPr>
          <w:rFonts w:eastAsia="Times" w:cs="Times New Roman"/>
          <w:szCs w:val="20"/>
        </w:rPr>
        <w:t xml:space="preserve"> </w:t>
      </w:r>
      <w:r w:rsidR="00E76432" w:rsidRPr="007B5BE6">
        <w:rPr>
          <w:rFonts w:eastAsia="Times" w:cs="Times New Roman"/>
          <w:szCs w:val="20"/>
        </w:rPr>
        <w:t xml:space="preserve">as part of </w:t>
      </w:r>
      <w:r w:rsidR="00236C1C" w:rsidRPr="007B5BE6">
        <w:rPr>
          <w:rFonts w:eastAsia="Times" w:cs="Times New Roman"/>
          <w:szCs w:val="20"/>
        </w:rPr>
        <w:t xml:space="preserve">a </w:t>
      </w:r>
      <w:r w:rsidR="00E76432" w:rsidRPr="007B5BE6">
        <w:rPr>
          <w:rFonts w:eastAsia="Times" w:cs="Times New Roman"/>
          <w:szCs w:val="20"/>
        </w:rPr>
        <w:t>coordinated</w:t>
      </w:r>
      <w:r w:rsidR="00236C1C" w:rsidRPr="007B5BE6">
        <w:rPr>
          <w:rFonts w:eastAsia="Times" w:cs="Times New Roman"/>
          <w:szCs w:val="20"/>
        </w:rPr>
        <w:t xml:space="preserve"> safeguarding response</w:t>
      </w:r>
      <w:r w:rsidR="000210ED" w:rsidRPr="007B5BE6">
        <w:rPr>
          <w:rFonts w:eastAsia="Times" w:cs="Times New Roman"/>
          <w:szCs w:val="20"/>
        </w:rPr>
        <w:t xml:space="preserve">, the TLRI’s view is that </w:t>
      </w:r>
      <w:r w:rsidR="00236C1C" w:rsidRPr="007B5BE6">
        <w:rPr>
          <w:rFonts w:eastAsia="Times" w:cs="Times New Roman"/>
          <w:szCs w:val="20"/>
        </w:rPr>
        <w:t xml:space="preserve">the </w:t>
      </w:r>
      <w:r w:rsidR="00136B13" w:rsidRPr="007B5BE6">
        <w:rPr>
          <w:rFonts w:eastAsia="Times" w:cs="Times New Roman"/>
          <w:szCs w:val="20"/>
        </w:rPr>
        <w:t>referral</w:t>
      </w:r>
      <w:r w:rsidR="00236C1C" w:rsidRPr="007B5BE6">
        <w:rPr>
          <w:rFonts w:eastAsia="Times" w:cs="Times New Roman"/>
          <w:szCs w:val="20"/>
        </w:rPr>
        <w:t xml:space="preserve"> </w:t>
      </w:r>
      <w:r w:rsidR="007F26CC" w:rsidRPr="007B5BE6">
        <w:rPr>
          <w:rFonts w:eastAsia="Times" w:cs="Times New Roman"/>
          <w:szCs w:val="20"/>
        </w:rPr>
        <w:t xml:space="preserve">powers and functions </w:t>
      </w:r>
      <w:r w:rsidR="00183C22" w:rsidRPr="007B5BE6">
        <w:rPr>
          <w:rFonts w:eastAsia="Times" w:cs="Times New Roman"/>
          <w:szCs w:val="20"/>
        </w:rPr>
        <w:t xml:space="preserve">of the </w:t>
      </w:r>
      <w:r w:rsidR="00236C1C" w:rsidRPr="007B5BE6">
        <w:rPr>
          <w:rFonts w:eastAsia="Times" w:cs="Times New Roman"/>
          <w:szCs w:val="20"/>
        </w:rPr>
        <w:t>Disability</w:t>
      </w:r>
      <w:r w:rsidR="00183C22" w:rsidRPr="007B5BE6">
        <w:rPr>
          <w:rFonts w:eastAsia="Times" w:cs="Times New Roman"/>
          <w:szCs w:val="20"/>
        </w:rPr>
        <w:t xml:space="preserve"> </w:t>
      </w:r>
      <w:r w:rsidR="00236C1C" w:rsidRPr="007B5BE6">
        <w:rPr>
          <w:rFonts w:eastAsia="Times" w:cs="Times New Roman"/>
          <w:szCs w:val="20"/>
        </w:rPr>
        <w:t>Commissioner</w:t>
      </w:r>
      <w:r w:rsidR="00183C22" w:rsidRPr="007B5BE6">
        <w:rPr>
          <w:rFonts w:eastAsia="Times" w:cs="Times New Roman"/>
          <w:szCs w:val="20"/>
        </w:rPr>
        <w:t xml:space="preserve"> provide</w:t>
      </w:r>
      <w:r w:rsidR="00236C1C" w:rsidRPr="007B5BE6">
        <w:rPr>
          <w:rFonts w:eastAsia="Times" w:cs="Times New Roman"/>
          <w:szCs w:val="20"/>
        </w:rPr>
        <w:t xml:space="preserve"> </w:t>
      </w:r>
      <w:r w:rsidR="006F3792" w:rsidRPr="007B5BE6">
        <w:rPr>
          <w:rFonts w:eastAsia="Times" w:cs="Times New Roman"/>
          <w:szCs w:val="20"/>
        </w:rPr>
        <w:t xml:space="preserve">a </w:t>
      </w:r>
      <w:r w:rsidR="00236C1C" w:rsidRPr="007B5BE6">
        <w:rPr>
          <w:rFonts w:eastAsia="Times" w:cs="Times New Roman"/>
          <w:szCs w:val="20"/>
        </w:rPr>
        <w:t>useful model</w:t>
      </w:r>
      <w:r w:rsidR="007F26CC" w:rsidRPr="007B5BE6">
        <w:rPr>
          <w:rFonts w:eastAsia="Times" w:cs="Times New Roman"/>
          <w:szCs w:val="20"/>
        </w:rPr>
        <w:t xml:space="preserve">. </w:t>
      </w:r>
      <w:r w:rsidR="00236C1C" w:rsidRPr="007B5BE6">
        <w:t xml:space="preserve">The </w:t>
      </w:r>
      <w:r w:rsidR="00236C1C" w:rsidRPr="007B5BE6">
        <w:rPr>
          <w:rFonts w:cs="Times New Roman"/>
          <w:i/>
          <w:iCs/>
          <w:szCs w:val="22"/>
        </w:rPr>
        <w:t>Disability Rights, Inclusion and Safeguarding Act 2024</w:t>
      </w:r>
      <w:r w:rsidR="00236C1C" w:rsidRPr="007B5BE6">
        <w:rPr>
          <w:rFonts w:cs="Times New Roman"/>
          <w:szCs w:val="22"/>
        </w:rPr>
        <w:t xml:space="preserve"> (Tas) </w:t>
      </w:r>
      <w:r w:rsidR="007F26CC" w:rsidRPr="007B5BE6">
        <w:rPr>
          <w:rFonts w:eastAsia="Times" w:cs="Times New Roman"/>
          <w:szCs w:val="20"/>
        </w:rPr>
        <w:t>provide</w:t>
      </w:r>
      <w:r w:rsidR="00236C1C" w:rsidRPr="007B5BE6">
        <w:rPr>
          <w:rFonts w:eastAsia="Times" w:cs="Times New Roman"/>
          <w:szCs w:val="20"/>
        </w:rPr>
        <w:t>s</w:t>
      </w:r>
      <w:r w:rsidR="007F26CC" w:rsidRPr="007B5BE6">
        <w:rPr>
          <w:rFonts w:eastAsia="Times" w:cs="Times New Roman"/>
          <w:szCs w:val="20"/>
        </w:rPr>
        <w:t xml:space="preserve"> an overarching </w:t>
      </w:r>
      <w:r w:rsidR="00E75CDE" w:rsidRPr="007B5BE6">
        <w:rPr>
          <w:rFonts w:eastAsia="Times" w:cs="Times New Roman"/>
          <w:szCs w:val="20"/>
        </w:rPr>
        <w:t xml:space="preserve">response </w:t>
      </w:r>
      <w:r w:rsidR="007F26CC" w:rsidRPr="007B5BE6">
        <w:rPr>
          <w:rFonts w:eastAsia="Times" w:cs="Times New Roman"/>
          <w:szCs w:val="20"/>
        </w:rPr>
        <w:t xml:space="preserve">mechanism </w:t>
      </w:r>
      <w:r w:rsidR="00E75CDE" w:rsidRPr="007B5BE6">
        <w:rPr>
          <w:rFonts w:eastAsia="Times" w:cs="Times New Roman"/>
          <w:szCs w:val="20"/>
        </w:rPr>
        <w:t>through</w:t>
      </w:r>
      <w:r w:rsidR="007F26CC" w:rsidRPr="007B5BE6">
        <w:rPr>
          <w:rFonts w:eastAsia="Times" w:cs="Times New Roman"/>
          <w:szCs w:val="20"/>
        </w:rPr>
        <w:t xml:space="preserve"> powers to investigate a report of abuse (which has been identified as being currently lacking</w:t>
      </w:r>
      <w:r w:rsidR="00236C1C" w:rsidRPr="007B5BE6">
        <w:rPr>
          <w:rFonts w:eastAsia="Times" w:cs="Times New Roman"/>
          <w:szCs w:val="20"/>
        </w:rPr>
        <w:t xml:space="preserve"> in relation to older people</w:t>
      </w:r>
      <w:r w:rsidR="007F26CC" w:rsidRPr="007B5BE6">
        <w:rPr>
          <w:rFonts w:eastAsia="Times" w:cs="Times New Roman"/>
          <w:szCs w:val="20"/>
        </w:rPr>
        <w:t xml:space="preserve">) and </w:t>
      </w:r>
      <w:r w:rsidR="00A40063" w:rsidRPr="007B5BE6">
        <w:rPr>
          <w:rFonts w:eastAsia="Times" w:cs="Times New Roman"/>
          <w:szCs w:val="20"/>
        </w:rPr>
        <w:t xml:space="preserve">to </w:t>
      </w:r>
      <w:r w:rsidR="007F26CC" w:rsidRPr="007B5BE6">
        <w:rPr>
          <w:rFonts w:eastAsia="Times" w:cs="Times New Roman"/>
          <w:szCs w:val="20"/>
        </w:rPr>
        <w:t xml:space="preserve">make referrals to appropriate agencies </w:t>
      </w:r>
      <w:r w:rsidR="00CE129F" w:rsidRPr="007B5BE6">
        <w:rPr>
          <w:rFonts w:eastAsia="Times" w:cs="Times New Roman"/>
          <w:szCs w:val="20"/>
        </w:rPr>
        <w:t>to consider appropriate</w:t>
      </w:r>
      <w:r w:rsidR="007F26CC" w:rsidRPr="007B5BE6">
        <w:rPr>
          <w:rFonts w:eastAsia="Times" w:cs="Times New Roman"/>
          <w:szCs w:val="20"/>
        </w:rPr>
        <w:t xml:space="preserve"> response</w:t>
      </w:r>
      <w:r w:rsidR="00CE129F" w:rsidRPr="007B5BE6">
        <w:rPr>
          <w:rFonts w:eastAsia="Times" w:cs="Times New Roman"/>
          <w:szCs w:val="20"/>
        </w:rPr>
        <w:t>s</w:t>
      </w:r>
      <w:r w:rsidR="007F26CC" w:rsidRPr="007B5BE6">
        <w:rPr>
          <w:rFonts w:eastAsia="Times" w:cs="Times New Roman"/>
          <w:szCs w:val="20"/>
        </w:rPr>
        <w:t xml:space="preserve"> (which would address concerns about the siloed and fragment</w:t>
      </w:r>
      <w:r w:rsidR="00E75CDE" w:rsidRPr="007B5BE6">
        <w:rPr>
          <w:rFonts w:eastAsia="Times" w:cs="Times New Roman"/>
          <w:szCs w:val="20"/>
        </w:rPr>
        <w:t>ed</w:t>
      </w:r>
      <w:r w:rsidR="007F26CC" w:rsidRPr="007B5BE6">
        <w:rPr>
          <w:rFonts w:eastAsia="Times" w:cs="Times New Roman"/>
          <w:szCs w:val="20"/>
        </w:rPr>
        <w:t xml:space="preserve"> current framework).</w:t>
      </w:r>
      <w:r w:rsidR="00F11C4F" w:rsidRPr="007B5BE6">
        <w:rPr>
          <w:rFonts w:eastAsia="Times" w:cs="Times New Roman"/>
          <w:szCs w:val="20"/>
        </w:rPr>
        <w:t xml:space="preserve"> Accordingly, t</w:t>
      </w:r>
      <w:r w:rsidR="008F12B3" w:rsidRPr="007B5BE6">
        <w:rPr>
          <w:rFonts w:eastAsia="Times" w:cs="Times New Roman"/>
          <w:szCs w:val="20"/>
        </w:rPr>
        <w:t xml:space="preserve">he </w:t>
      </w:r>
      <w:r w:rsidR="00CE129F" w:rsidRPr="007B5BE6">
        <w:rPr>
          <w:rFonts w:eastAsia="Times" w:cs="Times New Roman"/>
          <w:szCs w:val="20"/>
        </w:rPr>
        <w:t xml:space="preserve">TLRI’s view is that the </w:t>
      </w:r>
      <w:r w:rsidR="008F12B3" w:rsidRPr="007B5BE6">
        <w:rPr>
          <w:rFonts w:eastAsia="Times" w:cs="Times New Roman"/>
          <w:szCs w:val="20"/>
        </w:rPr>
        <w:t>Commi</w:t>
      </w:r>
      <w:r w:rsidR="00F11C4F" w:rsidRPr="007B5BE6">
        <w:rPr>
          <w:rFonts w:eastAsia="Times" w:cs="Times New Roman"/>
          <w:szCs w:val="20"/>
        </w:rPr>
        <w:t xml:space="preserve">ssioner for Older People should also be required to refer matters to other bodies or persons, where the </w:t>
      </w:r>
      <w:r w:rsidR="00C374A9" w:rsidRPr="007B5BE6">
        <w:rPr>
          <w:rFonts w:eastAsia="Times New Roman" w:cs="Times New Roman"/>
        </w:rPr>
        <w:t>Commissioner is of the opinion that the matter constitutes a complaint that</w:t>
      </w:r>
      <w:r w:rsidR="000C6AE7" w:rsidRPr="007B5BE6">
        <w:rPr>
          <w:rFonts w:eastAsia="Times New Roman" w:cs="Times New Roman"/>
        </w:rPr>
        <w:t xml:space="preserve"> may </w:t>
      </w:r>
      <w:r w:rsidR="00C374A9" w:rsidRPr="007B5BE6">
        <w:rPr>
          <w:rFonts w:eastAsia="Times New Roman" w:cs="Times New Roman"/>
        </w:rPr>
        <w:t>be made to that other person or body.</w:t>
      </w:r>
      <w:r w:rsidR="007200EF" w:rsidRPr="007B5BE6">
        <w:rPr>
          <w:rFonts w:eastAsia="Times" w:cs="Times New Roman"/>
          <w:szCs w:val="20"/>
        </w:rPr>
        <w:t xml:space="preserve"> </w:t>
      </w:r>
      <w:r w:rsidR="00076CC5" w:rsidRPr="007B5BE6">
        <w:rPr>
          <w:rFonts w:eastAsia="Times" w:cs="Times New Roman"/>
          <w:szCs w:val="20"/>
        </w:rPr>
        <w:t xml:space="preserve">However, as part of the development of the </w:t>
      </w:r>
      <w:r w:rsidR="000D0BDF" w:rsidRPr="007B5BE6">
        <w:rPr>
          <w:rFonts w:eastAsia="Times" w:cs="Times New Roman"/>
          <w:szCs w:val="20"/>
        </w:rPr>
        <w:t>statutory response</w:t>
      </w:r>
      <w:r w:rsidR="00A40063" w:rsidRPr="007B5BE6">
        <w:rPr>
          <w:rFonts w:eastAsia="Times" w:cs="Times New Roman"/>
          <w:szCs w:val="20"/>
        </w:rPr>
        <w:t xml:space="preserve"> for older people</w:t>
      </w:r>
      <w:r w:rsidR="000D0BDF" w:rsidRPr="007B5BE6">
        <w:rPr>
          <w:rFonts w:eastAsia="Times" w:cs="Times New Roman"/>
          <w:szCs w:val="20"/>
        </w:rPr>
        <w:t>, the TLRI’s view is that further targeted consultation</w:t>
      </w:r>
      <w:r w:rsidR="007F26CC" w:rsidRPr="007B5BE6">
        <w:rPr>
          <w:rFonts w:eastAsia="Times" w:cs="Times New Roman"/>
          <w:szCs w:val="20"/>
        </w:rPr>
        <w:t xml:space="preserve"> should be </w:t>
      </w:r>
      <w:r w:rsidR="000D0BDF" w:rsidRPr="007B5BE6">
        <w:rPr>
          <w:rFonts w:eastAsia="Times" w:cs="Times New Roman"/>
          <w:szCs w:val="20"/>
        </w:rPr>
        <w:t>undertaken</w:t>
      </w:r>
      <w:r w:rsidR="007F26CC" w:rsidRPr="007B5BE6">
        <w:rPr>
          <w:rFonts w:eastAsia="Times" w:cs="Times New Roman"/>
          <w:szCs w:val="20"/>
        </w:rPr>
        <w:t xml:space="preserve"> in </w:t>
      </w:r>
      <w:r w:rsidR="000D0BDF" w:rsidRPr="007B5BE6">
        <w:rPr>
          <w:rFonts w:eastAsia="Times" w:cs="Times New Roman"/>
          <w:szCs w:val="20"/>
        </w:rPr>
        <w:t>relation to</w:t>
      </w:r>
      <w:r w:rsidR="007F26CC" w:rsidRPr="007B5BE6">
        <w:rPr>
          <w:rFonts w:eastAsia="Times" w:cs="Times New Roman"/>
          <w:szCs w:val="20"/>
        </w:rPr>
        <w:t xml:space="preserve">: </w:t>
      </w:r>
    </w:p>
    <w:p w14:paraId="31F26763" w14:textId="35062A12" w:rsidR="00962B29" w:rsidRPr="007B5BE6" w:rsidRDefault="007F26CC" w:rsidP="0054077C">
      <w:pPr>
        <w:pStyle w:val="ListParagraph"/>
        <w:numPr>
          <w:ilvl w:val="0"/>
          <w:numId w:val="25"/>
        </w:numPr>
        <w:spacing w:after="240"/>
      </w:pPr>
      <w:r w:rsidRPr="007B5BE6">
        <w:t xml:space="preserve">Whether there should be powers for the </w:t>
      </w:r>
      <w:r w:rsidR="001335E8" w:rsidRPr="007B5BE6">
        <w:t>Commissioner for Older People</w:t>
      </w:r>
      <w:r w:rsidR="001335E8" w:rsidRPr="007B5BE6" w:rsidDel="001335E8">
        <w:t xml:space="preserve"> </w:t>
      </w:r>
      <w:r w:rsidRPr="007B5BE6">
        <w:t>to apply for interim restraint orders</w:t>
      </w:r>
      <w:r w:rsidR="000D0BDF" w:rsidRPr="007B5BE6">
        <w:t xml:space="preserve">. It is </w:t>
      </w:r>
      <w:r w:rsidRPr="007B5BE6">
        <w:t>not</w:t>
      </w:r>
      <w:r w:rsidR="000D0BDF" w:rsidRPr="007B5BE6">
        <w:t>ed</w:t>
      </w:r>
      <w:r w:rsidRPr="007B5BE6">
        <w:t xml:space="preserve"> that the ASU in </w:t>
      </w:r>
      <w:r w:rsidR="00D311F5" w:rsidRPr="007B5BE6">
        <w:t>SA</w:t>
      </w:r>
      <w:r w:rsidRPr="007B5BE6">
        <w:t xml:space="preserve"> has such a power and the ALRC recommended the inclusion of such powers.</w:t>
      </w:r>
      <w:r w:rsidR="009855CD" w:rsidRPr="007B5BE6">
        <w:rPr>
          <w:rStyle w:val="FootnoteReference"/>
        </w:rPr>
        <w:footnoteReference w:id="621"/>
      </w:r>
      <w:r w:rsidRPr="007B5BE6">
        <w:t xml:space="preserve"> </w:t>
      </w:r>
    </w:p>
    <w:p w14:paraId="7134946E" w14:textId="77777777" w:rsidR="00AC5C43" w:rsidRPr="007B5BE6" w:rsidRDefault="00AC5C43" w:rsidP="00AC5C43">
      <w:pPr>
        <w:pStyle w:val="ListParagraph"/>
        <w:spacing w:after="240"/>
      </w:pPr>
    </w:p>
    <w:p w14:paraId="2ADC622B" w14:textId="727442D3" w:rsidR="00771B2D" w:rsidRPr="007B5BE6" w:rsidRDefault="00A8147D" w:rsidP="00962B29">
      <w:pPr>
        <w:pStyle w:val="ListParagraph"/>
        <w:numPr>
          <w:ilvl w:val="0"/>
          <w:numId w:val="25"/>
        </w:numPr>
        <w:spacing w:after="240"/>
      </w:pPr>
      <w:r w:rsidRPr="007B5BE6">
        <w:t>Whether</w:t>
      </w:r>
      <w:r w:rsidR="00D23626" w:rsidRPr="007B5BE6">
        <w:t xml:space="preserve"> the </w:t>
      </w:r>
      <w:r w:rsidR="001335E8" w:rsidRPr="007B5BE6">
        <w:t>Commissioner for Older People</w:t>
      </w:r>
      <w:r w:rsidR="00D23626" w:rsidRPr="007B5BE6">
        <w:t xml:space="preserve"> should be able to make an application to TASCAT in relation to </w:t>
      </w:r>
      <w:r w:rsidR="0001290A" w:rsidRPr="007B5BE6">
        <w:t xml:space="preserve">possible </w:t>
      </w:r>
      <w:r w:rsidR="00D23626" w:rsidRPr="007B5BE6">
        <w:t xml:space="preserve">abuse of a power of attorney or a </w:t>
      </w:r>
      <w:r w:rsidR="007D05AF" w:rsidRPr="007B5BE6">
        <w:t>guardianship order</w:t>
      </w:r>
      <w:r w:rsidRPr="007B5BE6">
        <w:t>.</w:t>
      </w:r>
    </w:p>
    <w:p w14:paraId="6FE7D121" w14:textId="77777777" w:rsidR="00AC5C43" w:rsidRPr="007B5BE6" w:rsidRDefault="00AC5C43" w:rsidP="00AC5C43">
      <w:pPr>
        <w:pStyle w:val="ListParagraph"/>
      </w:pPr>
    </w:p>
    <w:p w14:paraId="58377040" w14:textId="0DAF79F1" w:rsidR="00771B2D" w:rsidRPr="007B5BE6" w:rsidRDefault="007F26CC" w:rsidP="00962B29">
      <w:pPr>
        <w:pStyle w:val="ListParagraph"/>
        <w:numPr>
          <w:ilvl w:val="0"/>
          <w:numId w:val="25"/>
        </w:numPr>
        <w:spacing w:after="240"/>
      </w:pPr>
      <w:r w:rsidRPr="007B5BE6">
        <w:t xml:space="preserve">Whether the </w:t>
      </w:r>
      <w:r w:rsidR="001335E8" w:rsidRPr="007B5BE6">
        <w:t>Commissioner for Older People</w:t>
      </w:r>
      <w:r w:rsidRPr="007B5BE6">
        <w:t xml:space="preserve"> should have power to refer mat</w:t>
      </w:r>
      <w:r w:rsidR="000D0BDF" w:rsidRPr="007B5BE6">
        <w:t>t</w:t>
      </w:r>
      <w:r w:rsidRPr="007B5BE6">
        <w:t>ers to TASCAT for conciliation as currently exists under other statutory complaint</w:t>
      </w:r>
      <w:r w:rsidR="00CA0B86" w:rsidRPr="007B5BE6">
        <w:t>-</w:t>
      </w:r>
      <w:r w:rsidRPr="007B5BE6">
        <w:t xml:space="preserve">receiving roles, such as the </w:t>
      </w:r>
      <w:r w:rsidR="005867B0">
        <w:t>Anti-Discrimination</w:t>
      </w:r>
      <w:r w:rsidR="003475CE">
        <w:t xml:space="preserve"> </w:t>
      </w:r>
      <w:r w:rsidRPr="007B5BE6">
        <w:t xml:space="preserve">Commissioner (see </w:t>
      </w:r>
      <w:r w:rsidR="005F4739" w:rsidRPr="007B5BE6">
        <w:t>[</w:t>
      </w:r>
      <w:r w:rsidR="00A43F9B" w:rsidRPr="007B5BE6">
        <w:t>3.3.41]–[3.3.42]</w:t>
      </w:r>
      <w:r w:rsidRPr="007B5BE6">
        <w:t xml:space="preserve">) or Health Complaints Commissioner (see </w:t>
      </w:r>
      <w:r w:rsidR="005F4739" w:rsidRPr="007B5BE6">
        <w:t>[</w:t>
      </w:r>
      <w:r w:rsidR="00A43F9B" w:rsidRPr="007B5BE6">
        <w:t>3.3.</w:t>
      </w:r>
      <w:r w:rsidR="0049302A" w:rsidRPr="007B5BE6">
        <w:t>3</w:t>
      </w:r>
      <w:r w:rsidR="00A43F9B" w:rsidRPr="007B5BE6">
        <w:t>8]–[3.3.40]</w:t>
      </w:r>
      <w:r w:rsidRPr="007B5BE6">
        <w:t>)</w:t>
      </w:r>
      <w:r w:rsidR="00771B2D" w:rsidRPr="007B5BE6">
        <w:t>.</w:t>
      </w:r>
    </w:p>
    <w:p w14:paraId="6AE82466" w14:textId="77777777" w:rsidR="00AC5C43" w:rsidRPr="007B5BE6" w:rsidRDefault="00AC5C43" w:rsidP="00AC5C43">
      <w:pPr>
        <w:pStyle w:val="ListParagraph"/>
      </w:pPr>
    </w:p>
    <w:p w14:paraId="0272E808" w14:textId="070AADE5" w:rsidR="00771B2D" w:rsidRPr="007B5BE6" w:rsidRDefault="00503689" w:rsidP="00962B29">
      <w:pPr>
        <w:pStyle w:val="ListParagraph"/>
        <w:numPr>
          <w:ilvl w:val="0"/>
          <w:numId w:val="25"/>
        </w:numPr>
        <w:spacing w:after="240"/>
      </w:pPr>
      <w:r w:rsidRPr="007B5BE6">
        <w:t>How best</w:t>
      </w:r>
      <w:r w:rsidR="007F26CC" w:rsidRPr="007B5BE6">
        <w:t xml:space="preserve"> to include a process for recognising current </w:t>
      </w:r>
      <w:r w:rsidR="005214D0" w:rsidRPr="007B5BE6">
        <w:t>safeguarding options through the Helpline</w:t>
      </w:r>
      <w:r w:rsidR="0070765B" w:rsidRPr="007B5BE6">
        <w:t>,</w:t>
      </w:r>
      <w:r w:rsidR="005214D0" w:rsidRPr="007B5BE6">
        <w:t xml:space="preserve"> as well as </w:t>
      </w:r>
      <w:r w:rsidR="007F26CC" w:rsidRPr="007B5BE6">
        <w:t>referral options, such as referral pathways in the Community of Practice</w:t>
      </w:r>
      <w:r w:rsidR="0070765B" w:rsidRPr="007B5BE6">
        <w:t>. This includes,</w:t>
      </w:r>
      <w:r w:rsidR="007F26CC" w:rsidRPr="007B5BE6">
        <w:t xml:space="preserve"> for example</w:t>
      </w:r>
      <w:r w:rsidR="0070765B" w:rsidRPr="007B5BE6">
        <w:t>,</w:t>
      </w:r>
      <w:r w:rsidR="007F26CC" w:rsidRPr="007B5BE6">
        <w:t xml:space="preserve"> mediation and counselling via the Elder Relationship Service</w:t>
      </w:r>
      <w:r w:rsidR="00A82FD7" w:rsidRPr="007B5BE6">
        <w:t>,</w:t>
      </w:r>
      <w:r w:rsidR="007F26CC" w:rsidRPr="007B5BE6">
        <w:t xml:space="preserve"> </w:t>
      </w:r>
      <w:r w:rsidR="00A40063" w:rsidRPr="007B5BE6">
        <w:t xml:space="preserve">legal services through the </w:t>
      </w:r>
      <w:r w:rsidR="007F26CC" w:rsidRPr="007B5BE6">
        <w:t>Senior Assist Program at Tasmania Legal Aid</w:t>
      </w:r>
      <w:r w:rsidR="00A82FD7" w:rsidRPr="007B5BE6">
        <w:t>,</w:t>
      </w:r>
      <w:r w:rsidR="00A40063" w:rsidRPr="007B5BE6">
        <w:t xml:space="preserve"> or advocacy support through Advocacy Tasmania</w:t>
      </w:r>
      <w:r w:rsidR="007F26CC" w:rsidRPr="007B5BE6">
        <w:t>.</w:t>
      </w:r>
    </w:p>
    <w:p w14:paraId="53D41F7B" w14:textId="77777777" w:rsidR="00AC5C43" w:rsidRPr="007B5BE6" w:rsidRDefault="00AC5C43" w:rsidP="00AC5C43">
      <w:pPr>
        <w:pStyle w:val="ListParagraph"/>
      </w:pPr>
    </w:p>
    <w:p w14:paraId="6922617D" w14:textId="196873D0" w:rsidR="007F26CC" w:rsidRPr="007B5BE6" w:rsidRDefault="004331F3" w:rsidP="00962B29">
      <w:pPr>
        <w:pStyle w:val="ListParagraph"/>
        <w:numPr>
          <w:ilvl w:val="0"/>
          <w:numId w:val="25"/>
        </w:numPr>
        <w:spacing w:after="240"/>
      </w:pPr>
      <w:r w:rsidRPr="007B5BE6">
        <w:lastRenderedPageBreak/>
        <w:t>How best to a</w:t>
      </w:r>
      <w:r w:rsidR="007F26CC" w:rsidRPr="007B5BE6">
        <w:t>ddress areas of possible overlap or interaction</w:t>
      </w:r>
      <w:r w:rsidR="0070765B" w:rsidRPr="007B5BE6">
        <w:t xml:space="preserve"> between </w:t>
      </w:r>
      <w:r w:rsidR="007F26CC" w:rsidRPr="007B5BE6">
        <w:t>the</w:t>
      </w:r>
      <w:r w:rsidR="007F26CC" w:rsidRPr="007B5BE6" w:rsidDel="0019283E">
        <w:t xml:space="preserve"> </w:t>
      </w:r>
      <w:r w:rsidR="007F26CC" w:rsidRPr="007B5BE6">
        <w:t xml:space="preserve">Commissioner </w:t>
      </w:r>
      <w:r w:rsidR="0019283E" w:rsidRPr="007B5BE6">
        <w:t>for Older People</w:t>
      </w:r>
      <w:r w:rsidR="00D32924" w:rsidRPr="007B5BE6">
        <w:t>’s role</w:t>
      </w:r>
      <w:r w:rsidR="0070765B" w:rsidRPr="007B5BE6">
        <w:t xml:space="preserve"> (if </w:t>
      </w:r>
      <w:r w:rsidR="00D32924" w:rsidRPr="007B5BE6">
        <w:t xml:space="preserve">it were to be </w:t>
      </w:r>
      <w:r w:rsidR="0070765B" w:rsidRPr="007B5BE6">
        <w:t>created)</w:t>
      </w:r>
      <w:r w:rsidR="0019283E" w:rsidRPr="007B5BE6">
        <w:t xml:space="preserve"> </w:t>
      </w:r>
      <w:r w:rsidR="007F26CC" w:rsidRPr="007B5BE6">
        <w:t>with existing similar statutory roles that operate in Tasmania</w:t>
      </w:r>
      <w:r w:rsidR="00890D86" w:rsidRPr="007B5BE6">
        <w:t xml:space="preserve">. This includes </w:t>
      </w:r>
      <w:r w:rsidR="00D868FA" w:rsidRPr="007B5BE6">
        <w:t>roles</w:t>
      </w:r>
      <w:r w:rsidR="00890D86" w:rsidRPr="007B5BE6">
        <w:t xml:space="preserve"> under Tasmanian law</w:t>
      </w:r>
      <w:r w:rsidR="007F26CC" w:rsidRPr="007B5BE6" w:rsidDel="00890D86">
        <w:t>,</w:t>
      </w:r>
      <w:r w:rsidR="007F26CC" w:rsidRPr="007B5BE6">
        <w:t xml:space="preserve"> including the Tasmanian Ombudsman (complaints about decisions by public authorities), Health Complaints Commissioner (health services complaints), </w:t>
      </w:r>
      <w:r w:rsidR="00654E57">
        <w:t>Anti-Discrimination</w:t>
      </w:r>
      <w:r w:rsidR="00654E57" w:rsidRPr="007B5BE6">
        <w:t xml:space="preserve"> </w:t>
      </w:r>
      <w:r w:rsidR="007F26CC" w:rsidRPr="007B5BE6">
        <w:t>Commissioner (complaints about discrimination</w:t>
      </w:r>
      <w:r w:rsidR="00E55B82" w:rsidRPr="007B5BE6">
        <w:t>,</w:t>
      </w:r>
      <w:r w:rsidR="007F26CC" w:rsidRPr="007B5BE6">
        <w:t xml:space="preserve"> including based on defined attributes </w:t>
      </w:r>
      <w:r w:rsidR="00E55B82" w:rsidRPr="007B5BE6">
        <w:t xml:space="preserve">such as </w:t>
      </w:r>
      <w:r w:rsidR="007F26CC" w:rsidRPr="007B5BE6">
        <w:t>age),</w:t>
      </w:r>
      <w:r w:rsidR="007F26CC" w:rsidRPr="007B5BE6" w:rsidDel="00694489">
        <w:t xml:space="preserve"> </w:t>
      </w:r>
      <w:r w:rsidR="007F26CC" w:rsidRPr="007B5BE6">
        <w:t>TASCAT (guardianship, powers of attorney and administration)</w:t>
      </w:r>
      <w:r w:rsidR="005F08DB" w:rsidRPr="007B5BE6">
        <w:t xml:space="preserve">, </w:t>
      </w:r>
      <w:r w:rsidR="001141DF" w:rsidRPr="007B5BE6">
        <w:t>the Voluntary Assisted Dying Commission</w:t>
      </w:r>
      <w:r w:rsidR="00E55B82" w:rsidRPr="007B5BE6">
        <w:t>,</w:t>
      </w:r>
      <w:r w:rsidR="00694489" w:rsidRPr="007B5BE6">
        <w:t xml:space="preserve"> and the Tasmanian </w:t>
      </w:r>
      <w:r w:rsidR="00721404" w:rsidRPr="007B5BE6">
        <w:t>NPM (</w:t>
      </w:r>
      <w:r w:rsidR="00E32758" w:rsidRPr="007B5BE6">
        <w:t xml:space="preserve">prevention of torture </w:t>
      </w:r>
      <w:r w:rsidR="004453DA" w:rsidRPr="007B5BE6">
        <w:t xml:space="preserve">and other cruel, inhuman or degrading treatment or punishment </w:t>
      </w:r>
      <w:r w:rsidR="009D2857" w:rsidRPr="007B5BE6">
        <w:t>of people deprived of liberty</w:t>
      </w:r>
      <w:r w:rsidR="009F198E" w:rsidRPr="007B5BE6">
        <w:t>)</w:t>
      </w:r>
      <w:r w:rsidR="00890D86" w:rsidRPr="007B5BE6">
        <w:t xml:space="preserve">, and </w:t>
      </w:r>
      <w:r w:rsidR="00D868FA" w:rsidRPr="007B5BE6">
        <w:t xml:space="preserve">roles </w:t>
      </w:r>
      <w:r w:rsidR="00890D86" w:rsidRPr="007B5BE6">
        <w:t>under Commonwealth laws</w:t>
      </w:r>
      <w:r w:rsidR="009F198E" w:rsidRPr="007B5BE6">
        <w:t xml:space="preserve">, including the </w:t>
      </w:r>
      <w:r w:rsidR="005012B5" w:rsidRPr="007B5BE6">
        <w:t>Aged Care Quali</w:t>
      </w:r>
      <w:r w:rsidR="00E12330" w:rsidRPr="007B5BE6">
        <w:t xml:space="preserve">ty and Safety Commission and other </w:t>
      </w:r>
      <w:r w:rsidR="00B17B82" w:rsidRPr="007B5BE6">
        <w:t>entities under the</w:t>
      </w:r>
      <w:r w:rsidR="0034234D" w:rsidRPr="007B5BE6">
        <w:t xml:space="preserve"> Commonwealth </w:t>
      </w:r>
      <w:r w:rsidR="00FB21AD" w:rsidRPr="007B5BE6">
        <w:t xml:space="preserve">systems for </w:t>
      </w:r>
      <w:r w:rsidR="0034234D" w:rsidRPr="007B5BE6">
        <w:t>aged care</w:t>
      </w:r>
      <w:r w:rsidR="00FB21AD" w:rsidRPr="007B5BE6">
        <w:t>,</w:t>
      </w:r>
      <w:r w:rsidR="0034234D" w:rsidRPr="007B5BE6">
        <w:t xml:space="preserve"> and social services</w:t>
      </w:r>
      <w:r w:rsidRPr="007B5BE6" w:rsidDel="00890D86">
        <w:t>.</w:t>
      </w:r>
    </w:p>
    <w:p w14:paraId="692C29D3" w14:textId="77777777" w:rsidR="00AC5C43" w:rsidRPr="007B5BE6" w:rsidRDefault="00AC5C43" w:rsidP="00AC5C43">
      <w:pPr>
        <w:pStyle w:val="ListParagraph"/>
      </w:pPr>
    </w:p>
    <w:p w14:paraId="47D1D8D6" w14:textId="17190AA8" w:rsidR="0094320F" w:rsidRPr="007B5BE6" w:rsidRDefault="0094320F" w:rsidP="000D0472">
      <w:pPr>
        <w:pStyle w:val="ListParagraph"/>
        <w:numPr>
          <w:ilvl w:val="0"/>
          <w:numId w:val="25"/>
        </w:numPr>
        <w:spacing w:after="240"/>
      </w:pPr>
      <w:r w:rsidRPr="007B5BE6">
        <w:t xml:space="preserve">The </w:t>
      </w:r>
      <w:r w:rsidR="006A3BB2" w:rsidRPr="007B5BE6">
        <w:t xml:space="preserve">prescribed </w:t>
      </w:r>
      <w:r w:rsidRPr="007B5BE6">
        <w:t>persons or bodies to which the Commissioner for Older People</w:t>
      </w:r>
      <w:r w:rsidR="00CA7F25" w:rsidRPr="007B5BE6">
        <w:t xml:space="preserve"> should </w:t>
      </w:r>
      <w:r w:rsidR="00A1719E" w:rsidRPr="007B5BE6">
        <w:t xml:space="preserve">have referral powers </w:t>
      </w:r>
      <w:r w:rsidR="00034805" w:rsidRPr="007B5BE6">
        <w:t>where the Commissioner is of the opinion that a matter constitutes a</w:t>
      </w:r>
      <w:r w:rsidR="006A3BB2" w:rsidRPr="007B5BE6">
        <w:t xml:space="preserve"> </w:t>
      </w:r>
      <w:r w:rsidR="00174BEE" w:rsidRPr="007B5BE6">
        <w:t>complaint</w:t>
      </w:r>
      <w:r w:rsidR="00440841" w:rsidRPr="007B5BE6">
        <w:t xml:space="preserve"> </w:t>
      </w:r>
      <w:r w:rsidR="005E212C" w:rsidRPr="007B5BE6">
        <w:t xml:space="preserve">that </w:t>
      </w:r>
      <w:r w:rsidR="00BF6E1D" w:rsidRPr="007B5BE6">
        <w:t>may be made to that other person or body</w:t>
      </w:r>
      <w:r w:rsidR="00BC31C7" w:rsidRPr="007B5BE6">
        <w:t>.</w:t>
      </w:r>
      <w:r w:rsidR="00F53F26" w:rsidRPr="007B5BE6">
        <w:rPr>
          <w:rStyle w:val="FootnoteReference"/>
          <w:rFonts w:eastAsia="Times New Roman" w:cs="Times New Roman"/>
        </w:rPr>
        <w:footnoteReference w:id="622"/>
      </w:r>
    </w:p>
    <w:p w14:paraId="2A57B99A" w14:textId="6FD507DB" w:rsidR="00F77824" w:rsidRPr="007B5BE6" w:rsidRDefault="00F77824" w:rsidP="00BE0EFC">
      <w:pPr>
        <w:spacing w:after="120"/>
        <w:rPr>
          <w:rFonts w:eastAsia="Times New Roman" w:cs="Times New Roman"/>
          <w:b/>
          <w:bCs/>
        </w:rPr>
      </w:pPr>
      <w:r w:rsidRPr="007B5BE6">
        <w:rPr>
          <w:noProof/>
        </w:rPr>
        <mc:AlternateContent>
          <mc:Choice Requires="wps">
            <w:drawing>
              <wp:inline distT="0" distB="0" distL="0" distR="0" wp14:anchorId="5A9B41A3" wp14:editId="60BA2F49">
                <wp:extent cx="5727065" cy="1288111"/>
                <wp:effectExtent l="0" t="0" r="6985" b="7620"/>
                <wp:docPr id="92924560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88111"/>
                        </a:xfrm>
                        <a:prstGeom prst="rect">
                          <a:avLst/>
                        </a:prstGeom>
                        <a:solidFill>
                          <a:srgbClr val="E8E8E8"/>
                        </a:solidFill>
                      </wps:spPr>
                      <wps:txbx>
                        <w:txbxContent>
                          <w:p w14:paraId="047D19F8" w14:textId="77777777" w:rsidR="00F77824" w:rsidRPr="006F2DE6" w:rsidRDefault="00F77824" w:rsidP="00F77824">
                            <w:pPr>
                              <w:pStyle w:val="RecommendationBoxHeading"/>
                            </w:pPr>
                            <w:r w:rsidRPr="006F2DE6">
                              <w:t>Recommendation 12</w:t>
                            </w:r>
                          </w:p>
                          <w:p w14:paraId="4E59DFD6" w14:textId="77777777" w:rsidR="00F77824" w:rsidRPr="006F2DE6" w:rsidRDefault="00F77824" w:rsidP="00F77824">
                            <w:pPr>
                              <w:pStyle w:val="RecommendationBoxText"/>
                            </w:pPr>
                            <w:r w:rsidRPr="006F2DE6">
                              <w:t>The</w:t>
                            </w:r>
                            <w:r w:rsidRPr="006F2DE6" w:rsidDel="009F0596">
                              <w:t xml:space="preserve"> </w:t>
                            </w:r>
                            <w:r w:rsidRPr="006F2DE6">
                              <w:t>Commissioner for Older People, as the safeguarding entity, should be provided with appropriate coercive powers to conduct an investigation. This should include powers to require a person to provide relevant information and also the power to enter premises</w:t>
                            </w:r>
                            <w:r w:rsidRPr="006F2DE6">
                              <w:rPr>
                                <w:bCs/>
                              </w:rPr>
                              <w:t xml:space="preserve">, in defined circumstances. This should be informed by the powers of the Disability Commissioner under the </w:t>
                            </w:r>
                            <w:r w:rsidRPr="006F2DE6">
                              <w:rPr>
                                <w:bCs/>
                                <w:i/>
                                <w:iCs/>
                              </w:rPr>
                              <w:t>Disability Rights, Inclusion and Safeguarding Act 2024</w:t>
                            </w:r>
                            <w:r w:rsidRPr="006F2DE6">
                              <w:rPr>
                                <w:bCs/>
                              </w:rPr>
                              <w:t xml:space="preserve"> (Tas).</w:t>
                            </w:r>
                          </w:p>
                          <w:p w14:paraId="64B30E80" w14:textId="77777777" w:rsidR="00F77824" w:rsidRPr="00F77824" w:rsidRDefault="00F77824" w:rsidP="00F77824">
                            <w:pPr>
                              <w:pStyle w:val="RecommendationBoxText"/>
                              <w:rPr>
                                <w:rFonts w:eastAsia="Times"/>
                              </w:rPr>
                            </w:pPr>
                          </w:p>
                        </w:txbxContent>
                      </wps:txbx>
                      <wps:bodyPr wrap="square" lIns="0" tIns="0" rIns="0" bIns="0" rtlCol="0">
                        <a:noAutofit/>
                      </wps:bodyPr>
                    </wps:wsp>
                  </a:graphicData>
                </a:graphic>
              </wp:inline>
            </w:drawing>
          </mc:Choice>
          <mc:Fallback>
            <w:pict>
              <v:shape w14:anchorId="5A9B41A3" id="_x0000_s1038" type="#_x0000_t202" style="width:450.95pt;height:10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" fillcolor="#e8e8e8" stroked="f">
                <v:textbox inset="0,0,0,0">
                  <w:txbxContent>
                    <w:p w14:paraId="047D19F8" w14:textId="77777777" w:rsidR="00F77824" w:rsidRPr="006F2DE6" w:rsidRDefault="00F77824" w:rsidP="00F77824">
                      <w:pPr>
                        <w:pStyle w:val="RecommendationBoxHeading"/>
                      </w:pPr>
                      <w:r w:rsidRPr="006F2DE6">
                        <w:t>Recommendation 12</w:t>
                      </w:r>
                    </w:p>
                    <w:p w14:paraId="4E59DFD6" w14:textId="77777777" w:rsidR="00F77824" w:rsidRPr="006F2DE6" w:rsidRDefault="00F77824" w:rsidP="00F77824">
                      <w:pPr>
                        <w:pStyle w:val="RecommendationBoxText"/>
                      </w:pPr>
                      <w:r w:rsidRPr="006F2DE6">
                        <w:t>The</w:t>
                      </w:r>
                      <w:r w:rsidRPr="006F2DE6" w:rsidDel="009F0596">
                        <w:t xml:space="preserve"> </w:t>
                      </w:r>
                      <w:r w:rsidRPr="006F2DE6">
                        <w:t>Commissioner for Older People, as the safeguarding entity, should be provided with appropriate coercive powers to conduct an investigation. This should include powers to require a person to provide relevant information and also the power to enter premises</w:t>
                      </w:r>
                      <w:r w:rsidRPr="006F2DE6">
                        <w:rPr>
                          <w:bCs/>
                        </w:rPr>
                        <w:t xml:space="preserve">, in defined circumstances. This should be informed by the powers of the Disability Commissioner under the </w:t>
                      </w:r>
                      <w:r w:rsidRPr="006F2DE6">
                        <w:rPr>
                          <w:bCs/>
                          <w:i/>
                          <w:iCs/>
                        </w:rPr>
                        <w:t>Disability Rights, Inclusion and Safeguarding Act 2024</w:t>
                      </w:r>
                      <w:r w:rsidRPr="006F2DE6">
                        <w:rPr>
                          <w:bCs/>
                        </w:rPr>
                        <w:t xml:space="preserve"> (Tas).</w:t>
                      </w:r>
                    </w:p>
                    <w:p w14:paraId="64B30E80" w14:textId="77777777" w:rsidR="00F77824" w:rsidRPr="00F77824" w:rsidRDefault="00F77824" w:rsidP="00F77824">
                      <w:pPr>
                        <w:pStyle w:val="RecommendationBoxText"/>
                        <w:rPr>
                          <w:rFonts w:eastAsia="Times"/>
                        </w:rPr>
                      </w:pPr>
                    </w:p>
                  </w:txbxContent>
                </v:textbox>
                <w10:anchorlock/>
              </v:shape>
            </w:pict>
          </mc:Fallback>
        </mc:AlternateContent>
      </w:r>
    </w:p>
    <w:p w14:paraId="12D83751" w14:textId="3F8FE295" w:rsidR="00F77824" w:rsidRPr="007B5BE6" w:rsidRDefault="00F77824" w:rsidP="00BE0EFC">
      <w:pPr>
        <w:spacing w:after="120"/>
        <w:rPr>
          <w:rFonts w:eastAsia="Times New Roman" w:cs="Times New Roman"/>
          <w:b/>
          <w:bCs/>
        </w:rPr>
      </w:pPr>
      <w:r w:rsidRPr="007B5BE6">
        <w:rPr>
          <w:noProof/>
        </w:rPr>
        <mc:AlternateContent>
          <mc:Choice Requires="wps">
            <w:drawing>
              <wp:inline distT="0" distB="0" distL="0" distR="0" wp14:anchorId="0DF44BB8" wp14:editId="4BB641B5">
                <wp:extent cx="5727065" cy="1265530"/>
                <wp:effectExtent l="0" t="0" r="6985" b="0"/>
                <wp:docPr id="1153579895"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65530"/>
                        </a:xfrm>
                        <a:prstGeom prst="rect">
                          <a:avLst/>
                        </a:prstGeom>
                        <a:solidFill>
                          <a:srgbClr val="E8E8E8"/>
                        </a:solidFill>
                      </wps:spPr>
                      <wps:txbx>
                        <w:txbxContent>
                          <w:p w14:paraId="12FFE26A" w14:textId="77777777" w:rsidR="00F77824" w:rsidRPr="006F2DE6" w:rsidRDefault="00F77824" w:rsidP="00F77824">
                            <w:pPr>
                              <w:pStyle w:val="RecommendationBoxHeading"/>
                            </w:pPr>
                            <w:r w:rsidRPr="006F2DE6">
                              <w:t>Recommendation 13</w:t>
                            </w:r>
                          </w:p>
                          <w:p w14:paraId="7D9DB0BB" w14:textId="77777777" w:rsidR="00F77824" w:rsidRPr="006F2DE6" w:rsidRDefault="00F77824" w:rsidP="00F77824">
                            <w:pPr>
                              <w:pStyle w:val="RecommendationBoxText"/>
                            </w:pPr>
                            <w:r w:rsidRPr="006F2DE6">
                              <w:t>The</w:t>
                            </w:r>
                            <w:r w:rsidRPr="006F2DE6" w:rsidDel="009F0596">
                              <w:t xml:space="preserve"> </w:t>
                            </w:r>
                            <w:r w:rsidRPr="006F2DE6">
                              <w:t xml:space="preserve">Commissioner for Older People, as the safeguarding entity, should be provided with appropriate powers to respond to a finding that an older person has experienced violence, abuse, neglect, coercion or exploitation. This should be informed by the powers of the Disability Commissioner under the </w:t>
                            </w:r>
                            <w:r w:rsidRPr="006F2DE6">
                              <w:rPr>
                                <w:i/>
                                <w:iCs/>
                              </w:rPr>
                              <w:t>Disability Rights, Inclusion and Safeguarding Act 2024</w:t>
                            </w:r>
                            <w:r w:rsidRPr="006F2DE6">
                              <w:t xml:space="preserve"> (Tas).</w:t>
                            </w:r>
                          </w:p>
                          <w:p w14:paraId="1BA8A63C" w14:textId="77777777" w:rsidR="00F77824" w:rsidRPr="00F77824" w:rsidRDefault="00F77824" w:rsidP="00F77824">
                            <w:pPr>
                              <w:pStyle w:val="RecommendationBoxText"/>
                              <w:ind w:left="0"/>
                              <w:rPr>
                                <w:rFonts w:eastAsia="Times"/>
                              </w:rPr>
                            </w:pPr>
                          </w:p>
                        </w:txbxContent>
                      </wps:txbx>
                      <wps:bodyPr wrap="square" lIns="0" tIns="0" rIns="0" bIns="0" rtlCol="0">
                        <a:noAutofit/>
                      </wps:bodyPr>
                    </wps:wsp>
                  </a:graphicData>
                </a:graphic>
              </wp:inline>
            </w:drawing>
          </mc:Choice>
          <mc:Fallback>
            <w:pict>
              <v:shape w14:anchorId="0DF44BB8" id="_x0000_s1039" type="#_x0000_t202" style="width:450.95pt;height:9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" fillcolor="#e8e8e8" stroked="f">
                <v:textbox inset="0,0,0,0">
                  <w:txbxContent>
                    <w:p w14:paraId="12FFE26A" w14:textId="77777777" w:rsidR="00F77824" w:rsidRPr="006F2DE6" w:rsidRDefault="00F77824" w:rsidP="00F77824">
                      <w:pPr>
                        <w:pStyle w:val="RecommendationBoxHeading"/>
                      </w:pPr>
                      <w:r w:rsidRPr="006F2DE6">
                        <w:t>Recommendation 13</w:t>
                      </w:r>
                    </w:p>
                    <w:p w14:paraId="7D9DB0BB" w14:textId="77777777" w:rsidR="00F77824" w:rsidRPr="006F2DE6" w:rsidRDefault="00F77824" w:rsidP="00F77824">
                      <w:pPr>
                        <w:pStyle w:val="RecommendationBoxText"/>
                      </w:pPr>
                      <w:r w:rsidRPr="006F2DE6">
                        <w:t>The</w:t>
                      </w:r>
                      <w:r w:rsidRPr="006F2DE6" w:rsidDel="009F0596">
                        <w:t xml:space="preserve"> </w:t>
                      </w:r>
                      <w:r w:rsidRPr="006F2DE6">
                        <w:t xml:space="preserve">Commissioner for Older People, as the safeguarding entity, should be provided with appropriate powers to respond to a finding that an older person has experienced violence, abuse, neglect, coercion or exploitation. This should be informed by the powers of the Disability Commissioner under the </w:t>
                      </w:r>
                      <w:r w:rsidRPr="006F2DE6">
                        <w:rPr>
                          <w:i/>
                          <w:iCs/>
                        </w:rPr>
                        <w:t>Disability Rights, Inclusion and Safeguarding Act 2024</w:t>
                      </w:r>
                      <w:r w:rsidRPr="006F2DE6">
                        <w:t xml:space="preserve"> (Tas).</w:t>
                      </w:r>
                    </w:p>
                    <w:p w14:paraId="1BA8A63C" w14:textId="77777777" w:rsidR="00F77824" w:rsidRPr="00F77824" w:rsidRDefault="00F77824" w:rsidP="00F77824">
                      <w:pPr>
                        <w:pStyle w:val="RecommendationBoxText"/>
                        <w:ind w:left="0"/>
                        <w:rPr>
                          <w:rFonts w:eastAsia="Times"/>
                        </w:rPr>
                      </w:pPr>
                    </w:p>
                  </w:txbxContent>
                </v:textbox>
                <w10:anchorlock/>
              </v:shape>
            </w:pict>
          </mc:Fallback>
        </mc:AlternateContent>
      </w:r>
    </w:p>
    <w:p w14:paraId="3027F3AD" w14:textId="7274F9A1" w:rsidR="00757DEC" w:rsidRPr="007B5BE6" w:rsidRDefault="00757DEC" w:rsidP="00BE0EFC">
      <w:pPr>
        <w:spacing w:after="120"/>
        <w:rPr>
          <w:rFonts w:eastAsia="Times New Roman" w:cs="Times New Roman"/>
          <w:b/>
        </w:rPr>
      </w:pPr>
      <w:r w:rsidRPr="007B5BE6">
        <w:rPr>
          <w:noProof/>
        </w:rPr>
        <w:lastRenderedPageBreak/>
        <mc:AlternateContent>
          <mc:Choice Requires="wps">
            <w:drawing>
              <wp:inline distT="0" distB="0" distL="0" distR="0" wp14:anchorId="0C99788C" wp14:editId="0462E22D">
                <wp:extent cx="5727065" cy="3057754"/>
                <wp:effectExtent l="0" t="0" r="6985" b="9525"/>
                <wp:docPr id="2096237513"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3057754"/>
                        </a:xfrm>
                        <a:prstGeom prst="rect">
                          <a:avLst/>
                        </a:prstGeom>
                        <a:solidFill>
                          <a:srgbClr val="E8E8E8"/>
                        </a:solidFill>
                      </wps:spPr>
                      <wps:txbx>
                        <w:txbxContent>
                          <w:p w14:paraId="663C9899" w14:textId="77777777" w:rsidR="00757DEC" w:rsidRPr="006F2DE6" w:rsidRDefault="00757DEC" w:rsidP="00757DEC">
                            <w:pPr>
                              <w:pStyle w:val="RecommendationBoxHeading"/>
                            </w:pPr>
                            <w:r w:rsidRPr="006F2DE6">
                              <w:t>Recommendation 14</w:t>
                            </w:r>
                          </w:p>
                          <w:p w14:paraId="3DB72124" w14:textId="77777777" w:rsidR="00757DEC" w:rsidRPr="006F2DE6" w:rsidRDefault="00757DEC" w:rsidP="00757DEC">
                            <w:pPr>
                              <w:pStyle w:val="RecommendationBoxText"/>
                            </w:pPr>
                            <w:r w:rsidRPr="006F2DE6">
                              <w:t>The</w:t>
                            </w:r>
                            <w:r w:rsidRPr="006F2DE6" w:rsidDel="009F0596">
                              <w:t xml:space="preserve"> </w:t>
                            </w:r>
                            <w:r w:rsidRPr="006F2DE6">
                              <w:t>Commissioner for Older People, as the safeguarding entity, should be required to make referrals in the following circumstances:</w:t>
                            </w:r>
                          </w:p>
                          <w:p w14:paraId="357F29B6" w14:textId="17018206" w:rsidR="00757DEC" w:rsidRPr="006F2DE6" w:rsidRDefault="00757DEC" w:rsidP="005A71B7">
                            <w:pPr>
                              <w:pStyle w:val="RecommendationBoxText"/>
                              <w:numPr>
                                <w:ilvl w:val="0"/>
                                <w:numId w:val="27"/>
                              </w:numPr>
                            </w:pPr>
                            <w:r w:rsidRPr="006F2DE6">
                              <w:t xml:space="preserve">if the Commissioner is of the opinion that a report or investigation may provide evidence of the commission of a criminal offence, the Commissioner must refer the report or investigation, or part of the report or investigation, to the Commissioner of Police or the Director of Public Prosecutions; and </w:t>
                            </w:r>
                          </w:p>
                          <w:p w14:paraId="6A6FF778" w14:textId="30869747" w:rsidR="00757DEC" w:rsidRPr="006F2DE6" w:rsidRDefault="00757DEC" w:rsidP="005A71B7">
                            <w:pPr>
                              <w:pStyle w:val="RecommendationBoxText"/>
                              <w:numPr>
                                <w:ilvl w:val="0"/>
                                <w:numId w:val="27"/>
                              </w:numPr>
                            </w:pPr>
                            <w:r w:rsidRPr="006F2DE6">
                              <w:t>if the Commissioner is of the opinion that a matter that is the subject of a report or investigation constitutes a complaint that may be made to a prescribed person or body (such persons or bodies to be determined and informed by consultation with relevant stakeholders), the Commissioner must refer the matter to the person or body.</w:t>
                            </w:r>
                          </w:p>
                          <w:p w14:paraId="0DB9DDEC" w14:textId="77777777" w:rsidR="00757DEC" w:rsidRPr="006F2DE6" w:rsidRDefault="00757DEC" w:rsidP="00757DEC">
                            <w:pPr>
                              <w:pStyle w:val="RecommendationBoxText"/>
                            </w:pPr>
                            <w:r w:rsidRPr="006F2DE6">
                              <w:t>Th</w:t>
                            </w:r>
                            <w:r>
                              <w:t xml:space="preserve">ese matters </w:t>
                            </w:r>
                            <w:r w:rsidRPr="006F2DE6">
                              <w:t xml:space="preserve">should be informed by the powers of the Disability Commissioner under the </w:t>
                            </w:r>
                            <w:r w:rsidRPr="006F2DE6">
                              <w:rPr>
                                <w:i/>
                                <w:iCs/>
                              </w:rPr>
                              <w:t>Disability Rights, Inclusion and Safeguarding Act 2024</w:t>
                            </w:r>
                            <w:r w:rsidRPr="006F2DE6">
                              <w:t xml:space="preserve"> (Tas). </w:t>
                            </w:r>
                          </w:p>
                          <w:p w14:paraId="7ACAF19E" w14:textId="77777777" w:rsidR="00757DEC" w:rsidRPr="00F77824" w:rsidRDefault="00757DEC" w:rsidP="00757DEC">
                            <w:pPr>
                              <w:pStyle w:val="RecommendationBoxText"/>
                              <w:ind w:left="0"/>
                              <w:rPr>
                                <w:rFonts w:eastAsia="Times"/>
                              </w:rPr>
                            </w:pPr>
                          </w:p>
                        </w:txbxContent>
                      </wps:txbx>
                      <wps:bodyPr wrap="square" lIns="0" tIns="0" rIns="0" bIns="0" rtlCol="0">
                        <a:noAutofit/>
                      </wps:bodyPr>
                    </wps:wsp>
                  </a:graphicData>
                </a:graphic>
              </wp:inline>
            </w:drawing>
          </mc:Choice>
          <mc:Fallback>
            <w:pict>
              <v:shape w14:anchorId="0C99788C" id="_x0000_s1040" type="#_x0000_t202" style="width:450.9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" fillcolor="#e8e8e8" stroked="f">
                <v:textbox inset="0,0,0,0">
                  <w:txbxContent>
                    <w:p w14:paraId="663C9899" w14:textId="77777777" w:rsidR="00757DEC" w:rsidRPr="006F2DE6" w:rsidRDefault="00757DEC" w:rsidP="00757DEC">
                      <w:pPr>
                        <w:pStyle w:val="RecommendationBoxHeading"/>
                      </w:pPr>
                      <w:r w:rsidRPr="006F2DE6">
                        <w:t>Recommendation 14</w:t>
                      </w:r>
                    </w:p>
                    <w:p w14:paraId="3DB72124" w14:textId="77777777" w:rsidR="00757DEC" w:rsidRPr="006F2DE6" w:rsidRDefault="00757DEC" w:rsidP="00757DEC">
                      <w:pPr>
                        <w:pStyle w:val="RecommendationBoxText"/>
                      </w:pPr>
                      <w:r w:rsidRPr="006F2DE6">
                        <w:t>The</w:t>
                      </w:r>
                      <w:r w:rsidRPr="006F2DE6" w:rsidDel="009F0596">
                        <w:t xml:space="preserve"> </w:t>
                      </w:r>
                      <w:r w:rsidRPr="006F2DE6">
                        <w:t>Commissioner for Older People, as the safeguarding entity, should be required to make referrals in the following circumstances:</w:t>
                      </w:r>
                    </w:p>
                    <w:p w14:paraId="357F29B6" w14:textId="17018206" w:rsidR="00757DEC" w:rsidRPr="006F2DE6" w:rsidRDefault="00757DEC" w:rsidP="005A71B7">
                      <w:pPr>
                        <w:pStyle w:val="RecommendationBoxText"/>
                        <w:numPr>
                          <w:ilvl w:val="0"/>
                          <w:numId w:val="27"/>
                        </w:numPr>
                      </w:pPr>
                      <w:r w:rsidRPr="006F2DE6">
                        <w:t xml:space="preserve">if the Commissioner is of the opinion that a report or investigation may provide evidence of the commission of a criminal offence, the Commissioner must refer the report or investigation, or part of the report or investigation, to the Commissioner of Police or the Director of Public Prosecutions; and </w:t>
                      </w:r>
                    </w:p>
                    <w:p w14:paraId="6A6FF778" w14:textId="30869747" w:rsidR="00757DEC" w:rsidRPr="006F2DE6" w:rsidRDefault="00757DEC" w:rsidP="005A71B7">
                      <w:pPr>
                        <w:pStyle w:val="RecommendationBoxText"/>
                        <w:numPr>
                          <w:ilvl w:val="0"/>
                          <w:numId w:val="27"/>
                        </w:numPr>
                      </w:pPr>
                      <w:r w:rsidRPr="006F2DE6">
                        <w:t>if the Commissioner is of the opinion that a matter that is the subject of a report or investigation constitutes a complaint that may be made to a prescribed person or body (such persons or bodies to be determined and informed by consultation with relevant stakeholders), the Commissioner must refer the matter to the person or body.</w:t>
                      </w:r>
                    </w:p>
                    <w:p w14:paraId="0DB9DDEC" w14:textId="77777777" w:rsidR="00757DEC" w:rsidRPr="006F2DE6" w:rsidRDefault="00757DEC" w:rsidP="00757DEC">
                      <w:pPr>
                        <w:pStyle w:val="RecommendationBoxText"/>
                      </w:pPr>
                      <w:r w:rsidRPr="006F2DE6">
                        <w:t>Th</w:t>
                      </w:r>
                      <w:r>
                        <w:t xml:space="preserve">ese matters </w:t>
                      </w:r>
                      <w:r w:rsidRPr="006F2DE6">
                        <w:t xml:space="preserve">should be informed by the powers of the Disability Commissioner under the </w:t>
                      </w:r>
                      <w:r w:rsidRPr="006F2DE6">
                        <w:rPr>
                          <w:i/>
                          <w:iCs/>
                        </w:rPr>
                        <w:t>Disability Rights, Inclusion and Safeguarding Act 2024</w:t>
                      </w:r>
                      <w:r w:rsidRPr="006F2DE6">
                        <w:t xml:space="preserve"> (Tas). </w:t>
                      </w:r>
                    </w:p>
                    <w:p w14:paraId="7ACAF19E" w14:textId="77777777" w:rsidR="00757DEC" w:rsidRPr="00F77824" w:rsidRDefault="00757DEC" w:rsidP="00757DEC">
                      <w:pPr>
                        <w:pStyle w:val="RecommendationBoxText"/>
                        <w:ind w:left="0"/>
                        <w:rPr>
                          <w:rFonts w:eastAsia="Times"/>
                        </w:rPr>
                      </w:pPr>
                    </w:p>
                  </w:txbxContent>
                </v:textbox>
                <w10:anchorlock/>
              </v:shape>
            </w:pict>
          </mc:Fallback>
        </mc:AlternateContent>
      </w:r>
    </w:p>
    <w:p w14:paraId="1C0C1A28" w14:textId="77777777" w:rsidR="001F53D9" w:rsidRPr="007B5BE6" w:rsidRDefault="001F53D9" w:rsidP="00E07B8B">
      <w:pPr>
        <w:pStyle w:val="Sub-HeadingTLRI"/>
        <w:spacing w:before="360"/>
      </w:pPr>
      <w:bookmarkStart w:id="592" w:name="_Toc212561802"/>
      <w:r w:rsidRPr="007B5BE6">
        <w:t>Consent thresholds and rights of older people</w:t>
      </w:r>
      <w:bookmarkEnd w:id="592"/>
    </w:p>
    <w:p w14:paraId="00350050" w14:textId="6165C35B" w:rsidR="006D042F" w:rsidRPr="007B5BE6" w:rsidRDefault="00A74A81" w:rsidP="00C4049C">
      <w:pPr>
        <w:pStyle w:val="NormalNumberedTextTLRI"/>
      </w:pPr>
      <w:r w:rsidRPr="007B5BE6">
        <w:t>In providing powers to t</w:t>
      </w:r>
      <w:r w:rsidR="009C6A7E" w:rsidRPr="007B5BE6">
        <w:t xml:space="preserve">he </w:t>
      </w:r>
      <w:r w:rsidRPr="007B5BE6">
        <w:t>Commissioner for Older People,</w:t>
      </w:r>
      <w:r w:rsidR="00B578AB" w:rsidRPr="007B5BE6">
        <w:t xml:space="preserve"> </w:t>
      </w:r>
      <w:r w:rsidR="0051631E" w:rsidRPr="007B5BE6">
        <w:t xml:space="preserve">as the </w:t>
      </w:r>
      <w:r w:rsidR="00B578AB" w:rsidRPr="007B5BE6">
        <w:t xml:space="preserve">safeguarding </w:t>
      </w:r>
      <w:r w:rsidR="00EE087E" w:rsidRPr="007B5BE6">
        <w:t>entity</w:t>
      </w:r>
      <w:r w:rsidRPr="007B5BE6">
        <w:t xml:space="preserve">, it is necessary to </w:t>
      </w:r>
      <w:r w:rsidR="0051631E" w:rsidRPr="007B5BE6">
        <w:t>consider the role of</w:t>
      </w:r>
      <w:r w:rsidR="00DB038D" w:rsidRPr="007B5BE6">
        <w:t xml:space="preserve"> the older person’s</w:t>
      </w:r>
      <w:r w:rsidR="0051631E" w:rsidRPr="007B5BE6">
        <w:t xml:space="preserve"> consent </w:t>
      </w:r>
      <w:r w:rsidR="00054E32" w:rsidRPr="007B5BE6">
        <w:t xml:space="preserve">as a prerequisite to the exercise of these powers. </w:t>
      </w:r>
      <w:r w:rsidR="0050689C" w:rsidRPr="007B5BE6">
        <w:t>Consent is crucial to affording respect to the autonomy</w:t>
      </w:r>
      <w:r w:rsidRPr="007B5BE6">
        <w:t>,</w:t>
      </w:r>
      <w:r w:rsidR="00DB038D" w:rsidRPr="007B5BE6">
        <w:t xml:space="preserve"> self-determination</w:t>
      </w:r>
      <w:r w:rsidR="0050689C" w:rsidRPr="007B5BE6">
        <w:t xml:space="preserve"> and decision-making </w:t>
      </w:r>
      <w:r w:rsidR="00402C82" w:rsidRPr="007B5BE6">
        <w:t>ability</w:t>
      </w:r>
      <w:r w:rsidR="0050689C" w:rsidRPr="007B5BE6">
        <w:t xml:space="preserve"> of older people</w:t>
      </w:r>
      <w:r w:rsidR="004A4C72" w:rsidRPr="007B5BE6">
        <w:t>,</w:t>
      </w:r>
      <w:r w:rsidR="0050689C" w:rsidRPr="007B5BE6">
        <w:t xml:space="preserve"> </w:t>
      </w:r>
      <w:r w:rsidR="00402C82" w:rsidRPr="007B5BE6">
        <w:t xml:space="preserve">and the presumption of capacity. </w:t>
      </w:r>
      <w:r w:rsidR="004A4C72" w:rsidRPr="007B5BE6">
        <w:t xml:space="preserve"> </w:t>
      </w:r>
      <w:r w:rsidR="00183AE1" w:rsidRPr="007B5BE6">
        <w:t xml:space="preserve">Therefore, consent </w:t>
      </w:r>
      <w:r w:rsidR="004A4C72" w:rsidRPr="007B5BE6">
        <w:t xml:space="preserve">ought to be </w:t>
      </w:r>
      <w:r w:rsidR="0050689C" w:rsidRPr="007B5BE6">
        <w:t xml:space="preserve">reflected in the powers and responsibilities given to the safeguarding entity. </w:t>
      </w:r>
      <w:r w:rsidR="009E6ABC" w:rsidRPr="007B5BE6">
        <w:t xml:space="preserve">Under safeguarding legislation, there are several </w:t>
      </w:r>
      <w:r w:rsidR="006D042F" w:rsidRPr="007B5BE6">
        <w:t>points at which the consent of an older person may be required:</w:t>
      </w:r>
    </w:p>
    <w:p w14:paraId="6696DBE3" w14:textId="1E31E5AC" w:rsidR="002A2384" w:rsidRPr="007B5BE6" w:rsidRDefault="00696EC2" w:rsidP="005A71B7">
      <w:pPr>
        <w:pStyle w:val="ListParagraph"/>
        <w:numPr>
          <w:ilvl w:val="0"/>
          <w:numId w:val="16"/>
        </w:numPr>
      </w:pPr>
      <w:r w:rsidRPr="007B5BE6">
        <w:t>t</w:t>
      </w:r>
      <w:r w:rsidR="00204966" w:rsidRPr="007B5BE6">
        <w:t xml:space="preserve">o make preliminary </w:t>
      </w:r>
      <w:r w:rsidR="00BB0496" w:rsidRPr="007B5BE6">
        <w:t>i</w:t>
      </w:r>
      <w:r w:rsidR="00204966" w:rsidRPr="007B5BE6">
        <w:t>nquiries or an assessment</w:t>
      </w:r>
      <w:r w:rsidRPr="007B5BE6">
        <w:t>;</w:t>
      </w:r>
    </w:p>
    <w:p w14:paraId="4F40B38D" w14:textId="77777777" w:rsidR="001C3BC7" w:rsidRPr="007B5BE6" w:rsidRDefault="001C3BC7" w:rsidP="000D0472">
      <w:pPr>
        <w:pStyle w:val="ListParagraph"/>
      </w:pPr>
    </w:p>
    <w:p w14:paraId="1AEF6354" w14:textId="33357F9C" w:rsidR="002A2384" w:rsidRPr="007B5BE6" w:rsidRDefault="0071340D" w:rsidP="005A71B7">
      <w:pPr>
        <w:pStyle w:val="ListParagraph"/>
        <w:numPr>
          <w:ilvl w:val="0"/>
          <w:numId w:val="16"/>
        </w:numPr>
      </w:pPr>
      <w:r w:rsidRPr="007B5BE6">
        <w:t>t</w:t>
      </w:r>
      <w:r w:rsidR="006D042F" w:rsidRPr="007B5BE6">
        <w:t xml:space="preserve">o </w:t>
      </w:r>
      <w:proofErr w:type="gramStart"/>
      <w:r w:rsidR="006D042F" w:rsidRPr="007B5BE6">
        <w:t>conduct an investigation</w:t>
      </w:r>
      <w:proofErr w:type="gramEnd"/>
      <w:r w:rsidRPr="007B5BE6">
        <w:t>;</w:t>
      </w:r>
    </w:p>
    <w:p w14:paraId="5604BFF3" w14:textId="77777777" w:rsidR="000D0472" w:rsidRPr="007B5BE6" w:rsidRDefault="000D0472" w:rsidP="000D0472">
      <w:pPr>
        <w:pStyle w:val="ListParagraph"/>
      </w:pPr>
    </w:p>
    <w:p w14:paraId="0B727A85" w14:textId="46C4140B" w:rsidR="002A2384" w:rsidRPr="007B5BE6" w:rsidRDefault="0071340D" w:rsidP="005A71B7">
      <w:pPr>
        <w:pStyle w:val="ListParagraph"/>
        <w:numPr>
          <w:ilvl w:val="0"/>
          <w:numId w:val="16"/>
        </w:numPr>
      </w:pPr>
      <w:r w:rsidRPr="007B5BE6">
        <w:t>t</w:t>
      </w:r>
      <w:r w:rsidR="006D042F" w:rsidRPr="007B5BE6">
        <w:t xml:space="preserve">o make a referral to another body </w:t>
      </w:r>
      <w:r w:rsidR="001857CD" w:rsidRPr="007B5BE6">
        <w:t xml:space="preserve">and/or </w:t>
      </w:r>
      <w:r w:rsidR="004C61DB" w:rsidRPr="007B5BE6">
        <w:t>to</w:t>
      </w:r>
      <w:r w:rsidR="006D042F" w:rsidRPr="007B5BE6">
        <w:t xml:space="preserve"> the police</w:t>
      </w:r>
      <w:r w:rsidRPr="007B5BE6">
        <w:t>; and</w:t>
      </w:r>
    </w:p>
    <w:p w14:paraId="0D9BA710" w14:textId="77777777" w:rsidR="000D0472" w:rsidRPr="007B5BE6" w:rsidRDefault="000D0472" w:rsidP="000D0472">
      <w:pPr>
        <w:pStyle w:val="ListParagraph"/>
      </w:pPr>
    </w:p>
    <w:p w14:paraId="420EB1DC" w14:textId="758C21D2" w:rsidR="004C61DB" w:rsidRPr="007B5BE6" w:rsidRDefault="0071340D" w:rsidP="005A71B7">
      <w:pPr>
        <w:pStyle w:val="ListParagraph"/>
        <w:numPr>
          <w:ilvl w:val="0"/>
          <w:numId w:val="16"/>
        </w:numPr>
      </w:pPr>
      <w:r w:rsidRPr="007B5BE6">
        <w:t>ot</w:t>
      </w:r>
      <w:r w:rsidR="004C61DB" w:rsidRPr="007B5BE6">
        <w:t xml:space="preserve">her </w:t>
      </w:r>
      <w:r w:rsidR="002C33E9" w:rsidRPr="007B5BE6">
        <w:t>action that may be taken following a report.</w:t>
      </w:r>
      <w:r w:rsidR="002C33E9" w:rsidRPr="007B5BE6">
        <w:rPr>
          <w:rStyle w:val="FootnoteReference"/>
        </w:rPr>
        <w:footnoteReference w:id="623"/>
      </w:r>
    </w:p>
    <w:p w14:paraId="7AF8554B" w14:textId="205E895F" w:rsidR="006D042F" w:rsidRPr="007B5BE6" w:rsidRDefault="00054E32" w:rsidP="009E0BF8">
      <w:pPr>
        <w:pStyle w:val="NormalNumberedTextTLRI"/>
        <w:numPr>
          <w:ilvl w:val="0"/>
          <w:numId w:val="0"/>
        </w:numPr>
      </w:pPr>
      <w:r w:rsidRPr="007B5BE6">
        <w:t>Accordingly, it</w:t>
      </w:r>
      <w:r w:rsidR="009E0BF8" w:rsidRPr="007B5BE6">
        <w:t xml:space="preserve"> is necessary to d</w:t>
      </w:r>
      <w:r w:rsidR="00B04315" w:rsidRPr="007B5BE6">
        <w:t>etermine at which stage</w:t>
      </w:r>
      <w:r w:rsidR="00582118" w:rsidRPr="007B5BE6">
        <w:t xml:space="preserve"> (</w:t>
      </w:r>
      <w:r w:rsidR="00536173" w:rsidRPr="007B5BE6">
        <w:t>or stages</w:t>
      </w:r>
      <w:r w:rsidR="00582118" w:rsidRPr="007B5BE6">
        <w:t>)</w:t>
      </w:r>
      <w:r w:rsidR="00B04315" w:rsidRPr="007B5BE6">
        <w:t xml:space="preserve"> consent should be</w:t>
      </w:r>
      <w:r w:rsidR="004C61DB" w:rsidRPr="007B5BE6">
        <w:t xml:space="preserve"> required, and</w:t>
      </w:r>
      <w:r w:rsidR="00E67EEE" w:rsidRPr="007B5BE6">
        <w:t xml:space="preserve">, further, </w:t>
      </w:r>
      <w:r w:rsidR="00F35FDF" w:rsidRPr="007B5BE6">
        <w:t>whether there are</w:t>
      </w:r>
      <w:r w:rsidR="004C61DB" w:rsidRPr="007B5BE6">
        <w:t xml:space="preserve"> circumstances in which consent </w:t>
      </w:r>
      <w:r w:rsidR="00F35FDF" w:rsidRPr="007B5BE6">
        <w:t xml:space="preserve">of the older person </w:t>
      </w:r>
      <w:r w:rsidR="004C61DB" w:rsidRPr="007B5BE6">
        <w:t>should not be required.</w:t>
      </w:r>
    </w:p>
    <w:p w14:paraId="69356C2D" w14:textId="131DC6B4" w:rsidR="00C4049C" w:rsidRPr="007B5BE6" w:rsidRDefault="00870317" w:rsidP="00C4049C">
      <w:pPr>
        <w:pStyle w:val="NormalNumberedTextTLRI"/>
      </w:pPr>
      <w:r w:rsidRPr="007B5BE6">
        <w:t>As to the</w:t>
      </w:r>
      <w:r w:rsidR="006E071A" w:rsidRPr="007B5BE6">
        <w:t xml:space="preserve"> circumstances where consent </w:t>
      </w:r>
      <w:r w:rsidR="00E64E80" w:rsidRPr="007B5BE6">
        <w:t>may</w:t>
      </w:r>
      <w:r w:rsidR="006E071A" w:rsidRPr="007B5BE6">
        <w:t xml:space="preserve"> not </w:t>
      </w:r>
      <w:r w:rsidR="00E64E80" w:rsidRPr="007B5BE6">
        <w:t>be</w:t>
      </w:r>
      <w:r w:rsidR="006E071A" w:rsidRPr="007B5BE6">
        <w:t xml:space="preserve"> required, the TLRI has considered the </w:t>
      </w:r>
      <w:r w:rsidRPr="007B5BE6">
        <w:t xml:space="preserve">ALRC’s </w:t>
      </w:r>
      <w:r w:rsidR="006E071A" w:rsidRPr="007B5BE6">
        <w:t xml:space="preserve">views, </w:t>
      </w:r>
      <w:r w:rsidRPr="007B5BE6">
        <w:t>stakeholders’</w:t>
      </w:r>
      <w:r w:rsidR="006E071A" w:rsidRPr="007B5BE6">
        <w:t xml:space="preserve"> feedback in</w:t>
      </w:r>
      <w:r w:rsidR="00C40004" w:rsidRPr="007B5BE6">
        <w:t xml:space="preserve"> interviews</w:t>
      </w:r>
      <w:r w:rsidRPr="007B5BE6">
        <w:t>,</w:t>
      </w:r>
      <w:r w:rsidR="006E071A" w:rsidRPr="007B5BE6">
        <w:t xml:space="preserve"> and the approach in other jurisdictions. The </w:t>
      </w:r>
      <w:r w:rsidR="00C4049C" w:rsidRPr="007B5BE6">
        <w:t>ALRC’s view was that</w:t>
      </w:r>
      <w:r w:rsidRPr="007B5BE6">
        <w:t>,</w:t>
      </w:r>
      <w:r w:rsidR="00C4049C" w:rsidRPr="007B5BE6">
        <w:t xml:space="preserve"> </w:t>
      </w:r>
      <w:r w:rsidR="00925377" w:rsidRPr="007B5BE6">
        <w:t>w</w:t>
      </w:r>
      <w:r w:rsidR="006E071A" w:rsidRPr="007B5BE6">
        <w:t>hile</w:t>
      </w:r>
      <w:r w:rsidR="00C4049C" w:rsidRPr="007B5BE6">
        <w:t xml:space="preserve"> consent should generally be a requirement, </w:t>
      </w:r>
      <w:r w:rsidR="00925377" w:rsidRPr="007B5BE6">
        <w:t xml:space="preserve">there </w:t>
      </w:r>
      <w:r w:rsidRPr="007B5BE6">
        <w:t>are</w:t>
      </w:r>
      <w:r w:rsidR="00925377" w:rsidRPr="007B5BE6">
        <w:t xml:space="preserve"> </w:t>
      </w:r>
      <w:r w:rsidR="00C4049C" w:rsidRPr="007B5BE6">
        <w:t>some limited circumstances</w:t>
      </w:r>
      <w:r w:rsidR="00925377" w:rsidRPr="007B5BE6">
        <w:t xml:space="preserve"> where it </w:t>
      </w:r>
      <w:r w:rsidRPr="007B5BE6">
        <w:t>should not be a requirement</w:t>
      </w:r>
      <w:r w:rsidR="00925377" w:rsidRPr="007B5BE6">
        <w:t xml:space="preserve"> for the safeguarding body to act</w:t>
      </w:r>
      <w:r w:rsidR="00C4049C" w:rsidRPr="007B5BE6">
        <w:t xml:space="preserve">. These </w:t>
      </w:r>
      <w:r w:rsidR="00925377" w:rsidRPr="007B5BE6">
        <w:t>circumstances</w:t>
      </w:r>
      <w:r w:rsidR="00C4049C" w:rsidRPr="007B5BE6">
        <w:t xml:space="preserve"> </w:t>
      </w:r>
      <w:r w:rsidRPr="007B5BE6">
        <w:t>included</w:t>
      </w:r>
      <w:r w:rsidR="00C4049C" w:rsidRPr="007B5BE6">
        <w:t xml:space="preserve"> serious cases of physical abuse, sexual abuse or neglect, or where the person </w:t>
      </w:r>
      <w:r w:rsidRPr="007B5BE6">
        <w:t>could not</w:t>
      </w:r>
      <w:r w:rsidR="00C4049C" w:rsidRPr="007B5BE6">
        <w:t xml:space="preserve"> </w:t>
      </w:r>
      <w:r w:rsidR="007155E1" w:rsidRPr="007B5BE6">
        <w:t xml:space="preserve">be </w:t>
      </w:r>
      <w:r w:rsidR="00C4049C" w:rsidRPr="007B5BE6">
        <w:t>contacted after efforts to do so, or where the person lacks the legal capacity to give consent.</w:t>
      </w:r>
      <w:r w:rsidR="00BE28DD" w:rsidRPr="007B5BE6">
        <w:rPr>
          <w:rStyle w:val="FootnoteReference"/>
        </w:rPr>
        <w:footnoteReference w:id="624"/>
      </w:r>
      <w:r w:rsidR="00925377" w:rsidRPr="007B5BE6">
        <w:t xml:space="preserve"> </w:t>
      </w:r>
      <w:r w:rsidR="00C4049C" w:rsidRPr="007B5BE6">
        <w:t>Th</w:t>
      </w:r>
      <w:r w:rsidRPr="007B5BE6">
        <w:t xml:space="preserve">e ALRC’s view was that </w:t>
      </w:r>
      <w:r w:rsidR="00FE4802" w:rsidRPr="007B5BE6">
        <w:t xml:space="preserve">this </w:t>
      </w:r>
      <w:r w:rsidR="00C4049C" w:rsidRPr="007B5BE6">
        <w:t>appropriate</w:t>
      </w:r>
      <w:r w:rsidRPr="007B5BE6">
        <w:t>ly</w:t>
      </w:r>
      <w:r w:rsidR="00C4049C" w:rsidRPr="007B5BE6">
        <w:t xml:space="preserve"> balance</w:t>
      </w:r>
      <w:r w:rsidRPr="007B5BE6">
        <w:t>d</w:t>
      </w:r>
      <w:r w:rsidR="00C4049C" w:rsidRPr="007B5BE6">
        <w:t xml:space="preserve"> safeguarding </w:t>
      </w:r>
      <w:r w:rsidRPr="007B5BE6">
        <w:t xml:space="preserve">with </w:t>
      </w:r>
      <w:r w:rsidR="00C4049C" w:rsidRPr="007B5BE6">
        <w:t xml:space="preserve">respecting </w:t>
      </w:r>
      <w:r w:rsidRPr="007B5BE6">
        <w:t xml:space="preserve">the </w:t>
      </w:r>
      <w:r w:rsidR="00C4049C" w:rsidRPr="007B5BE6">
        <w:t xml:space="preserve">autonomy and liberty of the older person. This approach </w:t>
      </w:r>
      <w:r w:rsidR="00B70098" w:rsidRPr="007B5BE6">
        <w:t xml:space="preserve">is </w:t>
      </w:r>
      <w:r w:rsidR="00C4049C" w:rsidRPr="007B5BE6">
        <w:t>reflect</w:t>
      </w:r>
      <w:r w:rsidR="00B70098" w:rsidRPr="007B5BE6">
        <w:t>ed in</w:t>
      </w:r>
      <w:r w:rsidR="00C4049C" w:rsidRPr="007B5BE6">
        <w:t xml:space="preserve"> the model</w:t>
      </w:r>
      <w:r w:rsidRPr="007B5BE6">
        <w:t>s</w:t>
      </w:r>
      <w:r w:rsidR="00C4049C" w:rsidRPr="007B5BE6">
        <w:t xml:space="preserve"> adopted in </w:t>
      </w:r>
      <w:r w:rsidR="007E578F" w:rsidRPr="007B5BE6">
        <w:t xml:space="preserve"> NSW and SA</w:t>
      </w:r>
      <w:r w:rsidR="00C4049C" w:rsidRPr="007B5BE6">
        <w:t xml:space="preserve">, which are closely aligned with the </w:t>
      </w:r>
      <w:r w:rsidRPr="007B5BE6">
        <w:t xml:space="preserve">ALRC’s </w:t>
      </w:r>
      <w:r w:rsidR="00C4049C" w:rsidRPr="007B5BE6">
        <w:t>recommendation</w:t>
      </w:r>
      <w:r w:rsidRPr="007B5BE6">
        <w:t>s regardi</w:t>
      </w:r>
      <w:r w:rsidR="00B70098" w:rsidRPr="007B5BE6">
        <w:t>ng</w:t>
      </w:r>
      <w:r w:rsidR="00C4049C" w:rsidRPr="007B5BE6">
        <w:t xml:space="preserve"> consent.</w:t>
      </w:r>
      <w:r w:rsidR="00BE28DD" w:rsidRPr="007B5BE6">
        <w:rPr>
          <w:rStyle w:val="FootnoteReference"/>
        </w:rPr>
        <w:footnoteReference w:id="625"/>
      </w:r>
      <w:r w:rsidR="00C4049C" w:rsidRPr="007B5BE6">
        <w:t xml:space="preserve"> </w:t>
      </w:r>
      <w:r w:rsidR="00B872AF" w:rsidRPr="007B5BE6">
        <w:t xml:space="preserve">This </w:t>
      </w:r>
      <w:r w:rsidR="00B70098" w:rsidRPr="007B5BE6">
        <w:t xml:space="preserve">approach is also </w:t>
      </w:r>
      <w:r w:rsidR="00B872AF" w:rsidRPr="007B5BE6">
        <w:t>reflect</w:t>
      </w:r>
      <w:r w:rsidR="00B70098" w:rsidRPr="007B5BE6">
        <w:t>ed in</w:t>
      </w:r>
      <w:r w:rsidR="00B872AF" w:rsidRPr="007B5BE6">
        <w:t xml:space="preserve"> the </w:t>
      </w:r>
      <w:r w:rsidR="00B872AF" w:rsidRPr="007B5BE6">
        <w:rPr>
          <w:i/>
        </w:rPr>
        <w:t xml:space="preserve">Disability Rights, Inclusion and Safeguarding Act 2024 </w:t>
      </w:r>
      <w:r w:rsidR="00B872AF" w:rsidRPr="007B5BE6">
        <w:t xml:space="preserve">(Tas), where the </w:t>
      </w:r>
      <w:r w:rsidR="002514F3" w:rsidRPr="007B5BE6">
        <w:t xml:space="preserve">Disability </w:t>
      </w:r>
      <w:r w:rsidR="00B872AF" w:rsidRPr="007B5BE6">
        <w:t xml:space="preserve">Commissioner must obtain the consent of a person before conducting an investigation </w:t>
      </w:r>
      <w:r w:rsidR="00B872AF" w:rsidRPr="007B5BE6">
        <w:lastRenderedPageBreak/>
        <w:t>unless the person is incapable of giving consent</w:t>
      </w:r>
      <w:r w:rsidR="003A6044" w:rsidRPr="007B5BE6">
        <w:t>,</w:t>
      </w:r>
      <w:r w:rsidR="00B872AF" w:rsidRPr="007B5BE6">
        <w:t xml:space="preserve"> or it is not necessary to obtain consent due to the seriousness of the allegation or the risk to the personal safety of the person.</w:t>
      </w:r>
      <w:r w:rsidR="00996B9B" w:rsidRPr="007B5BE6">
        <w:rPr>
          <w:rStyle w:val="FootnoteReference"/>
        </w:rPr>
        <w:footnoteReference w:id="626"/>
      </w:r>
      <w:r w:rsidR="00B872AF" w:rsidRPr="007B5BE6" w:rsidDel="00B417A4">
        <w:t xml:space="preserve"> </w:t>
      </w:r>
      <w:r w:rsidR="00B872AF" w:rsidRPr="007B5BE6">
        <w:t xml:space="preserve">In addition, the TLRI’s view is that the </w:t>
      </w:r>
      <w:r w:rsidR="001335E8" w:rsidRPr="007B5BE6">
        <w:t>Commissioner for Older People</w:t>
      </w:r>
      <w:r w:rsidR="001335E8" w:rsidRPr="007B5BE6" w:rsidDel="001335E8">
        <w:t xml:space="preserve"> </w:t>
      </w:r>
      <w:r w:rsidR="00B872AF" w:rsidRPr="007B5BE6">
        <w:t xml:space="preserve">should </w:t>
      </w:r>
      <w:r w:rsidR="003A6044" w:rsidRPr="007B5BE6">
        <w:t>be empowered to</w:t>
      </w:r>
      <w:r w:rsidR="00B872AF" w:rsidRPr="007B5BE6">
        <w:t xml:space="preserve"> investigate</w:t>
      </w:r>
      <w:r w:rsidR="002514F3" w:rsidRPr="007B5BE6">
        <w:t>,</w:t>
      </w:r>
      <w:r w:rsidR="00B872AF" w:rsidRPr="007B5BE6">
        <w:t xml:space="preserve"> if a</w:t>
      </w:r>
      <w:r w:rsidR="003A6044" w:rsidRPr="007B5BE6">
        <w:t>n older</w:t>
      </w:r>
      <w:r w:rsidR="00B872AF" w:rsidRPr="007B5BE6">
        <w:t xml:space="preserve"> person cannot be contacted after reasonable efforts to obtain access to the person.</w:t>
      </w:r>
    </w:p>
    <w:p w14:paraId="709D5023" w14:textId="6FE19339" w:rsidR="00385979" w:rsidRPr="007B5BE6" w:rsidRDefault="00BB0496" w:rsidP="00E64E80">
      <w:pPr>
        <w:pStyle w:val="NormalNumberedTextTLRI"/>
        <w:rPr>
          <w:i/>
        </w:rPr>
      </w:pPr>
      <w:r w:rsidRPr="007B5BE6">
        <w:t xml:space="preserve">The TLRI’s view is that consent should </w:t>
      </w:r>
      <w:r w:rsidR="00E64E80" w:rsidRPr="007B5BE6">
        <w:t xml:space="preserve">also </w:t>
      </w:r>
      <w:r w:rsidRPr="007B5BE6">
        <w:t xml:space="preserve">not be required </w:t>
      </w:r>
      <w:r w:rsidR="002514F3" w:rsidRPr="007B5BE6">
        <w:t xml:space="preserve">for </w:t>
      </w:r>
      <w:r w:rsidR="00573AAB" w:rsidRPr="007B5BE6">
        <w:t xml:space="preserve">the </w:t>
      </w:r>
      <w:r w:rsidR="002514F3" w:rsidRPr="007B5BE6">
        <w:t>Commissioner for Older People</w:t>
      </w:r>
      <w:r w:rsidR="002514F3" w:rsidRPr="007B5BE6" w:rsidDel="001335E8">
        <w:t xml:space="preserve"> </w:t>
      </w:r>
      <w:r w:rsidRPr="007B5BE6">
        <w:t xml:space="preserve">to make </w:t>
      </w:r>
      <w:r w:rsidR="002514F3" w:rsidRPr="007B5BE6">
        <w:t xml:space="preserve">a </w:t>
      </w:r>
      <w:r w:rsidRPr="007B5BE6">
        <w:t xml:space="preserve">preliminary </w:t>
      </w:r>
      <w:r w:rsidR="000F319D" w:rsidRPr="007B5BE6">
        <w:t xml:space="preserve">inquiry or assessment </w:t>
      </w:r>
      <w:r w:rsidR="0030537C" w:rsidRPr="007B5BE6">
        <w:t xml:space="preserve">of a report, </w:t>
      </w:r>
      <w:r w:rsidR="000F319D" w:rsidRPr="007B5BE6">
        <w:t>given that part of th</w:t>
      </w:r>
      <w:r w:rsidR="005843F1" w:rsidRPr="007B5BE6">
        <w:t xml:space="preserve">is </w:t>
      </w:r>
      <w:r w:rsidR="00FD2B7A" w:rsidRPr="007B5BE6">
        <w:t>initial</w:t>
      </w:r>
      <w:r w:rsidR="005843F1" w:rsidRPr="007B5BE6">
        <w:t xml:space="preserve"> process may necessarily involve </w:t>
      </w:r>
      <w:r w:rsidR="00FD2B7A" w:rsidRPr="007B5BE6">
        <w:t>contacting</w:t>
      </w:r>
      <w:r w:rsidR="005843F1" w:rsidRPr="007B5BE6">
        <w:t xml:space="preserve"> the person who made the report to </w:t>
      </w:r>
      <w:r w:rsidR="00FD2B7A" w:rsidRPr="007B5BE6">
        <w:t xml:space="preserve">find out more </w:t>
      </w:r>
      <w:proofErr w:type="gramStart"/>
      <w:r w:rsidR="00FD2B7A" w:rsidRPr="007B5BE6">
        <w:t>information, and</w:t>
      </w:r>
      <w:proofErr w:type="gramEnd"/>
      <w:r w:rsidR="00FD2B7A" w:rsidRPr="007B5BE6">
        <w:t xml:space="preserve"> also determi</w:t>
      </w:r>
      <w:r w:rsidR="002228FF" w:rsidRPr="007B5BE6">
        <w:t>ning</w:t>
      </w:r>
      <w:r w:rsidR="00FD2B7A" w:rsidRPr="007B5BE6">
        <w:t xml:space="preserve"> how to contact the older person. </w:t>
      </w:r>
      <w:r w:rsidR="003A1AAA" w:rsidRPr="007B5BE6">
        <w:t>This reflects the approach in other jurisdictions</w:t>
      </w:r>
      <w:r w:rsidR="002228FF" w:rsidRPr="007B5BE6">
        <w:t xml:space="preserve">, as well as in </w:t>
      </w:r>
      <w:r w:rsidR="003A1AAA" w:rsidRPr="007B5BE6">
        <w:t xml:space="preserve">Tasmania </w:t>
      </w:r>
      <w:r w:rsidR="00F01C15" w:rsidRPr="007B5BE6">
        <w:t xml:space="preserve">in </w:t>
      </w:r>
      <w:r w:rsidR="003A1AAA" w:rsidRPr="007B5BE6">
        <w:t xml:space="preserve">the </w:t>
      </w:r>
      <w:r w:rsidR="00F01C15" w:rsidRPr="007B5BE6">
        <w:t xml:space="preserve">approach to the </w:t>
      </w:r>
      <w:r w:rsidR="003A1AAA" w:rsidRPr="007B5BE6">
        <w:t>Disability Commissioner</w:t>
      </w:r>
      <w:r w:rsidR="002228FF" w:rsidRPr="007B5BE6">
        <w:t>’s role</w:t>
      </w:r>
      <w:r w:rsidR="003A1AAA" w:rsidRPr="007B5BE6">
        <w:t>.</w:t>
      </w:r>
      <w:r w:rsidR="00D337AD" w:rsidRPr="007B5BE6">
        <w:t xml:space="preserve"> However, aligned with the </w:t>
      </w:r>
      <w:r w:rsidR="008F3A4A" w:rsidRPr="007B5BE6">
        <w:t xml:space="preserve">recommendations of the ALRC and </w:t>
      </w:r>
      <w:r w:rsidR="00B235CB" w:rsidRPr="007B5BE6">
        <w:t xml:space="preserve">the views expressed in </w:t>
      </w:r>
      <w:r w:rsidR="00473B79" w:rsidRPr="007B5BE6">
        <w:t xml:space="preserve">the TLRI’s </w:t>
      </w:r>
      <w:r w:rsidR="00C40004" w:rsidRPr="007B5BE6">
        <w:t xml:space="preserve">stakeholder interviews </w:t>
      </w:r>
      <w:r w:rsidR="00473B79" w:rsidRPr="007B5BE6">
        <w:t>(</w:t>
      </w:r>
      <w:r w:rsidR="00B235CB" w:rsidRPr="007B5BE6">
        <w:t xml:space="preserve">as well as </w:t>
      </w:r>
      <w:r w:rsidR="00473B79" w:rsidRPr="007B5BE6">
        <w:t xml:space="preserve">other jurisdictions’ </w:t>
      </w:r>
      <w:r w:rsidR="00B235CB" w:rsidRPr="007B5BE6">
        <w:t>approach</w:t>
      </w:r>
      <w:r w:rsidR="00473B79" w:rsidRPr="007B5BE6">
        <w:t>es</w:t>
      </w:r>
      <w:r w:rsidR="00B235CB" w:rsidRPr="007B5BE6">
        <w:t>)</w:t>
      </w:r>
      <w:r w:rsidR="00E64E80" w:rsidRPr="007B5BE6">
        <w:t xml:space="preserve">, the TLRI’s view is that </w:t>
      </w:r>
      <w:r w:rsidR="00B235CB" w:rsidRPr="007B5BE6">
        <w:t xml:space="preserve">consent should be required </w:t>
      </w:r>
      <w:r w:rsidR="00406652" w:rsidRPr="007B5BE6">
        <w:t>for the Commissioner to investigate</w:t>
      </w:r>
      <w:r w:rsidR="007C5D1B" w:rsidRPr="007B5BE6">
        <w:t xml:space="preserve"> (as explained at [4.5.38])</w:t>
      </w:r>
      <w:r w:rsidR="00AD4810" w:rsidRPr="007B5BE6">
        <w:t>. Th</w:t>
      </w:r>
      <w:r w:rsidR="00F01C15" w:rsidRPr="007B5BE6">
        <w:t>us, the</w:t>
      </w:r>
      <w:r w:rsidR="00AD4810" w:rsidRPr="007B5BE6">
        <w:t xml:space="preserve"> TLRI’s view is that t</w:t>
      </w:r>
      <w:r w:rsidR="00C4049C" w:rsidRPr="007B5BE6">
        <w:t xml:space="preserve">he first step </w:t>
      </w:r>
      <w:r w:rsidR="00AD4810" w:rsidRPr="007B5BE6">
        <w:t>should be</w:t>
      </w:r>
      <w:r w:rsidR="00C4049C" w:rsidRPr="007B5BE6">
        <w:t xml:space="preserve"> to contact the person who is the subject of the report and to obtain </w:t>
      </w:r>
      <w:r w:rsidR="00B872AF" w:rsidRPr="007B5BE6">
        <w:t xml:space="preserve">their </w:t>
      </w:r>
      <w:r w:rsidR="00C4049C" w:rsidRPr="007B5BE6">
        <w:t>consent before taking further action, other than in limited (and legislatively defined) circumstances</w:t>
      </w:r>
      <w:r w:rsidR="00B872AF" w:rsidRPr="007B5BE6">
        <w:t xml:space="preserve"> (as set out at</w:t>
      </w:r>
      <w:r w:rsidR="002130C6" w:rsidRPr="007B5BE6">
        <w:t xml:space="preserve"> [4.5.38]</w:t>
      </w:r>
      <w:r w:rsidR="00E64E80" w:rsidRPr="007B5BE6">
        <w:t>).</w:t>
      </w:r>
      <w:r w:rsidR="00C4049C" w:rsidRPr="007B5BE6">
        <w:rPr>
          <w:i/>
        </w:rPr>
        <w:t xml:space="preserve"> </w:t>
      </w:r>
    </w:p>
    <w:p w14:paraId="103BE56D" w14:textId="67055D4C" w:rsidR="00AE5255" w:rsidRPr="007B5BE6" w:rsidRDefault="00945E04" w:rsidP="001F53D9">
      <w:pPr>
        <w:numPr>
          <w:ilvl w:val="2"/>
          <w:numId w:val="2"/>
        </w:numPr>
        <w:tabs>
          <w:tab w:val="left" w:pos="851"/>
        </w:tabs>
        <w:spacing w:before="220"/>
        <w:rPr>
          <w:rFonts w:eastAsia="Times" w:cs="Times New Roman"/>
          <w:szCs w:val="20"/>
        </w:rPr>
      </w:pPr>
      <w:r w:rsidRPr="007B5BE6">
        <w:rPr>
          <w:rFonts w:eastAsia="Times" w:cs="Times New Roman"/>
          <w:szCs w:val="20"/>
        </w:rPr>
        <w:t xml:space="preserve">Further </w:t>
      </w:r>
      <w:r w:rsidR="009F5313" w:rsidRPr="007B5BE6">
        <w:rPr>
          <w:rFonts w:eastAsia="Times" w:cs="Times New Roman"/>
          <w:szCs w:val="20"/>
        </w:rPr>
        <w:t xml:space="preserve">issues in relation to consent </w:t>
      </w:r>
      <w:r w:rsidR="00AE5255" w:rsidRPr="007B5BE6">
        <w:rPr>
          <w:rFonts w:eastAsia="Times" w:cs="Times New Roman"/>
          <w:szCs w:val="20"/>
        </w:rPr>
        <w:t>relate to</w:t>
      </w:r>
      <w:r w:rsidR="001A7F5E" w:rsidRPr="007B5BE6">
        <w:rPr>
          <w:rFonts w:eastAsia="Times" w:cs="Times New Roman"/>
          <w:szCs w:val="20"/>
        </w:rPr>
        <w:t xml:space="preserve"> other circumstances </w:t>
      </w:r>
      <w:r w:rsidR="00634D3E" w:rsidRPr="007B5BE6">
        <w:rPr>
          <w:rFonts w:eastAsia="Times" w:cs="Times New Roman"/>
          <w:szCs w:val="20"/>
        </w:rPr>
        <w:t xml:space="preserve">where the safeguarding entity may be empowered to take actions, for example </w:t>
      </w:r>
      <w:r w:rsidR="00E64E80" w:rsidRPr="007B5BE6">
        <w:rPr>
          <w:rFonts w:eastAsia="Times" w:cs="Times New Roman"/>
          <w:szCs w:val="20"/>
        </w:rPr>
        <w:t xml:space="preserve">when considering </w:t>
      </w:r>
      <w:r w:rsidR="00A20873" w:rsidRPr="007B5BE6">
        <w:rPr>
          <w:rFonts w:eastAsia="Times" w:cs="Times New Roman"/>
          <w:szCs w:val="20"/>
        </w:rPr>
        <w:t>referrals</w:t>
      </w:r>
      <w:r w:rsidR="00E64E80" w:rsidRPr="007B5BE6">
        <w:rPr>
          <w:rFonts w:eastAsia="Times" w:cs="Times New Roman"/>
          <w:szCs w:val="20"/>
        </w:rPr>
        <w:t xml:space="preserve"> </w:t>
      </w:r>
      <w:r w:rsidR="001A7F5E" w:rsidRPr="007B5BE6">
        <w:rPr>
          <w:rFonts w:eastAsia="Times" w:cs="Times New Roman"/>
          <w:szCs w:val="20"/>
        </w:rPr>
        <w:t xml:space="preserve">of matters </w:t>
      </w:r>
      <w:r w:rsidR="00E64E80" w:rsidRPr="007B5BE6">
        <w:rPr>
          <w:rFonts w:eastAsia="Times" w:cs="Times New Roman"/>
          <w:szCs w:val="20"/>
        </w:rPr>
        <w:t xml:space="preserve">to </w:t>
      </w:r>
      <w:r w:rsidR="00EE75BF" w:rsidRPr="007B5BE6">
        <w:rPr>
          <w:rFonts w:eastAsia="Times" w:cs="Times New Roman"/>
          <w:szCs w:val="20"/>
        </w:rPr>
        <w:t xml:space="preserve">other </w:t>
      </w:r>
      <w:r w:rsidR="00E64E80" w:rsidRPr="007B5BE6">
        <w:rPr>
          <w:rFonts w:eastAsia="Times" w:cs="Times New Roman"/>
          <w:szCs w:val="20"/>
        </w:rPr>
        <w:t>agencies, including police</w:t>
      </w:r>
      <w:r w:rsidR="00C521CB" w:rsidRPr="007B5BE6">
        <w:rPr>
          <w:rFonts w:eastAsia="Times" w:cs="Times New Roman"/>
          <w:szCs w:val="20"/>
        </w:rPr>
        <w:t>,</w:t>
      </w:r>
      <w:r w:rsidR="00363D4B" w:rsidRPr="007B5BE6">
        <w:rPr>
          <w:rFonts w:eastAsia="Times" w:cs="Times New Roman"/>
          <w:szCs w:val="20"/>
        </w:rPr>
        <w:t xml:space="preserve"> or other </w:t>
      </w:r>
      <w:r w:rsidR="00444506" w:rsidRPr="007B5BE6">
        <w:rPr>
          <w:rFonts w:eastAsia="Times" w:cs="Times New Roman"/>
          <w:szCs w:val="20"/>
        </w:rPr>
        <w:t>persons or bodies</w:t>
      </w:r>
      <w:r w:rsidR="00C521CB" w:rsidRPr="007B5BE6">
        <w:rPr>
          <w:rFonts w:eastAsia="Times" w:cs="Times New Roman"/>
          <w:szCs w:val="20"/>
        </w:rPr>
        <w:t xml:space="preserve">, </w:t>
      </w:r>
      <w:r w:rsidR="00444506" w:rsidRPr="007B5BE6">
        <w:rPr>
          <w:rFonts w:eastAsia="Times" w:cs="Times New Roman"/>
          <w:szCs w:val="20"/>
        </w:rPr>
        <w:t xml:space="preserve">who can receive </w:t>
      </w:r>
      <w:r w:rsidR="00363D4B" w:rsidRPr="007B5BE6">
        <w:rPr>
          <w:rFonts w:eastAsia="Times" w:cs="Times New Roman"/>
          <w:szCs w:val="20"/>
        </w:rPr>
        <w:t>complaint</w:t>
      </w:r>
      <w:r w:rsidR="00C521CB" w:rsidRPr="007B5BE6">
        <w:rPr>
          <w:rFonts w:eastAsia="Times" w:cs="Times New Roman"/>
          <w:szCs w:val="20"/>
        </w:rPr>
        <w:t>s</w:t>
      </w:r>
      <w:r w:rsidR="00A26C39" w:rsidRPr="007B5BE6">
        <w:rPr>
          <w:rFonts w:eastAsia="Times" w:cs="Times New Roman"/>
          <w:szCs w:val="20"/>
        </w:rPr>
        <w:t xml:space="preserve">. </w:t>
      </w:r>
      <w:r w:rsidR="0041465C" w:rsidRPr="007B5BE6">
        <w:rPr>
          <w:rFonts w:eastAsia="Times" w:cs="Times New Roman"/>
          <w:szCs w:val="20"/>
        </w:rPr>
        <w:t>As noted</w:t>
      </w:r>
      <w:r w:rsidR="001F503E" w:rsidRPr="007B5BE6">
        <w:rPr>
          <w:rFonts w:eastAsia="Times" w:cs="Times New Roman"/>
          <w:szCs w:val="20"/>
        </w:rPr>
        <w:t xml:space="preserve"> at </w:t>
      </w:r>
      <w:r w:rsidR="00FA5597" w:rsidRPr="007B5BE6">
        <w:rPr>
          <w:rFonts w:eastAsia="Times" w:cs="Times New Roman"/>
          <w:szCs w:val="20"/>
        </w:rPr>
        <w:t>[3.3.</w:t>
      </w:r>
      <w:r w:rsidR="0031106C" w:rsidRPr="007B5BE6">
        <w:rPr>
          <w:rFonts w:eastAsia="Times" w:cs="Times New Roman"/>
          <w:szCs w:val="20"/>
        </w:rPr>
        <w:t>36],</w:t>
      </w:r>
      <w:r w:rsidR="0041465C" w:rsidRPr="007B5BE6">
        <w:rPr>
          <w:rFonts w:eastAsia="Times" w:cs="Times New Roman"/>
          <w:szCs w:val="20"/>
        </w:rPr>
        <w:t xml:space="preserve"> under the </w:t>
      </w:r>
      <w:r w:rsidR="00DB5A41" w:rsidRPr="007B5BE6">
        <w:rPr>
          <w:rFonts w:eastAsia="Times" w:cs="Times New Roman"/>
          <w:i/>
          <w:szCs w:val="20"/>
        </w:rPr>
        <w:t xml:space="preserve">Disability Rights, Inclusion and Safeguarding Act 2024 </w:t>
      </w:r>
      <w:r w:rsidR="00DB5A41" w:rsidRPr="007B5BE6">
        <w:rPr>
          <w:rFonts w:eastAsia="Times" w:cs="Times New Roman"/>
          <w:iCs/>
          <w:szCs w:val="20"/>
        </w:rPr>
        <w:t xml:space="preserve">(Tas), there is a mandatory requirement to </w:t>
      </w:r>
      <w:r w:rsidR="002847AA" w:rsidRPr="007B5BE6">
        <w:rPr>
          <w:rFonts w:eastAsia="Times" w:cs="Times New Roman"/>
          <w:iCs/>
          <w:szCs w:val="20"/>
        </w:rPr>
        <w:t>report</w:t>
      </w:r>
      <w:r w:rsidR="00DB5A41" w:rsidRPr="007B5BE6">
        <w:rPr>
          <w:rFonts w:eastAsia="Times" w:cs="Times New Roman"/>
          <w:iCs/>
          <w:szCs w:val="20"/>
        </w:rPr>
        <w:t xml:space="preserve"> to police where </w:t>
      </w:r>
      <w:r w:rsidR="002847AA" w:rsidRPr="007B5BE6">
        <w:rPr>
          <w:rFonts w:eastAsia="Times" w:cs="Times New Roman"/>
          <w:iCs/>
          <w:szCs w:val="20"/>
        </w:rPr>
        <w:t>there is evidence of a criminal offence</w:t>
      </w:r>
      <w:r w:rsidR="0034580B" w:rsidRPr="007B5BE6">
        <w:rPr>
          <w:rFonts w:eastAsia="Times" w:cs="Times New Roman"/>
          <w:iCs/>
          <w:szCs w:val="20"/>
        </w:rPr>
        <w:t xml:space="preserve">. </w:t>
      </w:r>
      <w:r w:rsidR="00864017" w:rsidRPr="007B5BE6">
        <w:rPr>
          <w:rFonts w:eastAsia="Times" w:cs="Times New Roman"/>
          <w:iCs/>
          <w:szCs w:val="20"/>
        </w:rPr>
        <w:t>Accordingly, c</w:t>
      </w:r>
      <w:r w:rsidR="00024674" w:rsidRPr="007B5BE6">
        <w:rPr>
          <w:rFonts w:eastAsia="Times" w:cs="Times New Roman"/>
          <w:iCs/>
          <w:szCs w:val="20"/>
        </w:rPr>
        <w:t xml:space="preserve">onsistent with the TLRI’s recommendation that the powers and functions of the Commissioner for Older People be modelled on those of the Disability Commissioner, the TLRI has recommended the same </w:t>
      </w:r>
      <w:r w:rsidR="003A2581" w:rsidRPr="007B5BE6">
        <w:rPr>
          <w:rFonts w:eastAsia="Times" w:cs="Times New Roman"/>
          <w:iCs/>
          <w:szCs w:val="20"/>
        </w:rPr>
        <w:t>approach regarding the requirement to make referrals</w:t>
      </w:r>
      <w:r w:rsidR="00EE14B3" w:rsidRPr="007B5BE6">
        <w:rPr>
          <w:rFonts w:eastAsia="Times" w:cs="Times New Roman"/>
          <w:iCs/>
          <w:szCs w:val="20"/>
        </w:rPr>
        <w:t xml:space="preserve"> (see </w:t>
      </w:r>
      <w:r w:rsidR="008E3062" w:rsidRPr="007B5BE6">
        <w:rPr>
          <w:rFonts w:eastAsia="Times" w:cs="Times New Roman"/>
          <w:b/>
          <w:bCs/>
          <w:iCs/>
          <w:szCs w:val="20"/>
        </w:rPr>
        <w:t>R</w:t>
      </w:r>
      <w:r w:rsidR="00EE14B3" w:rsidRPr="007B5BE6">
        <w:rPr>
          <w:rFonts w:eastAsia="Times" w:cs="Times New Roman"/>
          <w:b/>
          <w:bCs/>
          <w:iCs/>
          <w:szCs w:val="20"/>
        </w:rPr>
        <w:t>ecommendation 14</w:t>
      </w:r>
      <w:r w:rsidR="00EE14B3" w:rsidRPr="007B5BE6">
        <w:rPr>
          <w:rFonts w:eastAsia="Times" w:cs="Times New Roman"/>
          <w:iCs/>
          <w:szCs w:val="20"/>
        </w:rPr>
        <w:t>)</w:t>
      </w:r>
      <w:r w:rsidR="003A2581" w:rsidRPr="007B5BE6">
        <w:rPr>
          <w:rFonts w:eastAsia="Times" w:cs="Times New Roman"/>
          <w:iCs/>
          <w:szCs w:val="20"/>
        </w:rPr>
        <w:t xml:space="preserve">. </w:t>
      </w:r>
    </w:p>
    <w:p w14:paraId="14C7AA77" w14:textId="5E649525" w:rsidR="00ED27C6" w:rsidRPr="007B5BE6" w:rsidRDefault="00ED21B2" w:rsidP="00460BFF">
      <w:pPr>
        <w:numPr>
          <w:ilvl w:val="2"/>
          <w:numId w:val="2"/>
        </w:numPr>
        <w:tabs>
          <w:tab w:val="left" w:pos="851"/>
        </w:tabs>
        <w:spacing w:before="220"/>
        <w:rPr>
          <w:rFonts w:eastAsia="Times" w:cs="Times New Roman"/>
          <w:szCs w:val="20"/>
        </w:rPr>
      </w:pPr>
      <w:r w:rsidRPr="007B5BE6">
        <w:rPr>
          <w:rFonts w:eastAsia="Times" w:cs="Times New Roman"/>
          <w:iCs/>
          <w:szCs w:val="20"/>
        </w:rPr>
        <w:t xml:space="preserve">As discussed at </w:t>
      </w:r>
      <w:r w:rsidR="003A7DBE" w:rsidRPr="007B5BE6">
        <w:rPr>
          <w:rFonts w:eastAsia="Times" w:cs="Times New Roman"/>
          <w:iCs/>
          <w:szCs w:val="20"/>
        </w:rPr>
        <w:t>[4.5.36]</w:t>
      </w:r>
      <w:r w:rsidRPr="007B5BE6">
        <w:rPr>
          <w:rFonts w:eastAsia="Times" w:cs="Times New Roman"/>
          <w:iCs/>
          <w:szCs w:val="20"/>
        </w:rPr>
        <w:t xml:space="preserve">, there are </w:t>
      </w:r>
      <w:r w:rsidR="00CF4922" w:rsidRPr="007B5BE6">
        <w:rPr>
          <w:rFonts w:eastAsia="Times" w:cs="Times New Roman"/>
          <w:iCs/>
          <w:szCs w:val="20"/>
        </w:rPr>
        <w:t xml:space="preserve">other </w:t>
      </w:r>
      <w:r w:rsidR="00487B46" w:rsidRPr="007B5BE6">
        <w:rPr>
          <w:rFonts w:eastAsia="Times" w:cs="Times New Roman"/>
          <w:iCs/>
          <w:szCs w:val="20"/>
        </w:rPr>
        <w:t xml:space="preserve">potential </w:t>
      </w:r>
      <w:r w:rsidR="006908A3" w:rsidRPr="007B5BE6">
        <w:rPr>
          <w:rFonts w:eastAsia="Times" w:cs="Times New Roman"/>
          <w:iCs/>
          <w:szCs w:val="20"/>
        </w:rPr>
        <w:t xml:space="preserve">powers of </w:t>
      </w:r>
      <w:r w:rsidR="00CE14AB" w:rsidRPr="007B5BE6">
        <w:rPr>
          <w:rFonts w:eastAsia="Times" w:cs="Times New Roman"/>
          <w:iCs/>
          <w:szCs w:val="20"/>
        </w:rPr>
        <w:t xml:space="preserve">the Commissioner for Older People that </w:t>
      </w:r>
      <w:r w:rsidR="00395176" w:rsidRPr="007B5BE6">
        <w:rPr>
          <w:rFonts w:eastAsia="Times" w:cs="Times New Roman"/>
          <w:iCs/>
          <w:szCs w:val="20"/>
        </w:rPr>
        <w:t>should be the subject of further consultation, such as whether there should be power for the Commissioner to apply for an interim restraint ord</w:t>
      </w:r>
      <w:r w:rsidR="007106EB" w:rsidRPr="007B5BE6">
        <w:rPr>
          <w:rFonts w:eastAsia="Times" w:cs="Times New Roman"/>
          <w:iCs/>
          <w:szCs w:val="20"/>
        </w:rPr>
        <w:t>er</w:t>
      </w:r>
      <w:r w:rsidR="00D444AE" w:rsidRPr="007B5BE6">
        <w:rPr>
          <w:rFonts w:eastAsia="Times" w:cs="Times New Roman"/>
          <w:iCs/>
          <w:szCs w:val="20"/>
        </w:rPr>
        <w:t xml:space="preserve">. The need for an older person’s consent </w:t>
      </w:r>
      <w:r w:rsidR="0089712A" w:rsidRPr="007B5BE6">
        <w:rPr>
          <w:rFonts w:eastAsia="Times" w:cs="Times New Roman"/>
          <w:iCs/>
          <w:szCs w:val="20"/>
        </w:rPr>
        <w:t xml:space="preserve">is a matter that should be considered as part of </w:t>
      </w:r>
      <w:r w:rsidR="00AD4902" w:rsidRPr="007B5BE6">
        <w:rPr>
          <w:rFonts w:eastAsia="Times" w:cs="Times New Roman"/>
          <w:iCs/>
          <w:szCs w:val="20"/>
        </w:rPr>
        <w:t xml:space="preserve">any such </w:t>
      </w:r>
      <w:r w:rsidR="0089712A" w:rsidRPr="007B5BE6">
        <w:rPr>
          <w:rFonts w:eastAsia="Times" w:cs="Times New Roman"/>
          <w:iCs/>
          <w:szCs w:val="20"/>
        </w:rPr>
        <w:t>process</w:t>
      </w:r>
      <w:r w:rsidR="008E3062" w:rsidRPr="007B5BE6">
        <w:rPr>
          <w:rFonts w:eastAsia="Times" w:cs="Times New Roman"/>
          <w:iCs/>
          <w:szCs w:val="20"/>
        </w:rPr>
        <w:t xml:space="preserve"> (if it were to be</w:t>
      </w:r>
      <w:r w:rsidR="00D30941" w:rsidRPr="007B5BE6">
        <w:rPr>
          <w:rFonts w:eastAsia="Times" w:cs="Times New Roman"/>
          <w:iCs/>
          <w:szCs w:val="20"/>
        </w:rPr>
        <w:t xml:space="preserve"> introduced)</w:t>
      </w:r>
      <w:r w:rsidR="00AD4902" w:rsidRPr="007B5BE6">
        <w:rPr>
          <w:rFonts w:eastAsia="Times" w:cs="Times New Roman"/>
          <w:iCs/>
          <w:szCs w:val="20"/>
        </w:rPr>
        <w:t>. P</w:t>
      </w:r>
      <w:r w:rsidR="007D655D" w:rsidRPr="007B5BE6">
        <w:rPr>
          <w:rFonts w:eastAsia="Times" w:cs="Times New Roman"/>
          <w:iCs/>
          <w:szCs w:val="20"/>
        </w:rPr>
        <w:t xml:space="preserve">ossible </w:t>
      </w:r>
      <w:r w:rsidR="00A4650B" w:rsidRPr="007B5BE6">
        <w:rPr>
          <w:rFonts w:eastAsia="Times" w:cs="Times New Roman"/>
          <w:iCs/>
          <w:szCs w:val="20"/>
        </w:rPr>
        <w:t>approaches</w:t>
      </w:r>
      <w:r w:rsidR="007D655D" w:rsidRPr="007B5BE6">
        <w:rPr>
          <w:rFonts w:eastAsia="Times" w:cs="Times New Roman"/>
          <w:iCs/>
          <w:szCs w:val="20"/>
        </w:rPr>
        <w:t xml:space="preserve"> </w:t>
      </w:r>
      <w:r w:rsidR="001C47EA" w:rsidRPr="007B5BE6">
        <w:rPr>
          <w:rFonts w:eastAsia="Times" w:cs="Times New Roman"/>
          <w:iCs/>
          <w:szCs w:val="20"/>
        </w:rPr>
        <w:t xml:space="preserve">that </w:t>
      </w:r>
      <w:r w:rsidR="007D655D" w:rsidRPr="007B5BE6">
        <w:rPr>
          <w:rFonts w:eastAsia="Times" w:cs="Times New Roman"/>
          <w:iCs/>
          <w:szCs w:val="20"/>
        </w:rPr>
        <w:t>could</w:t>
      </w:r>
      <w:r w:rsidR="00656888" w:rsidRPr="007B5BE6">
        <w:rPr>
          <w:rFonts w:eastAsia="Times" w:cs="Times New Roman"/>
          <w:iCs/>
          <w:szCs w:val="20"/>
        </w:rPr>
        <w:t xml:space="preserve"> be </w:t>
      </w:r>
      <w:r w:rsidR="001C47EA" w:rsidRPr="007B5BE6">
        <w:rPr>
          <w:rFonts w:eastAsia="Times" w:cs="Times New Roman"/>
          <w:iCs/>
          <w:szCs w:val="20"/>
        </w:rPr>
        <w:t xml:space="preserve">adopted </w:t>
      </w:r>
      <w:r w:rsidR="00A4650B" w:rsidRPr="007B5BE6">
        <w:rPr>
          <w:rFonts w:eastAsia="Times" w:cs="Times New Roman"/>
          <w:iCs/>
          <w:szCs w:val="20"/>
        </w:rPr>
        <w:t xml:space="preserve">are </w:t>
      </w:r>
      <w:r w:rsidR="00C93F58" w:rsidRPr="007B5BE6">
        <w:rPr>
          <w:rFonts w:eastAsia="Times" w:cs="Times New Roman"/>
          <w:iCs/>
          <w:szCs w:val="20"/>
        </w:rPr>
        <w:t xml:space="preserve">those that </w:t>
      </w:r>
      <w:r w:rsidR="00A4650B" w:rsidRPr="007B5BE6">
        <w:rPr>
          <w:rFonts w:eastAsia="Times" w:cs="Times New Roman"/>
          <w:iCs/>
          <w:szCs w:val="20"/>
        </w:rPr>
        <w:t xml:space="preserve">operate in </w:t>
      </w:r>
      <w:r w:rsidR="007E578F" w:rsidRPr="007B5BE6">
        <w:rPr>
          <w:rFonts w:eastAsia="Times" w:cs="Times New Roman"/>
          <w:szCs w:val="20"/>
        </w:rPr>
        <w:t>NSW and SA</w:t>
      </w:r>
      <w:r w:rsidR="009B2AB2" w:rsidRPr="007B5BE6">
        <w:rPr>
          <w:rFonts w:eastAsia="Times" w:cs="Times New Roman"/>
          <w:iCs/>
          <w:szCs w:val="20"/>
        </w:rPr>
        <w:t>.</w:t>
      </w:r>
      <w:r w:rsidR="009B2AB2" w:rsidRPr="007B5BE6">
        <w:rPr>
          <w:rStyle w:val="FootnoteReference"/>
          <w:rFonts w:eastAsia="Times" w:cs="Times New Roman"/>
          <w:iCs/>
          <w:szCs w:val="20"/>
        </w:rPr>
        <w:footnoteReference w:id="627"/>
      </w:r>
      <w:r w:rsidR="006F5A05" w:rsidRPr="007B5BE6">
        <w:rPr>
          <w:rFonts w:eastAsia="Times" w:cs="Times New Roman"/>
          <w:iCs/>
          <w:szCs w:val="20"/>
        </w:rPr>
        <w:t xml:space="preserve"> </w:t>
      </w:r>
      <w:r w:rsidR="007A5ADF" w:rsidRPr="007B5BE6">
        <w:rPr>
          <w:rFonts w:eastAsia="Times" w:cs="Times New Roman"/>
          <w:iCs/>
          <w:szCs w:val="20"/>
        </w:rPr>
        <w:t xml:space="preserve">Further, the TLRI considers that the approach adopted should be </w:t>
      </w:r>
      <w:r w:rsidR="007A5ADF" w:rsidRPr="007B5BE6">
        <w:rPr>
          <w:rFonts w:eastAsia="Times"/>
          <w:szCs w:val="20"/>
        </w:rPr>
        <w:t xml:space="preserve">informed by </w:t>
      </w:r>
      <w:r w:rsidR="002F437C" w:rsidRPr="007B5BE6">
        <w:rPr>
          <w:rFonts w:eastAsia="Times"/>
          <w:szCs w:val="20"/>
        </w:rPr>
        <w:t xml:space="preserve">the </w:t>
      </w:r>
      <w:r w:rsidR="007A5ADF" w:rsidRPr="007B5BE6">
        <w:rPr>
          <w:rFonts w:eastAsia="Times"/>
          <w:szCs w:val="20"/>
        </w:rPr>
        <w:t>need to balance safety with autonomy and self-determination, such that a consent-based approach that reflects these principles should be taken wherever possible.</w:t>
      </w:r>
      <w:r w:rsidR="00656888" w:rsidRPr="007B5BE6">
        <w:rPr>
          <w:rFonts w:eastAsia="Times" w:cs="Times New Roman"/>
          <w:szCs w:val="20"/>
        </w:rPr>
        <w:t xml:space="preserve"> </w:t>
      </w:r>
    </w:p>
    <w:p w14:paraId="076CB257" w14:textId="2C73EBA8" w:rsidR="00757DEC" w:rsidRPr="007B5BE6" w:rsidRDefault="00757DEC" w:rsidP="007F26CC">
      <w:pPr>
        <w:tabs>
          <w:tab w:val="left" w:pos="851"/>
        </w:tabs>
        <w:spacing w:before="220"/>
        <w:rPr>
          <w:rFonts w:eastAsia="Times"/>
          <w:b/>
          <w:szCs w:val="20"/>
        </w:rPr>
      </w:pPr>
      <w:r w:rsidRPr="007B5BE6">
        <w:rPr>
          <w:noProof/>
        </w:rPr>
        <mc:AlternateContent>
          <mc:Choice Requires="wps">
            <w:drawing>
              <wp:inline distT="0" distB="0" distL="0" distR="0" wp14:anchorId="762464AB" wp14:editId="45E7B95C">
                <wp:extent cx="5727065" cy="866775"/>
                <wp:effectExtent l="0" t="0" r="6985" b="9525"/>
                <wp:docPr id="139826279"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66775"/>
                        </a:xfrm>
                        <a:prstGeom prst="rect">
                          <a:avLst/>
                        </a:prstGeom>
                        <a:solidFill>
                          <a:srgbClr val="E8E8E8"/>
                        </a:solidFill>
                      </wps:spPr>
                      <wps:txbx>
                        <w:txbxContent>
                          <w:p w14:paraId="520F746E" w14:textId="77777777" w:rsidR="00757DEC" w:rsidRPr="006F2DE6" w:rsidRDefault="00757DEC" w:rsidP="00757DEC">
                            <w:pPr>
                              <w:pStyle w:val="RecommendationBoxHeading"/>
                              <w:rPr>
                                <w:rFonts w:eastAsia="Times"/>
                              </w:rPr>
                            </w:pPr>
                            <w:r w:rsidRPr="006F2DE6">
                              <w:rPr>
                                <w:rFonts w:eastAsia="Times"/>
                              </w:rPr>
                              <w:t>Recommendation 15</w:t>
                            </w:r>
                          </w:p>
                          <w:p w14:paraId="3311FBBB" w14:textId="13F31B87" w:rsidR="00757DEC" w:rsidRPr="00F77824" w:rsidRDefault="00757DEC" w:rsidP="00012CE6">
                            <w:pPr>
                              <w:pStyle w:val="RecommendationBoxText"/>
                              <w:rPr>
                                <w:rFonts w:eastAsia="Times"/>
                              </w:rPr>
                            </w:pPr>
                            <w:r w:rsidRPr="006F2DE6">
                              <w:rPr>
                                <w:rFonts w:eastAsia="Times"/>
                              </w:rPr>
                              <w:t xml:space="preserve">The Commissioner </w:t>
                            </w:r>
                            <w:r w:rsidRPr="006F2DE6">
                              <w:t>for Older People</w:t>
                            </w:r>
                            <w:r w:rsidRPr="006F2DE6">
                              <w:rPr>
                                <w:rFonts w:eastAsia="Times"/>
                              </w:rPr>
                              <w:t xml:space="preserve"> should not require the consent of the older person to make preliminary inquiries.</w:t>
                            </w:r>
                          </w:p>
                        </w:txbxContent>
                      </wps:txbx>
                      <wps:bodyPr wrap="square" lIns="0" tIns="0" rIns="0" bIns="0" rtlCol="0">
                        <a:noAutofit/>
                      </wps:bodyPr>
                    </wps:wsp>
                  </a:graphicData>
                </a:graphic>
              </wp:inline>
            </w:drawing>
          </mc:Choice>
          <mc:Fallback>
            <w:pict>
              <v:shape w14:anchorId="762464AB" id="_x0000_s1041" type="#_x0000_t202" style="width:450.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" fillcolor="#e8e8e8" stroked="f">
                <v:textbox inset="0,0,0,0">
                  <w:txbxContent>
                    <w:p w14:paraId="520F746E" w14:textId="77777777" w:rsidR="00757DEC" w:rsidRPr="006F2DE6" w:rsidRDefault="00757DEC" w:rsidP="00757DEC">
                      <w:pPr>
                        <w:pStyle w:val="RecommendationBoxHeading"/>
                        <w:rPr>
                          <w:rFonts w:eastAsia="Times"/>
                        </w:rPr>
                      </w:pPr>
                      <w:r w:rsidRPr="006F2DE6">
                        <w:rPr>
                          <w:rFonts w:eastAsia="Times"/>
                        </w:rPr>
                        <w:t>Recommendation 15</w:t>
                      </w:r>
                    </w:p>
                    <w:p w14:paraId="3311FBBB" w14:textId="13F31B87" w:rsidR="00757DEC" w:rsidRPr="00F77824" w:rsidRDefault="00757DEC" w:rsidP="00012CE6">
                      <w:pPr>
                        <w:pStyle w:val="RecommendationBoxText"/>
                        <w:rPr>
                          <w:rFonts w:eastAsia="Times"/>
                        </w:rPr>
                      </w:pPr>
                      <w:r w:rsidRPr="006F2DE6">
                        <w:rPr>
                          <w:rFonts w:eastAsia="Times"/>
                        </w:rPr>
                        <w:t xml:space="preserve">The Commissioner </w:t>
                      </w:r>
                      <w:r w:rsidRPr="006F2DE6">
                        <w:t>for Older People</w:t>
                      </w:r>
                      <w:r w:rsidRPr="006F2DE6">
                        <w:rPr>
                          <w:rFonts w:eastAsia="Times"/>
                        </w:rPr>
                        <w:t xml:space="preserve"> should not require the consent of the older person to make preliminary inquiries.</w:t>
                      </w:r>
                    </w:p>
                  </w:txbxContent>
                </v:textbox>
                <w10:anchorlock/>
              </v:shape>
            </w:pict>
          </mc:Fallback>
        </mc:AlternateContent>
      </w:r>
    </w:p>
    <w:p w14:paraId="27FFB961" w14:textId="52184011" w:rsidR="00757DEC" w:rsidRPr="007B5BE6" w:rsidRDefault="00757DEC" w:rsidP="007F26CC">
      <w:pPr>
        <w:tabs>
          <w:tab w:val="left" w:pos="851"/>
        </w:tabs>
        <w:spacing w:before="220"/>
        <w:rPr>
          <w:rFonts w:eastAsia="Times"/>
          <w:b/>
          <w:szCs w:val="20"/>
        </w:rPr>
      </w:pPr>
      <w:r w:rsidRPr="007B5BE6">
        <w:rPr>
          <w:noProof/>
        </w:rPr>
        <w:lastRenderedPageBreak/>
        <mc:AlternateContent>
          <mc:Choice Requires="wps">
            <w:drawing>
              <wp:inline distT="0" distB="0" distL="0" distR="0" wp14:anchorId="075EB24F" wp14:editId="74525FC3">
                <wp:extent cx="5727065" cy="2362810"/>
                <wp:effectExtent l="0" t="0" r="6985" b="0"/>
                <wp:docPr id="76054722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362810"/>
                        </a:xfrm>
                        <a:prstGeom prst="rect">
                          <a:avLst/>
                        </a:prstGeom>
                        <a:solidFill>
                          <a:srgbClr val="E8E8E8"/>
                        </a:solidFill>
                      </wps:spPr>
                      <wps:txbx>
                        <w:txbxContent>
                          <w:p w14:paraId="630E6477" w14:textId="77777777" w:rsidR="00761925" w:rsidRPr="006F2DE6" w:rsidRDefault="00761925" w:rsidP="00761925">
                            <w:pPr>
                              <w:pStyle w:val="RecommendationBoxHeading"/>
                              <w:rPr>
                                <w:rFonts w:eastAsia="Times"/>
                              </w:rPr>
                            </w:pPr>
                            <w:r w:rsidRPr="006F2DE6">
                              <w:rPr>
                                <w:rFonts w:eastAsia="Times"/>
                              </w:rPr>
                              <w:t>Recommendation 16</w:t>
                            </w:r>
                          </w:p>
                          <w:p w14:paraId="3A312131" w14:textId="77777777" w:rsidR="00761925" w:rsidRPr="006F2DE6" w:rsidRDefault="00761925" w:rsidP="00761925">
                            <w:pPr>
                              <w:pStyle w:val="RecommendationBoxText"/>
                              <w:rPr>
                                <w:rFonts w:eastAsia="Times"/>
                              </w:rPr>
                            </w:pPr>
                            <w:r w:rsidRPr="006F2DE6">
                              <w:rPr>
                                <w:rFonts w:eastAsia="Times"/>
                              </w:rPr>
                              <w:t xml:space="preserve">In circumstances where the Commissioner </w:t>
                            </w:r>
                            <w:r w:rsidRPr="006F2DE6">
                              <w:t>for Older People</w:t>
                            </w:r>
                            <w:r w:rsidRPr="006F2DE6">
                              <w:rPr>
                                <w:rFonts w:eastAsia="Times"/>
                              </w:rPr>
                              <w:t xml:space="preserve"> conducts an investigation, the Commissioner must obtain the consent of the older person, unless:</w:t>
                            </w:r>
                          </w:p>
                          <w:p w14:paraId="09D3273A" w14:textId="2252595C" w:rsidR="00761925" w:rsidRPr="00761925" w:rsidRDefault="00761925" w:rsidP="005A71B7">
                            <w:pPr>
                              <w:pStyle w:val="RecommendationBoxText"/>
                              <w:numPr>
                                <w:ilvl w:val="0"/>
                                <w:numId w:val="28"/>
                              </w:numPr>
                              <w:rPr>
                                <w:rFonts w:eastAsia="Times"/>
                              </w:rPr>
                            </w:pPr>
                            <w:r w:rsidRPr="00761925">
                              <w:rPr>
                                <w:rFonts w:eastAsia="Times"/>
                              </w:rPr>
                              <w:t xml:space="preserve">the person cannot be contacted despite reasonable efforts to contact the person; </w:t>
                            </w:r>
                          </w:p>
                          <w:p w14:paraId="0494880F" w14:textId="544DF5B5" w:rsidR="00761925" w:rsidRPr="00761925" w:rsidRDefault="00761925" w:rsidP="005A71B7">
                            <w:pPr>
                              <w:pStyle w:val="RecommendationBoxText"/>
                              <w:numPr>
                                <w:ilvl w:val="0"/>
                                <w:numId w:val="28"/>
                              </w:numPr>
                            </w:pPr>
                            <w:r w:rsidRPr="00761925">
                              <w:rPr>
                                <w:rFonts w:eastAsia="Times"/>
                              </w:rPr>
                              <w:t>the Commissioner is of the opinion that the person is incapable of giving consent, despite the person having been provided with the appropriate support for the purpose of making such a decision; or</w:t>
                            </w:r>
                            <w:r w:rsidRPr="00761925">
                              <w:t xml:space="preserve"> </w:t>
                            </w:r>
                          </w:p>
                          <w:p w14:paraId="51344C77" w14:textId="35A5925E" w:rsidR="00761925" w:rsidRPr="00761925" w:rsidRDefault="00761925" w:rsidP="005A71B7">
                            <w:pPr>
                              <w:pStyle w:val="RecommendationBoxText"/>
                              <w:numPr>
                                <w:ilvl w:val="0"/>
                                <w:numId w:val="28"/>
                              </w:numPr>
                              <w:rPr>
                                <w:rFonts w:eastAsia="Times"/>
                              </w:rPr>
                            </w:pPr>
                            <w:r w:rsidRPr="00761925">
                              <w:rPr>
                                <w:rFonts w:eastAsia="Times"/>
                              </w:rPr>
                              <w:t>it is not necessary to obtain consent due to the seriousness of the allegation or the risk to the personal safety of the person.</w:t>
                            </w:r>
                          </w:p>
                          <w:p w14:paraId="5338247E" w14:textId="77777777" w:rsidR="00757DEC" w:rsidRPr="00F77824" w:rsidRDefault="00757DEC" w:rsidP="00757DEC">
                            <w:pPr>
                              <w:pStyle w:val="RecommendationBoxText"/>
                              <w:ind w:left="0"/>
                              <w:rPr>
                                <w:rFonts w:eastAsia="Times"/>
                              </w:rPr>
                            </w:pPr>
                          </w:p>
                        </w:txbxContent>
                      </wps:txbx>
                      <wps:bodyPr wrap="square" lIns="0" tIns="0" rIns="0" bIns="0" rtlCol="0">
                        <a:noAutofit/>
                      </wps:bodyPr>
                    </wps:wsp>
                  </a:graphicData>
                </a:graphic>
              </wp:inline>
            </w:drawing>
          </mc:Choice>
          <mc:Fallback>
            <w:pict>
              <v:shape w14:anchorId="075EB24F" id="_x0000_s1042" type="#_x0000_t202" style="width:450.95pt;height:18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" fillcolor="#e8e8e8" stroked="f">
                <v:textbox inset="0,0,0,0">
                  <w:txbxContent>
                    <w:p w14:paraId="630E6477" w14:textId="77777777" w:rsidR="00761925" w:rsidRPr="006F2DE6" w:rsidRDefault="00761925" w:rsidP="00761925">
                      <w:pPr>
                        <w:pStyle w:val="RecommendationBoxHeading"/>
                        <w:rPr>
                          <w:rFonts w:eastAsia="Times"/>
                        </w:rPr>
                      </w:pPr>
                      <w:r w:rsidRPr="006F2DE6">
                        <w:rPr>
                          <w:rFonts w:eastAsia="Times"/>
                        </w:rPr>
                        <w:t>Recommendation 16</w:t>
                      </w:r>
                    </w:p>
                    <w:p w14:paraId="3A312131" w14:textId="77777777" w:rsidR="00761925" w:rsidRPr="006F2DE6" w:rsidRDefault="00761925" w:rsidP="00761925">
                      <w:pPr>
                        <w:pStyle w:val="RecommendationBoxText"/>
                        <w:rPr>
                          <w:rFonts w:eastAsia="Times"/>
                        </w:rPr>
                      </w:pPr>
                      <w:r w:rsidRPr="006F2DE6">
                        <w:rPr>
                          <w:rFonts w:eastAsia="Times"/>
                        </w:rPr>
                        <w:t xml:space="preserve">In circumstances where the Commissioner </w:t>
                      </w:r>
                      <w:r w:rsidRPr="006F2DE6">
                        <w:t>for Older People</w:t>
                      </w:r>
                      <w:r w:rsidRPr="006F2DE6">
                        <w:rPr>
                          <w:rFonts w:eastAsia="Times"/>
                        </w:rPr>
                        <w:t xml:space="preserve"> conducts an investigation, the Commissioner must obtain the consent of the older person, unless:</w:t>
                      </w:r>
                    </w:p>
                    <w:p w14:paraId="09D3273A" w14:textId="2252595C" w:rsidR="00761925" w:rsidRPr="00761925" w:rsidRDefault="00761925" w:rsidP="005A71B7">
                      <w:pPr>
                        <w:pStyle w:val="RecommendationBoxText"/>
                        <w:numPr>
                          <w:ilvl w:val="0"/>
                          <w:numId w:val="28"/>
                        </w:numPr>
                        <w:rPr>
                          <w:rFonts w:eastAsia="Times"/>
                        </w:rPr>
                      </w:pPr>
                      <w:r w:rsidRPr="00761925">
                        <w:rPr>
                          <w:rFonts w:eastAsia="Times"/>
                        </w:rPr>
                        <w:t xml:space="preserve">the person cannot be contacted despite reasonable efforts to contact the person; </w:t>
                      </w:r>
                    </w:p>
                    <w:p w14:paraId="0494880F" w14:textId="544DF5B5" w:rsidR="00761925" w:rsidRPr="00761925" w:rsidRDefault="00761925" w:rsidP="005A71B7">
                      <w:pPr>
                        <w:pStyle w:val="RecommendationBoxText"/>
                        <w:numPr>
                          <w:ilvl w:val="0"/>
                          <w:numId w:val="28"/>
                        </w:numPr>
                      </w:pPr>
                      <w:r w:rsidRPr="00761925">
                        <w:rPr>
                          <w:rFonts w:eastAsia="Times"/>
                        </w:rPr>
                        <w:t>the Commissioner is of the opinion that the person is incapable of giving consent, despite the person having been provided with the appropriate support for the purpose of making such a decision; or</w:t>
                      </w:r>
                      <w:r w:rsidRPr="00761925">
                        <w:t xml:space="preserve"> </w:t>
                      </w:r>
                    </w:p>
                    <w:p w14:paraId="51344C77" w14:textId="35A5925E" w:rsidR="00761925" w:rsidRPr="00761925" w:rsidRDefault="00761925" w:rsidP="005A71B7">
                      <w:pPr>
                        <w:pStyle w:val="RecommendationBoxText"/>
                        <w:numPr>
                          <w:ilvl w:val="0"/>
                          <w:numId w:val="28"/>
                        </w:numPr>
                        <w:rPr>
                          <w:rFonts w:eastAsia="Times"/>
                        </w:rPr>
                      </w:pPr>
                      <w:r w:rsidRPr="00761925">
                        <w:rPr>
                          <w:rFonts w:eastAsia="Times"/>
                        </w:rPr>
                        <w:t>it is not necessary to obtain consent due to the seriousness of the allegation or the risk to the personal safety of the person.</w:t>
                      </w:r>
                    </w:p>
                    <w:p w14:paraId="5338247E" w14:textId="77777777" w:rsidR="00757DEC" w:rsidRPr="00F77824" w:rsidRDefault="00757DEC" w:rsidP="00757DEC">
                      <w:pPr>
                        <w:pStyle w:val="RecommendationBoxText"/>
                        <w:ind w:left="0"/>
                        <w:rPr>
                          <w:rFonts w:eastAsia="Times"/>
                        </w:rPr>
                      </w:pPr>
                    </w:p>
                  </w:txbxContent>
                </v:textbox>
                <w10:anchorlock/>
              </v:shape>
            </w:pict>
          </mc:Fallback>
        </mc:AlternateContent>
      </w:r>
    </w:p>
    <w:p w14:paraId="5949F014" w14:textId="7D8A8142" w:rsidR="00761925" w:rsidRPr="007B5BE6" w:rsidRDefault="00761925" w:rsidP="007F26CC">
      <w:pPr>
        <w:tabs>
          <w:tab w:val="left" w:pos="851"/>
        </w:tabs>
        <w:spacing w:before="220"/>
        <w:rPr>
          <w:rFonts w:eastAsia="Times"/>
          <w:b/>
          <w:szCs w:val="20"/>
        </w:rPr>
      </w:pPr>
      <w:r w:rsidRPr="007B5BE6">
        <w:rPr>
          <w:noProof/>
        </w:rPr>
        <mc:AlternateContent>
          <mc:Choice Requires="wps">
            <w:drawing>
              <wp:inline distT="0" distB="0" distL="0" distR="0" wp14:anchorId="458DB903" wp14:editId="2F723A33">
                <wp:extent cx="5727065" cy="1258214"/>
                <wp:effectExtent l="0" t="0" r="6985" b="0"/>
                <wp:docPr id="4803528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58214"/>
                        </a:xfrm>
                        <a:prstGeom prst="rect">
                          <a:avLst/>
                        </a:prstGeom>
                        <a:solidFill>
                          <a:srgbClr val="E8E8E8"/>
                        </a:solidFill>
                      </wps:spPr>
                      <wps:txbx>
                        <w:txbxContent>
                          <w:p w14:paraId="610AC71B" w14:textId="77777777" w:rsidR="00761925" w:rsidRPr="006F2DE6" w:rsidRDefault="00761925" w:rsidP="00761925">
                            <w:pPr>
                              <w:pStyle w:val="RecommendationBoxHeading"/>
                              <w:rPr>
                                <w:rFonts w:eastAsia="Times"/>
                              </w:rPr>
                            </w:pPr>
                            <w:r w:rsidRPr="006F2DE6">
                              <w:rPr>
                                <w:rFonts w:eastAsia="Times"/>
                              </w:rPr>
                              <w:t>Recommendation 17</w:t>
                            </w:r>
                          </w:p>
                          <w:p w14:paraId="75855150" w14:textId="77777777" w:rsidR="00761925" w:rsidRPr="006F2DE6" w:rsidRDefault="00761925" w:rsidP="00761925">
                            <w:pPr>
                              <w:pStyle w:val="RecommendationBoxText"/>
                              <w:rPr>
                                <w:rFonts w:eastAsia="Times"/>
                                <w:i/>
                                <w:iCs/>
                              </w:rPr>
                            </w:pPr>
                            <w:r w:rsidRPr="006F2DE6">
                              <w:rPr>
                                <w:rFonts w:eastAsia="Times"/>
                              </w:rPr>
                              <w:t>Consideration of the approach regarding other circumstances where consent of an older person may be required should be informed by consultation with relevant stakeholders and informed by the need to balance safety with autonomy and self-determination, such that a consent-based approach that reflects these principles should be taken wherever possible.</w:t>
                            </w:r>
                          </w:p>
                          <w:p w14:paraId="2B3D320A" w14:textId="77777777" w:rsidR="00761925" w:rsidRPr="00F77824" w:rsidRDefault="00761925" w:rsidP="00761925">
                            <w:pPr>
                              <w:pStyle w:val="RecommendationBoxText"/>
                              <w:ind w:left="0"/>
                              <w:rPr>
                                <w:rFonts w:eastAsia="Times"/>
                              </w:rPr>
                            </w:pPr>
                          </w:p>
                        </w:txbxContent>
                      </wps:txbx>
                      <wps:bodyPr wrap="square" lIns="0" tIns="0" rIns="0" bIns="0" rtlCol="0">
                        <a:noAutofit/>
                      </wps:bodyPr>
                    </wps:wsp>
                  </a:graphicData>
                </a:graphic>
              </wp:inline>
            </w:drawing>
          </mc:Choice>
          <mc:Fallback>
            <w:pict>
              <v:shape w14:anchorId="458DB903" id="_x0000_s1043" type="#_x0000_t202" style="width:450.95pt;height:9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" fillcolor="#e8e8e8" stroked="f">
                <v:textbox inset="0,0,0,0">
                  <w:txbxContent>
                    <w:p w14:paraId="610AC71B" w14:textId="77777777" w:rsidR="00761925" w:rsidRPr="006F2DE6" w:rsidRDefault="00761925" w:rsidP="00761925">
                      <w:pPr>
                        <w:pStyle w:val="RecommendationBoxHeading"/>
                        <w:rPr>
                          <w:rFonts w:eastAsia="Times"/>
                        </w:rPr>
                      </w:pPr>
                      <w:r w:rsidRPr="006F2DE6">
                        <w:rPr>
                          <w:rFonts w:eastAsia="Times"/>
                        </w:rPr>
                        <w:t>Recommendation 17</w:t>
                      </w:r>
                    </w:p>
                    <w:p w14:paraId="75855150" w14:textId="77777777" w:rsidR="00761925" w:rsidRPr="006F2DE6" w:rsidRDefault="00761925" w:rsidP="00761925">
                      <w:pPr>
                        <w:pStyle w:val="RecommendationBoxText"/>
                        <w:rPr>
                          <w:rFonts w:eastAsia="Times"/>
                          <w:i/>
                          <w:iCs/>
                        </w:rPr>
                      </w:pPr>
                      <w:r w:rsidRPr="006F2DE6">
                        <w:rPr>
                          <w:rFonts w:eastAsia="Times"/>
                        </w:rPr>
                        <w:t>Consideration of the approach regarding other circumstances where consent of an older person may be required should be informed by consultation with relevant stakeholders and informed by the need to balance safety with autonomy and self-determination, such that a consent-based approach that reflects these principles should be taken wherever possible.</w:t>
                      </w:r>
                    </w:p>
                    <w:p w14:paraId="2B3D320A" w14:textId="77777777" w:rsidR="00761925" w:rsidRPr="00F77824" w:rsidRDefault="00761925" w:rsidP="00761925">
                      <w:pPr>
                        <w:pStyle w:val="RecommendationBoxText"/>
                        <w:ind w:left="0"/>
                        <w:rPr>
                          <w:rFonts w:eastAsia="Times"/>
                        </w:rPr>
                      </w:pPr>
                    </w:p>
                  </w:txbxContent>
                </v:textbox>
                <w10:anchorlock/>
              </v:shape>
            </w:pict>
          </mc:Fallback>
        </mc:AlternateContent>
      </w:r>
    </w:p>
    <w:p w14:paraId="24932450" w14:textId="6EC8BED4" w:rsidR="001F53D9" w:rsidRPr="007B5BE6" w:rsidRDefault="00E04EDC" w:rsidP="00E07B8B">
      <w:pPr>
        <w:pStyle w:val="Sub-HeadingTLRI"/>
        <w:spacing w:before="360"/>
      </w:pPr>
      <w:bookmarkStart w:id="593" w:name="_Toc212561803"/>
      <w:r w:rsidRPr="007B5BE6">
        <w:t xml:space="preserve">Education </w:t>
      </w:r>
      <w:r w:rsidR="00C7675F" w:rsidRPr="007B5BE6">
        <w:t>and training and developing expertise</w:t>
      </w:r>
      <w:bookmarkEnd w:id="593"/>
    </w:p>
    <w:p w14:paraId="28A5E651" w14:textId="2A2AD79D" w:rsidR="003259E4" w:rsidRPr="007B5BE6" w:rsidRDefault="00DB7864" w:rsidP="001E2420">
      <w:pPr>
        <w:numPr>
          <w:ilvl w:val="2"/>
          <w:numId w:val="2"/>
        </w:numPr>
        <w:tabs>
          <w:tab w:val="left" w:pos="851"/>
        </w:tabs>
        <w:spacing w:before="220"/>
        <w:rPr>
          <w:rFonts w:eastAsia="Times" w:cs="Times New Roman"/>
          <w:szCs w:val="20"/>
        </w:rPr>
      </w:pPr>
      <w:r w:rsidRPr="007B5BE6">
        <w:rPr>
          <w:rFonts w:eastAsia="Times" w:cs="Times New Roman"/>
          <w:szCs w:val="20"/>
        </w:rPr>
        <w:t>In Australia, a</w:t>
      </w:r>
      <w:r w:rsidR="00FB4E60" w:rsidRPr="007B5BE6">
        <w:rPr>
          <w:rFonts w:eastAsia="Times" w:cs="Times New Roman"/>
          <w:szCs w:val="20"/>
        </w:rPr>
        <w:t xml:space="preserve"> significant policy focus in </w:t>
      </w:r>
      <w:r w:rsidR="008B7D28" w:rsidRPr="007B5BE6">
        <w:rPr>
          <w:rFonts w:eastAsia="Times" w:cs="Times New Roman"/>
          <w:szCs w:val="20"/>
        </w:rPr>
        <w:t xml:space="preserve">responding to the abuse of older </w:t>
      </w:r>
      <w:r w:rsidR="00B54C60" w:rsidRPr="007B5BE6">
        <w:rPr>
          <w:rFonts w:eastAsia="Times" w:cs="Times New Roman"/>
          <w:szCs w:val="20"/>
        </w:rPr>
        <w:t>people</w:t>
      </w:r>
      <w:r w:rsidR="00FB4E60" w:rsidRPr="007B5BE6">
        <w:rPr>
          <w:rFonts w:eastAsia="Times" w:cs="Times New Roman"/>
          <w:szCs w:val="20"/>
        </w:rPr>
        <w:t xml:space="preserve"> across Australia has been on educating the community about the nature and dynamics of </w:t>
      </w:r>
      <w:r w:rsidR="00EE725C" w:rsidRPr="007B5BE6">
        <w:rPr>
          <w:rFonts w:eastAsia="Times" w:cs="Times New Roman"/>
          <w:szCs w:val="20"/>
        </w:rPr>
        <w:t xml:space="preserve">such </w:t>
      </w:r>
      <w:r w:rsidR="00FB4E60" w:rsidRPr="007B5BE6">
        <w:rPr>
          <w:rFonts w:eastAsia="Times" w:cs="Times New Roman"/>
          <w:szCs w:val="20"/>
        </w:rPr>
        <w:t>abuse.</w:t>
      </w:r>
      <w:r w:rsidRPr="007B5BE6">
        <w:rPr>
          <w:rStyle w:val="FootnoteReference"/>
          <w:rFonts w:eastAsia="Times" w:cs="Times New Roman"/>
          <w:szCs w:val="20"/>
        </w:rPr>
        <w:footnoteReference w:id="628"/>
      </w:r>
      <w:r w:rsidR="00FB4E60" w:rsidRPr="007B5BE6">
        <w:rPr>
          <w:rFonts w:eastAsia="Times" w:cs="Times New Roman"/>
          <w:szCs w:val="20"/>
        </w:rPr>
        <w:t xml:space="preserve"> </w:t>
      </w:r>
      <w:r w:rsidR="00906DDD" w:rsidRPr="007B5BE6">
        <w:rPr>
          <w:rFonts w:eastAsia="Times" w:cs="Times New Roman"/>
          <w:szCs w:val="20"/>
        </w:rPr>
        <w:t xml:space="preserve">The relevant </w:t>
      </w:r>
      <w:r w:rsidR="00662440" w:rsidRPr="007B5BE6">
        <w:rPr>
          <w:rFonts w:eastAsia="Times" w:cs="Times New Roman"/>
          <w:szCs w:val="20"/>
        </w:rPr>
        <w:t>Tasmania</w:t>
      </w:r>
      <w:r w:rsidR="00906DDD" w:rsidRPr="007B5BE6">
        <w:rPr>
          <w:rFonts w:eastAsia="Times" w:cs="Times New Roman"/>
          <w:szCs w:val="20"/>
        </w:rPr>
        <w:t xml:space="preserve">n </w:t>
      </w:r>
      <w:r w:rsidR="00B63F1A" w:rsidRPr="007B5BE6">
        <w:rPr>
          <w:rFonts w:eastAsia="Times" w:cs="Times New Roman"/>
          <w:szCs w:val="20"/>
        </w:rPr>
        <w:t xml:space="preserve">policy </w:t>
      </w:r>
      <w:r w:rsidR="00906DDD" w:rsidRPr="007B5BE6">
        <w:rPr>
          <w:rFonts w:eastAsia="Times" w:cs="Times New Roman"/>
          <w:szCs w:val="20"/>
        </w:rPr>
        <w:t xml:space="preserve">approach </w:t>
      </w:r>
      <w:r w:rsidR="00B63F1A" w:rsidRPr="007B5BE6">
        <w:rPr>
          <w:rFonts w:eastAsia="Times" w:cs="Times New Roman"/>
          <w:szCs w:val="20"/>
        </w:rPr>
        <w:t xml:space="preserve">has reflected the need to develop </w:t>
      </w:r>
      <w:r w:rsidR="0049258C" w:rsidRPr="007B5BE6">
        <w:rPr>
          <w:rFonts w:eastAsia="Times" w:cs="Times New Roman"/>
          <w:szCs w:val="20"/>
        </w:rPr>
        <w:t>safeguarding</w:t>
      </w:r>
      <w:r w:rsidR="00B63F1A" w:rsidRPr="007B5BE6">
        <w:rPr>
          <w:rFonts w:eastAsia="Times" w:cs="Times New Roman"/>
          <w:szCs w:val="20"/>
        </w:rPr>
        <w:t xml:space="preserve"> initiative</w:t>
      </w:r>
      <w:r w:rsidR="00B53023" w:rsidRPr="007B5BE6">
        <w:rPr>
          <w:rFonts w:eastAsia="Times" w:cs="Times New Roman"/>
          <w:szCs w:val="20"/>
        </w:rPr>
        <w:t>s</w:t>
      </w:r>
      <w:r w:rsidR="00B63F1A" w:rsidRPr="007B5BE6">
        <w:rPr>
          <w:rFonts w:eastAsia="Times" w:cs="Times New Roman"/>
          <w:szCs w:val="20"/>
        </w:rPr>
        <w:t xml:space="preserve"> </w:t>
      </w:r>
      <w:r w:rsidR="00BC4952" w:rsidRPr="007B5BE6">
        <w:rPr>
          <w:rFonts w:eastAsia="Times" w:cs="Times New Roman"/>
          <w:szCs w:val="20"/>
        </w:rPr>
        <w:t>along a continuum from early intervention, prevention and response</w:t>
      </w:r>
      <w:r w:rsidR="002D0A09" w:rsidRPr="007B5BE6">
        <w:rPr>
          <w:rFonts w:eastAsia="Times" w:cs="Times New Roman"/>
          <w:szCs w:val="20"/>
        </w:rPr>
        <w:t>.</w:t>
      </w:r>
      <w:r w:rsidR="0049258C" w:rsidRPr="007B5BE6">
        <w:rPr>
          <w:rStyle w:val="FootnoteReference"/>
          <w:rFonts w:eastAsia="Times" w:cs="Times New Roman"/>
          <w:szCs w:val="20"/>
        </w:rPr>
        <w:footnoteReference w:id="629"/>
      </w:r>
      <w:r w:rsidR="002D0A09" w:rsidRPr="007B5BE6">
        <w:rPr>
          <w:rFonts w:eastAsia="Times" w:cs="Times New Roman"/>
          <w:szCs w:val="20"/>
        </w:rPr>
        <w:t xml:space="preserve"> </w:t>
      </w:r>
      <w:r w:rsidR="00A116FB" w:rsidRPr="007B5BE6">
        <w:rPr>
          <w:rFonts w:eastAsia="Times" w:cs="Times New Roman"/>
          <w:szCs w:val="20"/>
        </w:rPr>
        <w:t xml:space="preserve">Reflecting </w:t>
      </w:r>
      <w:r w:rsidR="00125285" w:rsidRPr="007B5BE6">
        <w:rPr>
          <w:rFonts w:eastAsia="Times" w:cs="Times New Roman"/>
          <w:szCs w:val="20"/>
        </w:rPr>
        <w:t>a three</w:t>
      </w:r>
      <w:r w:rsidR="004D4B6B" w:rsidRPr="007B5BE6">
        <w:rPr>
          <w:rFonts w:eastAsia="Times" w:cs="Times New Roman"/>
          <w:szCs w:val="20"/>
        </w:rPr>
        <w:t xml:space="preserve">-pronged </w:t>
      </w:r>
      <w:r w:rsidR="005425F8" w:rsidRPr="007B5BE6">
        <w:rPr>
          <w:rFonts w:eastAsia="Times" w:cs="Times New Roman"/>
          <w:szCs w:val="20"/>
        </w:rPr>
        <w:t xml:space="preserve">public health </w:t>
      </w:r>
      <w:r w:rsidR="004D4B6B" w:rsidRPr="007B5BE6">
        <w:rPr>
          <w:rFonts w:eastAsia="Times" w:cs="Times New Roman"/>
          <w:szCs w:val="20"/>
        </w:rPr>
        <w:t xml:space="preserve">approach to </w:t>
      </w:r>
      <w:r w:rsidR="005C3B06" w:rsidRPr="007B5BE6">
        <w:rPr>
          <w:rFonts w:eastAsia="Times" w:cs="Times New Roman"/>
          <w:szCs w:val="20"/>
        </w:rPr>
        <w:t xml:space="preserve">the prevention </w:t>
      </w:r>
      <w:r w:rsidR="008E09B8" w:rsidRPr="007B5BE6">
        <w:rPr>
          <w:rFonts w:eastAsia="Times" w:cs="Times New Roman"/>
          <w:szCs w:val="20"/>
        </w:rPr>
        <w:t>of</w:t>
      </w:r>
      <w:r w:rsidR="005C3B06" w:rsidRPr="007B5BE6">
        <w:rPr>
          <w:rFonts w:eastAsia="Times" w:cs="Times New Roman"/>
          <w:szCs w:val="20"/>
        </w:rPr>
        <w:t xml:space="preserve"> </w:t>
      </w:r>
      <w:r w:rsidR="008E09B8" w:rsidRPr="007B5BE6">
        <w:rPr>
          <w:rFonts w:eastAsia="Times" w:cs="Times New Roman"/>
          <w:szCs w:val="20"/>
        </w:rPr>
        <w:t>t</w:t>
      </w:r>
      <w:r w:rsidR="005C3B06" w:rsidRPr="007B5BE6">
        <w:rPr>
          <w:rFonts w:eastAsia="Times" w:cs="Times New Roman"/>
          <w:szCs w:val="20"/>
        </w:rPr>
        <w:t xml:space="preserve">he abuse of older people </w:t>
      </w:r>
      <w:r w:rsidR="008E09B8" w:rsidRPr="007B5BE6">
        <w:rPr>
          <w:rFonts w:eastAsia="Times" w:cs="Times New Roman"/>
          <w:szCs w:val="20"/>
        </w:rPr>
        <w:t>(primary, secondary and tertiary prevention),</w:t>
      </w:r>
      <w:r w:rsidR="008E09B8" w:rsidRPr="007B5BE6">
        <w:rPr>
          <w:rStyle w:val="FootnoteReference"/>
          <w:rFonts w:eastAsia="Times" w:cs="Times New Roman"/>
          <w:szCs w:val="20"/>
        </w:rPr>
        <w:footnoteReference w:id="630"/>
      </w:r>
      <w:r w:rsidR="008E09B8" w:rsidRPr="007B5BE6">
        <w:rPr>
          <w:rFonts w:eastAsia="Times" w:cs="Times New Roman"/>
          <w:szCs w:val="20"/>
        </w:rPr>
        <w:t xml:space="preserve"> a</w:t>
      </w:r>
      <w:r w:rsidR="0049258C" w:rsidRPr="007B5BE6">
        <w:rPr>
          <w:rFonts w:eastAsia="Times" w:cs="Times New Roman"/>
          <w:szCs w:val="20"/>
        </w:rPr>
        <w:t>s outlined</w:t>
      </w:r>
      <w:r w:rsidR="002D0A09" w:rsidRPr="007B5BE6">
        <w:rPr>
          <w:rFonts w:eastAsia="Times" w:cs="Times New Roman"/>
          <w:szCs w:val="20"/>
        </w:rPr>
        <w:t xml:space="preserve"> </w:t>
      </w:r>
      <w:r w:rsidR="0049258C" w:rsidRPr="007B5BE6">
        <w:rPr>
          <w:rFonts w:eastAsia="Times" w:cs="Times New Roman"/>
          <w:szCs w:val="20"/>
        </w:rPr>
        <w:t xml:space="preserve">in </w:t>
      </w:r>
      <w:r w:rsidR="00B53023" w:rsidRPr="007B5BE6">
        <w:rPr>
          <w:rFonts w:eastAsia="Times" w:cs="Times New Roman"/>
          <w:szCs w:val="20"/>
        </w:rPr>
        <w:t xml:space="preserve">the </w:t>
      </w:r>
      <w:r w:rsidR="00F20832" w:rsidRPr="007B5BE6">
        <w:rPr>
          <w:rStyle w:val="NormalNumberedTextTLRIChar"/>
          <w:i/>
          <w:iCs/>
        </w:rPr>
        <w:t>Lifelong Respect: Tasmania’s Strategy to End the Abuse of Older People (Elder Abuse) 2023–2029</w:t>
      </w:r>
      <w:r w:rsidR="00B53023" w:rsidRPr="007B5BE6">
        <w:rPr>
          <w:rStyle w:val="NormalNumberedTextTLRIChar"/>
        </w:rPr>
        <w:t xml:space="preserve">, and the </w:t>
      </w:r>
      <w:r w:rsidR="00656F2F" w:rsidRPr="007B5BE6">
        <w:rPr>
          <w:rStyle w:val="NormalNumberedTextTLRIChar"/>
          <w:i/>
          <w:iCs/>
        </w:rPr>
        <w:t>A Respectful, Age friendly Island: Older Tasmanians Action Plan 2025</w:t>
      </w:r>
      <w:r w:rsidR="00906DDD" w:rsidRPr="007B5BE6">
        <w:rPr>
          <w:rStyle w:val="NormalNumberedTextTLRIChar"/>
          <w:i/>
          <w:iCs/>
        </w:rPr>
        <w:t>–</w:t>
      </w:r>
      <w:r w:rsidR="00656F2F" w:rsidRPr="007B5BE6">
        <w:rPr>
          <w:rStyle w:val="NormalNumberedTextTLRIChar"/>
          <w:i/>
          <w:iCs/>
        </w:rPr>
        <w:t xml:space="preserve"> 2029</w:t>
      </w:r>
      <w:r w:rsidR="00B53023" w:rsidRPr="007B5BE6">
        <w:rPr>
          <w:rStyle w:val="NormalNumberedTextTLRIChar"/>
        </w:rPr>
        <w:t xml:space="preserve">, an important </w:t>
      </w:r>
      <w:r w:rsidR="0049258C" w:rsidRPr="007B5BE6">
        <w:rPr>
          <w:rStyle w:val="NormalNumberedTextTLRIChar"/>
        </w:rPr>
        <w:t>c</w:t>
      </w:r>
      <w:r w:rsidR="0049258C" w:rsidRPr="007B5BE6">
        <w:rPr>
          <w:rFonts w:eastAsia="Times" w:cs="Times New Roman"/>
          <w:szCs w:val="20"/>
        </w:rPr>
        <w:t>omponent</w:t>
      </w:r>
      <w:r w:rsidR="002D0A09" w:rsidRPr="007B5BE6">
        <w:rPr>
          <w:rFonts w:eastAsia="Times" w:cs="Times New Roman"/>
          <w:szCs w:val="20"/>
        </w:rPr>
        <w:t xml:space="preserve"> of the primary prevention </w:t>
      </w:r>
      <w:r w:rsidR="0049258C" w:rsidRPr="007B5BE6">
        <w:rPr>
          <w:rFonts w:eastAsia="Times" w:cs="Times New Roman"/>
          <w:szCs w:val="20"/>
        </w:rPr>
        <w:t>response</w:t>
      </w:r>
      <w:r w:rsidR="002D0A09" w:rsidRPr="007B5BE6">
        <w:rPr>
          <w:rFonts w:eastAsia="Times" w:cs="Times New Roman"/>
          <w:szCs w:val="20"/>
        </w:rPr>
        <w:t xml:space="preserve"> has been education </w:t>
      </w:r>
      <w:r w:rsidR="00B45E6E" w:rsidRPr="007B5BE6">
        <w:rPr>
          <w:rFonts w:eastAsia="Times" w:cs="Times New Roman"/>
          <w:szCs w:val="20"/>
        </w:rPr>
        <w:t>aimed at empowering</w:t>
      </w:r>
      <w:r w:rsidR="005B629E" w:rsidRPr="007B5BE6">
        <w:rPr>
          <w:rFonts w:eastAsia="Times" w:cs="Times New Roman"/>
          <w:szCs w:val="20"/>
        </w:rPr>
        <w:t xml:space="preserve"> the </w:t>
      </w:r>
      <w:r w:rsidR="002D0A09" w:rsidRPr="007B5BE6">
        <w:rPr>
          <w:rFonts w:eastAsia="Times" w:cs="Times New Roman"/>
          <w:szCs w:val="20"/>
        </w:rPr>
        <w:t xml:space="preserve">diverse </w:t>
      </w:r>
      <w:r w:rsidR="00B45E6E" w:rsidRPr="007B5BE6">
        <w:rPr>
          <w:rFonts w:eastAsia="Times" w:cs="Times New Roman"/>
          <w:szCs w:val="20"/>
        </w:rPr>
        <w:t>Tasmanian</w:t>
      </w:r>
      <w:r w:rsidR="002D0A09" w:rsidRPr="007B5BE6">
        <w:rPr>
          <w:rFonts w:eastAsia="Times" w:cs="Times New Roman"/>
          <w:szCs w:val="20"/>
        </w:rPr>
        <w:t xml:space="preserve"> community to </w:t>
      </w:r>
      <w:r w:rsidR="00656F2F" w:rsidRPr="007B5BE6">
        <w:rPr>
          <w:rFonts w:eastAsia="Times" w:cs="Times New Roman"/>
          <w:szCs w:val="20"/>
        </w:rPr>
        <w:t>recognise</w:t>
      </w:r>
      <w:r w:rsidR="00A71177" w:rsidRPr="007B5BE6">
        <w:rPr>
          <w:rFonts w:eastAsia="Times" w:cs="Times New Roman"/>
          <w:szCs w:val="20"/>
        </w:rPr>
        <w:t>, respond to and prevent the abuse of older people.</w:t>
      </w:r>
      <w:r w:rsidR="00A71177" w:rsidRPr="007B5BE6">
        <w:rPr>
          <w:rStyle w:val="FootnoteReference"/>
          <w:rFonts w:eastAsia="Times" w:cs="Times New Roman"/>
          <w:szCs w:val="20"/>
        </w:rPr>
        <w:footnoteReference w:id="631"/>
      </w:r>
      <w:r w:rsidR="00C42F6D" w:rsidRPr="007B5BE6">
        <w:rPr>
          <w:rFonts w:eastAsia="Times" w:cs="Times New Roman"/>
          <w:szCs w:val="20"/>
        </w:rPr>
        <w:t xml:space="preserve"> </w:t>
      </w:r>
      <w:r w:rsidR="008B7D28" w:rsidRPr="007B5BE6">
        <w:rPr>
          <w:rFonts w:eastAsia="Times" w:cs="Times New Roman"/>
          <w:szCs w:val="20"/>
        </w:rPr>
        <w:t>There</w:t>
      </w:r>
      <w:r w:rsidR="00FB4E60" w:rsidRPr="007B5BE6">
        <w:rPr>
          <w:rFonts w:eastAsia="Times" w:cs="Times New Roman"/>
          <w:szCs w:val="20"/>
        </w:rPr>
        <w:t xml:space="preserve"> has been </w:t>
      </w:r>
      <w:r w:rsidR="00B54C60" w:rsidRPr="007B5BE6">
        <w:rPr>
          <w:rFonts w:eastAsia="Times" w:cs="Times New Roman"/>
          <w:szCs w:val="20"/>
        </w:rPr>
        <w:t xml:space="preserve">a </w:t>
      </w:r>
      <w:r w:rsidR="00FB4E60" w:rsidRPr="007B5BE6">
        <w:rPr>
          <w:rFonts w:eastAsia="Times" w:cs="Times New Roman"/>
          <w:szCs w:val="20"/>
        </w:rPr>
        <w:t xml:space="preserve">focus on education campaigns and programs directed </w:t>
      </w:r>
      <w:r w:rsidR="006E0968" w:rsidRPr="007B5BE6">
        <w:rPr>
          <w:rFonts w:eastAsia="Times" w:cs="Times New Roman"/>
          <w:szCs w:val="20"/>
        </w:rPr>
        <w:t>to</w:t>
      </w:r>
      <w:r w:rsidR="00FB4E60" w:rsidRPr="007B5BE6">
        <w:rPr>
          <w:rFonts w:eastAsia="Times" w:cs="Times New Roman"/>
          <w:szCs w:val="20"/>
        </w:rPr>
        <w:t xml:space="preserve"> older people, including education to equip older people with knowledge </w:t>
      </w:r>
      <w:r w:rsidR="006E0968" w:rsidRPr="007B5BE6">
        <w:rPr>
          <w:rFonts w:eastAsia="Times" w:cs="Times New Roman"/>
          <w:szCs w:val="20"/>
        </w:rPr>
        <w:t xml:space="preserve">of, </w:t>
      </w:r>
      <w:r w:rsidR="00FB4E60" w:rsidRPr="007B5BE6">
        <w:rPr>
          <w:rFonts w:eastAsia="Times" w:cs="Times New Roman"/>
          <w:szCs w:val="20"/>
        </w:rPr>
        <w:t xml:space="preserve">and support </w:t>
      </w:r>
      <w:r w:rsidR="006E0968" w:rsidRPr="007B5BE6">
        <w:rPr>
          <w:rFonts w:eastAsia="Times" w:cs="Times New Roman"/>
          <w:szCs w:val="20"/>
        </w:rPr>
        <w:t>to uphold,</w:t>
      </w:r>
      <w:r w:rsidR="00FB4E60" w:rsidRPr="007B5BE6">
        <w:rPr>
          <w:rFonts w:eastAsia="Times" w:cs="Times New Roman"/>
          <w:szCs w:val="20"/>
        </w:rPr>
        <w:t xml:space="preserve"> their rights and to take steps to protect themselves from abuse.</w:t>
      </w:r>
      <w:r w:rsidR="001E2420" w:rsidRPr="007B5BE6">
        <w:rPr>
          <w:rFonts w:eastAsia="Times" w:cs="Times New Roman"/>
          <w:szCs w:val="20"/>
        </w:rPr>
        <w:t xml:space="preserve"> </w:t>
      </w:r>
      <w:r w:rsidR="004B2B57" w:rsidRPr="007B5BE6">
        <w:rPr>
          <w:rFonts w:eastAsia="Times" w:cs="Times New Roman"/>
          <w:szCs w:val="20"/>
        </w:rPr>
        <w:t xml:space="preserve">However, </w:t>
      </w:r>
      <w:r w:rsidR="00797D83" w:rsidRPr="007B5BE6">
        <w:rPr>
          <w:rFonts w:eastAsia="Times" w:cs="Times New Roman"/>
          <w:szCs w:val="20"/>
        </w:rPr>
        <w:t xml:space="preserve">as recognised in </w:t>
      </w:r>
      <w:r w:rsidR="006E0968" w:rsidRPr="007B5BE6">
        <w:rPr>
          <w:rFonts w:eastAsia="Times" w:cs="Times New Roman"/>
          <w:szCs w:val="20"/>
        </w:rPr>
        <w:t xml:space="preserve">the TLRI’s </w:t>
      </w:r>
      <w:r w:rsidR="00797D83" w:rsidRPr="007B5BE6">
        <w:rPr>
          <w:rFonts w:eastAsia="Times" w:cs="Times New Roman"/>
          <w:szCs w:val="20"/>
        </w:rPr>
        <w:t xml:space="preserve">stakeholder interviews and in </w:t>
      </w:r>
      <w:r w:rsidR="006558EE" w:rsidRPr="007B5BE6">
        <w:rPr>
          <w:rFonts w:eastAsia="Times" w:cs="Times New Roman"/>
          <w:szCs w:val="20"/>
        </w:rPr>
        <w:t xml:space="preserve">Tasmania’s </w:t>
      </w:r>
      <w:r w:rsidR="00797D83" w:rsidRPr="007B5BE6">
        <w:rPr>
          <w:rFonts w:eastAsia="Times" w:cs="Times New Roman"/>
          <w:szCs w:val="20"/>
        </w:rPr>
        <w:t>policy framework</w:t>
      </w:r>
      <w:r w:rsidR="004B2B57" w:rsidRPr="007B5BE6">
        <w:rPr>
          <w:rFonts w:eastAsia="Times" w:cs="Times New Roman"/>
          <w:szCs w:val="20"/>
        </w:rPr>
        <w:t xml:space="preserve">, </w:t>
      </w:r>
      <w:r w:rsidR="00797D83" w:rsidRPr="007B5BE6">
        <w:rPr>
          <w:rFonts w:eastAsia="Times" w:cs="Times New Roman"/>
          <w:szCs w:val="20"/>
        </w:rPr>
        <w:t>further</w:t>
      </w:r>
      <w:r w:rsidR="00FB4E60" w:rsidRPr="007B5BE6">
        <w:rPr>
          <w:rFonts w:eastAsia="Times" w:cs="Times New Roman"/>
          <w:szCs w:val="20"/>
        </w:rPr>
        <w:t xml:space="preserve"> </w:t>
      </w:r>
      <w:r w:rsidR="00797D83" w:rsidRPr="007B5BE6">
        <w:rPr>
          <w:rFonts w:eastAsia="Times" w:cs="Times New Roman"/>
          <w:szCs w:val="20"/>
        </w:rPr>
        <w:t xml:space="preserve">and </w:t>
      </w:r>
      <w:r w:rsidR="00AD0C08" w:rsidRPr="007B5BE6">
        <w:rPr>
          <w:rFonts w:eastAsia="Times" w:cs="Times New Roman"/>
          <w:szCs w:val="20"/>
        </w:rPr>
        <w:t>strengthened approaches to</w:t>
      </w:r>
      <w:r w:rsidR="00FB4E60" w:rsidRPr="007B5BE6">
        <w:rPr>
          <w:rFonts w:eastAsia="Times" w:cs="Times New Roman"/>
          <w:szCs w:val="20"/>
        </w:rPr>
        <w:t xml:space="preserve"> education and training</w:t>
      </w:r>
      <w:r w:rsidR="00797D83" w:rsidRPr="007B5BE6">
        <w:rPr>
          <w:rFonts w:eastAsia="Times" w:cs="Times New Roman"/>
          <w:szCs w:val="20"/>
        </w:rPr>
        <w:t xml:space="preserve"> is required</w:t>
      </w:r>
      <w:r w:rsidR="00FB4E60" w:rsidRPr="007B5BE6">
        <w:rPr>
          <w:rFonts w:eastAsia="Times" w:cs="Times New Roman"/>
          <w:szCs w:val="20"/>
        </w:rPr>
        <w:t xml:space="preserve"> to better inform the Tasmanian community about the </w:t>
      </w:r>
      <w:r w:rsidR="009D2F89" w:rsidRPr="007B5BE6">
        <w:rPr>
          <w:rFonts w:eastAsia="Times" w:cs="Times New Roman"/>
          <w:szCs w:val="20"/>
        </w:rPr>
        <w:t xml:space="preserve">nature of </w:t>
      </w:r>
      <w:r w:rsidR="00FB4E60" w:rsidRPr="007B5BE6">
        <w:rPr>
          <w:rFonts w:eastAsia="Times" w:cs="Times New Roman"/>
          <w:szCs w:val="20"/>
        </w:rPr>
        <w:t>abuse of older people and the responses that are available</w:t>
      </w:r>
      <w:r w:rsidR="00952AAE" w:rsidRPr="007B5BE6">
        <w:rPr>
          <w:rFonts w:eastAsia="Times" w:cs="Times New Roman"/>
          <w:szCs w:val="20"/>
        </w:rPr>
        <w:t>.</w:t>
      </w:r>
      <w:r w:rsidR="00FB4E60" w:rsidRPr="007B5BE6">
        <w:rPr>
          <w:rFonts w:eastAsia="Times" w:cs="Times New Roman"/>
          <w:szCs w:val="20"/>
        </w:rPr>
        <w:t xml:space="preserve"> </w:t>
      </w:r>
      <w:r w:rsidR="006558EE" w:rsidRPr="007B5BE6">
        <w:rPr>
          <w:rFonts w:eastAsia="Times" w:cs="Times New Roman"/>
          <w:szCs w:val="20"/>
        </w:rPr>
        <w:t>Stakeholders in the TLRI’s interview identified that</w:t>
      </w:r>
      <w:r w:rsidR="009D2F89" w:rsidRPr="007B5BE6">
        <w:rPr>
          <w:rFonts w:eastAsia="Times" w:cs="Times New Roman"/>
          <w:szCs w:val="20"/>
        </w:rPr>
        <w:t xml:space="preserve"> </w:t>
      </w:r>
      <w:r w:rsidR="00AE0D60" w:rsidRPr="007B5BE6">
        <w:rPr>
          <w:rFonts w:eastAsia="Times" w:cs="Times New Roman"/>
          <w:szCs w:val="20"/>
        </w:rPr>
        <w:t xml:space="preserve">such </w:t>
      </w:r>
      <w:r w:rsidR="009D2F89" w:rsidRPr="007B5BE6">
        <w:rPr>
          <w:rFonts w:eastAsia="Times" w:cs="Times New Roman"/>
          <w:szCs w:val="20"/>
        </w:rPr>
        <w:t xml:space="preserve">education </w:t>
      </w:r>
      <w:r w:rsidR="00AE0D60" w:rsidRPr="007B5BE6">
        <w:rPr>
          <w:rFonts w:eastAsia="Times" w:cs="Times New Roman"/>
          <w:szCs w:val="20"/>
        </w:rPr>
        <w:t>should</w:t>
      </w:r>
      <w:r w:rsidR="00FB4E60" w:rsidRPr="007B5BE6">
        <w:rPr>
          <w:rFonts w:eastAsia="Times" w:cs="Times New Roman"/>
          <w:szCs w:val="20"/>
        </w:rPr>
        <w:t xml:space="preserve"> include general community education</w:t>
      </w:r>
      <w:r w:rsidR="00AE0D60" w:rsidRPr="007B5BE6">
        <w:rPr>
          <w:rFonts w:eastAsia="Times" w:cs="Times New Roman"/>
          <w:szCs w:val="20"/>
        </w:rPr>
        <w:t>,</w:t>
      </w:r>
      <w:r w:rsidR="00FB4E60" w:rsidRPr="007B5BE6">
        <w:rPr>
          <w:rFonts w:eastAsia="Times" w:cs="Times New Roman"/>
          <w:szCs w:val="20"/>
        </w:rPr>
        <w:t xml:space="preserve"> as well as specialist training for agencies or organisations who deliver services to older people</w:t>
      </w:r>
      <w:r w:rsidR="00586457" w:rsidRPr="007B5BE6">
        <w:rPr>
          <w:rFonts w:eastAsia="Times" w:cs="Times New Roman"/>
          <w:szCs w:val="20"/>
        </w:rPr>
        <w:t xml:space="preserve">. </w:t>
      </w:r>
    </w:p>
    <w:p w14:paraId="2EDD7316" w14:textId="65C8C6AB" w:rsidR="00506060" w:rsidRPr="007B5BE6" w:rsidRDefault="001F53D9" w:rsidP="00BF1415">
      <w:pPr>
        <w:pStyle w:val="NormalNumberedTextTLRI"/>
        <w:rPr>
          <w:i/>
        </w:rPr>
      </w:pPr>
      <w:r w:rsidRPr="007B5BE6">
        <w:t xml:space="preserve">The TLRI notes that the Disability Commissioner’s current functions include a focus on systemic and educative work, for example </w:t>
      </w:r>
      <w:r w:rsidR="00AE0D60" w:rsidRPr="007B5BE6">
        <w:t xml:space="preserve">to </w:t>
      </w:r>
      <w:r w:rsidRPr="007B5BE6">
        <w:t xml:space="preserve">‘raise awareness in relation  to, and education about the rights of, people, with disability’ and ‘inquire into and report on systemic issues relating to the </w:t>
      </w:r>
      <w:r w:rsidRPr="007B5BE6">
        <w:lastRenderedPageBreak/>
        <w:t>protective and promotion of the rights of people with disability’.</w:t>
      </w:r>
      <w:r w:rsidR="00361FDD" w:rsidRPr="007B5BE6">
        <w:rPr>
          <w:rStyle w:val="FootnoteReference"/>
        </w:rPr>
        <w:footnoteReference w:id="632"/>
      </w:r>
      <w:r w:rsidRPr="007B5BE6">
        <w:t xml:space="preserve"> The TLRI considers these to be appropriate functions </w:t>
      </w:r>
      <w:r w:rsidR="00C52D68" w:rsidRPr="007B5BE6">
        <w:t xml:space="preserve">that </w:t>
      </w:r>
      <w:r w:rsidR="00AA768D" w:rsidRPr="007B5BE6">
        <w:t xml:space="preserve">could be reflected in the equivalent educative role </w:t>
      </w:r>
      <w:r w:rsidR="0056322E" w:rsidRPr="007B5BE6">
        <w:t xml:space="preserve">as part of </w:t>
      </w:r>
      <w:r w:rsidR="003F3CFE" w:rsidRPr="007B5BE6">
        <w:t xml:space="preserve">the creation of a </w:t>
      </w:r>
      <w:r w:rsidR="0056322E" w:rsidRPr="007B5BE6">
        <w:t xml:space="preserve">safeguarding </w:t>
      </w:r>
      <w:r w:rsidR="003F3CFE" w:rsidRPr="007B5BE6">
        <w:t xml:space="preserve">entity </w:t>
      </w:r>
      <w:r w:rsidR="0056322E" w:rsidRPr="007B5BE6">
        <w:t>for</w:t>
      </w:r>
      <w:r w:rsidRPr="007B5BE6">
        <w:t xml:space="preserve"> older people. </w:t>
      </w:r>
      <w:r w:rsidR="00C24BCC" w:rsidRPr="007B5BE6">
        <w:t>Accordingly, the TLRI’s view is that t</w:t>
      </w:r>
      <w:r w:rsidR="00C52D68" w:rsidRPr="007B5BE6">
        <w:t xml:space="preserve">he functions of the Commissioner </w:t>
      </w:r>
      <w:r w:rsidR="0056322E" w:rsidRPr="007B5BE6">
        <w:t xml:space="preserve">for Older People </w:t>
      </w:r>
      <w:r w:rsidR="003259E4" w:rsidRPr="007B5BE6">
        <w:t xml:space="preserve">should also include </w:t>
      </w:r>
      <w:r w:rsidR="000A2C30" w:rsidRPr="007B5BE6">
        <w:t xml:space="preserve">the development </w:t>
      </w:r>
      <w:r w:rsidR="00F64B26" w:rsidRPr="007B5BE6">
        <w:t xml:space="preserve">and delivery </w:t>
      </w:r>
      <w:r w:rsidR="000A2C30" w:rsidRPr="007B5BE6">
        <w:t xml:space="preserve">of best practice </w:t>
      </w:r>
      <w:r w:rsidR="003259E4" w:rsidRPr="007B5BE6">
        <w:rPr>
          <w:lang w:val="en-US"/>
        </w:rPr>
        <w:t xml:space="preserve">education and training for services and businesses </w:t>
      </w:r>
      <w:r w:rsidR="003F3CFE" w:rsidRPr="007B5BE6">
        <w:rPr>
          <w:lang w:val="en-US"/>
        </w:rPr>
        <w:t>that</w:t>
      </w:r>
      <w:r w:rsidR="00C52D68" w:rsidRPr="007B5BE6">
        <w:rPr>
          <w:lang w:val="en-US"/>
        </w:rPr>
        <w:t xml:space="preserve"> interact</w:t>
      </w:r>
      <w:r w:rsidR="003259E4" w:rsidRPr="007B5BE6">
        <w:rPr>
          <w:lang w:val="en-US"/>
        </w:rPr>
        <w:t xml:space="preserve"> with older Tasmanians.</w:t>
      </w:r>
      <w:r w:rsidR="00F64B26" w:rsidRPr="007B5BE6">
        <w:rPr>
          <w:rStyle w:val="FootnoteReference"/>
          <w:lang w:val="en-US"/>
        </w:rPr>
        <w:footnoteReference w:id="633"/>
      </w:r>
      <w:r w:rsidR="003259E4" w:rsidRPr="007B5BE6">
        <w:rPr>
          <w:lang w:val="en-US"/>
        </w:rPr>
        <w:t xml:space="preserve"> </w:t>
      </w:r>
      <w:r w:rsidR="00F11AC8" w:rsidRPr="007B5BE6">
        <w:rPr>
          <w:lang w:val="en-US"/>
        </w:rPr>
        <w:t>This</w:t>
      </w:r>
      <w:r w:rsidR="007E25CE" w:rsidRPr="007B5BE6">
        <w:rPr>
          <w:lang w:val="en-US"/>
        </w:rPr>
        <w:t xml:space="preserve"> </w:t>
      </w:r>
      <w:r w:rsidR="005971EC" w:rsidRPr="007B5BE6">
        <w:rPr>
          <w:lang w:val="en-US"/>
        </w:rPr>
        <w:t xml:space="preserve">reflects the strategic focus of the Tasmanian </w:t>
      </w:r>
      <w:r w:rsidR="003F3CFE" w:rsidRPr="007B5BE6">
        <w:rPr>
          <w:lang w:val="en-US"/>
        </w:rPr>
        <w:t>G</w:t>
      </w:r>
      <w:r w:rsidR="005971EC" w:rsidRPr="007B5BE6">
        <w:rPr>
          <w:lang w:val="en-US"/>
        </w:rPr>
        <w:t xml:space="preserve">overnment and </w:t>
      </w:r>
      <w:r w:rsidR="007E25CE" w:rsidRPr="007B5BE6">
        <w:rPr>
          <w:lang w:val="en-US"/>
        </w:rPr>
        <w:t>can be integr</w:t>
      </w:r>
      <w:r w:rsidR="004E2B87" w:rsidRPr="007B5BE6">
        <w:rPr>
          <w:lang w:val="en-US"/>
        </w:rPr>
        <w:t xml:space="preserve">ated into the </w:t>
      </w:r>
      <w:r w:rsidR="00CE7195" w:rsidRPr="007B5BE6">
        <w:rPr>
          <w:lang w:val="en-US"/>
        </w:rPr>
        <w:t>implementation</w:t>
      </w:r>
      <w:r w:rsidR="004E2B87" w:rsidRPr="007B5BE6">
        <w:rPr>
          <w:lang w:val="en-US"/>
        </w:rPr>
        <w:t xml:space="preserve"> of </w:t>
      </w:r>
      <w:r w:rsidR="00B533A7" w:rsidRPr="007B5BE6">
        <w:rPr>
          <w:lang w:val="en-US"/>
        </w:rPr>
        <w:t xml:space="preserve">its relevant </w:t>
      </w:r>
      <w:r w:rsidR="00CE7195" w:rsidRPr="007B5BE6">
        <w:rPr>
          <w:lang w:val="en-US"/>
        </w:rPr>
        <w:t xml:space="preserve">policy objectives </w:t>
      </w:r>
      <w:r w:rsidR="00367AB9" w:rsidRPr="007B5BE6">
        <w:rPr>
          <w:lang w:val="en-US"/>
        </w:rPr>
        <w:t>regarding the</w:t>
      </w:r>
      <w:r w:rsidR="00B533A7" w:rsidRPr="007B5BE6">
        <w:rPr>
          <w:lang w:val="en-US"/>
        </w:rPr>
        <w:t xml:space="preserve"> abuse of older people</w:t>
      </w:r>
      <w:r w:rsidR="002568B7" w:rsidRPr="007B5BE6">
        <w:rPr>
          <w:lang w:val="en-US"/>
        </w:rPr>
        <w:t xml:space="preserve">. </w:t>
      </w:r>
      <w:r w:rsidR="007C36BE" w:rsidRPr="007B5BE6">
        <w:rPr>
          <w:lang w:val="en-US"/>
        </w:rPr>
        <w:t xml:space="preserve">As noted, </w:t>
      </w:r>
      <w:r w:rsidR="007C36BE" w:rsidRPr="007B5BE6">
        <w:t>e</w:t>
      </w:r>
      <w:r w:rsidR="00BF1415" w:rsidRPr="007B5BE6">
        <w:t>ducation and training for professionals who engage with older people is important to enable them to better identi</w:t>
      </w:r>
      <w:r w:rsidR="004A7C1C" w:rsidRPr="007B5BE6">
        <w:t>f</w:t>
      </w:r>
      <w:r w:rsidR="00BF1415" w:rsidRPr="007B5BE6">
        <w:t>y and respond to abuse of older people</w:t>
      </w:r>
      <w:r w:rsidR="00367AB9" w:rsidRPr="007B5BE6">
        <w:t>;</w:t>
      </w:r>
      <w:r w:rsidR="00BF1415" w:rsidRPr="007B5BE6">
        <w:t xml:space="preserve"> as is awareness</w:t>
      </w:r>
      <w:r w:rsidR="00367AB9" w:rsidRPr="007B5BE6">
        <w:t>-</w:t>
      </w:r>
      <w:r w:rsidR="00BF1415" w:rsidRPr="007B5BE6">
        <w:t>raising activities for the broader community.</w:t>
      </w:r>
      <w:r w:rsidR="005D4199" w:rsidRPr="007B5BE6">
        <w:rPr>
          <w:rStyle w:val="FootnoteReference"/>
        </w:rPr>
        <w:footnoteReference w:id="634"/>
      </w:r>
      <w:r w:rsidR="00BF1415" w:rsidRPr="007B5BE6">
        <w:rPr>
          <w:i/>
          <w:iCs/>
        </w:rPr>
        <w:t xml:space="preserve"> </w:t>
      </w:r>
      <w:r w:rsidRPr="007B5BE6">
        <w:t xml:space="preserve">This is consistent with the Tasmanian Action </w:t>
      </w:r>
      <w:r w:rsidR="00F41CD7" w:rsidRPr="007B5BE6">
        <w:t>P</w:t>
      </w:r>
      <w:r w:rsidRPr="007B5BE6">
        <w:t xml:space="preserve">lan’s priority to ‘engage and educate services and businesses interfacing with older Tasmanians so they can recognise the underlying drivers of the abuse and respond to and prevent the abuse of older Tasmanians’ (as well as priorities in the draft National Plan). </w:t>
      </w:r>
      <w:r w:rsidR="00506060" w:rsidRPr="007B5BE6">
        <w:t>The TLRI’s view is that there needs to be reforms that allow for the provision of education and training t</w:t>
      </w:r>
      <w:r w:rsidR="00B44DBF" w:rsidRPr="007B5BE6">
        <w:t>o</w:t>
      </w:r>
      <w:r w:rsidR="00506060" w:rsidRPr="007B5BE6">
        <w:t xml:space="preserve"> address the disconnect</w:t>
      </w:r>
      <w:r w:rsidR="003A7DEA" w:rsidRPr="007B5BE6">
        <w:t>,</w:t>
      </w:r>
      <w:r w:rsidR="00506060" w:rsidRPr="007B5BE6">
        <w:t xml:space="preserve"> </w:t>
      </w:r>
      <w:r w:rsidR="003A7DEA" w:rsidRPr="007B5BE6">
        <w:t xml:space="preserve">identified in stakeholder interviews, </w:t>
      </w:r>
      <w:r w:rsidR="00506060" w:rsidRPr="007B5BE6">
        <w:t>between service systems for older people and the specialist service response where there is abuse (or concerns about abuse)</w:t>
      </w:r>
      <w:r w:rsidR="003A7DEA" w:rsidRPr="007B5BE6">
        <w:t>. This</w:t>
      </w:r>
      <w:r w:rsidR="00506060" w:rsidRPr="007B5BE6">
        <w:t xml:space="preserve"> includ</w:t>
      </w:r>
      <w:r w:rsidR="003A7DEA" w:rsidRPr="007B5BE6">
        <w:t>es</w:t>
      </w:r>
      <w:r w:rsidR="00506060" w:rsidRPr="007B5BE6">
        <w:t xml:space="preserve">: </w:t>
      </w:r>
    </w:p>
    <w:p w14:paraId="6451D5B0" w14:textId="09C68E09" w:rsidR="00797D9D" w:rsidRPr="007B5BE6" w:rsidRDefault="00D857B7" w:rsidP="00B44DBF">
      <w:pPr>
        <w:pStyle w:val="DotPointTLRI"/>
      </w:pPr>
      <w:r w:rsidRPr="007B5BE6">
        <w:t>p</w:t>
      </w:r>
      <w:r w:rsidR="00797D9D" w:rsidRPr="007B5BE6">
        <w:t>olice</w:t>
      </w:r>
      <w:r w:rsidRPr="007B5BE6">
        <w:t>;</w:t>
      </w:r>
    </w:p>
    <w:p w14:paraId="0094E1AC" w14:textId="5B5A14FC" w:rsidR="00506060" w:rsidRPr="007B5BE6" w:rsidRDefault="00506060" w:rsidP="00B44DBF">
      <w:pPr>
        <w:pStyle w:val="DotPointTLRI"/>
      </w:pPr>
      <w:r w:rsidRPr="007B5BE6">
        <w:t xml:space="preserve">health services, including hospitals, </w:t>
      </w:r>
      <w:r w:rsidR="003A7DEA" w:rsidRPr="007B5BE6">
        <w:t>GPs</w:t>
      </w:r>
      <w:r w:rsidRPr="007B5BE6">
        <w:t>, geriatric practitioners;</w:t>
      </w:r>
    </w:p>
    <w:p w14:paraId="6AA22C51" w14:textId="77777777" w:rsidR="00506060" w:rsidRPr="007B5BE6" w:rsidRDefault="00506060" w:rsidP="00B44DBF">
      <w:pPr>
        <w:pStyle w:val="DotPointTLRI"/>
      </w:pPr>
      <w:r w:rsidRPr="007B5BE6">
        <w:t xml:space="preserve">banking, financial and property services; </w:t>
      </w:r>
    </w:p>
    <w:p w14:paraId="6A8B1F67" w14:textId="77777777" w:rsidR="00506060" w:rsidRPr="007B5BE6" w:rsidRDefault="00506060" w:rsidP="00B44DBF">
      <w:pPr>
        <w:pStyle w:val="DotPointTLRI"/>
      </w:pPr>
      <w:r w:rsidRPr="007B5BE6">
        <w:t>social services, including support systems for carers; and</w:t>
      </w:r>
    </w:p>
    <w:p w14:paraId="7640A102" w14:textId="77777777" w:rsidR="00506060" w:rsidRPr="007B5BE6" w:rsidRDefault="00506060" w:rsidP="00B44DBF">
      <w:pPr>
        <w:pStyle w:val="DotPointTLRI"/>
      </w:pPr>
      <w:r w:rsidRPr="007B5BE6">
        <w:t>aged care services.</w:t>
      </w:r>
    </w:p>
    <w:p w14:paraId="286DCDD4" w14:textId="77777777" w:rsidR="00506060" w:rsidRPr="007B5BE6" w:rsidRDefault="00506060" w:rsidP="005F7BEF">
      <w:pPr>
        <w:pStyle w:val="NormalNumberedTextTLRI"/>
      </w:pPr>
      <w:r w:rsidRPr="007B5BE6">
        <w:t>As ‘touch points’ for older people in the community, these agencies should be prioritised in reforms focused on addressing the following gaps:</w:t>
      </w:r>
    </w:p>
    <w:p w14:paraId="177DFA7C" w14:textId="29E3FF5C" w:rsidR="00506060" w:rsidRPr="007B5BE6" w:rsidRDefault="00506060" w:rsidP="00B44DBF">
      <w:pPr>
        <w:pStyle w:val="DotPointTLRI"/>
      </w:pPr>
      <w:r w:rsidRPr="007B5BE6">
        <w:t xml:space="preserve">the lack of knowledge of the options </w:t>
      </w:r>
      <w:r w:rsidR="00A2443D" w:rsidRPr="007B5BE6">
        <w:t xml:space="preserve">that </w:t>
      </w:r>
      <w:r w:rsidRPr="007B5BE6">
        <w:t xml:space="preserve">are currently available </w:t>
      </w:r>
      <w:r w:rsidR="00A2443D" w:rsidRPr="007B5BE6">
        <w:t>(which are limited</w:t>
      </w:r>
      <w:r w:rsidR="000955AE" w:rsidRPr="007B5BE6">
        <w:t>)</w:t>
      </w:r>
      <w:r w:rsidR="00A2443D" w:rsidRPr="007B5BE6">
        <w:t xml:space="preserve"> </w:t>
      </w:r>
      <w:r w:rsidRPr="007B5BE6">
        <w:t xml:space="preserve">for reporting abuse of older people, and associated lack of procedures and pathways to support reporting; </w:t>
      </w:r>
    </w:p>
    <w:p w14:paraId="56FF30ED" w14:textId="7D85CB64" w:rsidR="00506060" w:rsidRPr="007B5BE6" w:rsidRDefault="00506060" w:rsidP="00B44DBF">
      <w:pPr>
        <w:pStyle w:val="DotPointTLRI"/>
      </w:pPr>
      <w:r w:rsidRPr="007B5BE6">
        <w:t>gaps in the knowledge</w:t>
      </w:r>
      <w:r w:rsidR="000955AE" w:rsidRPr="007B5BE6">
        <w:t>,</w:t>
      </w:r>
      <w:r w:rsidRPr="007B5BE6">
        <w:t xml:space="preserve"> and understanding</w:t>
      </w:r>
      <w:r w:rsidR="000955AE" w:rsidRPr="007B5BE6">
        <w:t>,</w:t>
      </w:r>
      <w:r w:rsidRPr="007B5BE6">
        <w:t xml:space="preserve"> of the nature and dynamics</w:t>
      </w:r>
      <w:r w:rsidR="000955AE" w:rsidRPr="007B5BE6">
        <w:t xml:space="preserve"> of abuse of older people</w:t>
      </w:r>
      <w:r w:rsidRPr="007B5BE6">
        <w:t xml:space="preserve">; </w:t>
      </w:r>
    </w:p>
    <w:p w14:paraId="1704D1B0" w14:textId="77777777" w:rsidR="00506060" w:rsidRPr="007B5BE6" w:rsidRDefault="00506060" w:rsidP="00B44DBF">
      <w:pPr>
        <w:pStyle w:val="DotPointTLRI"/>
      </w:pPr>
      <w:r w:rsidRPr="007B5BE6">
        <w:t>absence of mechanisms (protocols or procedures) for safeguarding at key stages of service provision where abuse might be evident or occurring; and</w:t>
      </w:r>
    </w:p>
    <w:p w14:paraId="2EECFB65" w14:textId="2E4BFC11" w:rsidR="00506060" w:rsidRPr="007B5BE6" w:rsidRDefault="00506060" w:rsidP="00B44DBF">
      <w:pPr>
        <w:pStyle w:val="DotPointTLRI"/>
      </w:pPr>
      <w:r w:rsidRPr="007B5BE6">
        <w:t>lack of training in key areas informing factors relevant to</w:t>
      </w:r>
      <w:r w:rsidR="00CA052E" w:rsidRPr="007B5BE6">
        <w:t xml:space="preserve"> the</w:t>
      </w:r>
      <w:r w:rsidRPr="007B5BE6">
        <w:t xml:space="preserve"> risk of abuse. </w:t>
      </w:r>
    </w:p>
    <w:p w14:paraId="18F65504" w14:textId="6B837D88" w:rsidR="00DB7060" w:rsidRPr="007B5BE6" w:rsidRDefault="00DB7060" w:rsidP="00DB7060">
      <w:pPr>
        <w:pStyle w:val="NormalNumberedTextTLRI"/>
      </w:pPr>
      <w:r w:rsidRPr="007B5BE6">
        <w:t xml:space="preserve">In this regard, </w:t>
      </w:r>
      <w:r w:rsidR="0043353C" w:rsidRPr="007B5BE6">
        <w:t xml:space="preserve">the service delivery needs </w:t>
      </w:r>
      <w:r w:rsidR="00A52709" w:rsidRPr="007B5BE6">
        <w:t>of</w:t>
      </w:r>
      <w:r w:rsidR="0043353C" w:rsidRPr="007B5BE6">
        <w:t xml:space="preserve"> </w:t>
      </w:r>
      <w:r w:rsidR="00670CC9" w:rsidRPr="007B5BE6">
        <w:t xml:space="preserve">older people from diverse communities </w:t>
      </w:r>
      <w:r w:rsidR="00A52709" w:rsidRPr="007B5BE6">
        <w:t xml:space="preserve">and the agencies that provide support to these communities </w:t>
      </w:r>
      <w:r w:rsidR="00670CC9" w:rsidRPr="007B5BE6">
        <w:t xml:space="preserve">should </w:t>
      </w:r>
      <w:r w:rsidR="00A52709" w:rsidRPr="007B5BE6">
        <w:t xml:space="preserve">also </w:t>
      </w:r>
      <w:r w:rsidR="00670CC9" w:rsidRPr="007B5BE6">
        <w:t xml:space="preserve">be </w:t>
      </w:r>
      <w:r w:rsidR="00460723" w:rsidRPr="007B5BE6">
        <w:t>recognised</w:t>
      </w:r>
      <w:r w:rsidR="00670CC9" w:rsidRPr="007B5BE6">
        <w:t>.</w:t>
      </w:r>
      <w:r w:rsidR="00460723" w:rsidRPr="007B5BE6">
        <w:t xml:space="preserve"> Examples include </w:t>
      </w:r>
      <w:r w:rsidR="001A0078" w:rsidRPr="007B5BE6">
        <w:t xml:space="preserve">older </w:t>
      </w:r>
      <w:r w:rsidR="00CA052E" w:rsidRPr="007B5BE6">
        <w:t>people from culturally and linguistically diverse (‘</w:t>
      </w:r>
      <w:r w:rsidR="00460723" w:rsidRPr="007B5BE6">
        <w:t>CALD</w:t>
      </w:r>
      <w:r w:rsidR="00CA052E" w:rsidRPr="007B5BE6">
        <w:t xml:space="preserve">’) communities, </w:t>
      </w:r>
      <w:r w:rsidR="008B0CC0" w:rsidRPr="007B5BE6">
        <w:t>First Nations (</w:t>
      </w:r>
      <w:r w:rsidR="00404938" w:rsidRPr="007B5BE6">
        <w:t>Aboriginal</w:t>
      </w:r>
      <w:r w:rsidR="008B0CC0" w:rsidRPr="007B5BE6">
        <w:t xml:space="preserve"> </w:t>
      </w:r>
      <w:r w:rsidR="00EE425E" w:rsidRPr="007B5BE6">
        <w:t xml:space="preserve">and Torres Strait Islander) </w:t>
      </w:r>
      <w:r w:rsidR="001A0078" w:rsidRPr="007B5BE6">
        <w:t xml:space="preserve">older </w:t>
      </w:r>
      <w:r w:rsidR="00460723" w:rsidRPr="007B5BE6">
        <w:t xml:space="preserve">people, </w:t>
      </w:r>
      <w:r w:rsidR="00404938" w:rsidRPr="007B5BE6">
        <w:t xml:space="preserve">older people who are, or identify </w:t>
      </w:r>
      <w:r w:rsidR="00404938" w:rsidRPr="00E912B2">
        <w:t xml:space="preserve">as, </w:t>
      </w:r>
      <w:r w:rsidR="00E12C2F" w:rsidRPr="00E12C2F">
        <w:t>LGBTIQA+</w:t>
      </w:r>
      <w:r w:rsidR="00404938" w:rsidRPr="00E912B2">
        <w:t>,</w:t>
      </w:r>
      <w:r w:rsidR="00404938" w:rsidRPr="007B5BE6">
        <w:rPr>
          <w:rStyle w:val="FootnoteReference"/>
        </w:rPr>
        <w:footnoteReference w:id="635"/>
      </w:r>
      <w:r w:rsidR="00404938" w:rsidRPr="007B5BE6">
        <w:t xml:space="preserve"> older </w:t>
      </w:r>
      <w:r w:rsidR="00460723" w:rsidRPr="007B5BE6">
        <w:t>people with disability, older people experiencing cognitive decline and socially</w:t>
      </w:r>
      <w:r w:rsidR="00404938" w:rsidRPr="007B5BE6">
        <w:t>,</w:t>
      </w:r>
      <w:r w:rsidR="00460723" w:rsidRPr="007B5BE6">
        <w:t xml:space="preserve"> and geographically isolated </w:t>
      </w:r>
      <w:r w:rsidR="00404938" w:rsidRPr="007B5BE6">
        <w:t xml:space="preserve">older </w:t>
      </w:r>
      <w:r w:rsidR="00460723" w:rsidRPr="007B5BE6">
        <w:t>people.</w:t>
      </w:r>
      <w:r w:rsidR="00460723" w:rsidRPr="007B5BE6">
        <w:rPr>
          <w:rStyle w:val="FootnoteReference"/>
        </w:rPr>
        <w:footnoteReference w:id="636"/>
      </w:r>
      <w:r w:rsidR="00460723" w:rsidRPr="007B5BE6">
        <w:t xml:space="preserve"> </w:t>
      </w:r>
      <w:r w:rsidR="00670CC9" w:rsidRPr="007B5BE6">
        <w:t xml:space="preserve"> </w:t>
      </w:r>
    </w:p>
    <w:p w14:paraId="1CC1A290" w14:textId="0302EC8F" w:rsidR="008B004E" w:rsidRPr="007B5BE6" w:rsidRDefault="008B004E" w:rsidP="00DB7060">
      <w:pPr>
        <w:pStyle w:val="NormalNumberedTextTLRI"/>
      </w:pPr>
      <w:r w:rsidRPr="007B5BE6">
        <w:lastRenderedPageBreak/>
        <w:t>Further</w:t>
      </w:r>
      <w:r w:rsidR="00162F60" w:rsidRPr="007B5BE6">
        <w:t>,</w:t>
      </w:r>
      <w:r w:rsidRPr="007B5BE6">
        <w:t xml:space="preserve"> education and training </w:t>
      </w:r>
      <w:r w:rsidR="00C70B77" w:rsidRPr="007B5BE6">
        <w:t xml:space="preserve">should </w:t>
      </w:r>
      <w:r w:rsidR="00E70230" w:rsidRPr="007B5BE6">
        <w:t>include</w:t>
      </w:r>
      <w:r w:rsidR="00C70B77" w:rsidRPr="007B5BE6">
        <w:t xml:space="preserve"> supported decision makin</w:t>
      </w:r>
      <w:r w:rsidR="00300430" w:rsidRPr="007B5BE6">
        <w:t xml:space="preserve">g, </w:t>
      </w:r>
      <w:r w:rsidR="007C64F5" w:rsidRPr="007B5BE6">
        <w:t>reflect</w:t>
      </w:r>
      <w:r w:rsidR="00300430" w:rsidRPr="007B5BE6">
        <w:t>ing</w:t>
      </w:r>
      <w:r w:rsidR="007C64F5" w:rsidRPr="007B5BE6">
        <w:t xml:space="preserve"> </w:t>
      </w:r>
      <w:r w:rsidR="00300430" w:rsidRPr="007B5BE6">
        <w:t>its</w:t>
      </w:r>
      <w:r w:rsidR="00404938" w:rsidRPr="007B5BE6">
        <w:t xml:space="preserve"> </w:t>
      </w:r>
      <w:r w:rsidR="007C64F5" w:rsidRPr="007B5BE6">
        <w:t>recogni</w:t>
      </w:r>
      <w:r w:rsidR="00300430" w:rsidRPr="007B5BE6">
        <w:t xml:space="preserve">sed significance </w:t>
      </w:r>
      <w:r w:rsidR="00D75B81" w:rsidRPr="007B5BE6">
        <w:t xml:space="preserve">as an avenue for maximising </w:t>
      </w:r>
      <w:r w:rsidR="00404938" w:rsidRPr="007B5BE6">
        <w:t xml:space="preserve">the </w:t>
      </w:r>
      <w:r w:rsidR="00D75B81" w:rsidRPr="007B5BE6">
        <w:t xml:space="preserve">self-determination and autonomy of people </w:t>
      </w:r>
      <w:r w:rsidR="00E75C9C" w:rsidRPr="007B5BE6">
        <w:t>wh</w:t>
      </w:r>
      <w:r w:rsidR="003E0885" w:rsidRPr="007B5BE6">
        <w:t>ere a determination has been made that they lack</w:t>
      </w:r>
      <w:r w:rsidR="00E75C9C" w:rsidRPr="007B5BE6">
        <w:t xml:space="preserve"> </w:t>
      </w:r>
      <w:r w:rsidR="00D616CF" w:rsidRPr="007B5BE6">
        <w:t xml:space="preserve">decision-making </w:t>
      </w:r>
      <w:r w:rsidR="00880414" w:rsidRPr="007B5BE6">
        <w:t>ability</w:t>
      </w:r>
      <w:r w:rsidR="003E0885" w:rsidRPr="007B5BE6">
        <w:t xml:space="preserve"> (or there is the potential for such a determination to be made)</w:t>
      </w:r>
      <w:r w:rsidR="000F33F1" w:rsidRPr="007B5BE6">
        <w:t>.</w:t>
      </w:r>
      <w:r w:rsidR="00E75C9C" w:rsidRPr="007B5BE6">
        <w:t xml:space="preserve"> </w:t>
      </w:r>
      <w:r w:rsidR="000F33F1" w:rsidRPr="007B5BE6">
        <w:t>This is also consistent with the updated objects</w:t>
      </w:r>
      <w:r w:rsidR="00484C50" w:rsidRPr="007B5BE6">
        <w:t xml:space="preserve"> under s</w:t>
      </w:r>
      <w:r w:rsidR="00E75C9C" w:rsidRPr="007B5BE6">
        <w:t>ection</w:t>
      </w:r>
      <w:r w:rsidR="00484C50" w:rsidRPr="007B5BE6">
        <w:t xml:space="preserve"> 7 of</w:t>
      </w:r>
      <w:r w:rsidR="000F33F1" w:rsidRPr="007B5BE6">
        <w:t xml:space="preserve"> the </w:t>
      </w:r>
      <w:r w:rsidR="00484C50" w:rsidRPr="007B5BE6">
        <w:rPr>
          <w:i/>
        </w:rPr>
        <w:t>Guardianship and Administration Act 1995</w:t>
      </w:r>
      <w:r w:rsidR="00484C50" w:rsidRPr="007B5BE6">
        <w:t xml:space="preserve"> (Tas)</w:t>
      </w:r>
      <w:r w:rsidR="009F6F6E" w:rsidRPr="007B5BE6">
        <w:t xml:space="preserve">, and the </w:t>
      </w:r>
      <w:r w:rsidR="00D51EC7" w:rsidRPr="007B5BE6">
        <w:t xml:space="preserve">TLRI’s recommended </w:t>
      </w:r>
      <w:r w:rsidR="009F6F6E" w:rsidRPr="007B5BE6">
        <w:t>principles</w:t>
      </w:r>
      <w:r w:rsidR="00D51EC7" w:rsidRPr="007B5BE6">
        <w:t xml:space="preserve"> for,</w:t>
      </w:r>
      <w:r w:rsidR="009F6F6E" w:rsidRPr="007B5BE6">
        <w:t xml:space="preserve"> and approach to</w:t>
      </w:r>
      <w:r w:rsidR="00D51EC7" w:rsidRPr="007B5BE6">
        <w:t>,</w:t>
      </w:r>
      <w:r w:rsidR="009F6F6E" w:rsidRPr="007B5BE6">
        <w:t xml:space="preserve"> consent under the </w:t>
      </w:r>
      <w:r w:rsidR="00D51EC7" w:rsidRPr="007B5BE6">
        <w:t xml:space="preserve">proposed </w:t>
      </w:r>
      <w:r w:rsidR="009F6F6E" w:rsidRPr="007B5BE6">
        <w:t>overarching safeguarding legislation</w:t>
      </w:r>
      <w:r w:rsidR="00E75C9C" w:rsidRPr="007B5BE6">
        <w:t xml:space="preserve"> for older people</w:t>
      </w:r>
      <w:r w:rsidR="009F6F6E" w:rsidRPr="007B5BE6">
        <w:t>.</w:t>
      </w:r>
      <w:r w:rsidR="001D442C" w:rsidRPr="007B5BE6">
        <w:rPr>
          <w:rStyle w:val="FootnoteReference"/>
        </w:rPr>
        <w:footnoteReference w:id="637"/>
      </w:r>
      <w:r w:rsidR="00A6044A" w:rsidRPr="007B5BE6">
        <w:t xml:space="preserve"> </w:t>
      </w:r>
    </w:p>
    <w:p w14:paraId="09AE942C" w14:textId="4CF033A6" w:rsidR="00DD2FF6" w:rsidRPr="007B5BE6" w:rsidRDefault="00DD2FF6" w:rsidP="00DA30B3">
      <w:pPr>
        <w:pStyle w:val="DotPointTLRI"/>
        <w:numPr>
          <w:ilvl w:val="0"/>
          <w:numId w:val="0"/>
        </w:numPr>
        <w:rPr>
          <w:b/>
          <w:bCs/>
        </w:rPr>
      </w:pPr>
      <w:r w:rsidRPr="007B5BE6">
        <w:rPr>
          <w:noProof/>
        </w:rPr>
        <mc:AlternateContent>
          <mc:Choice Requires="wps">
            <w:drawing>
              <wp:inline distT="0" distB="0" distL="0" distR="0" wp14:anchorId="35FA3C93" wp14:editId="5BF2A200">
                <wp:extent cx="5727065" cy="1258214"/>
                <wp:effectExtent l="0" t="0" r="6985" b="0"/>
                <wp:docPr id="78100319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58214"/>
                        </a:xfrm>
                        <a:prstGeom prst="rect">
                          <a:avLst/>
                        </a:prstGeom>
                        <a:solidFill>
                          <a:srgbClr val="E8E8E8"/>
                        </a:solidFill>
                      </wps:spPr>
                      <wps:txbx>
                        <w:txbxContent>
                          <w:p w14:paraId="03FB8C1C" w14:textId="77777777" w:rsidR="00DD2FF6" w:rsidRPr="006F2DE6" w:rsidRDefault="00DD2FF6" w:rsidP="00DD2FF6">
                            <w:pPr>
                              <w:pStyle w:val="RecommendationBoxHeading"/>
                            </w:pPr>
                            <w:r w:rsidRPr="006F2DE6">
                              <w:t>Recommendation 18</w:t>
                            </w:r>
                          </w:p>
                          <w:p w14:paraId="643AB1E9" w14:textId="77777777" w:rsidR="00DD2FF6" w:rsidRPr="006F2DE6" w:rsidRDefault="00DD2FF6" w:rsidP="00DD2FF6">
                            <w:pPr>
                              <w:pStyle w:val="RecommendationBoxText"/>
                              <w:rPr>
                                <w:rFonts w:eastAsia="Times"/>
                              </w:rPr>
                            </w:pPr>
                            <w:r w:rsidRPr="006F2DE6">
                              <w:rPr>
                                <w:rFonts w:eastAsia="Times"/>
                              </w:rPr>
                              <w:t>The functions of the Commissioner for Older People should include education and training for services and businesses who interact with older Tasmanians as a primary and secondary prevention response to the abuse of older people, including Tasmania Police, and such education and training should include supported decision making.</w:t>
                            </w:r>
                          </w:p>
                          <w:p w14:paraId="75505C10"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35FA3C93" id="_x0000_s1044" type="#_x0000_t202" style="width:450.95pt;height:9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" fillcolor="#e8e8e8" stroked="f">
                <v:textbox inset="0,0,0,0">
                  <w:txbxContent>
                    <w:p w14:paraId="03FB8C1C" w14:textId="77777777" w:rsidR="00DD2FF6" w:rsidRPr="006F2DE6" w:rsidRDefault="00DD2FF6" w:rsidP="00DD2FF6">
                      <w:pPr>
                        <w:pStyle w:val="RecommendationBoxHeading"/>
                      </w:pPr>
                      <w:r w:rsidRPr="006F2DE6">
                        <w:t>Recommendation 18</w:t>
                      </w:r>
                    </w:p>
                    <w:p w14:paraId="643AB1E9" w14:textId="77777777" w:rsidR="00DD2FF6" w:rsidRPr="006F2DE6" w:rsidRDefault="00DD2FF6" w:rsidP="00DD2FF6">
                      <w:pPr>
                        <w:pStyle w:val="RecommendationBoxText"/>
                        <w:rPr>
                          <w:rFonts w:eastAsia="Times"/>
                        </w:rPr>
                      </w:pPr>
                      <w:r w:rsidRPr="006F2DE6">
                        <w:rPr>
                          <w:rFonts w:eastAsia="Times"/>
                        </w:rPr>
                        <w:t>The functions of the Commissioner for Older People should include education and training for services and businesses who interact with older Tasmanians as a primary and secondary prevention response to the abuse of older people, including Tasmania Police, and such education and training should include supported decision making.</w:t>
                      </w:r>
                    </w:p>
                    <w:p w14:paraId="75505C10" w14:textId="77777777" w:rsidR="00DD2FF6" w:rsidRPr="00F77824" w:rsidRDefault="00DD2FF6" w:rsidP="00DD2FF6">
                      <w:pPr>
                        <w:pStyle w:val="RecommendationBoxText"/>
                        <w:ind w:left="0"/>
                        <w:rPr>
                          <w:rFonts w:eastAsia="Times"/>
                        </w:rPr>
                      </w:pPr>
                    </w:p>
                  </w:txbxContent>
                </v:textbox>
                <w10:anchorlock/>
              </v:shape>
            </w:pict>
          </mc:Fallback>
        </mc:AlternateContent>
      </w:r>
    </w:p>
    <w:p w14:paraId="50DF703A" w14:textId="3FC45CF7" w:rsidR="00C52D68" w:rsidRPr="007B5BE6" w:rsidRDefault="00C52D68" w:rsidP="00E07B8B">
      <w:pPr>
        <w:pStyle w:val="Sub-HeadingTLRI"/>
        <w:spacing w:before="360"/>
      </w:pPr>
      <w:bookmarkStart w:id="594" w:name="_Toc212561804"/>
      <w:r w:rsidRPr="007B5BE6">
        <w:t>Additional reforms to allow for collaboration</w:t>
      </w:r>
      <w:r w:rsidR="002D72AD" w:rsidRPr="007B5BE6">
        <w:t>,</w:t>
      </w:r>
      <w:r w:rsidR="00936262" w:rsidRPr="007B5BE6">
        <w:t xml:space="preserve"> and </w:t>
      </w:r>
      <w:r w:rsidR="002D72AD" w:rsidRPr="007B5BE6">
        <w:t>information sharing</w:t>
      </w:r>
      <w:bookmarkEnd w:id="594"/>
    </w:p>
    <w:p w14:paraId="6467D625" w14:textId="335F5C65" w:rsidR="00506060" w:rsidRPr="007B5BE6" w:rsidRDefault="00820A34" w:rsidP="00246123">
      <w:pPr>
        <w:numPr>
          <w:ilvl w:val="2"/>
          <w:numId w:val="2"/>
        </w:numPr>
        <w:tabs>
          <w:tab w:val="left" w:pos="851"/>
        </w:tabs>
        <w:spacing w:before="220"/>
        <w:rPr>
          <w:rFonts w:eastAsia="Times" w:cs="Times New Roman"/>
          <w:szCs w:val="20"/>
        </w:rPr>
      </w:pPr>
      <w:r w:rsidRPr="007B5BE6">
        <w:rPr>
          <w:rFonts w:eastAsia="Times" w:cs="Times New Roman"/>
          <w:szCs w:val="20"/>
        </w:rPr>
        <w:t>The</w:t>
      </w:r>
      <w:r w:rsidR="00DA30B3" w:rsidRPr="007B5BE6">
        <w:rPr>
          <w:rFonts w:eastAsia="Times" w:cs="Times New Roman"/>
          <w:szCs w:val="20"/>
        </w:rPr>
        <w:t xml:space="preserve"> TLRI notes the other </w:t>
      </w:r>
      <w:r w:rsidR="00C5756F" w:rsidRPr="007B5BE6">
        <w:rPr>
          <w:rFonts w:eastAsia="Times" w:cs="Times New Roman"/>
          <w:szCs w:val="20"/>
        </w:rPr>
        <w:t xml:space="preserve">services, </w:t>
      </w:r>
      <w:r w:rsidR="00DA30B3" w:rsidRPr="007B5BE6">
        <w:rPr>
          <w:rFonts w:eastAsia="Times" w:cs="Times New Roman"/>
          <w:szCs w:val="20"/>
        </w:rPr>
        <w:t>agencies</w:t>
      </w:r>
      <w:r w:rsidR="00175EFF" w:rsidRPr="007B5BE6">
        <w:rPr>
          <w:rFonts w:eastAsia="Times" w:cs="Times New Roman"/>
          <w:szCs w:val="20"/>
        </w:rPr>
        <w:t>, bodies</w:t>
      </w:r>
      <w:r w:rsidR="00DA30B3" w:rsidRPr="007B5BE6">
        <w:rPr>
          <w:rFonts w:eastAsia="Times" w:cs="Times New Roman"/>
          <w:szCs w:val="20"/>
        </w:rPr>
        <w:t xml:space="preserve"> and professionals</w:t>
      </w:r>
      <w:r w:rsidRPr="007B5BE6">
        <w:rPr>
          <w:rFonts w:eastAsia="Times" w:cs="Times New Roman"/>
          <w:szCs w:val="20"/>
        </w:rPr>
        <w:t xml:space="preserve"> (discussed at [3.4]</w:t>
      </w:r>
      <w:r w:rsidR="006F6E8E" w:rsidRPr="007B5BE6">
        <w:rPr>
          <w:rFonts w:eastAsia="Times" w:cs="Times New Roman"/>
          <w:szCs w:val="20"/>
        </w:rPr>
        <w:t>)</w:t>
      </w:r>
      <w:r w:rsidR="00DA30B3" w:rsidRPr="007B5BE6">
        <w:rPr>
          <w:rFonts w:eastAsia="Times" w:cs="Times New Roman"/>
          <w:szCs w:val="20"/>
        </w:rPr>
        <w:t xml:space="preserve"> that</w:t>
      </w:r>
      <w:r w:rsidR="002D72AD" w:rsidRPr="007B5BE6">
        <w:rPr>
          <w:rFonts w:eastAsia="Times" w:cs="Times New Roman"/>
          <w:szCs w:val="20"/>
        </w:rPr>
        <w:t xml:space="preserve"> operate </w:t>
      </w:r>
      <w:r w:rsidR="00E70230" w:rsidRPr="007B5BE6">
        <w:rPr>
          <w:rFonts w:eastAsia="Times" w:cs="Times New Roman"/>
          <w:szCs w:val="20"/>
        </w:rPr>
        <w:t xml:space="preserve">as part of </w:t>
      </w:r>
      <w:r w:rsidR="002D72AD" w:rsidRPr="007B5BE6">
        <w:rPr>
          <w:rFonts w:eastAsia="Times" w:cs="Times New Roman"/>
          <w:szCs w:val="20"/>
        </w:rPr>
        <w:t>safeguarding of older people from abuse</w:t>
      </w:r>
      <w:r w:rsidR="00175EFF" w:rsidRPr="007B5BE6">
        <w:rPr>
          <w:rFonts w:eastAsia="Times" w:cs="Times New Roman"/>
          <w:szCs w:val="20"/>
        </w:rPr>
        <w:t>, which all</w:t>
      </w:r>
      <w:r w:rsidR="00890B88" w:rsidRPr="007B5BE6">
        <w:rPr>
          <w:rFonts w:eastAsia="Times" w:cs="Times New Roman"/>
          <w:szCs w:val="20"/>
        </w:rPr>
        <w:t xml:space="preserve"> </w:t>
      </w:r>
      <w:r w:rsidR="002D72AD" w:rsidRPr="007B5BE6">
        <w:rPr>
          <w:rFonts w:eastAsia="Times" w:cs="Times New Roman"/>
          <w:szCs w:val="20"/>
        </w:rPr>
        <w:t xml:space="preserve">have a valuable part </w:t>
      </w:r>
      <w:r w:rsidR="00B37E02" w:rsidRPr="007B5BE6">
        <w:rPr>
          <w:rFonts w:eastAsia="Times" w:cs="Times New Roman"/>
          <w:szCs w:val="20"/>
        </w:rPr>
        <w:t xml:space="preserve">to </w:t>
      </w:r>
      <w:r w:rsidR="002D72AD" w:rsidRPr="007B5BE6">
        <w:rPr>
          <w:rFonts w:eastAsia="Times" w:cs="Times New Roman"/>
          <w:szCs w:val="20"/>
        </w:rPr>
        <w:t xml:space="preserve">play in the overarching safeguarding response. </w:t>
      </w:r>
      <w:r w:rsidR="00506060" w:rsidRPr="007B5BE6">
        <w:rPr>
          <w:rFonts w:eastAsia="Times" w:cs="Times New Roman"/>
          <w:szCs w:val="20"/>
        </w:rPr>
        <w:t xml:space="preserve">The TLRI recognises the current collaborative approach to the specialist service response encapsulated by the Community of Practice as an important feature in </w:t>
      </w:r>
      <w:r w:rsidR="0078104A" w:rsidRPr="007B5BE6">
        <w:rPr>
          <w:rFonts w:eastAsia="Times" w:cs="Times New Roman"/>
          <w:szCs w:val="20"/>
        </w:rPr>
        <w:t>Tasmania</w:t>
      </w:r>
      <w:r w:rsidR="00890B88" w:rsidRPr="007B5BE6">
        <w:rPr>
          <w:rFonts w:eastAsia="Times" w:cs="Times New Roman"/>
          <w:szCs w:val="20"/>
        </w:rPr>
        <w:t>, which includes</w:t>
      </w:r>
      <w:r w:rsidR="00C57F73" w:rsidRPr="007B5BE6">
        <w:rPr>
          <w:rFonts w:eastAsia="Times" w:cs="Times New Roman"/>
          <w:szCs w:val="20"/>
        </w:rPr>
        <w:t xml:space="preserve"> information and advice, and</w:t>
      </w:r>
      <w:r w:rsidR="009C4179" w:rsidRPr="007B5BE6">
        <w:rPr>
          <w:rFonts w:eastAsia="Times" w:cs="Times New Roman"/>
          <w:szCs w:val="20"/>
        </w:rPr>
        <w:t xml:space="preserve"> </w:t>
      </w:r>
      <w:r w:rsidR="00B30FF8" w:rsidRPr="007B5BE6">
        <w:rPr>
          <w:rFonts w:eastAsia="Times" w:cs="Times New Roman"/>
          <w:szCs w:val="20"/>
        </w:rPr>
        <w:t xml:space="preserve">voluntary </w:t>
      </w:r>
      <w:r w:rsidR="009C4179" w:rsidRPr="007B5BE6">
        <w:rPr>
          <w:rFonts w:eastAsia="Times" w:cs="Times New Roman"/>
          <w:szCs w:val="20"/>
        </w:rPr>
        <w:t>referral pathways</w:t>
      </w:r>
      <w:r w:rsidR="00E70230" w:rsidRPr="007B5BE6">
        <w:rPr>
          <w:rFonts w:eastAsia="Times" w:cs="Times New Roman"/>
          <w:szCs w:val="20"/>
        </w:rPr>
        <w:t>,</w:t>
      </w:r>
      <w:r w:rsidR="009C4179" w:rsidRPr="007B5BE6">
        <w:rPr>
          <w:rFonts w:eastAsia="Times" w:cs="Times New Roman"/>
          <w:szCs w:val="20"/>
        </w:rPr>
        <w:t xml:space="preserve"> </w:t>
      </w:r>
      <w:r w:rsidR="0051436A" w:rsidRPr="007B5BE6">
        <w:rPr>
          <w:rFonts w:eastAsia="Times" w:cs="Times New Roman"/>
          <w:szCs w:val="20"/>
        </w:rPr>
        <w:t>through the Helpline</w:t>
      </w:r>
      <w:r w:rsidR="00E70230" w:rsidRPr="007B5BE6">
        <w:rPr>
          <w:rFonts w:eastAsia="Times" w:cs="Times New Roman"/>
          <w:szCs w:val="20"/>
        </w:rPr>
        <w:t>,</w:t>
      </w:r>
      <w:r w:rsidR="0051436A" w:rsidRPr="007B5BE6">
        <w:rPr>
          <w:rFonts w:eastAsia="Times" w:cs="Times New Roman"/>
          <w:szCs w:val="20"/>
        </w:rPr>
        <w:t xml:space="preserve"> </w:t>
      </w:r>
      <w:r w:rsidR="00B30FF8" w:rsidRPr="007B5BE6">
        <w:rPr>
          <w:rFonts w:eastAsia="Times" w:cs="Times New Roman"/>
          <w:szCs w:val="20"/>
        </w:rPr>
        <w:t>to access</w:t>
      </w:r>
      <w:r w:rsidR="0051436A" w:rsidRPr="007B5BE6">
        <w:rPr>
          <w:rFonts w:eastAsia="Times" w:cs="Times New Roman"/>
          <w:szCs w:val="20"/>
        </w:rPr>
        <w:t xml:space="preserve"> services</w:t>
      </w:r>
      <w:r w:rsidR="00E70230" w:rsidRPr="007B5BE6">
        <w:rPr>
          <w:rFonts w:eastAsia="Times" w:cs="Times New Roman"/>
          <w:szCs w:val="20"/>
        </w:rPr>
        <w:t xml:space="preserve">. This includes </w:t>
      </w:r>
      <w:r w:rsidR="00B30FF8" w:rsidRPr="007B5BE6">
        <w:rPr>
          <w:rFonts w:eastAsia="Times" w:cs="Times New Roman"/>
          <w:szCs w:val="20"/>
        </w:rPr>
        <w:t xml:space="preserve">legal services through Senior Assist, counselling and mediation through the Elder Relationship Service and </w:t>
      </w:r>
      <w:r w:rsidR="00E70230" w:rsidRPr="007B5BE6">
        <w:rPr>
          <w:rFonts w:eastAsia="Times" w:cs="Times New Roman"/>
          <w:szCs w:val="20"/>
        </w:rPr>
        <w:t xml:space="preserve">a </w:t>
      </w:r>
      <w:r w:rsidR="00B30FF8" w:rsidRPr="007B5BE6">
        <w:rPr>
          <w:rFonts w:eastAsia="Times" w:cs="Times New Roman"/>
          <w:szCs w:val="20"/>
        </w:rPr>
        <w:t>range of education and advocacy support services</w:t>
      </w:r>
      <w:r w:rsidR="00D57AEA" w:rsidRPr="007B5BE6">
        <w:rPr>
          <w:rFonts w:eastAsia="Times" w:cs="Times New Roman"/>
          <w:szCs w:val="20"/>
        </w:rPr>
        <w:t xml:space="preserve">, including </w:t>
      </w:r>
      <w:r w:rsidR="00E70230" w:rsidRPr="007B5BE6">
        <w:rPr>
          <w:rFonts w:eastAsia="Times" w:cs="Times New Roman"/>
          <w:szCs w:val="20"/>
        </w:rPr>
        <w:t xml:space="preserve">those through </w:t>
      </w:r>
      <w:r w:rsidR="00D57AEA" w:rsidRPr="007B5BE6">
        <w:rPr>
          <w:rFonts w:eastAsia="Times" w:cs="Times New Roman"/>
          <w:szCs w:val="20"/>
        </w:rPr>
        <w:t xml:space="preserve">Advocacy Tasmania. </w:t>
      </w:r>
      <w:r w:rsidR="00890B88" w:rsidRPr="007B5BE6">
        <w:rPr>
          <w:rFonts w:eastAsia="Times" w:cs="Times New Roman"/>
          <w:szCs w:val="20"/>
        </w:rPr>
        <w:t xml:space="preserve">The TLRI </w:t>
      </w:r>
      <w:r w:rsidR="00506060" w:rsidRPr="007B5BE6">
        <w:rPr>
          <w:rFonts w:eastAsia="Times" w:cs="Times New Roman"/>
          <w:szCs w:val="20"/>
        </w:rPr>
        <w:t xml:space="preserve">considers that </w:t>
      </w:r>
      <w:r w:rsidR="004108CD" w:rsidRPr="007B5BE6">
        <w:rPr>
          <w:rFonts w:eastAsia="Times" w:cs="Times New Roman"/>
          <w:szCs w:val="20"/>
        </w:rPr>
        <w:t>it would be</w:t>
      </w:r>
      <w:r w:rsidR="00506060" w:rsidRPr="007B5BE6">
        <w:rPr>
          <w:rFonts w:eastAsia="Times" w:cs="Times New Roman"/>
          <w:szCs w:val="20"/>
        </w:rPr>
        <w:t xml:space="preserve"> benefi</w:t>
      </w:r>
      <w:r w:rsidR="004108CD" w:rsidRPr="007B5BE6">
        <w:rPr>
          <w:rFonts w:eastAsia="Times" w:cs="Times New Roman"/>
          <w:szCs w:val="20"/>
        </w:rPr>
        <w:t xml:space="preserve">cial </w:t>
      </w:r>
      <w:r w:rsidR="00EA0BB8" w:rsidRPr="007B5BE6">
        <w:rPr>
          <w:rFonts w:eastAsia="Times" w:cs="Times New Roman"/>
          <w:szCs w:val="20"/>
        </w:rPr>
        <w:t xml:space="preserve">to </w:t>
      </w:r>
      <w:r w:rsidR="00506060" w:rsidRPr="007B5BE6">
        <w:rPr>
          <w:rFonts w:eastAsia="Times" w:cs="Times New Roman"/>
          <w:szCs w:val="20"/>
        </w:rPr>
        <w:t xml:space="preserve">consider whether other Tasmanian agencies who have significant </w:t>
      </w:r>
      <w:r w:rsidR="00936262" w:rsidRPr="007B5BE6">
        <w:rPr>
          <w:rFonts w:eastAsia="Times" w:cs="Times New Roman"/>
          <w:szCs w:val="20"/>
        </w:rPr>
        <w:t>contact</w:t>
      </w:r>
      <w:r w:rsidR="00506060" w:rsidRPr="007B5BE6">
        <w:rPr>
          <w:rFonts w:eastAsia="Times" w:cs="Times New Roman"/>
          <w:szCs w:val="20"/>
        </w:rPr>
        <w:t xml:space="preserve"> with older people in </w:t>
      </w:r>
      <w:r w:rsidR="00936262" w:rsidRPr="007B5BE6">
        <w:rPr>
          <w:rFonts w:eastAsia="Times" w:cs="Times New Roman"/>
          <w:szCs w:val="20"/>
        </w:rPr>
        <w:t xml:space="preserve">providing a </w:t>
      </w:r>
      <w:r w:rsidR="00506060" w:rsidRPr="007B5BE6">
        <w:rPr>
          <w:rFonts w:eastAsia="Times" w:cs="Times New Roman"/>
          <w:szCs w:val="20"/>
        </w:rPr>
        <w:t>respon</w:t>
      </w:r>
      <w:r w:rsidR="00936262" w:rsidRPr="007B5BE6">
        <w:rPr>
          <w:rFonts w:eastAsia="Times" w:cs="Times New Roman"/>
          <w:szCs w:val="20"/>
        </w:rPr>
        <w:t>se</w:t>
      </w:r>
      <w:r w:rsidR="00506060" w:rsidRPr="007B5BE6">
        <w:rPr>
          <w:rFonts w:eastAsia="Times" w:cs="Times New Roman"/>
          <w:szCs w:val="20"/>
        </w:rPr>
        <w:t xml:space="preserve"> to abuse could be added to the Community of Practice</w:t>
      </w:r>
      <w:r w:rsidR="00516C47" w:rsidRPr="007B5BE6">
        <w:rPr>
          <w:rFonts w:eastAsia="Times" w:cs="Times New Roman"/>
          <w:szCs w:val="20"/>
        </w:rPr>
        <w:t xml:space="preserve">, </w:t>
      </w:r>
      <w:r w:rsidR="00992E3F" w:rsidRPr="007B5BE6">
        <w:rPr>
          <w:rFonts w:eastAsia="Times" w:cs="Times New Roman"/>
          <w:szCs w:val="20"/>
        </w:rPr>
        <w:t>for example</w:t>
      </w:r>
      <w:r w:rsidR="00516C47" w:rsidRPr="007B5BE6">
        <w:rPr>
          <w:rFonts w:eastAsia="Times" w:cs="Times New Roman"/>
          <w:szCs w:val="20"/>
        </w:rPr>
        <w:t xml:space="preserve"> </w:t>
      </w:r>
      <w:r w:rsidR="00251B3B" w:rsidRPr="007B5BE6">
        <w:rPr>
          <w:rFonts w:eastAsia="Times" w:cs="Times New Roman"/>
          <w:szCs w:val="20"/>
        </w:rPr>
        <w:t xml:space="preserve">representing </w:t>
      </w:r>
      <w:r w:rsidR="00123A2C" w:rsidRPr="007B5BE6">
        <w:rPr>
          <w:rFonts w:eastAsia="Times" w:cs="Times New Roman"/>
          <w:szCs w:val="20"/>
        </w:rPr>
        <w:t>law enforcement and health</w:t>
      </w:r>
      <w:r w:rsidR="00E37C28" w:rsidRPr="007B5BE6">
        <w:rPr>
          <w:rFonts w:eastAsia="Times" w:cs="Times New Roman"/>
          <w:szCs w:val="20"/>
        </w:rPr>
        <w:t xml:space="preserve"> </w:t>
      </w:r>
      <w:r w:rsidR="00F774B0" w:rsidRPr="007B5BE6">
        <w:rPr>
          <w:rFonts w:eastAsia="Times" w:cs="Times New Roman"/>
          <w:szCs w:val="20"/>
        </w:rPr>
        <w:t xml:space="preserve">services </w:t>
      </w:r>
      <w:r w:rsidR="00251B3B" w:rsidRPr="007B5BE6">
        <w:rPr>
          <w:rFonts w:eastAsia="Times" w:cs="Times New Roman"/>
          <w:szCs w:val="20"/>
        </w:rPr>
        <w:t>perspectives</w:t>
      </w:r>
      <w:r w:rsidR="00570FE4" w:rsidRPr="007B5BE6" w:rsidDel="00516C47">
        <w:rPr>
          <w:rFonts w:eastAsia="Times" w:cs="Times New Roman"/>
          <w:szCs w:val="20"/>
        </w:rPr>
        <w:t>.</w:t>
      </w:r>
      <w:r w:rsidR="00570FE4" w:rsidRPr="007B5BE6">
        <w:rPr>
          <w:rFonts w:eastAsia="Times" w:cs="Times New Roman"/>
          <w:szCs w:val="20"/>
        </w:rPr>
        <w:t xml:space="preserve"> </w:t>
      </w:r>
    </w:p>
    <w:p w14:paraId="1AFBD5AA" w14:textId="24DDBA00" w:rsidR="005641F7" w:rsidRPr="007B5BE6" w:rsidRDefault="00246123" w:rsidP="00DB7060">
      <w:pPr>
        <w:pStyle w:val="NormalNumberedTextTLRI"/>
      </w:pPr>
      <w:r w:rsidRPr="007B5BE6">
        <w:t xml:space="preserve">In addition, </w:t>
      </w:r>
      <w:r w:rsidR="00506060" w:rsidRPr="007B5BE6">
        <w:t xml:space="preserve">the TLRI’s view is that </w:t>
      </w:r>
      <w:r w:rsidRPr="007B5BE6">
        <w:t xml:space="preserve">an </w:t>
      </w:r>
      <w:r w:rsidR="00506060" w:rsidRPr="007B5BE6">
        <w:t>interagency policy needs to be developed, as well as agency</w:t>
      </w:r>
      <w:r w:rsidR="004108CD" w:rsidRPr="007B5BE6">
        <w:t>-</w:t>
      </w:r>
      <w:r w:rsidR="00506060" w:rsidRPr="007B5BE6">
        <w:t>specific policies and procedures to support the delivery of services</w:t>
      </w:r>
      <w:r w:rsidRPr="007B5BE6">
        <w:t xml:space="preserve"> for older people</w:t>
      </w:r>
      <w:r w:rsidR="00570FE4" w:rsidRPr="007B5BE6">
        <w:t xml:space="preserve"> in response to abuse</w:t>
      </w:r>
      <w:r w:rsidR="00C533FA" w:rsidRPr="007B5BE6">
        <w:t>. This</w:t>
      </w:r>
      <w:r w:rsidR="004108CD" w:rsidRPr="007B5BE6">
        <w:t xml:space="preserve"> work</w:t>
      </w:r>
      <w:r w:rsidR="00C533FA" w:rsidRPr="007B5BE6">
        <w:t xml:space="preserve"> should be informed by consultation</w:t>
      </w:r>
      <w:r w:rsidR="00456CF0" w:rsidRPr="007B5BE6">
        <w:t xml:space="preserve"> with </w:t>
      </w:r>
      <w:r w:rsidR="009E5B45" w:rsidRPr="007B5BE6">
        <w:t xml:space="preserve">relevant </w:t>
      </w:r>
      <w:r w:rsidR="00456CF0" w:rsidRPr="007B5BE6">
        <w:t>stakeholders</w:t>
      </w:r>
      <w:r w:rsidR="003061CE" w:rsidRPr="007B5BE6">
        <w:t>. This is necessary</w:t>
      </w:r>
      <w:r w:rsidR="00C533FA" w:rsidRPr="007B5BE6">
        <w:t xml:space="preserve"> to ensure that the interagency policy reflects a </w:t>
      </w:r>
      <w:r w:rsidR="001A115D" w:rsidRPr="007B5BE6">
        <w:t xml:space="preserve">collaborative framework with clearly delineated lines of responsibility </w:t>
      </w:r>
      <w:r w:rsidR="0047012F" w:rsidRPr="007B5BE6">
        <w:t xml:space="preserve">between </w:t>
      </w:r>
      <w:r w:rsidR="00215503" w:rsidRPr="007B5BE6">
        <w:t xml:space="preserve">services, </w:t>
      </w:r>
      <w:r w:rsidR="0047012F" w:rsidRPr="007B5BE6">
        <w:t xml:space="preserve">agencies </w:t>
      </w:r>
      <w:r w:rsidR="00456CF0" w:rsidRPr="007B5BE6">
        <w:t xml:space="preserve">and </w:t>
      </w:r>
      <w:r w:rsidR="00215503" w:rsidRPr="007B5BE6">
        <w:t>bodies</w:t>
      </w:r>
      <w:r w:rsidR="00456CF0" w:rsidRPr="007B5BE6">
        <w:t xml:space="preserve"> </w:t>
      </w:r>
      <w:r w:rsidR="0047012F" w:rsidRPr="007B5BE6">
        <w:t>with existing roles and responsibilities</w:t>
      </w:r>
      <w:r w:rsidR="004108CD" w:rsidRPr="007B5BE6">
        <w:t>,</w:t>
      </w:r>
      <w:r w:rsidR="0047012F" w:rsidRPr="007B5BE6">
        <w:t xml:space="preserve"> and </w:t>
      </w:r>
      <w:r w:rsidR="00C56EBB" w:rsidRPr="007B5BE6">
        <w:t xml:space="preserve">the new </w:t>
      </w:r>
      <w:r w:rsidR="00191A60" w:rsidRPr="007B5BE6">
        <w:t xml:space="preserve">role, function and powers of the Commissioner for Older </w:t>
      </w:r>
      <w:r w:rsidR="00EB0F90" w:rsidRPr="007B5BE6">
        <w:t>People</w:t>
      </w:r>
      <w:r w:rsidR="00CD02A4" w:rsidRPr="007B5BE6">
        <w:t xml:space="preserve">, including </w:t>
      </w:r>
      <w:proofErr w:type="gramStart"/>
      <w:r w:rsidR="00CD02A4" w:rsidRPr="007B5BE6">
        <w:t>with regard to</w:t>
      </w:r>
      <w:proofErr w:type="gramEnd"/>
      <w:r w:rsidR="00CD02A4" w:rsidRPr="007B5BE6">
        <w:t xml:space="preserve"> </w:t>
      </w:r>
      <w:r w:rsidR="00497AAC" w:rsidRPr="007B5BE6">
        <w:t xml:space="preserve">its alignment </w:t>
      </w:r>
      <w:r w:rsidR="00FC5F71" w:rsidRPr="007B5BE6">
        <w:t>with</w:t>
      </w:r>
      <w:r w:rsidR="00497AAC" w:rsidRPr="007B5BE6">
        <w:t xml:space="preserve">, and mirroring of powers </w:t>
      </w:r>
      <w:r w:rsidR="00456CF0" w:rsidRPr="007B5BE6">
        <w:t>and functions of,</w:t>
      </w:r>
      <w:r w:rsidR="00FC5F71" w:rsidRPr="007B5BE6">
        <w:t xml:space="preserve"> </w:t>
      </w:r>
      <w:r w:rsidR="00FC6A83" w:rsidRPr="007B5BE6">
        <w:t>the Disability Commissioner role</w:t>
      </w:r>
      <w:r w:rsidR="00456CF0" w:rsidRPr="007B5BE6">
        <w:t>.</w:t>
      </w:r>
      <w:r w:rsidR="00506060" w:rsidRPr="007B5BE6" w:rsidDel="00456CF0">
        <w:t xml:space="preserve"> </w:t>
      </w:r>
      <w:r w:rsidR="00506060" w:rsidRPr="007B5BE6">
        <w:t>Accordingly, the TLRI recommends th</w:t>
      </w:r>
      <w:r w:rsidR="00902B4C" w:rsidRPr="007B5BE6">
        <w:t>e development of an i</w:t>
      </w:r>
      <w:r w:rsidR="00506060" w:rsidRPr="007B5BE6">
        <w:t xml:space="preserve">nteragency policy </w:t>
      </w:r>
      <w:r w:rsidR="00902B4C" w:rsidRPr="007B5BE6">
        <w:t>focused</w:t>
      </w:r>
      <w:r w:rsidR="00506060" w:rsidRPr="007B5BE6">
        <w:t xml:space="preserve"> </w:t>
      </w:r>
      <w:r w:rsidR="00EF3E4B" w:rsidRPr="007B5BE6">
        <w:t xml:space="preserve">on </w:t>
      </w:r>
      <w:r w:rsidR="00506060" w:rsidRPr="007B5BE6">
        <w:t>preventi</w:t>
      </w:r>
      <w:r w:rsidR="00EF3E4B" w:rsidRPr="007B5BE6">
        <w:t>ng</w:t>
      </w:r>
      <w:r w:rsidR="00506060" w:rsidRPr="007B5BE6">
        <w:t xml:space="preserve"> and responding to the abuse of older people to </w:t>
      </w:r>
      <w:r w:rsidR="00506060" w:rsidRPr="007B5BE6">
        <w:rPr>
          <w:lang w:val="en-US"/>
        </w:rPr>
        <w:t>support the work of service providers</w:t>
      </w:r>
      <w:r w:rsidR="003F2A4C" w:rsidRPr="007B5BE6">
        <w:rPr>
          <w:lang w:val="en-US"/>
        </w:rPr>
        <w:t>. In addition, there needs to be provision made</w:t>
      </w:r>
      <w:r w:rsidR="00570FE4" w:rsidRPr="007B5BE6">
        <w:rPr>
          <w:lang w:val="en-US"/>
        </w:rPr>
        <w:t xml:space="preserve"> for</w:t>
      </w:r>
      <w:r w:rsidR="00EF3E4B" w:rsidRPr="007B5BE6">
        <w:rPr>
          <w:lang w:val="en-US"/>
        </w:rPr>
        <w:t xml:space="preserve"> </w:t>
      </w:r>
      <w:r w:rsidR="007C585A" w:rsidRPr="007B5BE6">
        <w:rPr>
          <w:lang w:val="en-US"/>
        </w:rPr>
        <w:t>sharing</w:t>
      </w:r>
      <w:r w:rsidR="00EF3E4B" w:rsidRPr="007B5BE6">
        <w:rPr>
          <w:lang w:val="en-US"/>
        </w:rPr>
        <w:t xml:space="preserve"> relevant information </w:t>
      </w:r>
      <w:r w:rsidR="00570FE4" w:rsidRPr="007B5BE6">
        <w:rPr>
          <w:lang w:val="en-US"/>
        </w:rPr>
        <w:t>between agencies</w:t>
      </w:r>
      <w:r w:rsidR="004E43B4" w:rsidRPr="007B5BE6">
        <w:rPr>
          <w:lang w:val="en-US"/>
        </w:rPr>
        <w:t xml:space="preserve"> and </w:t>
      </w:r>
      <w:r w:rsidR="003F2A4C" w:rsidRPr="007B5BE6">
        <w:rPr>
          <w:lang w:val="en-US"/>
        </w:rPr>
        <w:t xml:space="preserve">clear </w:t>
      </w:r>
      <w:r w:rsidR="004E43B4" w:rsidRPr="007B5BE6">
        <w:rPr>
          <w:lang w:val="en-US"/>
        </w:rPr>
        <w:t>referral pathways</w:t>
      </w:r>
      <w:r w:rsidR="00506060" w:rsidRPr="007B5BE6">
        <w:rPr>
          <w:lang w:val="en-US"/>
        </w:rPr>
        <w:t xml:space="preserve">. </w:t>
      </w:r>
      <w:r w:rsidR="003F2A4C" w:rsidRPr="007B5BE6">
        <w:rPr>
          <w:lang w:val="en-US"/>
        </w:rPr>
        <w:t xml:space="preserve">This reflects research that has highlighted the benefits of </w:t>
      </w:r>
      <w:r w:rsidR="003F2A4C" w:rsidRPr="007B5BE6">
        <w:t>multi-disciplinary, combined and integrated service models</w:t>
      </w:r>
      <w:r w:rsidR="00156CBE" w:rsidRPr="007B5BE6">
        <w:t xml:space="preserve">. Such models have </w:t>
      </w:r>
      <w:r w:rsidR="003F2A4C" w:rsidRPr="007B5BE6">
        <w:t>positive impacts for older people, professionals delivering services and the general community, with ‘professionals and sector agencies sharing knowledge and reducing service silos’.</w:t>
      </w:r>
      <w:r w:rsidR="007C585A" w:rsidRPr="007B5BE6">
        <w:rPr>
          <w:rStyle w:val="FootnoteReference"/>
        </w:rPr>
        <w:footnoteReference w:id="638"/>
      </w:r>
      <w:r w:rsidR="001267B5" w:rsidRPr="007B5BE6">
        <w:t xml:space="preserve"> </w:t>
      </w:r>
      <w:r w:rsidR="00541956" w:rsidRPr="007B5BE6">
        <w:t xml:space="preserve">This also reflects approaches that have been taken </w:t>
      </w:r>
      <w:r w:rsidR="00F80A21" w:rsidRPr="007B5BE6">
        <w:t>to</w:t>
      </w:r>
      <w:r w:rsidR="0091403D" w:rsidRPr="007B5BE6">
        <w:t xml:space="preserve"> </w:t>
      </w:r>
      <w:r w:rsidR="00824F9C" w:rsidRPr="007B5BE6">
        <w:t xml:space="preserve">underpinning service models </w:t>
      </w:r>
      <w:r w:rsidR="00650C5E" w:rsidRPr="007B5BE6">
        <w:t xml:space="preserve">for </w:t>
      </w:r>
      <w:r w:rsidR="004446D4" w:rsidRPr="007B5BE6">
        <w:t>legislative and policy frameworks in</w:t>
      </w:r>
      <w:r w:rsidR="00650C5E" w:rsidRPr="007B5BE6">
        <w:t xml:space="preserve"> other areas, for example the </w:t>
      </w:r>
      <w:r w:rsidR="00C10955" w:rsidRPr="007B5BE6">
        <w:t xml:space="preserve">multi-disciplinary agency approach within the Tamanian Government’s </w:t>
      </w:r>
      <w:r w:rsidR="00650C5E" w:rsidRPr="007B5BE6">
        <w:t xml:space="preserve">Safe at Home framework </w:t>
      </w:r>
      <w:r w:rsidR="00C10955" w:rsidRPr="007B5BE6">
        <w:t xml:space="preserve">for responding to family violence. </w:t>
      </w:r>
      <w:r w:rsidR="001267B5" w:rsidRPr="007B5BE6">
        <w:t xml:space="preserve">The TLRI further notes that </w:t>
      </w:r>
      <w:r w:rsidR="00925BA5" w:rsidRPr="007B5BE6">
        <w:t xml:space="preserve">as part of the overarching approach to safeguarding older people in </w:t>
      </w:r>
      <w:r w:rsidR="007E578F" w:rsidRPr="007B5BE6">
        <w:t xml:space="preserve"> NSW and SA</w:t>
      </w:r>
      <w:r w:rsidR="001267B5" w:rsidRPr="007B5BE6">
        <w:t xml:space="preserve">, </w:t>
      </w:r>
      <w:r w:rsidR="00D75B34" w:rsidRPr="007B5BE6">
        <w:t xml:space="preserve">collaboration with other agencies that have interface with older people forms part of </w:t>
      </w:r>
      <w:r w:rsidR="00D75B34" w:rsidRPr="007B5BE6">
        <w:lastRenderedPageBreak/>
        <w:t xml:space="preserve">a multi-disciplinary approach, supported by </w:t>
      </w:r>
      <w:r w:rsidR="00925BA5" w:rsidRPr="007B5BE6">
        <w:t>interagency policies</w:t>
      </w:r>
      <w:r w:rsidR="00D75B34" w:rsidRPr="007B5BE6">
        <w:t>.</w:t>
      </w:r>
      <w:r w:rsidR="00D75B34" w:rsidRPr="007B5BE6">
        <w:rPr>
          <w:rStyle w:val="FootnoteReference"/>
        </w:rPr>
        <w:footnoteReference w:id="639"/>
      </w:r>
      <w:r w:rsidR="00F80A21" w:rsidRPr="007B5BE6">
        <w:t xml:space="preserve"> It also reflects the more formal legislative information</w:t>
      </w:r>
      <w:r w:rsidR="00156CBE" w:rsidRPr="007B5BE6">
        <w:t>-</w:t>
      </w:r>
      <w:r w:rsidR="00F80A21" w:rsidRPr="007B5BE6">
        <w:t>sharing arrangements</w:t>
      </w:r>
      <w:r w:rsidR="00FE307E" w:rsidRPr="007B5BE6">
        <w:t xml:space="preserve">, which </w:t>
      </w:r>
      <w:r w:rsidR="00F80A21" w:rsidRPr="007B5BE6">
        <w:t xml:space="preserve">have been introduced in </w:t>
      </w:r>
      <w:r w:rsidR="00156CBE" w:rsidRPr="007B5BE6">
        <w:t>Tasmania</w:t>
      </w:r>
      <w:r w:rsidR="00660F52" w:rsidRPr="007B5BE6">
        <w:t xml:space="preserve"> through the under the Child and Youth Safe Organisations Framework, </w:t>
      </w:r>
      <w:r w:rsidR="00156CBE" w:rsidRPr="007B5BE6">
        <w:t xml:space="preserve">in </w:t>
      </w:r>
      <w:r w:rsidR="00F80A21" w:rsidRPr="007B5BE6">
        <w:t xml:space="preserve">response to the </w:t>
      </w:r>
      <w:r w:rsidR="002A1E6B" w:rsidRPr="007B5BE6">
        <w:rPr>
          <w:i/>
          <w:iCs/>
        </w:rPr>
        <w:t>Commission of Inquiry into the Tasmanian Government's Responses to Child Sexual Abuse in Institutional Settings</w:t>
      </w:r>
      <w:r w:rsidR="00F80A21" w:rsidRPr="007B5BE6">
        <w:t>.</w:t>
      </w:r>
      <w:r w:rsidR="00F80A21" w:rsidRPr="007B5BE6">
        <w:rPr>
          <w:rStyle w:val="FootnoteReference"/>
        </w:rPr>
        <w:footnoteReference w:id="640"/>
      </w:r>
    </w:p>
    <w:p w14:paraId="7043BC37" w14:textId="291C8B08" w:rsidR="001A139E" w:rsidRPr="007B5BE6" w:rsidRDefault="00C74F82" w:rsidP="001A139E">
      <w:pPr>
        <w:pStyle w:val="NormalNumberedTextTLRI"/>
      </w:pPr>
      <w:r w:rsidRPr="007B5BE6">
        <w:t xml:space="preserve">A further matter raised in </w:t>
      </w:r>
      <w:r w:rsidR="00CC35D8" w:rsidRPr="007B5BE6">
        <w:t>stakeholder interviews</w:t>
      </w:r>
      <w:r w:rsidRPr="007B5BE6">
        <w:t xml:space="preserve"> was </w:t>
      </w:r>
      <w:r w:rsidR="00AA39B7" w:rsidRPr="007B5BE6">
        <w:t>the need for non-adversarial and support-based approaches, such as mediation and counselling in the context of abuse experienced by older people in family contexts</w:t>
      </w:r>
      <w:r w:rsidR="006B1035" w:rsidRPr="007B5BE6">
        <w:t xml:space="preserve">. </w:t>
      </w:r>
      <w:r w:rsidR="001A139E" w:rsidRPr="007B5BE6">
        <w:t>Identified benefits of mediation included:</w:t>
      </w:r>
    </w:p>
    <w:p w14:paraId="71988097" w14:textId="77777777" w:rsidR="001A139E" w:rsidRPr="007B5BE6" w:rsidRDefault="001A139E" w:rsidP="001A139E">
      <w:pPr>
        <w:pStyle w:val="DotPointTLRI"/>
      </w:pPr>
      <w:r w:rsidRPr="007B5BE6">
        <w:t>having a third party in attendance in emotional conversations to maintain the conversation and avoid escalation;</w:t>
      </w:r>
    </w:p>
    <w:p w14:paraId="028A0F61" w14:textId="6E616B32" w:rsidR="001A139E" w:rsidRPr="007B5BE6" w:rsidRDefault="001A139E" w:rsidP="001A139E">
      <w:pPr>
        <w:pStyle w:val="DotPointTLRI"/>
      </w:pPr>
      <w:r w:rsidRPr="007B5BE6">
        <w:t>supporting people to have a conversation where previously</w:t>
      </w:r>
      <w:r w:rsidR="00156CBE" w:rsidRPr="007B5BE6">
        <w:t xml:space="preserve"> they</w:t>
      </w:r>
      <w:r w:rsidRPr="007B5BE6">
        <w:t xml:space="preserve"> have not been able to</w:t>
      </w:r>
      <w:r w:rsidR="00C36D68" w:rsidRPr="007B5BE6">
        <w:t xml:space="preserve"> do so,</w:t>
      </w:r>
      <w:r w:rsidRPr="007B5BE6">
        <w:t xml:space="preserve"> and identify</w:t>
      </w:r>
      <w:r w:rsidR="00C36D68" w:rsidRPr="007B5BE6">
        <w:t>ing</w:t>
      </w:r>
      <w:r w:rsidRPr="007B5BE6">
        <w:t xml:space="preserve"> block</w:t>
      </w:r>
      <w:r w:rsidR="00C36D68" w:rsidRPr="007B5BE6">
        <w:t>s</w:t>
      </w:r>
      <w:r w:rsidRPr="007B5BE6">
        <w:t xml:space="preserve"> to this;</w:t>
      </w:r>
    </w:p>
    <w:p w14:paraId="057CACB9" w14:textId="4CDB218C" w:rsidR="001A139E" w:rsidRPr="007B5BE6" w:rsidRDefault="001A139E" w:rsidP="001A139E">
      <w:pPr>
        <w:pStyle w:val="DotPointTLRI"/>
      </w:pPr>
      <w:r w:rsidRPr="007B5BE6">
        <w:t>assist</w:t>
      </w:r>
      <w:r w:rsidR="00996A60" w:rsidRPr="007B5BE6">
        <w:t>ing</w:t>
      </w:r>
      <w:r w:rsidRPr="007B5BE6">
        <w:t xml:space="preserve"> to address attitudes and expectations that may have developed over time on the part of adult children in certain arrangements with </w:t>
      </w:r>
      <w:r w:rsidR="00996A60" w:rsidRPr="007B5BE6">
        <w:t xml:space="preserve">older </w:t>
      </w:r>
      <w:r w:rsidRPr="007B5BE6">
        <w:t xml:space="preserve">parents, especially when </w:t>
      </w:r>
      <w:proofErr w:type="gramStart"/>
      <w:r w:rsidR="00926A2B" w:rsidRPr="007B5BE6">
        <w:t>parents</w:t>
      </w:r>
      <w:proofErr w:type="gramEnd"/>
      <w:r w:rsidR="00926A2B" w:rsidRPr="007B5BE6">
        <w:t xml:space="preserve"> questions, or seek to </w:t>
      </w:r>
      <w:r w:rsidR="00996A60" w:rsidRPr="007B5BE6">
        <w:t>change</w:t>
      </w:r>
      <w:r w:rsidR="00926A2B" w:rsidRPr="007B5BE6">
        <w:t xml:space="preserve">, such arrangements </w:t>
      </w:r>
      <w:r w:rsidRPr="007B5BE6">
        <w:t>(</w:t>
      </w:r>
      <w:r w:rsidR="00996A60" w:rsidRPr="007B5BE6">
        <w:t xml:space="preserve">for example, </w:t>
      </w:r>
      <w:r w:rsidRPr="007B5BE6">
        <w:t>living rent free or a</w:t>
      </w:r>
      <w:r w:rsidR="00926A2B" w:rsidRPr="007B5BE6">
        <w:t>n agreed</w:t>
      </w:r>
      <w:r w:rsidRPr="007B5BE6">
        <w:t xml:space="preserve"> short-term arrangement becoming a long-term arrangement);</w:t>
      </w:r>
    </w:p>
    <w:p w14:paraId="1AFAD655" w14:textId="4A1A4466" w:rsidR="001A139E" w:rsidRPr="007B5BE6" w:rsidRDefault="001A139E" w:rsidP="001A139E">
      <w:pPr>
        <w:pStyle w:val="DotPointTLRI"/>
      </w:pPr>
      <w:r w:rsidRPr="007B5BE6">
        <w:t xml:space="preserve">checking in on issues to allow </w:t>
      </w:r>
      <w:r w:rsidR="00926A2B" w:rsidRPr="007B5BE6">
        <w:t>all family members</w:t>
      </w:r>
      <w:r w:rsidRPr="007B5BE6">
        <w:t xml:space="preserve"> to express how </w:t>
      </w:r>
      <w:r w:rsidR="00926A2B" w:rsidRPr="007B5BE6">
        <w:t>they</w:t>
      </w:r>
      <w:r w:rsidRPr="007B5BE6">
        <w:t xml:space="preserve"> feel about </w:t>
      </w:r>
      <w:r w:rsidR="00926A2B" w:rsidRPr="007B5BE6">
        <w:t>them</w:t>
      </w:r>
      <w:r w:rsidRPr="007B5BE6">
        <w:t>;</w:t>
      </w:r>
    </w:p>
    <w:p w14:paraId="23FD29ED" w14:textId="6C4C3594" w:rsidR="001A139E" w:rsidRPr="007B5BE6" w:rsidRDefault="001A139E" w:rsidP="001A139E">
      <w:pPr>
        <w:pStyle w:val="DotPointTLRI"/>
      </w:pPr>
      <w:r w:rsidRPr="007B5BE6">
        <w:t xml:space="preserve">referrals for mediation participants </w:t>
      </w:r>
      <w:r w:rsidR="00926A2B" w:rsidRPr="007B5BE6">
        <w:t>to</w:t>
      </w:r>
      <w:r w:rsidRPr="007B5BE6">
        <w:t xml:space="preserve"> </w:t>
      </w:r>
      <w:r w:rsidR="00AB6614" w:rsidRPr="007B5BE6">
        <w:t xml:space="preserve">access </w:t>
      </w:r>
      <w:r w:rsidRPr="007B5BE6">
        <w:t xml:space="preserve">support and resources (for example, </w:t>
      </w:r>
      <w:r w:rsidR="00926A2B" w:rsidRPr="007B5BE6">
        <w:t xml:space="preserve">to address </w:t>
      </w:r>
      <w:r w:rsidRPr="007B5BE6">
        <w:t xml:space="preserve">mental health needs of adult children); and </w:t>
      </w:r>
    </w:p>
    <w:p w14:paraId="423E3663" w14:textId="2C3D0A6E" w:rsidR="001A139E" w:rsidRPr="007B5BE6" w:rsidRDefault="001A139E" w:rsidP="001A139E">
      <w:pPr>
        <w:pStyle w:val="DotPointTLRI"/>
      </w:pPr>
      <w:r w:rsidRPr="007B5BE6">
        <w:t>building capacity of the older person to express what they want and need, particularly in conjunction with individual counselling</w:t>
      </w:r>
      <w:r w:rsidR="00926A2B" w:rsidRPr="007B5BE6">
        <w:t xml:space="preserve"> for the older person</w:t>
      </w:r>
      <w:r w:rsidRPr="007B5BE6">
        <w:t>.</w:t>
      </w:r>
      <w:r w:rsidR="00425810" w:rsidRPr="007B5BE6">
        <w:rPr>
          <w:rStyle w:val="FootnoteReference"/>
        </w:rPr>
        <w:footnoteReference w:id="641"/>
      </w:r>
    </w:p>
    <w:p w14:paraId="67B94885" w14:textId="693546F9" w:rsidR="001A139E" w:rsidRPr="007B5BE6" w:rsidRDefault="001A139E" w:rsidP="001A139E">
      <w:pPr>
        <w:pStyle w:val="NormalNumberedTextTLRI"/>
      </w:pPr>
      <w:r w:rsidRPr="007B5BE6">
        <w:t>It was noted</w:t>
      </w:r>
      <w:r w:rsidR="006E71D2" w:rsidRPr="007B5BE6">
        <w:t>,</w:t>
      </w:r>
      <w:r w:rsidRPr="007B5BE6">
        <w:t xml:space="preserve"> in this regard</w:t>
      </w:r>
      <w:r w:rsidR="006E71D2" w:rsidRPr="007B5BE6">
        <w:t>,</w:t>
      </w:r>
      <w:r w:rsidRPr="007B5BE6">
        <w:t xml:space="preserve"> that: </w:t>
      </w:r>
    </w:p>
    <w:p w14:paraId="78FDCF45" w14:textId="43702108" w:rsidR="001A139E" w:rsidRPr="007B5BE6" w:rsidRDefault="001A139E" w:rsidP="00625985">
      <w:pPr>
        <w:pStyle w:val="Indentedquote"/>
        <w:rPr>
          <w:sz w:val="20"/>
          <w:szCs w:val="20"/>
        </w:rPr>
      </w:pPr>
      <w:r w:rsidRPr="007B5BE6">
        <w:rPr>
          <w:sz w:val="20"/>
          <w:szCs w:val="20"/>
        </w:rPr>
        <w:t xml:space="preserve">individual counselling and the mediation can work together quite well in terms of [individual counselling] strengthening the person, building the capacity of the person … so when they come into mediation, they're </w:t>
      </w:r>
      <w:proofErr w:type="gramStart"/>
      <w:r w:rsidRPr="007B5BE6">
        <w:rPr>
          <w:sz w:val="20"/>
          <w:szCs w:val="20"/>
        </w:rPr>
        <w:t>actually able</w:t>
      </w:r>
      <w:proofErr w:type="gramEnd"/>
      <w:r w:rsidRPr="007B5BE6">
        <w:rPr>
          <w:sz w:val="20"/>
          <w:szCs w:val="20"/>
        </w:rPr>
        <w:t xml:space="preserve"> to hold … what they what they want … more strongly … without it being an adversarial conversation.</w:t>
      </w:r>
      <w:r w:rsidR="00425810" w:rsidRPr="007B5BE6">
        <w:rPr>
          <w:rStyle w:val="FootnoteReference"/>
          <w:sz w:val="20"/>
          <w:szCs w:val="20"/>
        </w:rPr>
        <w:footnoteReference w:id="642"/>
      </w:r>
    </w:p>
    <w:p w14:paraId="19BA6E2D" w14:textId="72647989" w:rsidR="00C74F82" w:rsidRPr="007B5BE6" w:rsidRDefault="00625985" w:rsidP="00DB7060">
      <w:pPr>
        <w:pStyle w:val="NormalNumberedTextTLRI"/>
      </w:pPr>
      <w:r w:rsidRPr="007B5BE6">
        <w:t xml:space="preserve">The TLRI supports the use of </w:t>
      </w:r>
      <w:r w:rsidR="00E527C6" w:rsidRPr="007B5BE6">
        <w:t>mediation and counselling approaches as part of the range of responses to address the abuse of older people</w:t>
      </w:r>
      <w:r w:rsidR="00EE2261" w:rsidRPr="007B5BE6">
        <w:t xml:space="preserve"> </w:t>
      </w:r>
      <w:r w:rsidR="00E527C6" w:rsidRPr="007B5BE6">
        <w:t xml:space="preserve">and considers that the </w:t>
      </w:r>
      <w:r w:rsidR="001335E8" w:rsidRPr="007B5BE6">
        <w:t>Commissioner for Older People</w:t>
      </w:r>
      <w:r w:rsidR="001335E8" w:rsidRPr="007B5BE6" w:rsidDel="001335E8">
        <w:t xml:space="preserve"> </w:t>
      </w:r>
      <w:r w:rsidR="00E527C6" w:rsidRPr="007B5BE6">
        <w:t>could have a useful referral role to facilitate this.</w:t>
      </w:r>
    </w:p>
    <w:p w14:paraId="2FDC76D5" w14:textId="11045349" w:rsidR="00DD2FF6" w:rsidRPr="007B5BE6" w:rsidRDefault="00DD2FF6" w:rsidP="005641F7">
      <w:pPr>
        <w:tabs>
          <w:tab w:val="left" w:pos="851"/>
        </w:tabs>
        <w:spacing w:before="220"/>
        <w:rPr>
          <w:b/>
        </w:rPr>
      </w:pPr>
      <w:r w:rsidRPr="007B5BE6">
        <w:rPr>
          <w:noProof/>
        </w:rPr>
        <mc:AlternateContent>
          <mc:Choice Requires="wps">
            <w:drawing>
              <wp:inline distT="0" distB="0" distL="0" distR="0" wp14:anchorId="6DFBDABA" wp14:editId="76AF9491">
                <wp:extent cx="5727065" cy="1104596"/>
                <wp:effectExtent l="0" t="0" r="6985" b="635"/>
                <wp:docPr id="65808154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104596"/>
                        </a:xfrm>
                        <a:prstGeom prst="rect">
                          <a:avLst/>
                        </a:prstGeom>
                        <a:solidFill>
                          <a:srgbClr val="E8E8E8"/>
                        </a:solidFill>
                      </wps:spPr>
                      <wps:txbx>
                        <w:txbxContent>
                          <w:p w14:paraId="1DABC7E9" w14:textId="77777777" w:rsidR="00DD2FF6" w:rsidRPr="006F2DE6" w:rsidRDefault="00DD2FF6" w:rsidP="00DD2FF6">
                            <w:pPr>
                              <w:pStyle w:val="RecommendationBoxHeading"/>
                            </w:pPr>
                            <w:r w:rsidRPr="006F2DE6">
                              <w:t xml:space="preserve">Recommendation 19 </w:t>
                            </w:r>
                          </w:p>
                          <w:p w14:paraId="6220F8DA" w14:textId="77777777" w:rsidR="00DD2FF6" w:rsidRPr="00DD2FF6" w:rsidRDefault="00DD2FF6" w:rsidP="00DD2FF6">
                            <w:pPr>
                              <w:pStyle w:val="RecommendationBoxText"/>
                            </w:pPr>
                            <w:r w:rsidRPr="00DD2FF6">
                              <w:t xml:space="preserve">Referral pathways, information sharing arrangements and policies and agreements that allow for collaboration between relevant government and non-government agencies should be established regarding the Commissioner for Older People. </w:t>
                            </w:r>
                          </w:p>
                          <w:p w14:paraId="48FD58BC"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6DFBDABA" id="_x0000_s1045" type="#_x0000_t202" style="width:450.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" fillcolor="#e8e8e8" stroked="f">
                <v:textbox inset="0,0,0,0">
                  <w:txbxContent>
                    <w:p w14:paraId="1DABC7E9" w14:textId="77777777" w:rsidR="00DD2FF6" w:rsidRPr="006F2DE6" w:rsidRDefault="00DD2FF6" w:rsidP="00DD2FF6">
                      <w:pPr>
                        <w:pStyle w:val="RecommendationBoxHeading"/>
                      </w:pPr>
                      <w:r w:rsidRPr="006F2DE6">
                        <w:t xml:space="preserve">Recommendation 19 </w:t>
                      </w:r>
                    </w:p>
                    <w:p w14:paraId="6220F8DA" w14:textId="77777777" w:rsidR="00DD2FF6" w:rsidRPr="00DD2FF6" w:rsidRDefault="00DD2FF6" w:rsidP="00DD2FF6">
                      <w:pPr>
                        <w:pStyle w:val="RecommendationBoxText"/>
                      </w:pPr>
                      <w:r w:rsidRPr="00DD2FF6">
                        <w:t xml:space="preserve">Referral pathways, information sharing arrangements and policies and agreements that allow for collaboration between relevant government and non-government agencies should be established regarding the Commissioner for Older People. </w:t>
                      </w:r>
                    </w:p>
                    <w:p w14:paraId="48FD58BC" w14:textId="77777777" w:rsidR="00DD2FF6" w:rsidRPr="00F77824" w:rsidRDefault="00DD2FF6" w:rsidP="00DD2FF6">
                      <w:pPr>
                        <w:pStyle w:val="RecommendationBoxText"/>
                        <w:ind w:left="0"/>
                        <w:rPr>
                          <w:rFonts w:eastAsia="Times"/>
                        </w:rPr>
                      </w:pPr>
                    </w:p>
                  </w:txbxContent>
                </v:textbox>
                <w10:anchorlock/>
              </v:shape>
            </w:pict>
          </mc:Fallback>
        </mc:AlternateContent>
      </w:r>
    </w:p>
    <w:p w14:paraId="3F84B8C7" w14:textId="373F3378" w:rsidR="00A40C83" w:rsidRPr="007B5BE6" w:rsidRDefault="00A40C83" w:rsidP="00744D17">
      <w:pPr>
        <w:pStyle w:val="NumberedHeadingTLRI"/>
      </w:pPr>
      <w:bookmarkStart w:id="595" w:name="_Toc212561805"/>
      <w:r w:rsidRPr="007B5BE6">
        <w:lastRenderedPageBreak/>
        <w:t>Enhancing safeguarding through human rights law</w:t>
      </w:r>
      <w:bookmarkEnd w:id="595"/>
      <w:r w:rsidRPr="007B5BE6">
        <w:t xml:space="preserve"> </w:t>
      </w:r>
    </w:p>
    <w:p w14:paraId="6C8F0CAB" w14:textId="390693B4" w:rsidR="00842E7D" w:rsidRPr="007B5BE6" w:rsidRDefault="003E7F8B" w:rsidP="005A71B7">
      <w:pPr>
        <w:numPr>
          <w:ilvl w:val="2"/>
          <w:numId w:val="12"/>
        </w:numPr>
        <w:tabs>
          <w:tab w:val="left" w:pos="851"/>
        </w:tabs>
        <w:spacing w:before="220"/>
        <w:rPr>
          <w:rFonts w:eastAsia="Times"/>
        </w:rPr>
      </w:pPr>
      <w:r w:rsidRPr="007B5BE6">
        <w:rPr>
          <w:rFonts w:eastAsia="Times" w:cs="Times New Roman"/>
          <w:szCs w:val="20"/>
        </w:rPr>
        <w:t xml:space="preserve">An additional overarching reform that has been considered by the TLRI is enhancing safeguarding through </w:t>
      </w:r>
      <w:r w:rsidR="00246123" w:rsidRPr="007B5BE6">
        <w:rPr>
          <w:rFonts w:eastAsia="Times" w:cs="Times New Roman"/>
          <w:szCs w:val="20"/>
        </w:rPr>
        <w:t xml:space="preserve">the introduction of </w:t>
      </w:r>
      <w:r w:rsidRPr="007B5BE6">
        <w:rPr>
          <w:rFonts w:eastAsia="Times" w:cs="Times New Roman"/>
          <w:szCs w:val="20"/>
        </w:rPr>
        <w:t xml:space="preserve">human rights law. </w:t>
      </w:r>
      <w:r w:rsidR="00FD77BE" w:rsidRPr="007B5BE6">
        <w:rPr>
          <w:rFonts w:eastAsia="Times" w:cs="Times New Roman"/>
          <w:szCs w:val="20"/>
        </w:rPr>
        <w:t>The TLRI has previously considered the protection of human rights in Tasmania and has recommended that human rights legislation be introduced.</w:t>
      </w:r>
      <w:r w:rsidR="00425810" w:rsidRPr="007B5BE6">
        <w:rPr>
          <w:rStyle w:val="FootnoteReference"/>
          <w:rFonts w:eastAsia="Times" w:cs="Times New Roman"/>
          <w:szCs w:val="20"/>
        </w:rPr>
        <w:footnoteReference w:id="643"/>
      </w:r>
      <w:r w:rsidR="008D0AB9" w:rsidRPr="007B5BE6">
        <w:rPr>
          <w:rFonts w:eastAsia="Times" w:cs="Times New Roman"/>
          <w:szCs w:val="20"/>
        </w:rPr>
        <w:t xml:space="preserve"> </w:t>
      </w:r>
    </w:p>
    <w:p w14:paraId="760F3EFF" w14:textId="09A6A097" w:rsidR="00EC3F8F" w:rsidRPr="007B5BE6" w:rsidRDefault="006A54A5" w:rsidP="005A71B7">
      <w:pPr>
        <w:numPr>
          <w:ilvl w:val="2"/>
          <w:numId w:val="12"/>
        </w:numPr>
        <w:tabs>
          <w:tab w:val="left" w:pos="851"/>
        </w:tabs>
        <w:spacing w:before="220"/>
        <w:rPr>
          <w:rFonts w:eastAsia="Times"/>
        </w:rPr>
      </w:pPr>
      <w:r w:rsidRPr="007B5BE6">
        <w:rPr>
          <w:rFonts w:eastAsia="Times" w:cs="Times New Roman"/>
        </w:rPr>
        <w:t xml:space="preserve">In the TLRI’s interviews, </w:t>
      </w:r>
      <w:r w:rsidR="007E5BE6" w:rsidRPr="007B5BE6">
        <w:rPr>
          <w:rFonts w:eastAsia="Times" w:cs="Times New Roman"/>
        </w:rPr>
        <w:t xml:space="preserve">many stakeholders </w:t>
      </w:r>
      <w:r w:rsidR="00A73050" w:rsidRPr="007B5BE6">
        <w:rPr>
          <w:rFonts w:eastAsia="Times" w:cs="Times New Roman"/>
        </w:rPr>
        <w:t xml:space="preserve">identified the lack of Tasmanian human rights legislation </w:t>
      </w:r>
      <w:r w:rsidR="007E5BE6" w:rsidRPr="007B5BE6">
        <w:rPr>
          <w:rFonts w:eastAsia="Times" w:cs="Times New Roman"/>
        </w:rPr>
        <w:t xml:space="preserve">and expressed the view that the </w:t>
      </w:r>
      <w:r w:rsidR="008D0AB9" w:rsidRPr="007B5BE6">
        <w:rPr>
          <w:rFonts w:eastAsia="Times" w:cs="Times New Roman"/>
        </w:rPr>
        <w:t xml:space="preserve">absence of a human rights framework </w:t>
      </w:r>
      <w:r w:rsidR="005830D1" w:rsidRPr="007B5BE6">
        <w:rPr>
          <w:rFonts w:eastAsia="Times" w:cs="Times New Roman"/>
        </w:rPr>
        <w:t>was</w:t>
      </w:r>
      <w:r w:rsidR="008D0AB9" w:rsidRPr="007B5BE6">
        <w:rPr>
          <w:rFonts w:eastAsia="Times" w:cs="Times New Roman"/>
        </w:rPr>
        <w:t xml:space="preserve"> </w:t>
      </w:r>
      <w:r w:rsidRPr="007B5BE6">
        <w:rPr>
          <w:rFonts w:eastAsia="Times" w:cs="Times New Roman"/>
        </w:rPr>
        <w:t xml:space="preserve">a key gap in responses to the abuse of </w:t>
      </w:r>
      <w:r w:rsidR="004846A8" w:rsidRPr="007B5BE6">
        <w:rPr>
          <w:rFonts w:eastAsia="Times" w:cs="Times New Roman"/>
        </w:rPr>
        <w:t xml:space="preserve">older </w:t>
      </w:r>
      <w:r w:rsidR="000B233F" w:rsidRPr="007B5BE6">
        <w:rPr>
          <w:rFonts w:eastAsia="Times" w:cs="Times New Roman"/>
        </w:rPr>
        <w:t>Tasmanians,</w:t>
      </w:r>
      <w:r w:rsidRPr="007B5BE6">
        <w:rPr>
          <w:rFonts w:eastAsia="Times" w:cs="Times New Roman"/>
        </w:rPr>
        <w:t xml:space="preserve"> with i</w:t>
      </w:r>
      <w:r w:rsidR="008D0AB9" w:rsidRPr="007B5BE6">
        <w:rPr>
          <w:rFonts w:eastAsia="Times" w:cs="Times New Roman"/>
        </w:rPr>
        <w:t>mplications for safeguarding</w:t>
      </w:r>
      <w:r w:rsidR="103D0C64" w:rsidRPr="007B5BE6">
        <w:rPr>
          <w:rFonts w:eastAsia="Times" w:cs="Times New Roman"/>
        </w:rPr>
        <w:t>.</w:t>
      </w:r>
      <w:r w:rsidR="00B116E8" w:rsidRPr="007B5BE6">
        <w:rPr>
          <w:rStyle w:val="FootnoteReference"/>
          <w:rFonts w:eastAsia="Times" w:cs="Times New Roman"/>
        </w:rPr>
        <w:footnoteReference w:id="644"/>
      </w:r>
      <w:r w:rsidR="2D5EF940" w:rsidRPr="007B5BE6">
        <w:rPr>
          <w:rStyle w:val="FootnoteReference"/>
          <w:rFonts w:eastAsia="Times" w:cs="Times New Roman"/>
        </w:rPr>
        <w:t xml:space="preserve"> </w:t>
      </w:r>
      <w:r w:rsidR="006471C5" w:rsidRPr="007B5BE6">
        <w:rPr>
          <w:rFonts w:eastAsia="Times" w:cs="Times New Roman"/>
        </w:rPr>
        <w:t>Stakeholders identified a range of</w:t>
      </w:r>
      <w:r w:rsidR="00E64EB4" w:rsidRPr="007B5BE6">
        <w:rPr>
          <w:rFonts w:eastAsia="Times" w:cs="Times New Roman"/>
        </w:rPr>
        <w:t xml:space="preserve"> potential</w:t>
      </w:r>
      <w:r w:rsidR="006471C5" w:rsidRPr="007B5BE6">
        <w:rPr>
          <w:rFonts w:eastAsia="Times" w:cs="Times New Roman"/>
        </w:rPr>
        <w:t xml:space="preserve"> benefits stemming from the introduction of </w:t>
      </w:r>
      <w:r w:rsidR="0092692D" w:rsidRPr="007B5BE6">
        <w:rPr>
          <w:rFonts w:eastAsia="Times" w:cs="Times New Roman"/>
        </w:rPr>
        <w:t>a human rights framework</w:t>
      </w:r>
      <w:r w:rsidR="00957481" w:rsidRPr="007B5BE6">
        <w:rPr>
          <w:rFonts w:eastAsia="Times" w:cs="Times New Roman"/>
        </w:rPr>
        <w:t xml:space="preserve">, </w:t>
      </w:r>
      <w:r w:rsidR="00B13CCA" w:rsidRPr="007B5BE6">
        <w:rPr>
          <w:rFonts w:eastAsia="Times" w:cs="Times New Roman"/>
        </w:rPr>
        <w:t xml:space="preserve">with </w:t>
      </w:r>
      <w:r w:rsidR="00957481" w:rsidRPr="007B5BE6">
        <w:rPr>
          <w:rFonts w:eastAsia="Times" w:cs="Times New Roman"/>
        </w:rPr>
        <w:t>some applicable to all Tasmanian</w:t>
      </w:r>
      <w:r w:rsidR="004846A8" w:rsidRPr="007B5BE6">
        <w:rPr>
          <w:rFonts w:eastAsia="Times" w:cs="Times New Roman"/>
        </w:rPr>
        <w:t>s</w:t>
      </w:r>
      <w:r w:rsidR="00957481" w:rsidRPr="007B5BE6">
        <w:rPr>
          <w:rFonts w:eastAsia="Times" w:cs="Times New Roman"/>
        </w:rPr>
        <w:t xml:space="preserve"> and some </w:t>
      </w:r>
      <w:r w:rsidR="005779E0" w:rsidRPr="007B5BE6">
        <w:rPr>
          <w:rFonts w:eastAsia="Times" w:cs="Times New Roman"/>
        </w:rPr>
        <w:t xml:space="preserve">directly </w:t>
      </w:r>
      <w:r w:rsidR="004846A8" w:rsidRPr="007B5BE6">
        <w:rPr>
          <w:rFonts w:eastAsia="Times" w:cs="Times New Roman"/>
        </w:rPr>
        <w:t>applicable</w:t>
      </w:r>
      <w:r w:rsidR="005779E0" w:rsidRPr="007B5BE6">
        <w:rPr>
          <w:rFonts w:eastAsia="Times" w:cs="Times New Roman"/>
        </w:rPr>
        <w:t xml:space="preserve"> </w:t>
      </w:r>
      <w:r w:rsidR="00957481" w:rsidRPr="007B5BE6">
        <w:rPr>
          <w:rFonts w:eastAsia="Times" w:cs="Times New Roman"/>
        </w:rPr>
        <w:t>to older Tasmanian</w:t>
      </w:r>
      <w:r w:rsidR="003F2A72" w:rsidRPr="007B5BE6">
        <w:rPr>
          <w:rFonts w:eastAsia="Times" w:cs="Times New Roman"/>
        </w:rPr>
        <w:t>s</w:t>
      </w:r>
      <w:r w:rsidR="00550906" w:rsidRPr="007B5BE6">
        <w:rPr>
          <w:rFonts w:eastAsia="Times" w:cs="Times New Roman"/>
        </w:rPr>
        <w:t xml:space="preserve">. </w:t>
      </w:r>
      <w:r w:rsidR="00EC3F8F" w:rsidRPr="007B5BE6">
        <w:rPr>
          <w:rFonts w:eastAsia="Times" w:cs="Times New Roman"/>
        </w:rPr>
        <w:t xml:space="preserve">These </w:t>
      </w:r>
      <w:r w:rsidR="3EDED8B3" w:rsidRPr="007B5BE6">
        <w:rPr>
          <w:rFonts w:eastAsia="Times" w:cs="Times New Roman"/>
        </w:rPr>
        <w:t>potential</w:t>
      </w:r>
      <w:r w:rsidR="00EC3F8F" w:rsidRPr="007B5BE6">
        <w:rPr>
          <w:rFonts w:eastAsia="Times" w:cs="Times New Roman"/>
        </w:rPr>
        <w:t xml:space="preserve"> </w:t>
      </w:r>
      <w:r w:rsidR="00944094" w:rsidRPr="007B5BE6">
        <w:rPr>
          <w:rFonts w:eastAsia="Times" w:cs="Times New Roman"/>
        </w:rPr>
        <w:t xml:space="preserve">benefits </w:t>
      </w:r>
      <w:r w:rsidR="00EC3F8F" w:rsidRPr="007B5BE6">
        <w:rPr>
          <w:rFonts w:eastAsia="Times" w:cs="Times New Roman"/>
        </w:rPr>
        <w:t>included:</w:t>
      </w:r>
    </w:p>
    <w:p w14:paraId="57B020C5" w14:textId="6C173847" w:rsidR="00BF1211" w:rsidRPr="007B5BE6" w:rsidRDefault="00414ACE" w:rsidP="00BF1211">
      <w:pPr>
        <w:pStyle w:val="DotPointTLRI"/>
        <w:rPr>
          <w:rFonts w:eastAsia="Times"/>
        </w:rPr>
      </w:pPr>
      <w:r w:rsidRPr="007B5BE6">
        <w:rPr>
          <w:rFonts w:eastAsia="Times"/>
          <w:szCs w:val="20"/>
        </w:rPr>
        <w:t>r</w:t>
      </w:r>
      <w:r w:rsidR="000F46F8" w:rsidRPr="007B5BE6">
        <w:rPr>
          <w:rFonts w:eastAsia="Times"/>
          <w:szCs w:val="20"/>
        </w:rPr>
        <w:t>ecognition of the</w:t>
      </w:r>
      <w:r w:rsidR="00B91A7B" w:rsidRPr="007B5BE6">
        <w:rPr>
          <w:rFonts w:eastAsia="Times"/>
          <w:szCs w:val="20"/>
        </w:rPr>
        <w:t xml:space="preserve"> human rights </w:t>
      </w:r>
      <w:r w:rsidR="000F46F8" w:rsidRPr="007B5BE6">
        <w:rPr>
          <w:rFonts w:eastAsia="Times"/>
          <w:szCs w:val="20"/>
        </w:rPr>
        <w:t xml:space="preserve">of all Tasmanians, </w:t>
      </w:r>
      <w:r w:rsidR="002473EF" w:rsidRPr="007B5BE6">
        <w:rPr>
          <w:rFonts w:eastAsia="Times"/>
          <w:szCs w:val="20"/>
        </w:rPr>
        <w:t>irrespective of their</w:t>
      </w:r>
      <w:r w:rsidR="000F46F8" w:rsidRPr="007B5BE6">
        <w:rPr>
          <w:rFonts w:eastAsia="Times"/>
          <w:szCs w:val="20"/>
        </w:rPr>
        <w:t xml:space="preserve"> age or</w:t>
      </w:r>
      <w:r w:rsidR="002473EF" w:rsidRPr="007B5BE6">
        <w:rPr>
          <w:rFonts w:eastAsia="Times"/>
          <w:szCs w:val="20"/>
        </w:rPr>
        <w:t xml:space="preserve"> abilities</w:t>
      </w:r>
      <w:r w:rsidR="00E706AA" w:rsidRPr="007B5BE6">
        <w:rPr>
          <w:rFonts w:eastAsia="Times"/>
          <w:szCs w:val="20"/>
        </w:rPr>
        <w:t>;</w:t>
      </w:r>
    </w:p>
    <w:p w14:paraId="59598BDF" w14:textId="373F672C" w:rsidR="006623CF" w:rsidRPr="007B5BE6" w:rsidRDefault="00414ACE" w:rsidP="00BF1211">
      <w:pPr>
        <w:pStyle w:val="DotPointTLRI"/>
        <w:rPr>
          <w:rFonts w:eastAsia="Times"/>
        </w:rPr>
      </w:pPr>
      <w:r w:rsidRPr="007B5BE6">
        <w:rPr>
          <w:rFonts w:eastAsia="Times"/>
        </w:rPr>
        <w:t>f</w:t>
      </w:r>
      <w:r w:rsidR="004C393F" w:rsidRPr="007B5BE6">
        <w:rPr>
          <w:rFonts w:eastAsia="Times"/>
        </w:rPr>
        <w:t xml:space="preserve">orming part of </w:t>
      </w:r>
      <w:r w:rsidR="00AA014A" w:rsidRPr="007B5BE6">
        <w:rPr>
          <w:rFonts w:eastAsia="Times"/>
        </w:rPr>
        <w:t xml:space="preserve">a principled </w:t>
      </w:r>
      <w:r w:rsidR="00EB562B" w:rsidRPr="007B5BE6">
        <w:rPr>
          <w:rFonts w:eastAsia="Times"/>
        </w:rPr>
        <w:t xml:space="preserve">framework </w:t>
      </w:r>
      <w:r w:rsidR="004C393F" w:rsidRPr="007B5BE6">
        <w:rPr>
          <w:rFonts w:eastAsia="Times"/>
        </w:rPr>
        <w:t>that can</w:t>
      </w:r>
      <w:r w:rsidR="00EB562B" w:rsidRPr="007B5BE6">
        <w:rPr>
          <w:rFonts w:eastAsia="Times"/>
        </w:rPr>
        <w:t xml:space="preserve"> guid</w:t>
      </w:r>
      <w:r w:rsidR="004C393F" w:rsidRPr="007B5BE6">
        <w:rPr>
          <w:rFonts w:eastAsia="Times"/>
        </w:rPr>
        <w:t>e</w:t>
      </w:r>
      <w:r w:rsidR="00EB562B" w:rsidRPr="007B5BE6">
        <w:rPr>
          <w:rFonts w:eastAsia="Times"/>
        </w:rPr>
        <w:t xml:space="preserve"> </w:t>
      </w:r>
      <w:r w:rsidR="001C0E28" w:rsidRPr="007B5BE6">
        <w:rPr>
          <w:rFonts w:eastAsia="Times"/>
        </w:rPr>
        <w:t>the</w:t>
      </w:r>
      <w:r w:rsidR="00382E3A" w:rsidRPr="007B5BE6">
        <w:rPr>
          <w:rFonts w:eastAsia="Times"/>
        </w:rPr>
        <w:t xml:space="preserve"> </w:t>
      </w:r>
      <w:r w:rsidR="001C0E28" w:rsidRPr="007B5BE6">
        <w:rPr>
          <w:rFonts w:eastAsia="Times"/>
        </w:rPr>
        <w:t>development</w:t>
      </w:r>
      <w:r w:rsidR="00382E3A" w:rsidRPr="007B5BE6">
        <w:rPr>
          <w:rFonts w:eastAsia="Times"/>
        </w:rPr>
        <w:t xml:space="preserve"> of legislation and policy targeted at the prevention of </w:t>
      </w:r>
      <w:r w:rsidR="00605CB5" w:rsidRPr="007B5BE6">
        <w:rPr>
          <w:rFonts w:eastAsia="Times"/>
        </w:rPr>
        <w:t xml:space="preserve">the </w:t>
      </w:r>
      <w:r w:rsidR="00382E3A" w:rsidRPr="007B5BE6">
        <w:rPr>
          <w:rFonts w:eastAsia="Times"/>
        </w:rPr>
        <w:t>abuse of older people</w:t>
      </w:r>
      <w:r w:rsidR="00E706AA" w:rsidRPr="007B5BE6">
        <w:rPr>
          <w:rFonts w:eastAsia="Times"/>
        </w:rPr>
        <w:t>;</w:t>
      </w:r>
    </w:p>
    <w:p w14:paraId="7121C660" w14:textId="45D956D1" w:rsidR="00E21CCB" w:rsidRPr="007B5BE6" w:rsidRDefault="00414ACE" w:rsidP="00BF1211">
      <w:pPr>
        <w:pStyle w:val="DotPointTLRI"/>
        <w:rPr>
          <w:rFonts w:eastAsia="Times"/>
        </w:rPr>
      </w:pPr>
      <w:r w:rsidRPr="007B5BE6">
        <w:rPr>
          <w:rFonts w:eastAsia="Times"/>
        </w:rPr>
        <w:t>p</w:t>
      </w:r>
      <w:r w:rsidR="006623CF" w:rsidRPr="007B5BE6">
        <w:rPr>
          <w:rFonts w:eastAsia="Times"/>
        </w:rPr>
        <w:t>r</w:t>
      </w:r>
      <w:r w:rsidR="00E21CCB" w:rsidRPr="007B5BE6">
        <w:rPr>
          <w:rFonts w:eastAsia="Times"/>
        </w:rPr>
        <w:t>oviding</w:t>
      </w:r>
      <w:r w:rsidR="0042698B" w:rsidRPr="007B5BE6">
        <w:rPr>
          <w:rFonts w:eastAsia="Times"/>
        </w:rPr>
        <w:t xml:space="preserve"> an important framework for the assessment of the operation of legislation</w:t>
      </w:r>
      <w:r w:rsidR="00363BF1" w:rsidRPr="007B5BE6">
        <w:rPr>
          <w:rFonts w:eastAsia="Times"/>
        </w:rPr>
        <w:t xml:space="preserve"> that particular</w:t>
      </w:r>
      <w:r w:rsidR="006B5EBE" w:rsidRPr="007B5BE6">
        <w:rPr>
          <w:rFonts w:eastAsia="Times"/>
        </w:rPr>
        <w:t>ly</w:t>
      </w:r>
      <w:r w:rsidR="00363BF1" w:rsidRPr="007B5BE6">
        <w:rPr>
          <w:rFonts w:eastAsia="Times"/>
        </w:rPr>
        <w:t xml:space="preserve"> affects older people, for example the </w:t>
      </w:r>
      <w:r w:rsidR="00363BF1" w:rsidRPr="007B5BE6">
        <w:rPr>
          <w:rFonts w:eastAsia="Times"/>
          <w:i/>
          <w:iCs/>
        </w:rPr>
        <w:t>Guardianship and Administration Act 1995</w:t>
      </w:r>
      <w:r w:rsidR="00363BF1" w:rsidRPr="007B5BE6">
        <w:rPr>
          <w:rFonts w:eastAsia="Times"/>
        </w:rPr>
        <w:t xml:space="preserve"> (Tas),</w:t>
      </w:r>
      <w:r w:rsidR="006B5EBE" w:rsidRPr="007B5BE6">
        <w:rPr>
          <w:rFonts w:eastAsia="Times"/>
        </w:rPr>
        <w:t xml:space="preserve"> and to ensure that rights-based approach</w:t>
      </w:r>
      <w:r w:rsidR="0028734D" w:rsidRPr="007B5BE6">
        <w:rPr>
          <w:rFonts w:eastAsia="Times"/>
        </w:rPr>
        <w:t>es</w:t>
      </w:r>
      <w:r w:rsidR="006B5EBE" w:rsidRPr="007B5BE6">
        <w:rPr>
          <w:rFonts w:eastAsia="Times"/>
        </w:rPr>
        <w:t xml:space="preserve"> operate in practice as intended</w:t>
      </w:r>
      <w:r w:rsidR="00E706AA" w:rsidRPr="007B5BE6">
        <w:rPr>
          <w:rFonts w:eastAsia="Times"/>
        </w:rPr>
        <w:t>;</w:t>
      </w:r>
    </w:p>
    <w:p w14:paraId="539DB6EA" w14:textId="030BF34A" w:rsidR="00F41B4A" w:rsidRPr="007B5BE6" w:rsidRDefault="00414ACE" w:rsidP="00BF1211">
      <w:pPr>
        <w:pStyle w:val="DotPointTLRI"/>
        <w:rPr>
          <w:rFonts w:eastAsia="Times"/>
        </w:rPr>
      </w:pPr>
      <w:r w:rsidRPr="007B5BE6">
        <w:rPr>
          <w:rFonts w:eastAsia="Times"/>
        </w:rPr>
        <w:t>s</w:t>
      </w:r>
      <w:r w:rsidR="00E21CCB" w:rsidRPr="007B5BE6">
        <w:rPr>
          <w:rFonts w:eastAsia="Times"/>
        </w:rPr>
        <w:t>upporting</w:t>
      </w:r>
      <w:r w:rsidR="008E7F97" w:rsidRPr="007B5BE6">
        <w:rPr>
          <w:rFonts w:eastAsia="Times"/>
        </w:rPr>
        <w:t xml:space="preserve"> rights regarding access to information held by government and interrogation of decisions by government</w:t>
      </w:r>
      <w:r w:rsidR="008443F2" w:rsidRPr="007B5BE6">
        <w:rPr>
          <w:rFonts w:eastAsia="Times"/>
        </w:rPr>
        <w:t xml:space="preserve"> that</w:t>
      </w:r>
      <w:r w:rsidR="008E7F97" w:rsidRPr="007B5BE6">
        <w:rPr>
          <w:rFonts w:eastAsia="Times"/>
        </w:rPr>
        <w:t xml:space="preserve"> can increase disclosure and transparency</w:t>
      </w:r>
      <w:r w:rsidR="00F75DFF" w:rsidRPr="007B5BE6">
        <w:rPr>
          <w:rFonts w:eastAsia="Times"/>
        </w:rPr>
        <w:t xml:space="preserve">, which was </w:t>
      </w:r>
      <w:r w:rsidR="0056368F" w:rsidRPr="007B5BE6">
        <w:rPr>
          <w:rFonts w:eastAsia="Times"/>
        </w:rPr>
        <w:t xml:space="preserve">suggested </w:t>
      </w:r>
      <w:r w:rsidR="00F75DFF" w:rsidRPr="007B5BE6">
        <w:rPr>
          <w:rFonts w:eastAsia="Times"/>
        </w:rPr>
        <w:t>to have</w:t>
      </w:r>
      <w:r w:rsidR="008E7F97" w:rsidRPr="007B5BE6">
        <w:rPr>
          <w:rFonts w:eastAsia="Times"/>
        </w:rPr>
        <w:t xml:space="preserve"> </w:t>
      </w:r>
      <w:r w:rsidR="001D7C19" w:rsidRPr="007B5BE6">
        <w:rPr>
          <w:rFonts w:eastAsia="Times"/>
        </w:rPr>
        <w:t>implications</w:t>
      </w:r>
      <w:r w:rsidR="008E7F97" w:rsidRPr="007B5BE6">
        <w:rPr>
          <w:rFonts w:eastAsia="Times"/>
        </w:rPr>
        <w:t xml:space="preserve"> for</w:t>
      </w:r>
      <w:r w:rsidR="00A56D28" w:rsidRPr="007B5BE6">
        <w:rPr>
          <w:rFonts w:eastAsia="Times"/>
        </w:rPr>
        <w:t xml:space="preserve"> supporting efforts to address the</w:t>
      </w:r>
      <w:r w:rsidR="008E7F97" w:rsidRPr="007B5BE6">
        <w:rPr>
          <w:rFonts w:eastAsia="Times"/>
        </w:rPr>
        <w:t xml:space="preserve"> abuse of older people by or </w:t>
      </w:r>
      <w:r w:rsidR="001E4FD7" w:rsidRPr="007B5BE6">
        <w:rPr>
          <w:rFonts w:eastAsia="Times"/>
        </w:rPr>
        <w:t>with</w:t>
      </w:r>
      <w:r w:rsidR="008E7F97" w:rsidRPr="007B5BE6">
        <w:rPr>
          <w:rFonts w:eastAsia="Times"/>
        </w:rPr>
        <w:t>in institutions</w:t>
      </w:r>
      <w:r w:rsidR="008443F2" w:rsidRPr="007B5BE6">
        <w:rPr>
          <w:rFonts w:eastAsia="Times"/>
        </w:rPr>
        <w:t>,</w:t>
      </w:r>
      <w:r w:rsidR="009471F8" w:rsidRPr="007B5BE6">
        <w:rPr>
          <w:rFonts w:eastAsia="Times"/>
        </w:rPr>
        <w:t xml:space="preserve"> and </w:t>
      </w:r>
      <w:r w:rsidR="008E7F97" w:rsidRPr="007B5BE6">
        <w:rPr>
          <w:rFonts w:eastAsia="Times"/>
        </w:rPr>
        <w:t>challeng</w:t>
      </w:r>
      <w:r w:rsidR="00A56D28" w:rsidRPr="007B5BE6">
        <w:rPr>
          <w:rFonts w:eastAsia="Times"/>
        </w:rPr>
        <w:t xml:space="preserve">ing </w:t>
      </w:r>
      <w:r w:rsidR="009471F8" w:rsidRPr="007B5BE6">
        <w:rPr>
          <w:rFonts w:eastAsia="Times"/>
        </w:rPr>
        <w:t xml:space="preserve">institutional </w:t>
      </w:r>
      <w:r w:rsidR="008E7F97" w:rsidRPr="007B5BE6">
        <w:rPr>
          <w:rFonts w:eastAsia="Times"/>
        </w:rPr>
        <w:t>cultures of abuse</w:t>
      </w:r>
      <w:r w:rsidR="009471F8" w:rsidRPr="007B5BE6">
        <w:rPr>
          <w:rFonts w:eastAsia="Times"/>
        </w:rPr>
        <w:t xml:space="preserve"> in this context</w:t>
      </w:r>
      <w:r w:rsidR="00E706AA" w:rsidRPr="007B5BE6">
        <w:rPr>
          <w:rFonts w:eastAsia="Times"/>
        </w:rPr>
        <w:t>; and</w:t>
      </w:r>
    </w:p>
    <w:p w14:paraId="50B2F028" w14:textId="5C0B02FD" w:rsidR="003D1E0F" w:rsidRPr="007B5BE6" w:rsidRDefault="00414ACE" w:rsidP="00BF1211">
      <w:pPr>
        <w:pStyle w:val="DotPointTLRI"/>
        <w:rPr>
          <w:rFonts w:eastAsia="Times"/>
        </w:rPr>
      </w:pPr>
      <w:r w:rsidRPr="007B5BE6">
        <w:rPr>
          <w:rFonts w:eastAsia="Times"/>
        </w:rPr>
        <w:t>s</w:t>
      </w:r>
      <w:r w:rsidR="00F41B4A" w:rsidRPr="007B5BE6">
        <w:rPr>
          <w:rFonts w:eastAsia="Times"/>
        </w:rPr>
        <w:t>upporting</w:t>
      </w:r>
      <w:r w:rsidR="00EE0F29" w:rsidRPr="007B5BE6">
        <w:rPr>
          <w:rFonts w:eastAsia="Times"/>
        </w:rPr>
        <w:t xml:space="preserve"> </w:t>
      </w:r>
      <w:r w:rsidR="008D67D0" w:rsidRPr="007B5BE6">
        <w:rPr>
          <w:rFonts w:eastAsia="Times"/>
        </w:rPr>
        <w:t xml:space="preserve">community </w:t>
      </w:r>
      <w:r w:rsidR="00EE0F29" w:rsidRPr="007B5BE6">
        <w:rPr>
          <w:rFonts w:eastAsia="Times"/>
        </w:rPr>
        <w:t xml:space="preserve">education regarding the abuse of older people </w:t>
      </w:r>
      <w:r w:rsidR="00A7242D" w:rsidRPr="007B5BE6">
        <w:rPr>
          <w:rFonts w:eastAsia="Times"/>
        </w:rPr>
        <w:t>and the delivery of supports for older people experiencing abuse</w:t>
      </w:r>
      <w:r w:rsidR="008D67D0" w:rsidRPr="007B5BE6">
        <w:rPr>
          <w:rFonts w:eastAsia="Times"/>
        </w:rPr>
        <w:t>,</w:t>
      </w:r>
      <w:r w:rsidR="00A7242D" w:rsidRPr="007B5BE6">
        <w:rPr>
          <w:rFonts w:eastAsia="Times"/>
        </w:rPr>
        <w:t xml:space="preserve"> </w:t>
      </w:r>
      <w:r w:rsidR="003123D2" w:rsidRPr="007B5BE6">
        <w:rPr>
          <w:rFonts w:eastAsia="Times"/>
        </w:rPr>
        <w:t xml:space="preserve">which generally </w:t>
      </w:r>
      <w:r w:rsidR="00EE0F29" w:rsidRPr="007B5BE6">
        <w:rPr>
          <w:rFonts w:eastAsia="Times"/>
        </w:rPr>
        <w:t>takes a rights-based approach</w:t>
      </w:r>
      <w:r w:rsidR="0081702D" w:rsidRPr="007B5BE6">
        <w:rPr>
          <w:rFonts w:eastAsia="Times"/>
        </w:rPr>
        <w:t>.</w:t>
      </w:r>
      <w:r w:rsidR="00E67436" w:rsidRPr="007B5BE6">
        <w:rPr>
          <w:rStyle w:val="FootnoteReference"/>
          <w:rFonts w:eastAsia="Times"/>
        </w:rPr>
        <w:footnoteReference w:id="645"/>
      </w:r>
      <w:r w:rsidR="00890D04" w:rsidRPr="007B5BE6">
        <w:rPr>
          <w:rFonts w:eastAsia="Times"/>
        </w:rPr>
        <w:t xml:space="preserve"> </w:t>
      </w:r>
    </w:p>
    <w:p w14:paraId="314B7EF2" w14:textId="6509E12A" w:rsidR="00890D04" w:rsidRPr="007B5BE6" w:rsidRDefault="001D702D" w:rsidP="005A71B7">
      <w:pPr>
        <w:numPr>
          <w:ilvl w:val="2"/>
          <w:numId w:val="12"/>
        </w:numPr>
        <w:tabs>
          <w:tab w:val="left" w:pos="851"/>
        </w:tabs>
        <w:spacing w:before="220"/>
        <w:rPr>
          <w:rFonts w:eastAsia="Times"/>
        </w:rPr>
      </w:pPr>
      <w:r w:rsidRPr="007B5BE6">
        <w:rPr>
          <w:rFonts w:eastAsia="Times"/>
        </w:rPr>
        <w:t xml:space="preserve">In this regard, the TLRI notes that the introduction and operation of </w:t>
      </w:r>
      <w:r w:rsidR="006B5EBE" w:rsidRPr="007B5BE6">
        <w:rPr>
          <w:rFonts w:eastAsia="Times"/>
        </w:rPr>
        <w:t xml:space="preserve">human rights legislation </w:t>
      </w:r>
      <w:r w:rsidR="009B3677" w:rsidRPr="007B5BE6">
        <w:rPr>
          <w:rFonts w:eastAsia="Times"/>
        </w:rPr>
        <w:t xml:space="preserve">may </w:t>
      </w:r>
      <w:r w:rsidR="00274156" w:rsidRPr="007B5BE6">
        <w:rPr>
          <w:rFonts w:eastAsia="Times"/>
        </w:rPr>
        <w:t>ha</w:t>
      </w:r>
      <w:r w:rsidR="009B3677" w:rsidRPr="007B5BE6">
        <w:rPr>
          <w:rFonts w:eastAsia="Times"/>
        </w:rPr>
        <w:t>ve</w:t>
      </w:r>
      <w:r w:rsidR="00274156" w:rsidRPr="007B5BE6">
        <w:rPr>
          <w:rFonts w:eastAsia="Times"/>
        </w:rPr>
        <w:t xml:space="preserve"> the potential</w:t>
      </w:r>
      <w:r w:rsidR="00E51FD7" w:rsidRPr="007B5BE6">
        <w:rPr>
          <w:rFonts w:eastAsia="Times"/>
        </w:rPr>
        <w:t xml:space="preserve"> </w:t>
      </w:r>
      <w:r w:rsidR="006B5EBE" w:rsidRPr="007B5BE6">
        <w:rPr>
          <w:rFonts w:eastAsia="Times"/>
        </w:rPr>
        <w:t xml:space="preserve">to guide the development and </w:t>
      </w:r>
      <w:r w:rsidR="0056368F" w:rsidRPr="007B5BE6">
        <w:rPr>
          <w:rFonts w:eastAsia="Times"/>
        </w:rPr>
        <w:t>operation of legislation recommended as part of an overarching approach to safeguarding (</w:t>
      </w:r>
      <w:r w:rsidR="0056368F" w:rsidRPr="007B5BE6">
        <w:rPr>
          <w:rFonts w:eastAsia="Times"/>
          <w:b/>
          <w:bCs/>
        </w:rPr>
        <w:t xml:space="preserve">Recommendations </w:t>
      </w:r>
      <w:r w:rsidR="00525136" w:rsidRPr="007B5BE6">
        <w:rPr>
          <w:rFonts w:eastAsia="Times"/>
          <w:b/>
          <w:bCs/>
        </w:rPr>
        <w:t>1–17</w:t>
      </w:r>
      <w:r w:rsidR="0056368F" w:rsidRPr="007B5BE6">
        <w:rPr>
          <w:rFonts w:eastAsia="Times"/>
        </w:rPr>
        <w:t>)</w:t>
      </w:r>
      <w:r w:rsidR="000371A9" w:rsidRPr="007B5BE6">
        <w:rPr>
          <w:rFonts w:eastAsia="Times"/>
        </w:rPr>
        <w:t xml:space="preserve">. It </w:t>
      </w:r>
      <w:r w:rsidR="00F71457" w:rsidRPr="007B5BE6">
        <w:rPr>
          <w:rFonts w:eastAsia="Times"/>
        </w:rPr>
        <w:t>c</w:t>
      </w:r>
      <w:r w:rsidR="000371A9" w:rsidRPr="007B5BE6">
        <w:rPr>
          <w:rFonts w:eastAsia="Times"/>
        </w:rPr>
        <w:t>ould</w:t>
      </w:r>
      <w:r w:rsidR="001D7C19" w:rsidRPr="007B5BE6">
        <w:rPr>
          <w:rFonts w:eastAsia="Times"/>
        </w:rPr>
        <w:t xml:space="preserve"> </w:t>
      </w:r>
      <w:r w:rsidR="00845048" w:rsidRPr="007B5BE6">
        <w:rPr>
          <w:rFonts w:eastAsia="Times"/>
        </w:rPr>
        <w:t xml:space="preserve">also </w:t>
      </w:r>
      <w:r w:rsidR="003F0E61" w:rsidRPr="007B5BE6">
        <w:rPr>
          <w:rFonts w:eastAsia="Times"/>
        </w:rPr>
        <w:t xml:space="preserve">provide a framework </w:t>
      </w:r>
      <w:r w:rsidR="00F71457" w:rsidRPr="007B5BE6">
        <w:rPr>
          <w:rFonts w:eastAsia="Times"/>
        </w:rPr>
        <w:t>of principles</w:t>
      </w:r>
      <w:r w:rsidR="000371A9" w:rsidRPr="007B5BE6" w:rsidDel="00A2358D">
        <w:rPr>
          <w:rFonts w:eastAsia="Times"/>
        </w:rPr>
        <w:t xml:space="preserve"> </w:t>
      </w:r>
      <w:r w:rsidR="00A2358D" w:rsidRPr="007B5BE6">
        <w:rPr>
          <w:rFonts w:eastAsia="Times"/>
        </w:rPr>
        <w:t xml:space="preserve">to </w:t>
      </w:r>
      <w:r w:rsidR="000371A9" w:rsidRPr="007B5BE6">
        <w:rPr>
          <w:rFonts w:eastAsia="Times"/>
        </w:rPr>
        <w:t>guide and support</w:t>
      </w:r>
      <w:r w:rsidR="003F0E61" w:rsidRPr="007B5BE6">
        <w:rPr>
          <w:rFonts w:eastAsia="Times"/>
        </w:rPr>
        <w:t xml:space="preserve"> </w:t>
      </w:r>
      <w:r w:rsidR="00247B12" w:rsidRPr="007B5BE6">
        <w:rPr>
          <w:rFonts w:eastAsia="Times"/>
        </w:rPr>
        <w:t xml:space="preserve">community </w:t>
      </w:r>
      <w:r w:rsidR="003F0E61" w:rsidRPr="007B5BE6">
        <w:rPr>
          <w:rFonts w:eastAsia="Times"/>
        </w:rPr>
        <w:t xml:space="preserve">education </w:t>
      </w:r>
      <w:r w:rsidR="00247B12" w:rsidRPr="007B5BE6">
        <w:rPr>
          <w:rFonts w:eastAsia="Times"/>
        </w:rPr>
        <w:t xml:space="preserve">and training </w:t>
      </w:r>
      <w:r w:rsidR="003F0E61" w:rsidRPr="007B5BE6">
        <w:rPr>
          <w:rFonts w:eastAsia="Times"/>
        </w:rPr>
        <w:t xml:space="preserve">work of the safeguarding entity (as recommended in </w:t>
      </w:r>
      <w:r w:rsidR="003F0E61" w:rsidRPr="007B5BE6">
        <w:rPr>
          <w:rFonts w:eastAsia="Times"/>
          <w:b/>
          <w:bCs/>
        </w:rPr>
        <w:t xml:space="preserve">Recommendation </w:t>
      </w:r>
      <w:r w:rsidR="00B27D1C" w:rsidRPr="007B5BE6">
        <w:rPr>
          <w:rFonts w:eastAsia="Times"/>
          <w:b/>
          <w:bCs/>
        </w:rPr>
        <w:t>18</w:t>
      </w:r>
      <w:r w:rsidR="003F0E61" w:rsidRPr="007B5BE6">
        <w:rPr>
          <w:rFonts w:eastAsia="Times"/>
        </w:rPr>
        <w:t xml:space="preserve">), and other such </w:t>
      </w:r>
      <w:r w:rsidR="004F4F87" w:rsidRPr="007B5BE6">
        <w:rPr>
          <w:rFonts w:eastAsia="Times"/>
        </w:rPr>
        <w:t>awareness</w:t>
      </w:r>
      <w:r w:rsidR="00247B12" w:rsidRPr="007B5BE6">
        <w:rPr>
          <w:rFonts w:eastAsia="Times"/>
        </w:rPr>
        <w:t>-</w:t>
      </w:r>
      <w:r w:rsidR="004F4F87" w:rsidRPr="007B5BE6">
        <w:rPr>
          <w:rFonts w:eastAsia="Times"/>
        </w:rPr>
        <w:t xml:space="preserve">raising and capacity-building </w:t>
      </w:r>
      <w:r w:rsidR="003F0E61" w:rsidRPr="007B5BE6">
        <w:rPr>
          <w:rFonts w:eastAsia="Times"/>
        </w:rPr>
        <w:t xml:space="preserve">work by specialist agencies as part of the </w:t>
      </w:r>
      <w:r w:rsidR="00AD67D7" w:rsidRPr="007B5BE6">
        <w:rPr>
          <w:rFonts w:eastAsia="Times"/>
        </w:rPr>
        <w:t>service response</w:t>
      </w:r>
      <w:r w:rsidR="003F0E61" w:rsidRPr="007B5BE6">
        <w:rPr>
          <w:rFonts w:eastAsia="Times"/>
        </w:rPr>
        <w:t xml:space="preserve"> in Tasmania</w:t>
      </w:r>
      <w:r w:rsidR="00AD67D7" w:rsidRPr="007B5BE6">
        <w:rPr>
          <w:rFonts w:eastAsia="Times"/>
        </w:rPr>
        <w:t>, for example COTA Tasmania</w:t>
      </w:r>
      <w:r w:rsidR="004F4F87" w:rsidRPr="007B5BE6">
        <w:rPr>
          <w:rFonts w:eastAsia="Times"/>
        </w:rPr>
        <w:t>,</w:t>
      </w:r>
      <w:r w:rsidR="00AD67D7" w:rsidRPr="007B5BE6">
        <w:rPr>
          <w:rFonts w:eastAsia="Times"/>
        </w:rPr>
        <w:t xml:space="preserve"> Advocacy Tasmania</w:t>
      </w:r>
      <w:r w:rsidR="004F4F87" w:rsidRPr="007B5BE6">
        <w:rPr>
          <w:rFonts w:eastAsia="Times"/>
        </w:rPr>
        <w:t xml:space="preserve"> and the Migrant Resource Centre</w:t>
      </w:r>
      <w:r w:rsidR="00AD67D7" w:rsidRPr="007B5BE6">
        <w:rPr>
          <w:rFonts w:eastAsia="Times"/>
        </w:rPr>
        <w:t>.</w:t>
      </w:r>
      <w:r w:rsidR="003F0E61" w:rsidRPr="007B5BE6">
        <w:rPr>
          <w:rFonts w:eastAsia="Times"/>
        </w:rPr>
        <w:t xml:space="preserve"> </w:t>
      </w:r>
    </w:p>
    <w:p w14:paraId="5C801212" w14:textId="71317CE8" w:rsidR="00527F7B" w:rsidRPr="007B5BE6" w:rsidRDefault="00527F7B" w:rsidP="00527F7B">
      <w:pPr>
        <w:numPr>
          <w:ilvl w:val="2"/>
          <w:numId w:val="2"/>
        </w:numPr>
        <w:tabs>
          <w:tab w:val="left" w:pos="851"/>
        </w:tabs>
        <w:spacing w:before="220"/>
        <w:rPr>
          <w:rFonts w:eastAsia="Times" w:cs="Times New Roman"/>
          <w:szCs w:val="20"/>
        </w:rPr>
      </w:pPr>
      <w:r w:rsidRPr="007B5BE6">
        <w:rPr>
          <w:rFonts w:eastAsia="Times" w:cs="Times New Roman"/>
          <w:szCs w:val="20"/>
        </w:rPr>
        <w:t xml:space="preserve">The </w:t>
      </w:r>
      <w:r w:rsidR="004134FD" w:rsidRPr="007B5BE6">
        <w:rPr>
          <w:rFonts w:eastAsia="Times" w:cs="Times New Roman"/>
          <w:szCs w:val="20"/>
        </w:rPr>
        <w:t>ACT</w:t>
      </w:r>
      <w:r w:rsidRPr="007B5BE6">
        <w:rPr>
          <w:rFonts w:eastAsia="Times" w:cs="Times New Roman"/>
          <w:szCs w:val="20"/>
        </w:rPr>
        <w:t xml:space="preserve"> has an overarching approach to safeguarding</w:t>
      </w:r>
      <w:r w:rsidR="00A357B1" w:rsidRPr="007B5BE6">
        <w:rPr>
          <w:rFonts w:eastAsia="Times" w:cs="Times New Roman"/>
          <w:szCs w:val="20"/>
        </w:rPr>
        <w:t xml:space="preserve">, which </w:t>
      </w:r>
      <w:r w:rsidR="00185E04" w:rsidRPr="007B5BE6">
        <w:rPr>
          <w:rFonts w:eastAsia="Times" w:cs="Times New Roman"/>
          <w:szCs w:val="20"/>
        </w:rPr>
        <w:t xml:space="preserve">includes </w:t>
      </w:r>
      <w:r w:rsidR="00A357B1" w:rsidRPr="007B5BE6">
        <w:rPr>
          <w:rFonts w:eastAsia="Times" w:cs="Times New Roman"/>
          <w:szCs w:val="20"/>
        </w:rPr>
        <w:t xml:space="preserve">some </w:t>
      </w:r>
      <w:r w:rsidR="00185E04" w:rsidRPr="007B5BE6">
        <w:rPr>
          <w:rFonts w:eastAsia="Times" w:cs="Times New Roman"/>
          <w:szCs w:val="20"/>
        </w:rPr>
        <w:t>older adults</w:t>
      </w:r>
      <w:r w:rsidR="00A357B1" w:rsidRPr="007B5BE6">
        <w:rPr>
          <w:rFonts w:eastAsia="Times" w:cs="Times New Roman"/>
          <w:szCs w:val="20"/>
        </w:rPr>
        <w:t>,</w:t>
      </w:r>
      <w:r w:rsidRPr="007B5BE6">
        <w:rPr>
          <w:rFonts w:eastAsia="Times" w:cs="Times New Roman"/>
          <w:szCs w:val="20"/>
        </w:rPr>
        <w:t xml:space="preserve"> </w:t>
      </w:r>
      <w:r w:rsidR="00940C11" w:rsidRPr="007B5BE6">
        <w:rPr>
          <w:rFonts w:eastAsia="Times" w:cs="Times New Roman"/>
          <w:szCs w:val="20"/>
        </w:rPr>
        <w:t>within the context of</w:t>
      </w:r>
      <w:r w:rsidR="002A7EFB" w:rsidRPr="007B5BE6">
        <w:rPr>
          <w:rFonts w:eastAsia="Times" w:cs="Times New Roman"/>
          <w:szCs w:val="20"/>
        </w:rPr>
        <w:t xml:space="preserve"> </w:t>
      </w:r>
      <w:r w:rsidRPr="007B5BE6">
        <w:rPr>
          <w:rFonts w:eastAsia="Times" w:cs="Times New Roman"/>
          <w:szCs w:val="20"/>
        </w:rPr>
        <w:t xml:space="preserve">human rights </w:t>
      </w:r>
      <w:r w:rsidR="00940C11" w:rsidRPr="007B5BE6">
        <w:rPr>
          <w:rFonts w:eastAsia="Times" w:cs="Times New Roman"/>
          <w:szCs w:val="20"/>
        </w:rPr>
        <w:t xml:space="preserve">protection </w:t>
      </w:r>
      <w:r w:rsidRPr="007B5BE6">
        <w:rPr>
          <w:rFonts w:eastAsia="Times" w:cs="Times New Roman"/>
          <w:szCs w:val="20"/>
        </w:rPr>
        <w:t xml:space="preserve">under the </w:t>
      </w:r>
      <w:r w:rsidRPr="007B5BE6">
        <w:rPr>
          <w:rFonts w:eastAsia="Times" w:cs="Times New Roman"/>
          <w:i/>
          <w:iCs/>
          <w:szCs w:val="20"/>
        </w:rPr>
        <w:t>Human Rights Act 2004</w:t>
      </w:r>
      <w:r w:rsidRPr="007B5BE6">
        <w:rPr>
          <w:rFonts w:eastAsia="Times" w:cs="Times New Roman"/>
          <w:szCs w:val="20"/>
        </w:rPr>
        <w:t xml:space="preserve"> (ACT).  </w:t>
      </w:r>
      <w:r w:rsidR="00940C11" w:rsidRPr="007B5BE6">
        <w:rPr>
          <w:rFonts w:eastAsia="Times" w:cs="Times New Roman"/>
          <w:szCs w:val="20"/>
        </w:rPr>
        <w:t xml:space="preserve">Under the </w:t>
      </w:r>
      <w:r w:rsidR="00940C11" w:rsidRPr="007B5BE6">
        <w:rPr>
          <w:rFonts w:eastAsia="Times" w:cs="Times New Roman"/>
          <w:i/>
          <w:iCs/>
          <w:szCs w:val="20"/>
        </w:rPr>
        <w:t>Human Rights Commission Act 2005</w:t>
      </w:r>
      <w:r w:rsidR="00940C11" w:rsidRPr="007B5BE6">
        <w:rPr>
          <w:rFonts w:eastAsia="Times" w:cs="Times New Roman"/>
          <w:szCs w:val="20"/>
        </w:rPr>
        <w:t xml:space="preserve"> (ACT)</w:t>
      </w:r>
      <w:r w:rsidR="00185E04" w:rsidRPr="007B5BE6">
        <w:rPr>
          <w:rFonts w:eastAsia="Times" w:cs="Times New Roman"/>
          <w:szCs w:val="20"/>
        </w:rPr>
        <w:t>, a</w:t>
      </w:r>
      <w:r w:rsidRPr="007B5BE6">
        <w:rPr>
          <w:rFonts w:eastAsia="Times" w:cs="Times New Roman"/>
          <w:szCs w:val="20"/>
        </w:rPr>
        <w:t xml:space="preserve"> vulnerable person is defined as </w:t>
      </w:r>
      <w:r w:rsidR="00AC3B12" w:rsidRPr="007B5BE6">
        <w:rPr>
          <w:rFonts w:eastAsia="Times" w:cs="Times New Roman"/>
          <w:szCs w:val="20"/>
        </w:rPr>
        <w:t>an adult who</w:t>
      </w:r>
      <w:r w:rsidRPr="007B5BE6">
        <w:rPr>
          <w:rFonts w:eastAsia="Times" w:cs="Times New Roman"/>
          <w:szCs w:val="20"/>
        </w:rPr>
        <w:t xml:space="preserve"> is </w:t>
      </w:r>
      <w:r w:rsidR="007A4040" w:rsidRPr="007B5BE6">
        <w:rPr>
          <w:rFonts w:eastAsia="Times" w:cs="Times New Roman"/>
          <w:szCs w:val="20"/>
        </w:rPr>
        <w:t>at least 60 years old and has a disorder, illness or disease that affects thought processes, perception of reality, emotions or judgment or otherwise results in disturbed behaviour, or has an impairment that is intellectual, psychiatric, sensory or physical in nature and results in substantially reduced capacity of the person for communication, learning or mobility, or for any other reason is socially isolated or unable to participate in the life of the person’s community</w:t>
      </w:r>
      <w:r w:rsidR="00150938" w:rsidRPr="007B5BE6">
        <w:rPr>
          <w:rFonts w:eastAsia="Times" w:cs="Times New Roman"/>
          <w:szCs w:val="20"/>
        </w:rPr>
        <w:t xml:space="preserve">. Further, it includes an </w:t>
      </w:r>
      <w:r w:rsidR="00AC3B12" w:rsidRPr="007B5BE6">
        <w:rPr>
          <w:rFonts w:eastAsia="Times" w:cs="Times New Roman"/>
          <w:szCs w:val="20"/>
        </w:rPr>
        <w:t xml:space="preserve">adult with a </w:t>
      </w:r>
      <w:r w:rsidRPr="007B5BE6">
        <w:rPr>
          <w:rFonts w:eastAsia="Times" w:cs="Times New Roman"/>
          <w:szCs w:val="20"/>
        </w:rPr>
        <w:t xml:space="preserve">disability, which </w:t>
      </w:r>
      <w:r w:rsidRPr="007B5BE6">
        <w:rPr>
          <w:rFonts w:eastAsia="Times" w:cs="Times New Roman"/>
          <w:szCs w:val="20"/>
        </w:rPr>
        <w:lastRenderedPageBreak/>
        <w:t xml:space="preserve">includes an intellectual, </w:t>
      </w:r>
      <w:r w:rsidR="00DE07E4" w:rsidRPr="007B5BE6">
        <w:rPr>
          <w:rFonts w:eastAsia="Times" w:cs="Times New Roman"/>
          <w:szCs w:val="20"/>
        </w:rPr>
        <w:t xml:space="preserve">psychiatric, </w:t>
      </w:r>
      <w:r w:rsidRPr="007B5BE6">
        <w:rPr>
          <w:rFonts w:eastAsia="Times" w:cs="Times New Roman"/>
          <w:szCs w:val="20"/>
        </w:rPr>
        <w:t>sensory or</w:t>
      </w:r>
      <w:r w:rsidR="00DE07E4" w:rsidRPr="007B5BE6">
        <w:rPr>
          <w:rFonts w:eastAsia="Times" w:cs="Times New Roman"/>
          <w:szCs w:val="20"/>
        </w:rPr>
        <w:t xml:space="preserve"> physical</w:t>
      </w:r>
      <w:r w:rsidRPr="007B5BE6">
        <w:rPr>
          <w:rFonts w:eastAsia="Times" w:cs="Times New Roman"/>
          <w:szCs w:val="20"/>
        </w:rPr>
        <w:t xml:space="preserve"> impairment</w:t>
      </w:r>
      <w:r w:rsidR="00DE07E4" w:rsidRPr="007B5BE6">
        <w:rPr>
          <w:rFonts w:eastAsia="Times" w:cs="Times New Roman"/>
          <w:szCs w:val="20"/>
        </w:rPr>
        <w:t>, or a combination of those impairments</w:t>
      </w:r>
      <w:r w:rsidRPr="007B5BE6">
        <w:rPr>
          <w:rFonts w:eastAsia="Times" w:cs="Times New Roman"/>
          <w:szCs w:val="20"/>
        </w:rPr>
        <w:t>.</w:t>
      </w:r>
      <w:r w:rsidR="00E67436" w:rsidRPr="007B5BE6">
        <w:rPr>
          <w:rStyle w:val="FootnoteReference"/>
          <w:rFonts w:eastAsia="Times" w:cs="Times New Roman"/>
          <w:szCs w:val="20"/>
        </w:rPr>
        <w:footnoteReference w:id="646"/>
      </w:r>
      <w:r w:rsidRPr="007B5BE6">
        <w:rPr>
          <w:rFonts w:eastAsia="Times" w:cs="Times New Roman"/>
          <w:szCs w:val="20"/>
        </w:rPr>
        <w:t xml:space="preserve"> </w:t>
      </w:r>
    </w:p>
    <w:p w14:paraId="0A0C914E" w14:textId="25E9820F" w:rsidR="00F206A3" w:rsidRPr="007B5BE6" w:rsidRDefault="00A357B1" w:rsidP="00F206A3">
      <w:pPr>
        <w:numPr>
          <w:ilvl w:val="2"/>
          <w:numId w:val="2"/>
        </w:numPr>
        <w:tabs>
          <w:tab w:val="left" w:pos="851"/>
        </w:tabs>
        <w:spacing w:before="220"/>
        <w:rPr>
          <w:rFonts w:eastAsia="Times" w:cs="Times New Roman"/>
          <w:szCs w:val="20"/>
        </w:rPr>
      </w:pPr>
      <w:r w:rsidRPr="007B5BE6">
        <w:rPr>
          <w:rFonts w:eastAsia="Times" w:cs="Times New Roman"/>
          <w:szCs w:val="20"/>
        </w:rPr>
        <w:t>Further, t</w:t>
      </w:r>
      <w:r w:rsidR="00F206A3" w:rsidRPr="007B5BE6">
        <w:rPr>
          <w:rFonts w:eastAsia="Times" w:cs="Times New Roman"/>
          <w:szCs w:val="20"/>
        </w:rPr>
        <w:t xml:space="preserve">he </w:t>
      </w:r>
      <w:r w:rsidR="00F206A3" w:rsidRPr="007B5BE6">
        <w:rPr>
          <w:rFonts w:eastAsia="Times" w:cs="Times New Roman"/>
          <w:i/>
          <w:iCs/>
          <w:szCs w:val="20"/>
        </w:rPr>
        <w:t>Human Rights Commission Act 2005</w:t>
      </w:r>
      <w:r w:rsidR="00F206A3" w:rsidRPr="007B5BE6">
        <w:rPr>
          <w:rFonts w:eastAsia="Times" w:cs="Times New Roman"/>
          <w:szCs w:val="20"/>
        </w:rPr>
        <w:t xml:space="preserve"> (ACT) confers a range of powers on the Human Rights Commission focused on safeguarding older adults</w:t>
      </w:r>
      <w:r w:rsidR="002A7EFB" w:rsidRPr="007B5BE6">
        <w:rPr>
          <w:rFonts w:eastAsia="Times" w:cs="Times New Roman"/>
          <w:szCs w:val="20"/>
        </w:rPr>
        <w:t xml:space="preserve"> </w:t>
      </w:r>
      <w:r w:rsidRPr="007B5BE6">
        <w:rPr>
          <w:rFonts w:eastAsia="Times" w:cs="Times New Roman"/>
          <w:szCs w:val="20"/>
        </w:rPr>
        <w:t>regarding</w:t>
      </w:r>
      <w:r w:rsidR="0063087E" w:rsidRPr="007B5BE6">
        <w:rPr>
          <w:rFonts w:eastAsia="Times" w:cs="Times New Roman"/>
          <w:szCs w:val="20"/>
        </w:rPr>
        <w:t>:</w:t>
      </w:r>
      <w:r w:rsidR="00E67436" w:rsidRPr="007B5BE6">
        <w:rPr>
          <w:rStyle w:val="FootnoteReference"/>
          <w:rFonts w:eastAsia="Times" w:cs="Times New Roman"/>
          <w:szCs w:val="20"/>
        </w:rPr>
        <w:footnoteReference w:id="647"/>
      </w:r>
    </w:p>
    <w:p w14:paraId="1F2F1310" w14:textId="5B5C7762" w:rsidR="00F206A3" w:rsidRPr="007B5BE6" w:rsidRDefault="00F206A3" w:rsidP="00A1397E">
      <w:pPr>
        <w:pStyle w:val="DotPointTLRI"/>
      </w:pPr>
      <w:r w:rsidRPr="007B5BE6">
        <w:t>Complaints about a service for older peopl</w:t>
      </w:r>
      <w:r w:rsidR="00FF5D1C" w:rsidRPr="007B5BE6">
        <w:t>e—w</w:t>
      </w:r>
      <w:r w:rsidRPr="007B5BE6">
        <w:t>here the service provider has acted inconsistently with either the Home and Community Care National Service Standards</w:t>
      </w:r>
      <w:r w:rsidR="003C11C0" w:rsidRPr="007B5BE6">
        <w:t>,</w:t>
      </w:r>
      <w:r w:rsidRPr="007B5BE6">
        <w:t xml:space="preserve"> the generally accepted standard of service delivery </w:t>
      </w:r>
      <w:r w:rsidR="00611829" w:rsidRPr="007B5BE6">
        <w:t>expected of a</w:t>
      </w:r>
      <w:r w:rsidRPr="007B5BE6">
        <w:t xml:space="preserve"> provider of the kind of service</w:t>
      </w:r>
      <w:r w:rsidR="00FF5D1C" w:rsidRPr="007B5BE6">
        <w:t xml:space="preserve"> to which the complaint relates</w:t>
      </w:r>
      <w:r w:rsidR="003C11C0" w:rsidRPr="007B5BE6">
        <w:t>,</w:t>
      </w:r>
      <w:r w:rsidRPr="007B5BE6">
        <w:t xml:space="preserve"> the </w:t>
      </w:r>
      <w:r w:rsidRPr="007B5BE6">
        <w:rPr>
          <w:i/>
          <w:iCs/>
        </w:rPr>
        <w:t>Retirement Villages Act 2012</w:t>
      </w:r>
      <w:r w:rsidRPr="007B5BE6">
        <w:t xml:space="preserve"> (ACT)</w:t>
      </w:r>
      <w:r w:rsidR="003C11C0" w:rsidRPr="007B5BE6">
        <w:t>,</w:t>
      </w:r>
      <w:r w:rsidRPr="007B5BE6">
        <w:t xml:space="preserve"> or any other regulatory standards. A complaint may also be made where </w:t>
      </w:r>
      <w:r w:rsidR="00D653EE" w:rsidRPr="007B5BE6">
        <w:t>the</w:t>
      </w:r>
      <w:r w:rsidRPr="007B5BE6">
        <w:t xml:space="preserve"> service is not being provided</w:t>
      </w:r>
      <w:r w:rsidR="00D653EE" w:rsidRPr="007B5BE6">
        <w:t xml:space="preserve">, or </w:t>
      </w:r>
      <w:r w:rsidR="0078708F" w:rsidRPr="007B5BE6">
        <w:t xml:space="preserve">where the service is </w:t>
      </w:r>
      <w:r w:rsidR="00D653EE" w:rsidRPr="007B5BE6">
        <w:t>not being provided appropriately</w:t>
      </w:r>
      <w:r w:rsidRPr="007B5BE6">
        <w:t>.</w:t>
      </w:r>
      <w:r w:rsidR="00D74D86" w:rsidRPr="007B5BE6">
        <w:rPr>
          <w:rStyle w:val="FootnoteReference"/>
        </w:rPr>
        <w:footnoteReference w:id="648"/>
      </w:r>
      <w:r w:rsidRPr="007B5BE6">
        <w:t xml:space="preserve"> </w:t>
      </w:r>
    </w:p>
    <w:p w14:paraId="18A2B8E9" w14:textId="6163ED0E" w:rsidR="00F206A3" w:rsidRPr="007B5BE6" w:rsidRDefault="00F206A3" w:rsidP="00DA30B3">
      <w:pPr>
        <w:pStyle w:val="DotPointTLRI"/>
        <w:rPr>
          <w:rFonts w:eastAsia="Times"/>
          <w:szCs w:val="20"/>
        </w:rPr>
      </w:pPr>
      <w:r w:rsidRPr="007B5BE6">
        <w:t>Complaints about the treatment of vulnerable peopl</w:t>
      </w:r>
      <w:r w:rsidR="0078708F" w:rsidRPr="007B5BE6">
        <w:t>e—</w:t>
      </w:r>
      <w:r w:rsidRPr="007B5BE6">
        <w:t xml:space="preserve">if </w:t>
      </w:r>
      <w:r w:rsidR="0078708F" w:rsidRPr="007B5BE6">
        <w:t>a</w:t>
      </w:r>
      <w:r w:rsidRPr="007B5BE6">
        <w:t xml:space="preserve"> person believes</w:t>
      </w:r>
      <w:r w:rsidR="0078708F" w:rsidRPr="007B5BE6">
        <w:t>,</w:t>
      </w:r>
      <w:r w:rsidRPr="007B5BE6">
        <w:t xml:space="preserve"> on reasonable grounds</w:t>
      </w:r>
      <w:r w:rsidR="0078708F" w:rsidRPr="007B5BE6">
        <w:t>,</w:t>
      </w:r>
      <w:r w:rsidRPr="007B5BE6">
        <w:t xml:space="preserve"> that the vulnerable person is subject to</w:t>
      </w:r>
      <w:r w:rsidR="0078708F" w:rsidRPr="007B5BE6">
        <w:t>,</w:t>
      </w:r>
      <w:r w:rsidRPr="007B5BE6">
        <w:t xml:space="preserve"> or at risk of</w:t>
      </w:r>
      <w:r w:rsidR="0078708F" w:rsidRPr="007B5BE6">
        <w:t>,</w:t>
      </w:r>
      <w:r w:rsidRPr="007B5BE6">
        <w:t xml:space="preserve"> abuse, neglect or exploitation of a vulnerable person.</w:t>
      </w:r>
      <w:r w:rsidR="00D74D86" w:rsidRPr="007B5BE6">
        <w:rPr>
          <w:rStyle w:val="FootnoteReference"/>
        </w:rPr>
        <w:footnoteReference w:id="649"/>
      </w:r>
      <w:r w:rsidRPr="007B5BE6">
        <w:t xml:space="preserve"> </w:t>
      </w:r>
    </w:p>
    <w:p w14:paraId="17D9123C" w14:textId="6AD0E79D" w:rsidR="00E16A1B" w:rsidRPr="007B5BE6" w:rsidRDefault="00B97F7C" w:rsidP="00B5794A">
      <w:pPr>
        <w:numPr>
          <w:ilvl w:val="2"/>
          <w:numId w:val="2"/>
        </w:numPr>
        <w:tabs>
          <w:tab w:val="left" w:pos="851"/>
        </w:tabs>
        <w:spacing w:before="220"/>
        <w:rPr>
          <w:rFonts w:eastAsia="Times" w:cs="Times New Roman"/>
          <w:szCs w:val="20"/>
        </w:rPr>
      </w:pPr>
      <w:r w:rsidRPr="007B5BE6">
        <w:rPr>
          <w:rFonts w:eastAsia="Times" w:cs="Times New Roman"/>
          <w:szCs w:val="20"/>
        </w:rPr>
        <w:t>T</w:t>
      </w:r>
      <w:r w:rsidR="002A7EFB" w:rsidRPr="007B5BE6">
        <w:rPr>
          <w:rFonts w:eastAsia="Times" w:cs="Times New Roman"/>
          <w:szCs w:val="20"/>
        </w:rPr>
        <w:t xml:space="preserve">he </w:t>
      </w:r>
      <w:r w:rsidR="005C3497" w:rsidRPr="007B5BE6">
        <w:rPr>
          <w:rFonts w:eastAsia="Times" w:cs="Times New Roman"/>
          <w:szCs w:val="20"/>
        </w:rPr>
        <w:t xml:space="preserve">TLRI’s </w:t>
      </w:r>
      <w:r w:rsidR="006B617C" w:rsidRPr="007B5BE6">
        <w:rPr>
          <w:rFonts w:eastAsia="Times" w:cs="Times New Roman"/>
          <w:szCs w:val="20"/>
        </w:rPr>
        <w:t xml:space="preserve">model for an overarching approach to </w:t>
      </w:r>
      <w:r w:rsidR="002A7EFB" w:rsidRPr="007B5BE6">
        <w:rPr>
          <w:rFonts w:eastAsia="Times" w:cs="Times New Roman"/>
          <w:szCs w:val="20"/>
        </w:rPr>
        <w:t xml:space="preserve">safeguarding </w:t>
      </w:r>
      <w:r w:rsidR="006B617C" w:rsidRPr="007B5BE6">
        <w:rPr>
          <w:rFonts w:eastAsia="Times" w:cs="Times New Roman"/>
          <w:szCs w:val="20"/>
        </w:rPr>
        <w:t xml:space="preserve">for older people </w:t>
      </w:r>
      <w:r w:rsidR="005C3497" w:rsidRPr="007B5BE6">
        <w:rPr>
          <w:rFonts w:eastAsia="Times" w:cs="Times New Roman"/>
          <w:szCs w:val="20"/>
        </w:rPr>
        <w:t>through</w:t>
      </w:r>
      <w:r w:rsidR="002A7EFB" w:rsidRPr="007B5BE6">
        <w:rPr>
          <w:rFonts w:eastAsia="Times" w:cs="Times New Roman"/>
          <w:szCs w:val="20"/>
        </w:rPr>
        <w:t xml:space="preserve"> the cr</w:t>
      </w:r>
      <w:r w:rsidR="0014546D" w:rsidRPr="007B5BE6">
        <w:rPr>
          <w:rFonts w:eastAsia="Times" w:cs="Times New Roman"/>
          <w:szCs w:val="20"/>
        </w:rPr>
        <w:t>e</w:t>
      </w:r>
      <w:r w:rsidR="002A7EFB" w:rsidRPr="007B5BE6">
        <w:rPr>
          <w:rFonts w:eastAsia="Times" w:cs="Times New Roman"/>
          <w:szCs w:val="20"/>
        </w:rPr>
        <w:t>ation of</w:t>
      </w:r>
      <w:r w:rsidR="0014546D" w:rsidRPr="007B5BE6">
        <w:rPr>
          <w:rFonts w:eastAsia="Times" w:cs="Times New Roman"/>
          <w:szCs w:val="20"/>
        </w:rPr>
        <w:t xml:space="preserve"> </w:t>
      </w:r>
      <w:r w:rsidR="004C2F28" w:rsidRPr="007B5BE6">
        <w:rPr>
          <w:rFonts w:eastAsia="Times" w:cs="Times New Roman"/>
          <w:szCs w:val="20"/>
        </w:rPr>
        <w:t>a</w:t>
      </w:r>
      <w:r w:rsidR="0014546D" w:rsidRPr="007B5BE6">
        <w:rPr>
          <w:rFonts w:eastAsia="Times" w:cs="Times New Roman"/>
          <w:szCs w:val="20"/>
        </w:rPr>
        <w:t xml:space="preserve"> Commissioner </w:t>
      </w:r>
      <w:r w:rsidR="00061CB9" w:rsidRPr="007B5BE6">
        <w:rPr>
          <w:rFonts w:eastAsia="Times" w:cs="Times New Roman"/>
          <w:szCs w:val="20"/>
        </w:rPr>
        <w:t xml:space="preserve">for Older </w:t>
      </w:r>
      <w:r w:rsidR="00F774B0" w:rsidRPr="007B5BE6">
        <w:rPr>
          <w:rFonts w:eastAsia="Times" w:cs="Times New Roman"/>
          <w:szCs w:val="20"/>
        </w:rPr>
        <w:t>People</w:t>
      </w:r>
      <w:r w:rsidR="00061CB9" w:rsidRPr="007B5BE6">
        <w:rPr>
          <w:rFonts w:eastAsia="Times" w:cs="Times New Roman"/>
          <w:szCs w:val="20"/>
        </w:rPr>
        <w:t xml:space="preserve"> </w:t>
      </w:r>
      <w:r w:rsidR="005C3497" w:rsidRPr="007B5BE6">
        <w:rPr>
          <w:rFonts w:eastAsia="Times" w:cs="Times New Roman"/>
          <w:szCs w:val="20"/>
        </w:rPr>
        <w:t xml:space="preserve">role draws </w:t>
      </w:r>
      <w:r w:rsidR="0014546D" w:rsidRPr="007B5BE6">
        <w:rPr>
          <w:rFonts w:eastAsia="Times" w:cs="Times New Roman"/>
          <w:szCs w:val="20"/>
        </w:rPr>
        <w:t>on the approach</w:t>
      </w:r>
      <w:r w:rsidR="005C3497" w:rsidRPr="007B5BE6">
        <w:rPr>
          <w:rFonts w:eastAsia="Times" w:cs="Times New Roman"/>
          <w:szCs w:val="20"/>
        </w:rPr>
        <w:t>es</w:t>
      </w:r>
      <w:r w:rsidR="0014546D" w:rsidRPr="007B5BE6">
        <w:rPr>
          <w:rFonts w:eastAsia="Times" w:cs="Times New Roman"/>
          <w:szCs w:val="20"/>
        </w:rPr>
        <w:t xml:space="preserve"> in </w:t>
      </w:r>
      <w:r w:rsidR="005C3497" w:rsidRPr="007B5BE6">
        <w:rPr>
          <w:rFonts w:eastAsia="Times" w:cs="Times New Roman"/>
          <w:szCs w:val="20"/>
        </w:rPr>
        <w:t>NSW</w:t>
      </w:r>
      <w:r w:rsidR="0014546D" w:rsidRPr="007B5BE6">
        <w:rPr>
          <w:rFonts w:eastAsia="Times" w:cs="Times New Roman"/>
          <w:szCs w:val="20"/>
        </w:rPr>
        <w:t xml:space="preserve"> and </w:t>
      </w:r>
      <w:r w:rsidR="005C3497" w:rsidRPr="007B5BE6">
        <w:rPr>
          <w:rFonts w:eastAsia="Times" w:cs="Times New Roman"/>
          <w:szCs w:val="20"/>
        </w:rPr>
        <w:t>SA</w:t>
      </w:r>
      <w:r w:rsidRPr="007B5BE6">
        <w:rPr>
          <w:rFonts w:eastAsia="Times" w:cs="Times New Roman"/>
          <w:szCs w:val="20"/>
        </w:rPr>
        <w:t xml:space="preserve"> (as indicated throughout [4.5]</w:t>
      </w:r>
      <w:r w:rsidR="00A30B5E" w:rsidRPr="007B5BE6">
        <w:rPr>
          <w:rFonts w:eastAsia="Times" w:cs="Times New Roman"/>
          <w:szCs w:val="20"/>
        </w:rPr>
        <w:t xml:space="preserve">, </w:t>
      </w:r>
      <w:r w:rsidR="00057CEC" w:rsidRPr="007B5BE6">
        <w:rPr>
          <w:rFonts w:eastAsia="Times" w:cs="Times New Roman"/>
          <w:szCs w:val="20"/>
        </w:rPr>
        <w:t>notably</w:t>
      </w:r>
      <w:r w:rsidR="00A30B5E" w:rsidRPr="007B5BE6">
        <w:rPr>
          <w:rFonts w:eastAsia="Times" w:cs="Times New Roman"/>
          <w:szCs w:val="20"/>
        </w:rPr>
        <w:t xml:space="preserve"> [4.5.</w:t>
      </w:r>
      <w:r w:rsidR="00E53FC3" w:rsidRPr="007B5BE6">
        <w:rPr>
          <w:rFonts w:eastAsia="Times" w:cs="Times New Roman"/>
          <w:szCs w:val="20"/>
        </w:rPr>
        <w:t>9]</w:t>
      </w:r>
      <w:r w:rsidR="008B44BD" w:rsidRPr="007B5BE6">
        <w:rPr>
          <w:rFonts w:eastAsia="Times" w:cs="Times New Roman"/>
          <w:szCs w:val="20"/>
        </w:rPr>
        <w:t>–[4.5.51]</w:t>
      </w:r>
      <w:r w:rsidRPr="007B5BE6">
        <w:rPr>
          <w:rFonts w:eastAsia="Times" w:cs="Times New Roman"/>
          <w:szCs w:val="20"/>
        </w:rPr>
        <w:t>)</w:t>
      </w:r>
      <w:r w:rsidR="0014546D" w:rsidRPr="007B5BE6">
        <w:rPr>
          <w:rFonts w:eastAsia="Times" w:cs="Times New Roman"/>
          <w:szCs w:val="20"/>
        </w:rPr>
        <w:t xml:space="preserve">. </w:t>
      </w:r>
      <w:r w:rsidR="00B5794A" w:rsidRPr="007B5BE6">
        <w:rPr>
          <w:rFonts w:eastAsia="Times" w:cs="Times New Roman"/>
          <w:szCs w:val="20"/>
        </w:rPr>
        <w:t xml:space="preserve">However, </w:t>
      </w:r>
      <w:r w:rsidR="005C3497" w:rsidRPr="007B5BE6">
        <w:rPr>
          <w:rFonts w:eastAsia="Times" w:cs="Times New Roman"/>
          <w:szCs w:val="20"/>
        </w:rPr>
        <w:t xml:space="preserve">reflecting the concerns raised by </w:t>
      </w:r>
      <w:r w:rsidR="00403F65" w:rsidRPr="007B5BE6">
        <w:rPr>
          <w:rFonts w:eastAsia="Times" w:cs="Times New Roman"/>
          <w:szCs w:val="20"/>
        </w:rPr>
        <w:t>stakeholder</w:t>
      </w:r>
      <w:r w:rsidR="005C3497" w:rsidRPr="007B5BE6">
        <w:rPr>
          <w:rFonts w:eastAsia="Times" w:cs="Times New Roman"/>
          <w:szCs w:val="20"/>
        </w:rPr>
        <w:t>s in</w:t>
      </w:r>
      <w:r w:rsidR="00403F65" w:rsidRPr="007B5BE6">
        <w:rPr>
          <w:rFonts w:eastAsia="Times" w:cs="Times New Roman"/>
          <w:szCs w:val="20"/>
        </w:rPr>
        <w:t xml:space="preserve"> interviews</w:t>
      </w:r>
      <w:r w:rsidR="00E16A1B" w:rsidRPr="007B5BE6">
        <w:rPr>
          <w:rFonts w:eastAsia="Times" w:cs="Times New Roman"/>
          <w:szCs w:val="20"/>
        </w:rPr>
        <w:t xml:space="preserve"> and</w:t>
      </w:r>
      <w:r w:rsidR="005C3497" w:rsidRPr="007B5BE6">
        <w:rPr>
          <w:rFonts w:eastAsia="Times" w:cs="Times New Roman"/>
          <w:szCs w:val="20"/>
        </w:rPr>
        <w:t xml:space="preserve"> the TLRI’</w:t>
      </w:r>
      <w:r w:rsidR="00E16A1B" w:rsidRPr="007B5BE6">
        <w:rPr>
          <w:rFonts w:eastAsia="Times" w:cs="Times New Roman"/>
          <w:szCs w:val="20"/>
        </w:rPr>
        <w:t xml:space="preserve">s previous consideration of the issue, the TLRI reiterates its previous recommendations in relation to the enactment of human rights </w:t>
      </w:r>
      <w:r w:rsidR="00364FE0" w:rsidRPr="007B5BE6">
        <w:rPr>
          <w:rFonts w:eastAsia="Times" w:cs="Times New Roman"/>
          <w:szCs w:val="20"/>
        </w:rPr>
        <w:t>legislation.</w:t>
      </w:r>
      <w:r w:rsidR="00FF3550" w:rsidRPr="007B5BE6">
        <w:rPr>
          <w:rStyle w:val="FootnoteReference"/>
          <w:rFonts w:eastAsia="Times" w:cs="Times New Roman"/>
          <w:szCs w:val="20"/>
        </w:rPr>
        <w:footnoteReference w:id="650"/>
      </w:r>
      <w:r w:rsidR="00B5794A" w:rsidRPr="007B5BE6">
        <w:rPr>
          <w:rFonts w:eastAsia="Times" w:cs="Times New Roman"/>
          <w:szCs w:val="20"/>
        </w:rPr>
        <w:t xml:space="preserve"> </w:t>
      </w:r>
      <w:r w:rsidR="00E16A1B" w:rsidRPr="007B5BE6">
        <w:rPr>
          <w:rFonts w:eastAsia="Times" w:cs="Times New Roman"/>
          <w:szCs w:val="20"/>
        </w:rPr>
        <w:t xml:space="preserve">The TLRI notes that </w:t>
      </w:r>
      <w:r w:rsidR="00DD252C" w:rsidRPr="007B5BE6">
        <w:rPr>
          <w:rFonts w:eastAsia="Times" w:cs="Times New Roman"/>
          <w:szCs w:val="20"/>
        </w:rPr>
        <w:t xml:space="preserve">a </w:t>
      </w:r>
      <w:r w:rsidR="00E16A1B" w:rsidRPr="007B5BE6">
        <w:rPr>
          <w:rFonts w:eastAsia="Times" w:cs="Times New Roman"/>
          <w:szCs w:val="20"/>
        </w:rPr>
        <w:t xml:space="preserve">framework </w:t>
      </w:r>
      <w:r w:rsidR="00DD252C" w:rsidRPr="007B5BE6">
        <w:rPr>
          <w:rFonts w:eastAsia="Times" w:cs="Times New Roman"/>
          <w:szCs w:val="20"/>
        </w:rPr>
        <w:t>under</w:t>
      </w:r>
      <w:r w:rsidR="004B5D11" w:rsidRPr="007B5BE6">
        <w:rPr>
          <w:rFonts w:eastAsia="Times" w:cs="Times New Roman"/>
          <w:szCs w:val="20"/>
        </w:rPr>
        <w:t xml:space="preserve"> such legislation </w:t>
      </w:r>
      <w:r w:rsidR="00E16A1B" w:rsidRPr="007B5BE6">
        <w:rPr>
          <w:rFonts w:eastAsia="Times" w:cs="Times New Roman"/>
          <w:szCs w:val="20"/>
        </w:rPr>
        <w:t>is not specifically related to older pe</w:t>
      </w:r>
      <w:r w:rsidR="005C3497" w:rsidRPr="007B5BE6">
        <w:rPr>
          <w:rFonts w:eastAsia="Times" w:cs="Times New Roman"/>
          <w:szCs w:val="20"/>
        </w:rPr>
        <w:t xml:space="preserve">ople; </w:t>
      </w:r>
      <w:r w:rsidR="00DD252C" w:rsidRPr="007B5BE6">
        <w:rPr>
          <w:rFonts w:eastAsia="Times" w:cs="Times New Roman"/>
          <w:szCs w:val="20"/>
        </w:rPr>
        <w:t xml:space="preserve">rather, </w:t>
      </w:r>
      <w:r w:rsidR="005C3497" w:rsidRPr="007B5BE6">
        <w:rPr>
          <w:rFonts w:eastAsia="Times" w:cs="Times New Roman"/>
          <w:szCs w:val="20"/>
        </w:rPr>
        <w:t xml:space="preserve">it would </w:t>
      </w:r>
      <w:r w:rsidR="00E16A1B" w:rsidRPr="007B5BE6">
        <w:rPr>
          <w:rFonts w:eastAsia="Times" w:cs="Times New Roman"/>
          <w:szCs w:val="20"/>
        </w:rPr>
        <w:t xml:space="preserve">recognise the human rights for all people </w:t>
      </w:r>
      <w:r w:rsidR="00B5794A" w:rsidRPr="007B5BE6">
        <w:rPr>
          <w:rFonts w:eastAsia="Times" w:cs="Times New Roman"/>
          <w:szCs w:val="20"/>
        </w:rPr>
        <w:t xml:space="preserve">and </w:t>
      </w:r>
      <w:r w:rsidR="00E16A1B" w:rsidRPr="007B5BE6">
        <w:rPr>
          <w:rFonts w:eastAsia="Times" w:cs="Times New Roman"/>
          <w:szCs w:val="20"/>
        </w:rPr>
        <w:t>would bind ‘public authorities’</w:t>
      </w:r>
      <w:r w:rsidR="00E16A1B" w:rsidRPr="007B5BE6">
        <w:rPr>
          <w:rFonts w:eastAsia="Times New Roman" w:cs="Times New Roman"/>
        </w:rPr>
        <w:t xml:space="preserve">. </w:t>
      </w:r>
      <w:r w:rsidR="00E16A1B" w:rsidRPr="007B5BE6">
        <w:rPr>
          <w:rFonts w:eastAsia="Times" w:cs="Times New Roman"/>
          <w:szCs w:val="20"/>
        </w:rPr>
        <w:t>The TLRI’s recommend</w:t>
      </w:r>
      <w:r w:rsidR="004B5D11" w:rsidRPr="007B5BE6">
        <w:rPr>
          <w:rFonts w:eastAsia="Times" w:cs="Times New Roman"/>
          <w:szCs w:val="20"/>
        </w:rPr>
        <w:t xml:space="preserve">ations </w:t>
      </w:r>
      <w:r w:rsidR="00E16A1B" w:rsidRPr="007B5BE6">
        <w:rPr>
          <w:rFonts w:eastAsia="Times" w:cs="Times New Roman"/>
          <w:szCs w:val="20"/>
        </w:rPr>
        <w:t xml:space="preserve">would therefore provide an additional safeguard </w:t>
      </w:r>
      <w:r w:rsidR="00E70179" w:rsidRPr="007B5BE6">
        <w:rPr>
          <w:rFonts w:eastAsia="Times" w:cs="Times New Roman"/>
          <w:szCs w:val="20"/>
        </w:rPr>
        <w:t xml:space="preserve">in the development </w:t>
      </w:r>
      <w:r w:rsidR="00E16A1B" w:rsidRPr="007B5BE6">
        <w:rPr>
          <w:rFonts w:eastAsia="Times" w:cs="Times New Roman"/>
          <w:szCs w:val="20"/>
        </w:rPr>
        <w:t>and interpret</w:t>
      </w:r>
      <w:r w:rsidR="00E70179" w:rsidRPr="007B5BE6">
        <w:rPr>
          <w:rFonts w:eastAsia="Times" w:cs="Times New Roman"/>
          <w:szCs w:val="20"/>
        </w:rPr>
        <w:t>ation of laws</w:t>
      </w:r>
      <w:r w:rsidR="00E16A1B" w:rsidRPr="007B5BE6">
        <w:rPr>
          <w:rFonts w:eastAsia="Times" w:cs="Times New Roman"/>
          <w:szCs w:val="20"/>
        </w:rPr>
        <w:t>, as well as in administrative decision making to protect the human rights of older persons.</w:t>
      </w:r>
    </w:p>
    <w:p w14:paraId="635301A7" w14:textId="0E7A1F5F" w:rsidR="00A423B2" w:rsidRPr="007B5BE6" w:rsidRDefault="00DA30B3" w:rsidP="00DA30B3">
      <w:pPr>
        <w:pStyle w:val="NormalNumberedTextTLRI"/>
      </w:pPr>
      <w:r w:rsidRPr="007B5BE6">
        <w:t>Accordingly, t</w:t>
      </w:r>
      <w:r w:rsidR="007D43C5" w:rsidRPr="007B5BE6">
        <w:t>he TLRI reiterates its previous recommendation that ‘That the laws in Tasmania be reformed to provide and promote specific, better, and accessible protection for human rights through the enactment of a Tasmanian Charter of Human Rights or a Human Rights Act’ (Recommendation 1, 2024 Research Paper).</w:t>
      </w:r>
      <w:bookmarkStart w:id="596" w:name="_Toc161577822"/>
      <w:bookmarkStart w:id="597" w:name="_Toc161586523"/>
      <w:bookmarkStart w:id="598" w:name="_Toc161586941"/>
      <w:bookmarkEnd w:id="596"/>
      <w:bookmarkEnd w:id="597"/>
      <w:bookmarkEnd w:id="598"/>
      <w:r w:rsidR="00FE5CF9" w:rsidRPr="007B5BE6">
        <w:rPr>
          <w:rStyle w:val="FootnoteReference"/>
        </w:rPr>
        <w:footnoteReference w:id="651"/>
      </w:r>
    </w:p>
    <w:p w14:paraId="301EBDDA" w14:textId="77777777" w:rsidR="009E3200" w:rsidRPr="007B5BE6" w:rsidRDefault="009E3200" w:rsidP="005F7BEF">
      <w:pPr>
        <w:pStyle w:val="PartNoTLRI"/>
        <w:numPr>
          <w:ilvl w:val="0"/>
          <w:numId w:val="0"/>
        </w:numPr>
        <w:jc w:val="both"/>
        <w:sectPr w:rsidR="009E3200" w:rsidRPr="007B5BE6" w:rsidSect="003B4ABF">
          <w:headerReference w:type="default" r:id="rId32"/>
          <w:pgSz w:w="11906" w:h="16838"/>
          <w:pgMar w:top="1440" w:right="1440" w:bottom="1440" w:left="1440" w:header="708" w:footer="708" w:gutter="0"/>
          <w:cols w:space="708"/>
          <w:docGrid w:linePitch="360"/>
        </w:sectPr>
      </w:pPr>
    </w:p>
    <w:p w14:paraId="4EF1D275" w14:textId="77777777" w:rsidR="00E82086" w:rsidRPr="007B5BE6" w:rsidRDefault="00E82086" w:rsidP="00E82086">
      <w:pPr>
        <w:pStyle w:val="PartNoTLRI"/>
      </w:pPr>
      <w:bookmarkStart w:id="599" w:name="_Toc194525486"/>
      <w:bookmarkStart w:id="600" w:name="_Toc212561806"/>
      <w:bookmarkEnd w:id="599"/>
      <w:bookmarkEnd w:id="600"/>
    </w:p>
    <w:p w14:paraId="2E23BA6E" w14:textId="70A566C3" w:rsidR="00E82086" w:rsidRPr="007B5BE6" w:rsidRDefault="00FC48CB" w:rsidP="00E82086">
      <w:pPr>
        <w:pStyle w:val="PartHeadingTLRI"/>
      </w:pPr>
      <w:bookmarkStart w:id="601" w:name="_Toc212561807"/>
      <w:r w:rsidRPr="007B5BE6">
        <w:t>Reforms</w:t>
      </w:r>
      <w:r w:rsidR="003E5D62" w:rsidRPr="007B5BE6">
        <w:t xml:space="preserve"> to</w:t>
      </w:r>
      <w:r w:rsidR="004246CA" w:rsidRPr="007B5BE6">
        <w:t xml:space="preserve"> </w:t>
      </w:r>
      <w:r w:rsidR="00283618" w:rsidRPr="007B5BE6">
        <w:t>E</w:t>
      </w:r>
      <w:r w:rsidR="003E5D62" w:rsidRPr="007B5BE6">
        <w:t xml:space="preserve">xisting </w:t>
      </w:r>
      <w:r w:rsidR="00283618" w:rsidRPr="007B5BE6">
        <w:t>L</w:t>
      </w:r>
      <w:r w:rsidR="00F62C12" w:rsidRPr="007B5BE6">
        <w:t xml:space="preserve">aws </w:t>
      </w:r>
      <w:r w:rsidR="001C6A58" w:rsidRPr="007B5BE6">
        <w:t>for</w:t>
      </w:r>
      <w:r w:rsidR="00F62C12" w:rsidRPr="007B5BE6">
        <w:t xml:space="preserve"> </w:t>
      </w:r>
      <w:r w:rsidR="00283618" w:rsidRPr="007B5BE6">
        <w:t>S</w:t>
      </w:r>
      <w:r w:rsidR="00E82086" w:rsidRPr="007B5BE6">
        <w:t xml:space="preserve">afeguarding </w:t>
      </w:r>
      <w:r w:rsidR="00283618" w:rsidRPr="007B5BE6">
        <w:t>A</w:t>
      </w:r>
      <w:r w:rsidR="00E82086" w:rsidRPr="007B5BE6">
        <w:t xml:space="preserve">gainst the </w:t>
      </w:r>
      <w:r w:rsidR="00283618" w:rsidRPr="007B5BE6">
        <w:t>A</w:t>
      </w:r>
      <w:r w:rsidR="00E82086" w:rsidRPr="007B5BE6">
        <w:t xml:space="preserve">buse of </w:t>
      </w:r>
      <w:r w:rsidR="00283618" w:rsidRPr="007B5BE6">
        <w:t>O</w:t>
      </w:r>
      <w:r w:rsidR="00E82086" w:rsidRPr="007B5BE6">
        <w:t>lder Tasmanians</w:t>
      </w:r>
      <w:bookmarkEnd w:id="601"/>
      <w:r w:rsidR="00E82086" w:rsidRPr="007B5BE6">
        <w:t xml:space="preserve"> </w:t>
      </w:r>
    </w:p>
    <w:p w14:paraId="2BB3E554" w14:textId="77777777" w:rsidR="00E82086" w:rsidRPr="007B5BE6" w:rsidRDefault="00E82086" w:rsidP="00744D17">
      <w:pPr>
        <w:pStyle w:val="NumberedHeadingTLRI"/>
      </w:pPr>
      <w:bookmarkStart w:id="602" w:name="_Toc212561808"/>
      <w:r w:rsidRPr="007B5BE6">
        <w:t>Introduction</w:t>
      </w:r>
      <w:bookmarkEnd w:id="602"/>
      <w:r w:rsidRPr="007B5BE6">
        <w:t xml:space="preserve"> </w:t>
      </w:r>
    </w:p>
    <w:p w14:paraId="46997907" w14:textId="3BF0C68E" w:rsidR="00D27F16" w:rsidRPr="007B5BE6" w:rsidRDefault="00494C1F" w:rsidP="00524567">
      <w:pPr>
        <w:pStyle w:val="NormalNumberedTextTLRI"/>
      </w:pPr>
      <w:bookmarkStart w:id="603" w:name="_Toc194525490"/>
      <w:bookmarkStart w:id="604" w:name="_Toc194525491"/>
      <w:bookmarkEnd w:id="603"/>
      <w:bookmarkEnd w:id="604"/>
      <w:r w:rsidRPr="007B5BE6">
        <w:rPr>
          <w:b/>
          <w:bCs/>
        </w:rPr>
        <w:t>Part 5</w:t>
      </w:r>
      <w:r w:rsidRPr="007B5BE6">
        <w:t xml:space="preserve"> presents the TLRI’s views and recommendations </w:t>
      </w:r>
      <w:r w:rsidR="009E6C14" w:rsidRPr="007B5BE6">
        <w:t xml:space="preserve">for </w:t>
      </w:r>
      <w:r w:rsidRPr="007B5BE6">
        <w:t>reforms address</w:t>
      </w:r>
      <w:r w:rsidR="009E6C14" w:rsidRPr="007B5BE6">
        <w:t>ing</w:t>
      </w:r>
      <w:r w:rsidRPr="007B5BE6">
        <w:t xml:space="preserve"> the issues identified in existing Tasmanian laws </w:t>
      </w:r>
      <w:r w:rsidR="00DF5433" w:rsidRPr="007B5BE6">
        <w:t xml:space="preserve">that </w:t>
      </w:r>
      <w:r w:rsidR="009E507B" w:rsidRPr="007B5BE6">
        <w:t xml:space="preserve">form </w:t>
      </w:r>
      <w:r w:rsidRPr="007B5BE6">
        <w:t>part of</w:t>
      </w:r>
      <w:r w:rsidR="00342EE9" w:rsidRPr="007B5BE6">
        <w:t xml:space="preserve"> the</w:t>
      </w:r>
      <w:r w:rsidRPr="007B5BE6">
        <w:t xml:space="preserve"> current legal framework for responding to </w:t>
      </w:r>
      <w:r w:rsidR="00342EE9" w:rsidRPr="007B5BE6">
        <w:t xml:space="preserve">the </w:t>
      </w:r>
      <w:r w:rsidRPr="007B5BE6">
        <w:t>abuse of older Tasmanians</w:t>
      </w:r>
      <w:r w:rsidR="001E5307" w:rsidRPr="007B5BE6">
        <w:t xml:space="preserve">. </w:t>
      </w:r>
      <w:r w:rsidR="00342EE9" w:rsidRPr="007B5BE6">
        <w:t>This includes</w:t>
      </w:r>
      <w:r w:rsidR="005263F7" w:rsidRPr="007B5BE6">
        <w:t xml:space="preserve"> </w:t>
      </w:r>
      <w:r w:rsidR="00D27F16" w:rsidRPr="007B5BE6">
        <w:t>consider</w:t>
      </w:r>
      <w:r w:rsidR="00342EE9" w:rsidRPr="007B5BE6">
        <w:t>ation of</w:t>
      </w:r>
      <w:r w:rsidR="00D27F16" w:rsidRPr="007B5BE6">
        <w:t xml:space="preserve"> reform to the following areas:</w:t>
      </w:r>
    </w:p>
    <w:p w14:paraId="523E074A" w14:textId="08F763A8" w:rsidR="00D86F5E" w:rsidRPr="007B5BE6" w:rsidRDefault="00DA0FDC" w:rsidP="00D86F5E">
      <w:pPr>
        <w:pStyle w:val="DotPointTLRI"/>
      </w:pPr>
      <w:r w:rsidRPr="007B5BE6">
        <w:t>c</w:t>
      </w:r>
      <w:r w:rsidR="00D86F5E" w:rsidRPr="007B5BE6">
        <w:t>ivil protection orders</w:t>
      </w:r>
      <w:r w:rsidRPr="007B5BE6">
        <w:t>;</w:t>
      </w:r>
    </w:p>
    <w:p w14:paraId="67FDC4D7" w14:textId="299CF04E" w:rsidR="00D86F5E" w:rsidRPr="007B5BE6" w:rsidRDefault="00DA0FDC" w:rsidP="00D86F5E">
      <w:pPr>
        <w:pStyle w:val="DotPointTLRI"/>
      </w:pPr>
      <w:r w:rsidRPr="007B5BE6">
        <w:t>c</w:t>
      </w:r>
      <w:r w:rsidR="00B23D25" w:rsidRPr="007B5BE6">
        <w:t>riminal</w:t>
      </w:r>
      <w:r w:rsidR="00D86F5E" w:rsidRPr="007B5BE6">
        <w:t xml:space="preserve"> offences</w:t>
      </w:r>
      <w:r w:rsidR="00665074" w:rsidRPr="007B5BE6">
        <w:t xml:space="preserve"> under the general criminal law</w:t>
      </w:r>
      <w:r w:rsidRPr="007B5BE6">
        <w:t>;</w:t>
      </w:r>
    </w:p>
    <w:p w14:paraId="234B2BD3" w14:textId="757DA324" w:rsidR="00B23D25" w:rsidRPr="007B5BE6" w:rsidRDefault="00DA0FDC" w:rsidP="00D86F5E">
      <w:pPr>
        <w:pStyle w:val="DotPointTLRI"/>
      </w:pPr>
      <w:r w:rsidRPr="007B5BE6">
        <w:t>p</w:t>
      </w:r>
      <w:r w:rsidR="00F8657D" w:rsidRPr="007B5BE6">
        <w:t>owers of attorney</w:t>
      </w:r>
      <w:r w:rsidR="009E2CFE" w:rsidRPr="007B5BE6">
        <w:t>,</w:t>
      </w:r>
      <w:r w:rsidR="005A185D" w:rsidRPr="007B5BE6">
        <w:t xml:space="preserve"> </w:t>
      </w:r>
      <w:r w:rsidR="00F8657D" w:rsidRPr="007B5BE6">
        <w:t>guardianship</w:t>
      </w:r>
      <w:r w:rsidR="009E2CFE" w:rsidRPr="007B5BE6">
        <w:t xml:space="preserve"> and administration</w:t>
      </w:r>
      <w:r w:rsidRPr="007B5BE6">
        <w:t>;</w:t>
      </w:r>
    </w:p>
    <w:p w14:paraId="60034738" w14:textId="47EB2924" w:rsidR="00F8657D" w:rsidRPr="007B5BE6" w:rsidRDefault="00DA0FDC" w:rsidP="00D86F5E">
      <w:pPr>
        <w:pStyle w:val="DotPointTLRI"/>
      </w:pPr>
      <w:r w:rsidRPr="007B5BE6">
        <w:t>c</w:t>
      </w:r>
      <w:r w:rsidR="00CC1EB8" w:rsidRPr="007B5BE6">
        <w:t>ommon law and equity</w:t>
      </w:r>
      <w:r w:rsidRPr="007B5BE6">
        <w:t>; and</w:t>
      </w:r>
    </w:p>
    <w:p w14:paraId="5510B209" w14:textId="1EFE0AC8" w:rsidR="000D6F8F" w:rsidRPr="007B5BE6" w:rsidRDefault="00DA0FDC" w:rsidP="00A440F7">
      <w:pPr>
        <w:pStyle w:val="DotPointTLRI"/>
      </w:pPr>
      <w:r w:rsidRPr="007B5BE6">
        <w:t>i</w:t>
      </w:r>
      <w:r w:rsidR="00661D2E" w:rsidRPr="007B5BE6">
        <w:t>nvestigation</w:t>
      </w:r>
      <w:r w:rsidR="008B4DB8" w:rsidRPr="007B5BE6">
        <w:t>,</w:t>
      </w:r>
      <w:r w:rsidR="00661D2E" w:rsidRPr="007B5BE6">
        <w:t xml:space="preserve"> </w:t>
      </w:r>
      <w:r w:rsidR="00BC530F" w:rsidRPr="007B5BE6">
        <w:t>law enforcement</w:t>
      </w:r>
      <w:r w:rsidR="008B4DB8" w:rsidRPr="007B5BE6">
        <w:t xml:space="preserve"> and the experiences of older people in the justice system</w:t>
      </w:r>
      <w:r w:rsidR="00665A9B" w:rsidRPr="007B5BE6">
        <w:t>.</w:t>
      </w:r>
    </w:p>
    <w:p w14:paraId="49D41CF9" w14:textId="77777777" w:rsidR="002D15D1" w:rsidRPr="007B5BE6" w:rsidRDefault="002D15D1" w:rsidP="00744D17">
      <w:pPr>
        <w:pStyle w:val="NumberedHeadingTLRI"/>
      </w:pPr>
      <w:bookmarkStart w:id="605" w:name="_Toc212561809"/>
      <w:r w:rsidRPr="007B5BE6">
        <w:t>Civil protection order framework: specialised restraint orders focused on abuse of older people</w:t>
      </w:r>
      <w:bookmarkEnd w:id="605"/>
    </w:p>
    <w:p w14:paraId="20FC085B" w14:textId="3AEC58ED" w:rsidR="001148D1" w:rsidRPr="007B5BE6" w:rsidRDefault="002D15D1" w:rsidP="00DC2CA2">
      <w:pPr>
        <w:pStyle w:val="NormalNumberedTextTLRI"/>
      </w:pPr>
      <w:r w:rsidRPr="007B5BE6">
        <w:t xml:space="preserve">The TLRI has considered the adequacy of Tasmanian laws </w:t>
      </w:r>
      <w:r w:rsidR="004C2592" w:rsidRPr="007B5BE6">
        <w:t xml:space="preserve">that currently exist </w:t>
      </w:r>
      <w:r w:rsidR="00452DC5" w:rsidRPr="007B5BE6">
        <w:t>relevant to</w:t>
      </w:r>
      <w:r w:rsidRPr="007B5BE6">
        <w:t xml:space="preserve"> civil protection orders as a response to </w:t>
      </w:r>
      <w:r w:rsidR="00452DC5" w:rsidRPr="007B5BE6">
        <w:t xml:space="preserve">the </w:t>
      </w:r>
      <w:r w:rsidRPr="007B5BE6">
        <w:t xml:space="preserve">abuse of older people. This includes consideration of </w:t>
      </w:r>
      <w:r w:rsidR="00E004C0" w:rsidRPr="007B5BE6">
        <w:t xml:space="preserve">reform to </w:t>
      </w:r>
      <w:r w:rsidRPr="007B5BE6">
        <w:t xml:space="preserve">expand the availability of family violence orders under the </w:t>
      </w:r>
      <w:r w:rsidRPr="007B5BE6">
        <w:rPr>
          <w:i/>
          <w:iCs/>
        </w:rPr>
        <w:t xml:space="preserve">Family Violence Act 2004 </w:t>
      </w:r>
      <w:r w:rsidRPr="007B5BE6">
        <w:t xml:space="preserve">(Tas) and/or reforms </w:t>
      </w:r>
      <w:r w:rsidR="007249A5" w:rsidRPr="007B5BE6">
        <w:t xml:space="preserve">to </w:t>
      </w:r>
      <w:r w:rsidR="00E004C0" w:rsidRPr="007B5BE6">
        <w:t xml:space="preserve">the </w:t>
      </w:r>
      <w:r w:rsidRPr="007B5BE6">
        <w:t>restraint order</w:t>
      </w:r>
      <w:r w:rsidR="00452DC5" w:rsidRPr="007B5BE6">
        <w:t xml:space="preserve"> provisions </w:t>
      </w:r>
      <w:r w:rsidR="007249A5" w:rsidRPr="007B5BE6">
        <w:t xml:space="preserve">under the </w:t>
      </w:r>
      <w:r w:rsidR="007249A5" w:rsidRPr="007B5BE6">
        <w:rPr>
          <w:i/>
          <w:iCs/>
        </w:rPr>
        <w:t>Justices Act 1959</w:t>
      </w:r>
      <w:r w:rsidR="007249A5" w:rsidRPr="007B5BE6">
        <w:t xml:space="preserve"> (Tas). </w:t>
      </w:r>
    </w:p>
    <w:p w14:paraId="277D2E71" w14:textId="449A4D8A" w:rsidR="002D15D1" w:rsidRPr="007B5BE6" w:rsidRDefault="007249A5" w:rsidP="00DC2CA2">
      <w:pPr>
        <w:pStyle w:val="NormalNumberedTextTLRI"/>
      </w:pPr>
      <w:r w:rsidRPr="007B5BE6">
        <w:t xml:space="preserve">Restraint orders are currently the only option for a </w:t>
      </w:r>
      <w:r w:rsidR="00A1576C" w:rsidRPr="007B5BE6">
        <w:t xml:space="preserve">civil </w:t>
      </w:r>
      <w:r w:rsidRPr="007B5BE6">
        <w:t xml:space="preserve">protective order in circumstances where abuse has not been perpetrated by a former or current intimate partner </w:t>
      </w:r>
      <w:r w:rsidR="00D32117" w:rsidRPr="007B5BE6">
        <w:t xml:space="preserve">in the context of a ‘significant’ relationship, </w:t>
      </w:r>
      <w:r w:rsidRPr="007B5BE6">
        <w:t xml:space="preserve">which is covered by the </w:t>
      </w:r>
      <w:r w:rsidRPr="007B5BE6">
        <w:rPr>
          <w:i/>
          <w:iCs/>
        </w:rPr>
        <w:t xml:space="preserve">Family Violence Act 2004 </w:t>
      </w:r>
      <w:r w:rsidRPr="007B5BE6">
        <w:t>(Tas)</w:t>
      </w:r>
      <w:r w:rsidR="00AB012C" w:rsidRPr="007B5BE6">
        <w:t xml:space="preserve">. </w:t>
      </w:r>
      <w:r w:rsidR="001148D1" w:rsidRPr="007B5BE6">
        <w:t>T</w:t>
      </w:r>
      <w:r w:rsidR="00AB012C" w:rsidRPr="007B5BE6">
        <w:t xml:space="preserve">he specific (and narrow) scope of the </w:t>
      </w:r>
      <w:r w:rsidR="00D32117" w:rsidRPr="007B5BE6">
        <w:t xml:space="preserve">relationship </w:t>
      </w:r>
      <w:r w:rsidR="00AB012C" w:rsidRPr="007B5BE6">
        <w:t xml:space="preserve">definition </w:t>
      </w:r>
      <w:r w:rsidR="00854A8E" w:rsidRPr="007B5BE6">
        <w:t xml:space="preserve">under </w:t>
      </w:r>
      <w:r w:rsidR="00AB012C" w:rsidRPr="007B5BE6">
        <w:t xml:space="preserve">the </w:t>
      </w:r>
      <w:r w:rsidR="00AB012C" w:rsidRPr="007B5BE6">
        <w:rPr>
          <w:i/>
          <w:iCs/>
        </w:rPr>
        <w:t>Family Violence Act 2004</w:t>
      </w:r>
      <w:r w:rsidR="00AB012C" w:rsidRPr="007B5BE6">
        <w:t xml:space="preserve"> (Tas) means that </w:t>
      </w:r>
      <w:r w:rsidR="00D52578" w:rsidRPr="007B5BE6">
        <w:t xml:space="preserve">the Act does not cover </w:t>
      </w:r>
      <w:r w:rsidR="00AB012C" w:rsidRPr="007B5BE6">
        <w:t>violence against older Tasmanians perpetrated by other family members (such as children, grandchildren, siblings or carers) or violence in the context of other relationship</w:t>
      </w:r>
      <w:r w:rsidR="00D32117" w:rsidRPr="007B5BE6">
        <w:t>-types</w:t>
      </w:r>
      <w:r w:rsidR="006D3BE7" w:rsidRPr="007B5BE6">
        <w:t xml:space="preserve">. </w:t>
      </w:r>
      <w:r w:rsidR="00743733" w:rsidRPr="007B5BE6">
        <w:t xml:space="preserve">However, </w:t>
      </w:r>
      <w:r w:rsidR="005D3AEC" w:rsidRPr="007B5BE6">
        <w:t xml:space="preserve">it is </w:t>
      </w:r>
      <w:r w:rsidR="003333CB" w:rsidRPr="007B5BE6">
        <w:t xml:space="preserve">within </w:t>
      </w:r>
      <w:r w:rsidR="005D3AEC" w:rsidRPr="007B5BE6">
        <w:t>these other family</w:t>
      </w:r>
      <w:r w:rsidR="00A1576C" w:rsidRPr="007B5BE6">
        <w:t>,</w:t>
      </w:r>
      <w:r w:rsidR="005D3AEC" w:rsidRPr="007B5BE6">
        <w:t xml:space="preserve"> or family-like</w:t>
      </w:r>
      <w:r w:rsidR="00A1576C" w:rsidRPr="007B5BE6">
        <w:t>,</w:t>
      </w:r>
      <w:r w:rsidR="005D3AEC" w:rsidRPr="007B5BE6">
        <w:t xml:space="preserve"> relationships and domestic settings </w:t>
      </w:r>
      <w:r w:rsidR="003333CB" w:rsidRPr="007B5BE6">
        <w:t>that</w:t>
      </w:r>
      <w:r w:rsidR="005D3AEC" w:rsidRPr="007B5BE6" w:rsidDel="005D3AEC">
        <w:t xml:space="preserve"> </w:t>
      </w:r>
      <w:r w:rsidR="006D3BE7" w:rsidRPr="007B5BE6">
        <w:t>abuse of older people commonly occurs.</w:t>
      </w:r>
      <w:r w:rsidR="000367A8" w:rsidRPr="007B5BE6">
        <w:rPr>
          <w:rStyle w:val="FootnoteReference"/>
        </w:rPr>
        <w:footnoteReference w:id="652"/>
      </w:r>
      <w:r w:rsidR="006D3BE7" w:rsidRPr="007B5BE6">
        <w:t xml:space="preserve"> The TLRI’s research, particularly insights </w:t>
      </w:r>
      <w:r w:rsidR="005D3AEC" w:rsidRPr="007B5BE6">
        <w:t xml:space="preserve">from the </w:t>
      </w:r>
      <w:r w:rsidR="006D3BE7" w:rsidRPr="007B5BE6">
        <w:t xml:space="preserve">data provided </w:t>
      </w:r>
      <w:r w:rsidR="005D3AEC" w:rsidRPr="007B5BE6">
        <w:t>on</w:t>
      </w:r>
      <w:r w:rsidR="006D3BE7" w:rsidRPr="007B5BE6">
        <w:t xml:space="preserve"> the </w:t>
      </w:r>
      <w:r w:rsidR="0086207C" w:rsidRPr="007B5BE6">
        <w:t>Tasmanian Elder Abuse Helpline (‘</w:t>
      </w:r>
      <w:r w:rsidR="00E80E89" w:rsidRPr="007B5BE6">
        <w:t xml:space="preserve">the </w:t>
      </w:r>
      <w:r w:rsidR="006D3BE7" w:rsidRPr="007B5BE6">
        <w:t>Helpline</w:t>
      </w:r>
      <w:r w:rsidR="00E80E89" w:rsidRPr="007B5BE6">
        <w:t>’)</w:t>
      </w:r>
      <w:r w:rsidR="006D3BE7" w:rsidRPr="007B5BE6">
        <w:t xml:space="preserve"> and </w:t>
      </w:r>
      <w:r w:rsidR="00866792" w:rsidRPr="007B5BE6">
        <w:t>Tasmania Legal Aid’s Senior Assist Program (‘Senior Assist’)</w:t>
      </w:r>
      <w:r w:rsidR="006D3BE7" w:rsidRPr="007B5BE6">
        <w:t xml:space="preserve">, suggests that concerns about abusive behaviour </w:t>
      </w:r>
      <w:r w:rsidR="006C6054" w:rsidRPr="007B5BE6">
        <w:t xml:space="preserve">typically </w:t>
      </w:r>
      <w:r w:rsidR="002E1A7C" w:rsidRPr="007B5BE6">
        <w:t>involve</w:t>
      </w:r>
      <w:r w:rsidR="008F661B" w:rsidRPr="007B5BE6">
        <w:t xml:space="preserve"> the</w:t>
      </w:r>
      <w:r w:rsidR="006D3BE7" w:rsidRPr="007B5BE6">
        <w:t xml:space="preserve"> conduct of adult children</w:t>
      </w:r>
      <w:r w:rsidR="006C6054" w:rsidRPr="007B5BE6">
        <w:t xml:space="preserve">. </w:t>
      </w:r>
      <w:r w:rsidR="009120C0" w:rsidRPr="007B5BE6">
        <w:t>While co</w:t>
      </w:r>
      <w:r w:rsidR="006C6054" w:rsidRPr="007B5BE6">
        <w:t>ncerns about abusive behaviour</w:t>
      </w:r>
      <w:r w:rsidR="009120C0" w:rsidRPr="007B5BE6">
        <w:t xml:space="preserve"> </w:t>
      </w:r>
      <w:r w:rsidR="00B339B5" w:rsidRPr="007B5BE6">
        <w:t>towards</w:t>
      </w:r>
      <w:r w:rsidR="006D3BE7" w:rsidRPr="007B5BE6">
        <w:t xml:space="preserve"> </w:t>
      </w:r>
      <w:r w:rsidR="00B339B5" w:rsidRPr="007B5BE6">
        <w:t xml:space="preserve">older people do involve </w:t>
      </w:r>
      <w:r w:rsidR="009F4C43" w:rsidRPr="007B5BE6">
        <w:t xml:space="preserve">the </w:t>
      </w:r>
      <w:r w:rsidR="006C6054" w:rsidRPr="007B5BE6">
        <w:t xml:space="preserve">conduct of current or former intimate </w:t>
      </w:r>
      <w:r w:rsidR="006D3BE7" w:rsidRPr="007B5BE6">
        <w:t xml:space="preserve">partners </w:t>
      </w:r>
      <w:r w:rsidR="00C56DF0" w:rsidRPr="007B5BE6">
        <w:t>or</w:t>
      </w:r>
      <w:r w:rsidR="006D3BE7" w:rsidRPr="007B5BE6">
        <w:t xml:space="preserve"> other family members</w:t>
      </w:r>
      <w:r w:rsidR="00A1576C" w:rsidRPr="007B5BE6">
        <w:t xml:space="preserve">, these </w:t>
      </w:r>
      <w:proofErr w:type="gramStart"/>
      <w:r w:rsidR="009F4C43" w:rsidRPr="007B5BE6">
        <w:t>are considered to be</w:t>
      </w:r>
      <w:proofErr w:type="gramEnd"/>
      <w:r w:rsidR="00A1576C" w:rsidRPr="007B5BE6">
        <w:t xml:space="preserve"> less common relationship-contexts.</w:t>
      </w:r>
    </w:p>
    <w:p w14:paraId="424DC8E8" w14:textId="276B1962" w:rsidR="002D15D1" w:rsidRPr="007B5BE6" w:rsidRDefault="00EC739B" w:rsidP="00E07B8B">
      <w:pPr>
        <w:pStyle w:val="Headingunnumbered"/>
        <w:spacing w:before="360"/>
      </w:pPr>
      <w:bookmarkStart w:id="606" w:name="_Toc212561810"/>
      <w:r w:rsidRPr="007B5BE6">
        <w:lastRenderedPageBreak/>
        <w:t>A</w:t>
      </w:r>
      <w:r w:rsidR="002D15D1" w:rsidRPr="007B5BE6">
        <w:t xml:space="preserve">pplication of the </w:t>
      </w:r>
      <w:r w:rsidR="002D15D1" w:rsidRPr="007B5BE6">
        <w:rPr>
          <w:i/>
          <w:iCs/>
        </w:rPr>
        <w:t xml:space="preserve">Family Violence Act 2004 </w:t>
      </w:r>
      <w:r w:rsidR="002D15D1" w:rsidRPr="007B5BE6">
        <w:t>(Tas)</w:t>
      </w:r>
      <w:r w:rsidR="00A80691" w:rsidRPr="007B5BE6">
        <w:t>:</w:t>
      </w:r>
      <w:r w:rsidR="002D15D1" w:rsidRPr="007B5BE6">
        <w:t xml:space="preserve"> family violence orders</w:t>
      </w:r>
      <w:bookmarkEnd w:id="606"/>
    </w:p>
    <w:p w14:paraId="3D214632" w14:textId="54679933" w:rsidR="002D15D1" w:rsidRPr="007B5BE6" w:rsidRDefault="002D15D1" w:rsidP="00D818E9">
      <w:pPr>
        <w:pStyle w:val="NormalNumberedTextTLRI"/>
      </w:pPr>
      <w:r w:rsidRPr="007B5BE6">
        <w:t xml:space="preserve">In other jurisdictions, family violence legislation applies to a broader category of </w:t>
      </w:r>
      <w:r w:rsidR="00C27859" w:rsidRPr="007B5BE6">
        <w:t>relationships and</w:t>
      </w:r>
      <w:r w:rsidRPr="007B5BE6">
        <w:t xml:space="preserve"> would apply to </w:t>
      </w:r>
      <w:r w:rsidR="00041CC5" w:rsidRPr="007B5BE6">
        <w:t xml:space="preserve">family relationships </w:t>
      </w:r>
      <w:r w:rsidRPr="007B5BE6">
        <w:t>other than partners.</w:t>
      </w:r>
      <w:r w:rsidR="000F6627" w:rsidRPr="007B5BE6">
        <w:rPr>
          <w:rStyle w:val="FootnoteReference"/>
        </w:rPr>
        <w:footnoteReference w:id="653"/>
      </w:r>
      <w:r w:rsidRPr="007B5BE6">
        <w:t xml:space="preserve"> Accordingly, an option for reform considered by the TLRI </w:t>
      </w:r>
      <w:r w:rsidR="008D6A30" w:rsidRPr="007B5BE6">
        <w:t>i</w:t>
      </w:r>
      <w:r w:rsidRPr="007B5BE6">
        <w:t>s the expansion of the</w:t>
      </w:r>
      <w:r w:rsidR="00E1527D" w:rsidRPr="007B5BE6">
        <w:t xml:space="preserve"> operation of the</w:t>
      </w:r>
      <w:r w:rsidRPr="007B5BE6">
        <w:t xml:space="preserve"> </w:t>
      </w:r>
      <w:r w:rsidRPr="007B5BE6">
        <w:rPr>
          <w:i/>
          <w:iCs/>
        </w:rPr>
        <w:t xml:space="preserve">Family Violence Act 2004 </w:t>
      </w:r>
      <w:r w:rsidRPr="007B5BE6">
        <w:t>(Tas)</w:t>
      </w:r>
      <w:r w:rsidR="00E1527D" w:rsidRPr="007B5BE6">
        <w:t xml:space="preserve"> to</w:t>
      </w:r>
      <w:r w:rsidR="000F30DC" w:rsidRPr="007B5BE6">
        <w:t xml:space="preserve"> include the abuse of older people </w:t>
      </w:r>
      <w:r w:rsidR="00B07886" w:rsidRPr="007B5BE6">
        <w:t>with</w:t>
      </w:r>
      <w:r w:rsidR="000F30DC" w:rsidRPr="007B5BE6">
        <w:t>in</w:t>
      </w:r>
      <w:r w:rsidRPr="007B5BE6">
        <w:t xml:space="preserve"> a broader range of relationships. This would allow for police family violence order</w:t>
      </w:r>
      <w:r w:rsidR="00D003B9" w:rsidRPr="007B5BE6">
        <w:t>s</w:t>
      </w:r>
      <w:r w:rsidRPr="007B5BE6">
        <w:t xml:space="preserve"> and family violence orders to be made</w:t>
      </w:r>
      <w:r w:rsidR="004E36C8" w:rsidRPr="007B5BE6">
        <w:t xml:space="preserve"> where abuse is perpetrated by other family members. In addition,</w:t>
      </w:r>
      <w:r w:rsidRPr="007B5BE6">
        <w:t xml:space="preserve"> the specific family violence offence</w:t>
      </w:r>
      <w:r w:rsidR="00310350" w:rsidRPr="007B5BE6">
        <w:t>s</w:t>
      </w:r>
      <w:r w:rsidR="00041CC5" w:rsidRPr="007B5BE6">
        <w:t xml:space="preserve"> under the </w:t>
      </w:r>
      <w:r w:rsidR="00041CC5" w:rsidRPr="007B5BE6">
        <w:rPr>
          <w:i/>
          <w:iCs/>
        </w:rPr>
        <w:t xml:space="preserve">Family Violence Act 2004 </w:t>
      </w:r>
      <w:r w:rsidR="00041CC5" w:rsidRPr="007B5BE6">
        <w:t>(Tas)</w:t>
      </w:r>
      <w:r w:rsidR="00310350" w:rsidRPr="007B5BE6">
        <w:t>—e</w:t>
      </w:r>
      <w:r w:rsidRPr="007B5BE6">
        <w:t>conomic abuse (s</w:t>
      </w:r>
      <w:r w:rsidR="00310350" w:rsidRPr="007B5BE6">
        <w:t>ection</w:t>
      </w:r>
      <w:r w:rsidRPr="007B5BE6">
        <w:t xml:space="preserve"> 8) and emotional abuse or intimidation (s</w:t>
      </w:r>
      <w:r w:rsidR="00310350" w:rsidRPr="007B5BE6">
        <w:t>ection</w:t>
      </w:r>
      <w:r w:rsidRPr="007B5BE6">
        <w:t xml:space="preserve"> 9)</w:t>
      </w:r>
      <w:r w:rsidR="00041CC5" w:rsidRPr="007B5BE6">
        <w:t>—</w:t>
      </w:r>
      <w:r w:rsidRPr="007B5BE6">
        <w:t xml:space="preserve">and the offence of persistent family violence under </w:t>
      </w:r>
      <w:r w:rsidR="00041CC5" w:rsidRPr="007B5BE6">
        <w:t xml:space="preserve">section 170A of </w:t>
      </w:r>
      <w:r w:rsidRPr="007B5BE6">
        <w:t xml:space="preserve">the </w:t>
      </w:r>
      <w:r w:rsidRPr="007B5BE6">
        <w:rPr>
          <w:i/>
          <w:iCs/>
        </w:rPr>
        <w:t xml:space="preserve">Criminal Code </w:t>
      </w:r>
      <w:r w:rsidR="009328BB" w:rsidRPr="007B5BE6">
        <w:rPr>
          <w:i/>
          <w:iCs/>
          <w:szCs w:val="22"/>
        </w:rPr>
        <w:t>Act 1924</w:t>
      </w:r>
      <w:r w:rsidR="009328BB" w:rsidRPr="007B5BE6">
        <w:rPr>
          <w:szCs w:val="22"/>
        </w:rPr>
        <w:t xml:space="preserve"> </w:t>
      </w:r>
      <w:r w:rsidRPr="007B5BE6">
        <w:t xml:space="preserve">(Tas) </w:t>
      </w:r>
      <w:r w:rsidR="004E36C8" w:rsidRPr="007B5BE6">
        <w:t>would also</w:t>
      </w:r>
      <w:r w:rsidRPr="007B5BE6">
        <w:t xml:space="preserve"> apply.</w:t>
      </w:r>
      <w:r w:rsidR="000F6627" w:rsidRPr="007B5BE6">
        <w:rPr>
          <w:rStyle w:val="FootnoteReference"/>
        </w:rPr>
        <w:footnoteReference w:id="654"/>
      </w:r>
    </w:p>
    <w:p w14:paraId="408EC4CE" w14:textId="4D466E0E" w:rsidR="002D15D1" w:rsidRPr="007B5BE6" w:rsidRDefault="00403F65" w:rsidP="00E07B8B">
      <w:pPr>
        <w:pStyle w:val="Sub-HeadingTLRI"/>
        <w:spacing w:before="360"/>
      </w:pPr>
      <w:bookmarkStart w:id="607" w:name="_Toc212561811"/>
      <w:r w:rsidRPr="007B5BE6">
        <w:t>Interviews with stakeholders</w:t>
      </w:r>
      <w:bookmarkEnd w:id="607"/>
    </w:p>
    <w:p w14:paraId="4020E81B" w14:textId="610932F5" w:rsidR="002D15D1" w:rsidRPr="007B5BE6" w:rsidRDefault="002D15D1" w:rsidP="004E36C8">
      <w:pPr>
        <w:pStyle w:val="NormalNumberedTextTLRI"/>
      </w:pPr>
      <w:r w:rsidRPr="007B5BE6">
        <w:t xml:space="preserve">Many stakeholders </w:t>
      </w:r>
      <w:r w:rsidR="00B07886" w:rsidRPr="007B5BE6">
        <w:t xml:space="preserve">in the TLRI’s interviews </w:t>
      </w:r>
      <w:r w:rsidR="00CD7875" w:rsidRPr="007B5BE6">
        <w:t xml:space="preserve">observed that the </w:t>
      </w:r>
      <w:r w:rsidR="0026657D" w:rsidRPr="007B5BE6">
        <w:t>limitation</w:t>
      </w:r>
      <w:r w:rsidR="0055206C" w:rsidRPr="007B5BE6">
        <w:t xml:space="preserve">s of </w:t>
      </w:r>
      <w:r w:rsidRPr="007B5BE6">
        <w:t xml:space="preserve">family violence laws </w:t>
      </w:r>
      <w:r w:rsidR="0055206C" w:rsidRPr="007B5BE6">
        <w:t>were</w:t>
      </w:r>
      <w:r w:rsidRPr="007B5BE6">
        <w:t xml:space="preserve"> an issue in the current legal framework.</w:t>
      </w:r>
      <w:r w:rsidR="009827FE" w:rsidRPr="007B5BE6">
        <w:rPr>
          <w:rStyle w:val="FootnoteReference"/>
        </w:rPr>
        <w:footnoteReference w:id="655"/>
      </w:r>
      <w:r w:rsidRPr="007B5BE6">
        <w:t xml:space="preserve"> The concern was that there was no recourse </w:t>
      </w:r>
      <w:r w:rsidR="0055206C" w:rsidRPr="007B5BE6">
        <w:t xml:space="preserve">under </w:t>
      </w:r>
      <w:r w:rsidR="00B07886" w:rsidRPr="007B5BE6">
        <w:t xml:space="preserve">current </w:t>
      </w:r>
      <w:r w:rsidR="0055206C" w:rsidRPr="007B5BE6">
        <w:t xml:space="preserve">family violence laws </w:t>
      </w:r>
      <w:r w:rsidRPr="007B5BE6">
        <w:t xml:space="preserve">for older people abused by family members, such as </w:t>
      </w:r>
      <w:r w:rsidR="0055206C" w:rsidRPr="007B5BE6">
        <w:t xml:space="preserve">by </w:t>
      </w:r>
      <w:r w:rsidRPr="007B5BE6">
        <w:t xml:space="preserve">adult children or grandchildren, or </w:t>
      </w:r>
      <w:r w:rsidR="00F43123" w:rsidRPr="007B5BE6">
        <w:t xml:space="preserve">by </w:t>
      </w:r>
      <w:r w:rsidRPr="007B5BE6">
        <w:t>carers</w:t>
      </w:r>
      <w:r w:rsidR="0058458E" w:rsidRPr="007B5BE6">
        <w:t>—a concern that was heightened i</w:t>
      </w:r>
      <w:r w:rsidR="00F43123" w:rsidRPr="007B5BE6">
        <w:t xml:space="preserve">n the context of </w:t>
      </w:r>
      <w:r w:rsidR="0058458E" w:rsidRPr="007B5BE6">
        <w:t xml:space="preserve">stakeholder </w:t>
      </w:r>
      <w:r w:rsidR="00F43123" w:rsidRPr="007B5BE6">
        <w:t>perception</w:t>
      </w:r>
      <w:r w:rsidR="0058458E" w:rsidRPr="007B5BE6">
        <w:t>s</w:t>
      </w:r>
      <w:r w:rsidR="00F43123" w:rsidRPr="007B5BE6">
        <w:t xml:space="preserve"> that </w:t>
      </w:r>
      <w:r w:rsidR="0058458E" w:rsidRPr="007B5BE6">
        <w:t xml:space="preserve">the </w:t>
      </w:r>
      <w:r w:rsidR="00F43123" w:rsidRPr="007B5BE6">
        <w:t xml:space="preserve">abuse of older people in these relationship contexts was </w:t>
      </w:r>
      <w:r w:rsidRPr="007B5BE6">
        <w:t xml:space="preserve">more common than </w:t>
      </w:r>
      <w:r w:rsidR="00421E87" w:rsidRPr="007B5BE6">
        <w:t xml:space="preserve">in current or </w:t>
      </w:r>
      <w:r w:rsidRPr="007B5BE6">
        <w:t xml:space="preserve">intimate partner </w:t>
      </w:r>
      <w:r w:rsidR="00421E87" w:rsidRPr="007B5BE6">
        <w:t>relationships</w:t>
      </w:r>
      <w:r w:rsidRPr="007B5BE6">
        <w:t>.</w:t>
      </w:r>
      <w:r w:rsidR="009827FE" w:rsidRPr="007B5BE6">
        <w:rPr>
          <w:rStyle w:val="FootnoteReference"/>
        </w:rPr>
        <w:footnoteReference w:id="656"/>
      </w:r>
      <w:r w:rsidRPr="007B5BE6">
        <w:t xml:space="preserve"> Family violence laws were </w:t>
      </w:r>
      <w:r w:rsidR="0058458E" w:rsidRPr="007B5BE6">
        <w:t xml:space="preserve">therefore </w:t>
      </w:r>
      <w:r w:rsidRPr="007B5BE6">
        <w:t xml:space="preserve">seen to exclude the majority of cases of </w:t>
      </w:r>
      <w:r w:rsidR="0058458E" w:rsidRPr="007B5BE6">
        <w:t>abuse of older people</w:t>
      </w:r>
      <w:r w:rsidRPr="007B5BE6">
        <w:t xml:space="preserve">, leaving few options </w:t>
      </w:r>
      <w:r w:rsidR="00646B4F" w:rsidRPr="007B5BE6">
        <w:t>for</w:t>
      </w:r>
      <w:r w:rsidRPr="007B5BE6">
        <w:t xml:space="preserve"> older people </w:t>
      </w:r>
      <w:r w:rsidR="0058458E" w:rsidRPr="007B5BE6">
        <w:t xml:space="preserve">who </w:t>
      </w:r>
      <w:r w:rsidRPr="007B5BE6">
        <w:t>experiencing</w:t>
      </w:r>
      <w:r w:rsidR="0058458E" w:rsidRPr="007B5BE6">
        <w:t>, or at risk of experiencing abuse,</w:t>
      </w:r>
      <w:r w:rsidRPr="007B5BE6">
        <w:t xml:space="preserve"> to seek a protective civil order.</w:t>
      </w:r>
      <w:r w:rsidR="009827FE" w:rsidRPr="007B5BE6">
        <w:rPr>
          <w:rStyle w:val="FootnoteReference"/>
        </w:rPr>
        <w:footnoteReference w:id="657"/>
      </w:r>
      <w:r w:rsidRPr="007B5BE6">
        <w:t xml:space="preserve"> </w:t>
      </w:r>
      <w:r w:rsidR="00556FC8" w:rsidRPr="007B5BE6">
        <w:t xml:space="preserve">Some stakeholders viewed this </w:t>
      </w:r>
      <w:r w:rsidRPr="007B5BE6">
        <w:t xml:space="preserve">gap </w:t>
      </w:r>
      <w:r w:rsidR="00556FC8" w:rsidRPr="007B5BE6">
        <w:t xml:space="preserve">to be particular evident </w:t>
      </w:r>
      <w:r w:rsidR="003C05C9" w:rsidRPr="007B5BE6">
        <w:t xml:space="preserve">in contrasting </w:t>
      </w:r>
      <w:r w:rsidRPr="007B5BE6">
        <w:t>the Tasmanian approach</w:t>
      </w:r>
      <w:r w:rsidR="006124D5" w:rsidRPr="007B5BE6">
        <w:t xml:space="preserve"> </w:t>
      </w:r>
      <w:r w:rsidRPr="007B5BE6">
        <w:t>with approach</w:t>
      </w:r>
      <w:r w:rsidR="006124D5" w:rsidRPr="007B5BE6">
        <w:t>es</w:t>
      </w:r>
      <w:r w:rsidRPr="007B5BE6">
        <w:t xml:space="preserve"> in jurisdictions where family violence legislation cover</w:t>
      </w:r>
      <w:r w:rsidR="00F51494" w:rsidRPr="007B5BE6">
        <w:t>s</w:t>
      </w:r>
      <w:r w:rsidRPr="007B5BE6">
        <w:t xml:space="preserve"> a wider range of relationships.</w:t>
      </w:r>
      <w:r w:rsidR="009827FE" w:rsidRPr="007B5BE6">
        <w:rPr>
          <w:rStyle w:val="FootnoteReference"/>
        </w:rPr>
        <w:footnoteReference w:id="658"/>
      </w:r>
      <w:r w:rsidRPr="007B5BE6">
        <w:t xml:space="preserve"> </w:t>
      </w:r>
    </w:p>
    <w:p w14:paraId="2654BBCF" w14:textId="1C9B56D7" w:rsidR="00BE66D3" w:rsidRPr="007B5BE6" w:rsidRDefault="003C05C9" w:rsidP="007F47D5">
      <w:pPr>
        <w:pStyle w:val="NormalNumberedTextTLRI"/>
      </w:pPr>
      <w:r w:rsidRPr="007B5BE6">
        <w:t>Stakeholders identified</w:t>
      </w:r>
      <w:r w:rsidR="00A433A6" w:rsidRPr="007B5BE6">
        <w:t xml:space="preserve"> that </w:t>
      </w:r>
      <w:r w:rsidRPr="007B5BE6">
        <w:t>c</w:t>
      </w:r>
      <w:r w:rsidR="002D15D1" w:rsidRPr="007B5BE6">
        <w:t xml:space="preserve">oercive control was a particular type of behaviour perpetrated against older people, either as a form of abuse or </w:t>
      </w:r>
      <w:r w:rsidR="005A611A" w:rsidRPr="007B5BE6">
        <w:t xml:space="preserve">in conjunction with </w:t>
      </w:r>
      <w:r w:rsidR="002D15D1" w:rsidRPr="007B5BE6">
        <w:t>other forms of abuse. S</w:t>
      </w:r>
      <w:r w:rsidR="00CE0816" w:rsidRPr="007B5BE6">
        <w:t>ome s</w:t>
      </w:r>
      <w:r w:rsidR="002D15D1" w:rsidRPr="007B5BE6">
        <w:t>takeholders noted an absence of laws focus</w:t>
      </w:r>
      <w:r w:rsidR="005A611A" w:rsidRPr="007B5BE6">
        <w:t>ing</w:t>
      </w:r>
      <w:r w:rsidR="002D15D1" w:rsidRPr="007B5BE6">
        <w:t xml:space="preserve"> on </w:t>
      </w:r>
      <w:r w:rsidR="00E9170D" w:rsidRPr="007B5BE6">
        <w:t>the broad range of</w:t>
      </w:r>
      <w:r w:rsidR="002D15D1" w:rsidRPr="007B5BE6">
        <w:t xml:space="preserve"> </w:t>
      </w:r>
      <w:r w:rsidR="00E9170D" w:rsidRPr="007B5BE6">
        <w:t xml:space="preserve">coercively controlling </w:t>
      </w:r>
      <w:r w:rsidR="002D15D1" w:rsidRPr="007B5BE6">
        <w:t>behaviour</w:t>
      </w:r>
      <w:r w:rsidR="00E9170D" w:rsidRPr="007B5BE6">
        <w:t>s</w:t>
      </w:r>
      <w:r w:rsidR="00CE0816" w:rsidRPr="007B5BE6">
        <w:t xml:space="preserve">, while others </w:t>
      </w:r>
      <w:r w:rsidR="002D15D1" w:rsidRPr="007B5BE6">
        <w:t xml:space="preserve">identified difficulties under current laws </w:t>
      </w:r>
      <w:r w:rsidR="00CE0816" w:rsidRPr="007B5BE6">
        <w:t xml:space="preserve">in </w:t>
      </w:r>
      <w:r w:rsidR="002D15D1" w:rsidRPr="007B5BE6">
        <w:t xml:space="preserve">providing protection to an older person who was </w:t>
      </w:r>
      <w:r w:rsidR="00CE0816" w:rsidRPr="007B5BE6">
        <w:t xml:space="preserve">experiencing </w:t>
      </w:r>
      <w:r w:rsidR="002D15D1" w:rsidRPr="007B5BE6">
        <w:t xml:space="preserve">such </w:t>
      </w:r>
      <w:r w:rsidR="00CE0816" w:rsidRPr="007B5BE6">
        <w:t xml:space="preserve">abusive </w:t>
      </w:r>
      <w:r w:rsidR="002D15D1" w:rsidRPr="007B5BE6">
        <w:t xml:space="preserve">behaviour. One stakeholder noted that the very nature of </w:t>
      </w:r>
      <w:r w:rsidR="00AD7EA8" w:rsidRPr="007B5BE6">
        <w:t>abuse experienced by older people</w:t>
      </w:r>
      <w:r w:rsidR="002D15D1" w:rsidRPr="007B5BE6">
        <w:t xml:space="preserve"> was itself not well captured in existing laws, remarking ‘there can be so much coercion … that’s not documented in any [law] or captured as abuse and that’s … in my experience … much more the grey area in which most abuse occurs</w:t>
      </w:r>
      <w:r w:rsidR="00347130">
        <w:t>’</w:t>
      </w:r>
      <w:r w:rsidR="002D15D1" w:rsidRPr="007B5BE6">
        <w:t>.</w:t>
      </w:r>
      <w:r w:rsidR="009827FE" w:rsidRPr="007B5BE6">
        <w:rPr>
          <w:rStyle w:val="FootnoteReference"/>
        </w:rPr>
        <w:footnoteReference w:id="659"/>
      </w:r>
      <w:r w:rsidR="002D15D1" w:rsidRPr="007B5BE6">
        <w:t xml:space="preserve"> Under the </w:t>
      </w:r>
      <w:r w:rsidR="002D15D1" w:rsidRPr="007B5BE6">
        <w:rPr>
          <w:i/>
          <w:iCs/>
        </w:rPr>
        <w:t>Family Violence Act 2004</w:t>
      </w:r>
      <w:r w:rsidR="002D15D1" w:rsidRPr="007B5BE6">
        <w:t xml:space="preserve"> (Tas), coercive control is recognised in the offence of emotional abuse or intimidation,</w:t>
      </w:r>
      <w:r w:rsidR="009827FE" w:rsidRPr="007B5BE6">
        <w:rPr>
          <w:rStyle w:val="FootnoteReference"/>
        </w:rPr>
        <w:footnoteReference w:id="660"/>
      </w:r>
      <w:r w:rsidR="002D15D1" w:rsidRPr="007B5BE6">
        <w:t xml:space="preserve"> but th</w:t>
      </w:r>
      <w:r w:rsidR="00B651FD" w:rsidRPr="007B5BE6">
        <w:t>is offence</w:t>
      </w:r>
      <w:r w:rsidR="002D15D1" w:rsidRPr="007B5BE6">
        <w:t xml:space="preserve"> does not apply where the perpetrator is a family member other than a current or former intimate partner</w:t>
      </w:r>
      <w:r w:rsidR="007008EA" w:rsidRPr="007B5BE6">
        <w:t xml:space="preserve"> in a ‘significant’ relationship</w:t>
      </w:r>
      <w:r w:rsidR="002D15D1" w:rsidRPr="007B5BE6">
        <w:t xml:space="preserve">. </w:t>
      </w:r>
    </w:p>
    <w:p w14:paraId="2DB5DE60" w14:textId="5364D1A7" w:rsidR="002D15D1" w:rsidRPr="007B5BE6" w:rsidRDefault="000433B4" w:rsidP="002D15D1">
      <w:pPr>
        <w:numPr>
          <w:ilvl w:val="2"/>
          <w:numId w:val="2"/>
        </w:numPr>
        <w:tabs>
          <w:tab w:val="left" w:pos="851"/>
        </w:tabs>
        <w:spacing w:before="220"/>
        <w:rPr>
          <w:rFonts w:eastAsia="Times New Roman" w:cs="Times New Roman"/>
        </w:rPr>
      </w:pPr>
      <w:r w:rsidRPr="007B5BE6">
        <w:rPr>
          <w:rFonts w:eastAsia="Times" w:cs="Times New Roman"/>
          <w:szCs w:val="20"/>
        </w:rPr>
        <w:lastRenderedPageBreak/>
        <w:t>Stakeholders also considered f</w:t>
      </w:r>
      <w:r w:rsidR="002D15D1" w:rsidRPr="007B5BE6">
        <w:rPr>
          <w:rFonts w:eastAsia="Times" w:cs="Times New Roman"/>
          <w:szCs w:val="20"/>
        </w:rPr>
        <w:t>inancial abuse to be a concern for older people</w:t>
      </w:r>
      <w:r w:rsidRPr="007B5BE6">
        <w:rPr>
          <w:rFonts w:eastAsia="Times" w:cs="Times New Roman"/>
          <w:szCs w:val="20"/>
        </w:rPr>
        <w:t xml:space="preserve">; however, that it was </w:t>
      </w:r>
      <w:r w:rsidR="002D15D1" w:rsidRPr="007B5BE6">
        <w:rPr>
          <w:rFonts w:eastAsia="Times" w:cs="Times New Roman"/>
          <w:szCs w:val="20"/>
        </w:rPr>
        <w:t xml:space="preserve">not well recognised under the current law if the perpetrator </w:t>
      </w:r>
      <w:r w:rsidR="00755325" w:rsidRPr="007B5BE6">
        <w:rPr>
          <w:rFonts w:eastAsia="Times" w:cs="Times New Roman"/>
          <w:szCs w:val="20"/>
        </w:rPr>
        <w:t>is</w:t>
      </w:r>
      <w:r w:rsidR="002D15D1" w:rsidRPr="007B5BE6">
        <w:rPr>
          <w:rFonts w:eastAsia="Times" w:cs="Times New Roman"/>
          <w:szCs w:val="20"/>
        </w:rPr>
        <w:t xml:space="preserve"> anyone other than </w:t>
      </w:r>
      <w:r w:rsidR="00755325" w:rsidRPr="007B5BE6">
        <w:rPr>
          <w:rFonts w:eastAsia="Times" w:cs="Times New Roman"/>
          <w:szCs w:val="20"/>
        </w:rPr>
        <w:t>a current or former</w:t>
      </w:r>
      <w:r w:rsidR="002D15D1" w:rsidRPr="007B5BE6">
        <w:rPr>
          <w:rFonts w:eastAsia="Times" w:cs="Times New Roman"/>
          <w:szCs w:val="20"/>
        </w:rPr>
        <w:t xml:space="preserve"> intimate partner or spouse</w:t>
      </w:r>
      <w:r w:rsidR="00755325" w:rsidRPr="007B5BE6">
        <w:rPr>
          <w:rFonts w:eastAsia="Times" w:cs="Times New Roman"/>
          <w:szCs w:val="20"/>
        </w:rPr>
        <w:t xml:space="preserve"> within the meaning of the </w:t>
      </w:r>
      <w:r w:rsidR="00755325" w:rsidRPr="007B5BE6">
        <w:rPr>
          <w:rFonts w:eastAsia="Times" w:cs="Times New Roman"/>
          <w:i/>
          <w:iCs/>
          <w:szCs w:val="20"/>
        </w:rPr>
        <w:t>Family Violence Act 2004</w:t>
      </w:r>
      <w:r w:rsidR="00755325" w:rsidRPr="007B5BE6">
        <w:rPr>
          <w:rFonts w:eastAsia="Times" w:cs="Times New Roman"/>
          <w:szCs w:val="20"/>
        </w:rPr>
        <w:t xml:space="preserve"> (Tas)</w:t>
      </w:r>
      <w:r w:rsidR="002D15D1" w:rsidRPr="007B5BE6">
        <w:rPr>
          <w:rFonts w:eastAsia="Times" w:cs="Times New Roman"/>
          <w:szCs w:val="20"/>
        </w:rPr>
        <w:t xml:space="preserve">. </w:t>
      </w:r>
      <w:r w:rsidR="00FB608E" w:rsidRPr="007B5BE6">
        <w:rPr>
          <w:rFonts w:eastAsia="Times New Roman" w:cs="Times New Roman"/>
        </w:rPr>
        <w:t xml:space="preserve">One stakeholder gave an example </w:t>
      </w:r>
      <w:r w:rsidR="00FB608E" w:rsidRPr="007B5BE6">
        <w:rPr>
          <w:rFonts w:eastAsia="Times" w:cs="Times New Roman"/>
          <w:szCs w:val="20"/>
        </w:rPr>
        <w:t>o</w:t>
      </w:r>
      <w:r w:rsidR="002D15D1" w:rsidRPr="007B5BE6">
        <w:rPr>
          <w:rFonts w:eastAsia="Times" w:cs="Times New Roman"/>
          <w:szCs w:val="20"/>
        </w:rPr>
        <w:t xml:space="preserve">f intergenerational financial abuse </w:t>
      </w:r>
      <w:r w:rsidR="00FB608E" w:rsidRPr="007B5BE6">
        <w:rPr>
          <w:rFonts w:eastAsia="Times" w:cs="Times New Roman"/>
          <w:szCs w:val="20"/>
        </w:rPr>
        <w:t xml:space="preserve">involving a family member’s </w:t>
      </w:r>
      <w:r w:rsidR="002D15D1" w:rsidRPr="007B5BE6">
        <w:rPr>
          <w:rFonts w:eastAsia="Times" w:cs="Times New Roman"/>
          <w:szCs w:val="20"/>
        </w:rPr>
        <w:t>misuse of a power of attorney to exercise financial control over an older person, with limited legal options available</w:t>
      </w:r>
      <w:r w:rsidR="00FB608E" w:rsidRPr="007B5BE6">
        <w:rPr>
          <w:rFonts w:eastAsia="Times" w:cs="Times New Roman"/>
          <w:szCs w:val="20"/>
        </w:rPr>
        <w:t xml:space="preserve"> by way of recourse</w:t>
      </w:r>
      <w:r w:rsidR="002D15D1" w:rsidRPr="007B5BE6">
        <w:rPr>
          <w:rFonts w:eastAsia="Times" w:cs="Times New Roman"/>
          <w:szCs w:val="20"/>
        </w:rPr>
        <w:t xml:space="preserve">. </w:t>
      </w:r>
      <w:r w:rsidR="00FB608E" w:rsidRPr="007B5BE6">
        <w:rPr>
          <w:rFonts w:eastAsia="Times" w:cs="Times New Roman"/>
          <w:szCs w:val="20"/>
        </w:rPr>
        <w:t>This</w:t>
      </w:r>
      <w:r w:rsidR="002D15D1" w:rsidRPr="007B5BE6">
        <w:rPr>
          <w:rFonts w:eastAsia="Times" w:cs="Times New Roman"/>
          <w:szCs w:val="20"/>
        </w:rPr>
        <w:t xml:space="preserve"> stakeholder described th</w:t>
      </w:r>
      <w:r w:rsidR="00932A96">
        <w:rPr>
          <w:rFonts w:eastAsia="Times" w:cs="Times New Roman"/>
          <w:szCs w:val="20"/>
        </w:rPr>
        <w:t>e lack of recognition of such abuse under the law w</w:t>
      </w:r>
      <w:r w:rsidR="002D15D1" w:rsidRPr="007B5BE6">
        <w:rPr>
          <w:rFonts w:eastAsia="Times" w:cs="Times New Roman"/>
          <w:szCs w:val="20"/>
        </w:rPr>
        <w:t>as a</w:t>
      </w:r>
      <w:r w:rsidR="00844671">
        <w:rPr>
          <w:rFonts w:eastAsia="Times" w:cs="Times New Roman"/>
          <w:szCs w:val="20"/>
        </w:rPr>
        <w:t xml:space="preserve"> significant gap in the system</w:t>
      </w:r>
      <w:r w:rsidR="00201A61">
        <w:rPr>
          <w:rFonts w:eastAsia="Times" w:cs="Times New Roman"/>
          <w:szCs w:val="20"/>
        </w:rPr>
        <w:t xml:space="preserve">. </w:t>
      </w:r>
      <w:r w:rsidR="00F71644">
        <w:rPr>
          <w:rFonts w:eastAsia="Times" w:cs="Times New Roman"/>
          <w:szCs w:val="20"/>
        </w:rPr>
        <w:t xml:space="preserve">It was </w:t>
      </w:r>
      <w:r w:rsidR="0005215A">
        <w:rPr>
          <w:rFonts w:eastAsia="Times" w:cs="Times New Roman"/>
          <w:szCs w:val="20"/>
        </w:rPr>
        <w:t>suggest</w:t>
      </w:r>
      <w:r w:rsidR="00201A61">
        <w:rPr>
          <w:rFonts w:eastAsia="Times" w:cs="Times New Roman"/>
          <w:szCs w:val="20"/>
        </w:rPr>
        <w:t>ed</w:t>
      </w:r>
      <w:r w:rsidR="0005215A">
        <w:rPr>
          <w:rFonts w:eastAsia="Times" w:cs="Times New Roman"/>
          <w:szCs w:val="20"/>
        </w:rPr>
        <w:t xml:space="preserve"> that </w:t>
      </w:r>
      <w:r w:rsidR="00C97F6D">
        <w:rPr>
          <w:rFonts w:eastAsia="Times" w:cs="Times New Roman"/>
          <w:szCs w:val="20"/>
        </w:rPr>
        <w:t xml:space="preserve">if the legislation </w:t>
      </w:r>
      <w:r w:rsidR="00C92DB9">
        <w:rPr>
          <w:rFonts w:eastAsia="Times" w:cs="Times New Roman"/>
          <w:szCs w:val="20"/>
        </w:rPr>
        <w:t xml:space="preserve">specified other relationships </w:t>
      </w:r>
      <w:r w:rsidR="00201A61">
        <w:rPr>
          <w:rFonts w:eastAsia="Times" w:cs="Times New Roman"/>
          <w:szCs w:val="20"/>
        </w:rPr>
        <w:t>in addition to</w:t>
      </w:r>
      <w:r w:rsidR="00C92DB9">
        <w:rPr>
          <w:rFonts w:eastAsia="Times" w:cs="Times New Roman"/>
          <w:szCs w:val="20"/>
        </w:rPr>
        <w:t xml:space="preserve"> intimate partners, </w:t>
      </w:r>
      <w:r w:rsidR="007A449B">
        <w:rPr>
          <w:rFonts w:eastAsia="Times" w:cs="Times New Roman"/>
          <w:szCs w:val="20"/>
        </w:rPr>
        <w:t xml:space="preserve">this would recognise that abuse of older people by other family members is also family </w:t>
      </w:r>
      <w:r w:rsidR="00D957E5">
        <w:rPr>
          <w:rFonts w:eastAsia="Times" w:cs="Times New Roman"/>
          <w:szCs w:val="20"/>
        </w:rPr>
        <w:t>violence and</w:t>
      </w:r>
      <w:r w:rsidR="00FE51E0">
        <w:rPr>
          <w:rFonts w:eastAsia="Times" w:cs="Times New Roman"/>
          <w:szCs w:val="20"/>
        </w:rPr>
        <w:t xml:space="preserve"> would </w:t>
      </w:r>
      <w:r w:rsidR="00201A61">
        <w:rPr>
          <w:rFonts w:eastAsia="Times" w:cs="Times New Roman"/>
          <w:szCs w:val="20"/>
        </w:rPr>
        <w:t xml:space="preserve">also </w:t>
      </w:r>
      <w:r w:rsidR="00FE51E0">
        <w:rPr>
          <w:rFonts w:eastAsia="Times" w:cs="Times New Roman"/>
          <w:szCs w:val="20"/>
        </w:rPr>
        <w:t xml:space="preserve">reflect </w:t>
      </w:r>
      <w:r w:rsidR="007E2313">
        <w:rPr>
          <w:rFonts w:eastAsia="Times" w:cs="Times New Roman"/>
          <w:szCs w:val="20"/>
        </w:rPr>
        <w:t xml:space="preserve">that it often involves </w:t>
      </w:r>
      <w:r w:rsidR="00FE51E0">
        <w:rPr>
          <w:rFonts w:eastAsia="Times" w:cs="Times New Roman"/>
          <w:szCs w:val="20"/>
        </w:rPr>
        <w:t>coercively controlling behaviours, including</w:t>
      </w:r>
      <w:r w:rsidR="007E2313">
        <w:rPr>
          <w:rFonts w:eastAsia="Times" w:cs="Times New Roman"/>
          <w:szCs w:val="20"/>
        </w:rPr>
        <w:t xml:space="preserve"> such behaviours</w:t>
      </w:r>
      <w:r w:rsidR="00FE51E0">
        <w:rPr>
          <w:rFonts w:eastAsia="Times" w:cs="Times New Roman"/>
          <w:szCs w:val="20"/>
        </w:rPr>
        <w:t xml:space="preserve"> in the financial context.</w:t>
      </w:r>
      <w:r w:rsidR="00526179">
        <w:rPr>
          <w:rStyle w:val="FootnoteReference"/>
          <w:rFonts w:eastAsia="Times" w:cs="Times New Roman"/>
          <w:szCs w:val="20"/>
        </w:rPr>
        <w:footnoteReference w:id="661"/>
      </w:r>
      <w:r w:rsidR="00FE51E0">
        <w:rPr>
          <w:rFonts w:eastAsia="Times" w:cs="Times New Roman"/>
          <w:szCs w:val="20"/>
        </w:rPr>
        <w:t xml:space="preserve"> </w:t>
      </w:r>
      <w:r w:rsidR="00A4729C">
        <w:rPr>
          <w:rFonts w:eastAsia="Times" w:cs="Times New Roman"/>
          <w:szCs w:val="20"/>
        </w:rPr>
        <w:t xml:space="preserve">Another stakeholder described this gap as </w:t>
      </w:r>
      <w:r w:rsidR="005630A6">
        <w:rPr>
          <w:rFonts w:eastAsia="Times" w:cs="Times New Roman"/>
          <w:szCs w:val="20"/>
        </w:rPr>
        <w:t>particular</w:t>
      </w:r>
      <w:r w:rsidR="00D957E5">
        <w:rPr>
          <w:rFonts w:eastAsia="Times" w:cs="Times New Roman"/>
          <w:szCs w:val="20"/>
        </w:rPr>
        <w:t>ly</w:t>
      </w:r>
      <w:r w:rsidR="005630A6">
        <w:rPr>
          <w:rFonts w:eastAsia="Times" w:cs="Times New Roman"/>
          <w:szCs w:val="20"/>
        </w:rPr>
        <w:t xml:space="preserve"> </w:t>
      </w:r>
      <w:r w:rsidR="00F71B54">
        <w:rPr>
          <w:rFonts w:eastAsia="Times" w:cs="Times New Roman"/>
          <w:szCs w:val="20"/>
        </w:rPr>
        <w:t xml:space="preserve">significant </w:t>
      </w:r>
      <w:r w:rsidR="001D7862">
        <w:rPr>
          <w:rFonts w:eastAsia="Times" w:cs="Times New Roman"/>
          <w:szCs w:val="20"/>
        </w:rPr>
        <w:t>because</w:t>
      </w:r>
      <w:r w:rsidR="00A4729C">
        <w:rPr>
          <w:rFonts w:eastAsia="Times" w:cs="Times New Roman"/>
          <w:szCs w:val="20"/>
        </w:rPr>
        <w:t xml:space="preserve"> </w:t>
      </w:r>
      <w:r w:rsidR="00D957E5">
        <w:rPr>
          <w:rFonts w:eastAsia="Times" w:cs="Times New Roman"/>
          <w:szCs w:val="20"/>
        </w:rPr>
        <w:t>there is</w:t>
      </w:r>
    </w:p>
    <w:p w14:paraId="3520E69C" w14:textId="4CBABE90" w:rsidR="002D15D1" w:rsidRPr="007B5BE6" w:rsidRDefault="00F71B54" w:rsidP="002D15D1">
      <w:pPr>
        <w:spacing w:before="220"/>
        <w:ind w:left="720" w:right="720"/>
        <w:rPr>
          <w:rFonts w:eastAsia="Aptos" w:cs="Times New Roman"/>
          <w:sz w:val="20"/>
          <w:szCs w:val="20"/>
        </w:rPr>
      </w:pPr>
      <w:r w:rsidRPr="00F71B54">
        <w:rPr>
          <w:rFonts w:eastAsia="Aptos" w:cs="Times New Roman"/>
          <w:sz w:val="20"/>
          <w:szCs w:val="20"/>
        </w:rPr>
        <w:t xml:space="preserve">no real mechanisms in place to protect older people from abuse </w:t>
      </w:r>
      <w:r w:rsidR="00CE007A">
        <w:rPr>
          <w:rFonts w:eastAsia="Aptos" w:cs="Times New Roman"/>
          <w:sz w:val="20"/>
          <w:szCs w:val="20"/>
        </w:rPr>
        <w:t>…</w:t>
      </w:r>
      <w:r w:rsidRPr="00F71B54">
        <w:rPr>
          <w:rFonts w:eastAsia="Aptos" w:cs="Times New Roman"/>
          <w:sz w:val="20"/>
          <w:szCs w:val="20"/>
        </w:rPr>
        <w:t xml:space="preserve"> from adult children or their grandchildren </w:t>
      </w:r>
      <w:r w:rsidR="001D7862">
        <w:rPr>
          <w:rFonts w:eastAsia="Aptos" w:cs="Times New Roman"/>
          <w:sz w:val="20"/>
          <w:szCs w:val="20"/>
        </w:rPr>
        <w:t xml:space="preserve">[when </w:t>
      </w:r>
      <w:r w:rsidR="00526179">
        <w:rPr>
          <w:rFonts w:eastAsia="Aptos" w:cs="Times New Roman"/>
          <w:sz w:val="20"/>
          <w:szCs w:val="20"/>
        </w:rPr>
        <w:t xml:space="preserve">that </w:t>
      </w:r>
      <w:r w:rsidR="001E0F5B">
        <w:rPr>
          <w:rFonts w:eastAsia="Aptos" w:cs="Times New Roman"/>
          <w:sz w:val="20"/>
          <w:szCs w:val="20"/>
        </w:rPr>
        <w:t>was</w:t>
      </w:r>
      <w:r w:rsidR="002C5BA1">
        <w:rPr>
          <w:rFonts w:eastAsia="Aptos" w:cs="Times New Roman"/>
          <w:sz w:val="20"/>
          <w:szCs w:val="20"/>
        </w:rPr>
        <w:t xml:space="preserve"> typically</w:t>
      </w:r>
      <w:r w:rsidR="00526179">
        <w:rPr>
          <w:rFonts w:eastAsia="Aptos" w:cs="Times New Roman"/>
          <w:sz w:val="20"/>
          <w:szCs w:val="20"/>
        </w:rPr>
        <w:t>] the highest percentage of cases</w:t>
      </w:r>
      <w:r w:rsidR="00B15A10">
        <w:rPr>
          <w:rFonts w:eastAsia="Aptos" w:cs="Times New Roman"/>
          <w:sz w:val="20"/>
          <w:szCs w:val="20"/>
        </w:rPr>
        <w:t xml:space="preserve"> where [the</w:t>
      </w:r>
      <w:r w:rsidR="00CA4E5D">
        <w:rPr>
          <w:rFonts w:eastAsia="Aptos" w:cs="Times New Roman"/>
          <w:sz w:val="20"/>
          <w:szCs w:val="20"/>
        </w:rPr>
        <w:t xml:space="preserve"> alleged</w:t>
      </w:r>
      <w:r w:rsidR="00B15A10">
        <w:rPr>
          <w:rFonts w:eastAsia="Aptos" w:cs="Times New Roman"/>
          <w:sz w:val="20"/>
          <w:szCs w:val="20"/>
        </w:rPr>
        <w:t xml:space="preserve"> perpetrator] was a close family member</w:t>
      </w:r>
      <w:r w:rsidR="00526179">
        <w:rPr>
          <w:rFonts w:eastAsia="Aptos" w:cs="Times New Roman"/>
          <w:sz w:val="20"/>
          <w:szCs w:val="20"/>
        </w:rPr>
        <w:t>.</w:t>
      </w:r>
      <w:r w:rsidR="00C440A6" w:rsidRPr="007B5BE6">
        <w:rPr>
          <w:rStyle w:val="FootnoteReference"/>
          <w:rFonts w:eastAsia="Aptos" w:cs="Times New Roman"/>
          <w:sz w:val="20"/>
          <w:szCs w:val="20"/>
        </w:rPr>
        <w:footnoteReference w:id="662"/>
      </w:r>
    </w:p>
    <w:p w14:paraId="4A3BD16D" w14:textId="3AC09872" w:rsidR="002D15D1" w:rsidRPr="007B5BE6" w:rsidRDefault="002D15D1" w:rsidP="002D15D1">
      <w:pPr>
        <w:numPr>
          <w:ilvl w:val="2"/>
          <w:numId w:val="2"/>
        </w:numPr>
        <w:tabs>
          <w:tab w:val="left" w:pos="851"/>
        </w:tabs>
        <w:spacing w:before="220"/>
        <w:rPr>
          <w:rFonts w:eastAsia="Times" w:cs="Times New Roman"/>
          <w:szCs w:val="20"/>
        </w:rPr>
      </w:pPr>
      <w:r w:rsidRPr="007B5BE6">
        <w:rPr>
          <w:rFonts w:eastAsia="Times" w:cs="Times New Roman"/>
          <w:szCs w:val="20"/>
        </w:rPr>
        <w:t xml:space="preserve">Additionally, </w:t>
      </w:r>
      <w:r w:rsidR="0073221B" w:rsidRPr="007B5BE6">
        <w:rPr>
          <w:rFonts w:eastAsia="Times" w:cs="Times New Roman"/>
          <w:szCs w:val="20"/>
        </w:rPr>
        <w:t xml:space="preserve">some </w:t>
      </w:r>
      <w:r w:rsidRPr="007B5BE6">
        <w:rPr>
          <w:rFonts w:eastAsia="Times" w:cs="Times New Roman"/>
          <w:szCs w:val="20"/>
        </w:rPr>
        <w:t>stakeholders suggested that</w:t>
      </w:r>
      <w:r w:rsidR="004B4143" w:rsidRPr="007B5BE6">
        <w:rPr>
          <w:rFonts w:eastAsia="Times" w:cs="Times New Roman"/>
          <w:szCs w:val="20"/>
        </w:rPr>
        <w:t>,</w:t>
      </w:r>
      <w:r w:rsidRPr="007B5BE6">
        <w:rPr>
          <w:rFonts w:eastAsia="Times" w:cs="Times New Roman"/>
          <w:szCs w:val="20"/>
        </w:rPr>
        <w:t xml:space="preserve"> </w:t>
      </w:r>
      <w:r w:rsidR="00D66861" w:rsidRPr="007B5BE6">
        <w:rPr>
          <w:rFonts w:eastAsia="Times" w:cs="Times New Roman"/>
          <w:szCs w:val="20"/>
        </w:rPr>
        <w:t>even in circumstances where</w:t>
      </w:r>
      <w:r w:rsidRPr="007B5BE6">
        <w:rPr>
          <w:rFonts w:eastAsia="Times" w:cs="Times New Roman"/>
          <w:szCs w:val="20"/>
        </w:rPr>
        <w:t xml:space="preserve"> abuse of an older person </w:t>
      </w:r>
      <w:r w:rsidR="00D66861" w:rsidRPr="007B5BE6">
        <w:rPr>
          <w:rFonts w:eastAsia="Times" w:cs="Times New Roman"/>
          <w:szCs w:val="20"/>
        </w:rPr>
        <w:t>is</w:t>
      </w:r>
      <w:r w:rsidRPr="007B5BE6">
        <w:rPr>
          <w:rFonts w:eastAsia="Times" w:cs="Times New Roman"/>
          <w:szCs w:val="20"/>
        </w:rPr>
        <w:t xml:space="preserve"> perpetrated </w:t>
      </w:r>
      <w:r w:rsidR="00D66861" w:rsidRPr="007B5BE6">
        <w:rPr>
          <w:rFonts w:eastAsia="Times" w:cs="Times New Roman"/>
          <w:szCs w:val="20"/>
        </w:rPr>
        <w:t xml:space="preserve">within the </w:t>
      </w:r>
      <w:r w:rsidR="00886604" w:rsidRPr="007B5BE6">
        <w:rPr>
          <w:rFonts w:eastAsia="Times" w:cs="Times New Roman"/>
          <w:szCs w:val="20"/>
        </w:rPr>
        <w:t xml:space="preserve">‘significant’ intimate partner relationship context </w:t>
      </w:r>
      <w:r w:rsidRPr="007B5BE6">
        <w:rPr>
          <w:rFonts w:eastAsia="Times" w:cs="Times New Roman"/>
          <w:szCs w:val="20"/>
        </w:rPr>
        <w:t xml:space="preserve">(and </w:t>
      </w:r>
      <w:r w:rsidR="00E83938" w:rsidRPr="007B5BE6">
        <w:rPr>
          <w:rFonts w:eastAsia="Times" w:cs="Times New Roman"/>
          <w:szCs w:val="20"/>
        </w:rPr>
        <w:t>thus w</w:t>
      </w:r>
      <w:r w:rsidR="00886604" w:rsidRPr="007B5BE6">
        <w:rPr>
          <w:rFonts w:eastAsia="Times" w:cs="Times New Roman"/>
          <w:szCs w:val="20"/>
        </w:rPr>
        <w:t>ould be</w:t>
      </w:r>
      <w:r w:rsidR="00E83938" w:rsidRPr="007B5BE6">
        <w:rPr>
          <w:rFonts w:eastAsia="Times" w:cs="Times New Roman"/>
          <w:szCs w:val="20"/>
        </w:rPr>
        <w:t xml:space="preserve"> covered by the </w:t>
      </w:r>
      <w:r w:rsidRPr="007B5BE6">
        <w:rPr>
          <w:rFonts w:eastAsia="Times" w:cs="Times New Roman"/>
          <w:szCs w:val="20"/>
        </w:rPr>
        <w:t xml:space="preserve">current definition of ‘family violence’), it was not typically viewed as such. One stakeholder </w:t>
      </w:r>
      <w:r w:rsidR="004B4143" w:rsidRPr="007B5BE6">
        <w:rPr>
          <w:rFonts w:eastAsia="Times" w:cs="Times New Roman"/>
          <w:szCs w:val="20"/>
        </w:rPr>
        <w:t>suggested</w:t>
      </w:r>
      <w:r w:rsidRPr="007B5BE6">
        <w:rPr>
          <w:rFonts w:eastAsia="Times" w:cs="Times New Roman"/>
          <w:szCs w:val="20"/>
        </w:rPr>
        <w:t xml:space="preserve"> that </w:t>
      </w:r>
      <w:r w:rsidR="0073221B" w:rsidRPr="007B5BE6">
        <w:rPr>
          <w:rFonts w:eastAsia="Times" w:cs="Times New Roman"/>
          <w:szCs w:val="20"/>
        </w:rPr>
        <w:t xml:space="preserve">such </w:t>
      </w:r>
      <w:r w:rsidRPr="007B5BE6">
        <w:rPr>
          <w:rFonts w:eastAsia="Times" w:cs="Times New Roman"/>
          <w:szCs w:val="20"/>
        </w:rPr>
        <w:t xml:space="preserve">reports of abuse to police </w:t>
      </w:r>
      <w:r w:rsidR="00021686" w:rsidRPr="007B5BE6">
        <w:rPr>
          <w:rFonts w:eastAsia="Times" w:cs="Times New Roman"/>
          <w:szCs w:val="20"/>
        </w:rPr>
        <w:t xml:space="preserve">may </w:t>
      </w:r>
      <w:r w:rsidRPr="007B5BE6">
        <w:rPr>
          <w:rFonts w:eastAsia="Times" w:cs="Times New Roman"/>
          <w:szCs w:val="20"/>
        </w:rPr>
        <w:t>not be pursued.</w:t>
      </w:r>
      <w:r w:rsidR="00C440A6" w:rsidRPr="007B5BE6">
        <w:rPr>
          <w:rStyle w:val="FootnoteReference"/>
          <w:rFonts w:eastAsia="Times" w:cs="Times New Roman"/>
          <w:szCs w:val="20"/>
        </w:rPr>
        <w:footnoteReference w:id="663"/>
      </w:r>
      <w:r w:rsidRPr="007B5BE6">
        <w:rPr>
          <w:rFonts w:eastAsia="Times" w:cs="Times New Roman"/>
          <w:szCs w:val="20"/>
        </w:rPr>
        <w:t xml:space="preserve"> Another stakeholder suggested that there </w:t>
      </w:r>
      <w:r w:rsidR="00021686" w:rsidRPr="007B5BE6">
        <w:rPr>
          <w:rFonts w:eastAsia="Times" w:cs="Times New Roman"/>
          <w:szCs w:val="20"/>
        </w:rPr>
        <w:t>can be a</w:t>
      </w:r>
      <w:r w:rsidRPr="007B5BE6">
        <w:rPr>
          <w:rFonts w:eastAsia="Times" w:cs="Times New Roman"/>
          <w:szCs w:val="20"/>
        </w:rPr>
        <w:t xml:space="preserve"> lack of confidence from older people in reporting abuse to the police</w:t>
      </w:r>
      <w:r w:rsidR="009C651E" w:rsidRPr="007B5BE6">
        <w:rPr>
          <w:rFonts w:eastAsia="Times" w:cs="Times New Roman"/>
          <w:szCs w:val="20"/>
        </w:rPr>
        <w:t xml:space="preserve">, </w:t>
      </w:r>
      <w:r w:rsidR="00261EF7" w:rsidRPr="007B5BE6">
        <w:rPr>
          <w:rFonts w:eastAsia="Times" w:cs="Times New Roman"/>
          <w:szCs w:val="20"/>
        </w:rPr>
        <w:t xml:space="preserve">identifying </w:t>
      </w:r>
      <w:r w:rsidR="00642B1B" w:rsidRPr="007B5BE6">
        <w:rPr>
          <w:rFonts w:eastAsia="Times" w:cs="Times New Roman"/>
          <w:szCs w:val="20"/>
        </w:rPr>
        <w:t>two reasons</w:t>
      </w:r>
      <w:r w:rsidR="00261EF7" w:rsidRPr="007B5BE6">
        <w:rPr>
          <w:rFonts w:eastAsia="Times" w:cs="Times New Roman"/>
          <w:szCs w:val="20"/>
        </w:rPr>
        <w:t xml:space="preserve"> </w:t>
      </w:r>
      <w:r w:rsidR="00156BE1" w:rsidRPr="007B5BE6">
        <w:rPr>
          <w:rFonts w:eastAsia="Times" w:cs="Times New Roman"/>
          <w:szCs w:val="20"/>
        </w:rPr>
        <w:t>as</w:t>
      </w:r>
      <w:r w:rsidR="00261EF7" w:rsidRPr="007B5BE6">
        <w:rPr>
          <w:rFonts w:eastAsia="Times" w:cs="Times New Roman"/>
          <w:szCs w:val="20"/>
        </w:rPr>
        <w:t xml:space="preserve"> </w:t>
      </w:r>
      <w:r w:rsidR="00156BE1" w:rsidRPr="007B5BE6">
        <w:rPr>
          <w:rFonts w:eastAsia="Times" w:cs="Times New Roman"/>
          <w:szCs w:val="20"/>
        </w:rPr>
        <w:t xml:space="preserve">perceptions </w:t>
      </w:r>
      <w:r w:rsidR="00642B1B" w:rsidRPr="007B5BE6">
        <w:rPr>
          <w:rFonts w:eastAsia="Times" w:cs="Times New Roman"/>
          <w:szCs w:val="20"/>
        </w:rPr>
        <w:t>around a</w:t>
      </w:r>
      <w:r w:rsidRPr="007B5BE6">
        <w:rPr>
          <w:rFonts w:eastAsia="Times" w:cs="Times New Roman"/>
          <w:szCs w:val="20"/>
        </w:rPr>
        <w:t xml:space="preserve"> lack of enforcement and</w:t>
      </w:r>
      <w:r w:rsidR="00642B1B" w:rsidRPr="007B5BE6">
        <w:rPr>
          <w:rFonts w:eastAsia="Times" w:cs="Times New Roman"/>
          <w:szCs w:val="20"/>
        </w:rPr>
        <w:t xml:space="preserve"> </w:t>
      </w:r>
      <w:r w:rsidRPr="007B5BE6">
        <w:rPr>
          <w:rFonts w:eastAsia="Times" w:cs="Times New Roman"/>
          <w:szCs w:val="20"/>
        </w:rPr>
        <w:t>fear that it might exacerbate the abuse</w:t>
      </w:r>
      <w:r w:rsidRPr="007B5BE6">
        <w:rPr>
          <w:rFonts w:eastAsia="Aptos" w:cs="Times New Roman"/>
        </w:rPr>
        <w:t>.</w:t>
      </w:r>
      <w:r w:rsidR="00C440A6" w:rsidRPr="007B5BE6">
        <w:rPr>
          <w:rStyle w:val="FootnoteReference"/>
          <w:rFonts w:eastAsia="Aptos" w:cs="Times New Roman"/>
        </w:rPr>
        <w:footnoteReference w:id="664"/>
      </w:r>
    </w:p>
    <w:p w14:paraId="73DE2BDE" w14:textId="42CB0E4D" w:rsidR="002D15D1" w:rsidRPr="007B5BE6" w:rsidRDefault="002D15D1" w:rsidP="002D15D1">
      <w:pPr>
        <w:numPr>
          <w:ilvl w:val="2"/>
          <w:numId w:val="2"/>
        </w:numPr>
        <w:tabs>
          <w:tab w:val="left" w:pos="851"/>
        </w:tabs>
        <w:spacing w:before="220"/>
        <w:rPr>
          <w:rFonts w:eastAsia="Times" w:cs="Times New Roman"/>
          <w:szCs w:val="20"/>
        </w:rPr>
      </w:pPr>
      <w:r w:rsidRPr="007B5BE6">
        <w:rPr>
          <w:rFonts w:eastAsia="Times" w:cs="Times New Roman"/>
          <w:szCs w:val="20"/>
        </w:rPr>
        <w:t xml:space="preserve">Other issues raised </w:t>
      </w:r>
      <w:r w:rsidR="00403F65" w:rsidRPr="007B5BE6">
        <w:rPr>
          <w:rFonts w:eastAsia="Times" w:cs="Times New Roman"/>
          <w:szCs w:val="20"/>
        </w:rPr>
        <w:t>by stakeholders in interviews</w:t>
      </w:r>
      <w:r w:rsidR="00C64290" w:rsidRPr="007B5BE6">
        <w:rPr>
          <w:rFonts w:eastAsia="Times" w:cs="Times New Roman"/>
          <w:szCs w:val="20"/>
        </w:rPr>
        <w:t xml:space="preserve"> </w:t>
      </w:r>
      <w:r w:rsidRPr="007B5BE6">
        <w:rPr>
          <w:rFonts w:eastAsia="Times" w:cs="Times New Roman"/>
          <w:szCs w:val="20"/>
        </w:rPr>
        <w:t>related to service provision</w:t>
      </w:r>
      <w:r w:rsidR="007A2076" w:rsidRPr="007B5BE6">
        <w:rPr>
          <w:rFonts w:eastAsia="Times" w:cs="Times New Roman"/>
          <w:szCs w:val="20"/>
        </w:rPr>
        <w:t xml:space="preserve"> in the family violence context. This included a </w:t>
      </w:r>
      <w:r w:rsidRPr="007B5BE6">
        <w:rPr>
          <w:rFonts w:eastAsia="Times" w:cs="Times New Roman"/>
          <w:szCs w:val="20"/>
        </w:rPr>
        <w:t>fragmentation of funding</w:t>
      </w:r>
      <w:r w:rsidR="007A2076" w:rsidRPr="007B5BE6">
        <w:rPr>
          <w:rFonts w:eastAsia="Times" w:cs="Times New Roman"/>
          <w:szCs w:val="20"/>
        </w:rPr>
        <w:t>, which</w:t>
      </w:r>
      <w:r w:rsidR="00C64290" w:rsidRPr="007B5BE6">
        <w:rPr>
          <w:rFonts w:eastAsia="Times" w:cs="Times New Roman"/>
          <w:szCs w:val="20"/>
        </w:rPr>
        <w:t xml:space="preserve"> </w:t>
      </w:r>
      <w:r w:rsidRPr="007B5BE6">
        <w:rPr>
          <w:rFonts w:eastAsia="Times" w:cs="Times New Roman"/>
          <w:szCs w:val="20"/>
        </w:rPr>
        <w:t>creates competition, and t</w:t>
      </w:r>
      <w:r w:rsidR="00E45EB7" w:rsidRPr="007B5BE6">
        <w:rPr>
          <w:rFonts w:eastAsia="Times" w:cs="Times New Roman"/>
          <w:szCs w:val="20"/>
        </w:rPr>
        <w:t>he</w:t>
      </w:r>
      <w:r w:rsidRPr="007B5BE6">
        <w:rPr>
          <w:rFonts w:eastAsia="Times" w:cs="Times New Roman"/>
          <w:szCs w:val="20"/>
        </w:rPr>
        <w:t xml:space="preserve"> </w:t>
      </w:r>
      <w:r w:rsidR="00E45EB7" w:rsidRPr="007B5BE6">
        <w:rPr>
          <w:rFonts w:eastAsia="Times" w:cs="Times New Roman"/>
          <w:szCs w:val="20"/>
        </w:rPr>
        <w:t xml:space="preserve">inadequacy of </w:t>
      </w:r>
      <w:r w:rsidRPr="007B5BE6">
        <w:rPr>
          <w:rFonts w:eastAsia="Times" w:cs="Times New Roman"/>
          <w:szCs w:val="20"/>
        </w:rPr>
        <w:t>current services for older people experiencing intimate partner violence or sexual violence.</w:t>
      </w:r>
      <w:r w:rsidR="00D85DD3" w:rsidRPr="007B5BE6">
        <w:rPr>
          <w:rStyle w:val="FootnoteReference"/>
          <w:rFonts w:eastAsia="Times" w:cs="Times New Roman"/>
          <w:szCs w:val="20"/>
        </w:rPr>
        <w:footnoteReference w:id="665"/>
      </w:r>
      <w:r w:rsidRPr="007B5BE6">
        <w:rPr>
          <w:rFonts w:eastAsia="Times" w:cs="Times New Roman"/>
          <w:szCs w:val="20"/>
        </w:rPr>
        <w:t xml:space="preserve"> </w:t>
      </w:r>
    </w:p>
    <w:p w14:paraId="2D45EBB8" w14:textId="59A2C986" w:rsidR="00BE66D3" w:rsidRPr="007B5BE6" w:rsidRDefault="002D15D1" w:rsidP="002D15D1">
      <w:pPr>
        <w:pStyle w:val="NormalNumberedTextTLRI"/>
      </w:pPr>
      <w:r w:rsidRPr="007B5BE6">
        <w:t xml:space="preserve">Stakeholder interviews highlighted the complex issues that are raised when considering options for addressing </w:t>
      </w:r>
      <w:r w:rsidR="00A93DB7" w:rsidRPr="007B5BE6">
        <w:t>identified</w:t>
      </w:r>
      <w:r w:rsidRPr="007B5BE6">
        <w:t xml:space="preserve"> gaps in relation to civil protection orders. On the one hand, defining the abuse of older people by family members as ‘family violence’ c</w:t>
      </w:r>
      <w:r w:rsidR="009A60FD" w:rsidRPr="007B5BE6">
        <w:t>ould</w:t>
      </w:r>
      <w:r w:rsidRPr="007B5BE6">
        <w:t xml:space="preserve"> play an important role </w:t>
      </w:r>
      <w:r w:rsidR="00A93DB7" w:rsidRPr="007B5BE6">
        <w:t xml:space="preserve">from </w:t>
      </w:r>
      <w:r w:rsidR="007E7ECD" w:rsidRPr="007B5BE6">
        <w:t>a</w:t>
      </w:r>
      <w:r w:rsidRPr="007B5BE6">
        <w:t xml:space="preserve"> public acknowledgement</w:t>
      </w:r>
      <w:r w:rsidR="00A93DB7" w:rsidRPr="007B5BE6">
        <w:t xml:space="preserve"> perspective</w:t>
      </w:r>
      <w:r w:rsidRPr="007B5BE6">
        <w:t>.</w:t>
      </w:r>
      <w:r w:rsidR="00F75EE7">
        <w:rPr>
          <w:rStyle w:val="FootnoteReference"/>
        </w:rPr>
        <w:footnoteReference w:id="666"/>
      </w:r>
      <w:r w:rsidRPr="007B5BE6">
        <w:t xml:space="preserve"> However, concerns </w:t>
      </w:r>
      <w:r w:rsidR="00FB5A82" w:rsidRPr="007B5BE6">
        <w:t>were</w:t>
      </w:r>
      <w:r w:rsidR="00E11894" w:rsidRPr="007B5BE6">
        <w:t xml:space="preserve"> </w:t>
      </w:r>
      <w:r w:rsidRPr="007B5BE6">
        <w:t xml:space="preserve">expressed about </w:t>
      </w:r>
      <w:r w:rsidR="00E11894" w:rsidRPr="007B5BE6">
        <w:t>including</w:t>
      </w:r>
      <w:r w:rsidRPr="007B5BE6">
        <w:t xml:space="preserve"> other family relationships (such as parents</w:t>
      </w:r>
      <w:r w:rsidR="007E7ECD" w:rsidRPr="007B5BE6">
        <w:t xml:space="preserve">, </w:t>
      </w:r>
      <w:r w:rsidRPr="007B5BE6">
        <w:t>grandparents</w:t>
      </w:r>
      <w:r w:rsidR="007E7ECD" w:rsidRPr="007B5BE6">
        <w:t xml:space="preserve">, and </w:t>
      </w:r>
      <w:r w:rsidRPr="007B5BE6">
        <w:t>siblings), in particular with regard to Safe at Home</w:t>
      </w:r>
      <w:r w:rsidR="00E11894" w:rsidRPr="007B5BE6">
        <w:t>’s</w:t>
      </w:r>
      <w:r w:rsidRPr="007B5BE6">
        <w:t xml:space="preserve"> pro-arrest</w:t>
      </w:r>
      <w:r w:rsidR="005F73E1" w:rsidRPr="007B5BE6">
        <w:t>, pro-charge</w:t>
      </w:r>
      <w:r w:rsidRPr="007B5BE6">
        <w:t xml:space="preserve"> and pro-prosecution model in Tasmania.</w:t>
      </w:r>
      <w:r w:rsidR="00D85DD3" w:rsidRPr="007B5BE6">
        <w:rPr>
          <w:rStyle w:val="FootnoteReference"/>
        </w:rPr>
        <w:footnoteReference w:id="667"/>
      </w:r>
      <w:r w:rsidRPr="007B5BE6">
        <w:t xml:space="preserve"> Concerns were raised that an older person’s choice and self-determination could be undermined given the way </w:t>
      </w:r>
      <w:r w:rsidR="005F73E1" w:rsidRPr="007B5BE6">
        <w:t xml:space="preserve">that </w:t>
      </w:r>
      <w:r w:rsidRPr="007B5BE6">
        <w:t>Safe at Home operates</w:t>
      </w:r>
      <w:r w:rsidR="005F73E1" w:rsidRPr="007B5BE6">
        <w:t xml:space="preserve">. This includes </w:t>
      </w:r>
      <w:r w:rsidRPr="007B5BE6">
        <w:t>Tasmania Police having powers to issue police family violence orders for up to 12 months and the pro-arrest</w:t>
      </w:r>
      <w:r w:rsidR="005F73E1" w:rsidRPr="007B5BE6">
        <w:t>, pro-charge</w:t>
      </w:r>
      <w:r w:rsidRPr="007B5BE6">
        <w:t xml:space="preserve"> and pro-prosecution approach. It was suggested that this</w:t>
      </w:r>
      <w:r w:rsidR="008D5171" w:rsidRPr="007B5BE6">
        <w:t xml:space="preserve"> approach</w:t>
      </w:r>
      <w:r w:rsidRPr="007B5BE6">
        <w:t xml:space="preserve"> does not align with </w:t>
      </w:r>
      <w:r w:rsidR="00F73C37" w:rsidRPr="007B5BE6">
        <w:t>a recognition of the</w:t>
      </w:r>
      <w:r w:rsidRPr="007B5BE6">
        <w:t xml:space="preserve"> factors </w:t>
      </w:r>
      <w:r w:rsidR="00486D9F" w:rsidRPr="007B5BE6">
        <w:t>operating as key</w:t>
      </w:r>
      <w:r w:rsidRPr="007B5BE6">
        <w:t xml:space="preserve"> barriers </w:t>
      </w:r>
      <w:r w:rsidR="00486D9F" w:rsidRPr="007B5BE6">
        <w:t>for o</w:t>
      </w:r>
      <w:r w:rsidRPr="007B5BE6">
        <w:t xml:space="preserve">lder people </w:t>
      </w:r>
      <w:r w:rsidR="00486D9F" w:rsidRPr="007B5BE6">
        <w:t xml:space="preserve">to seek </w:t>
      </w:r>
      <w:r w:rsidRPr="007B5BE6">
        <w:t xml:space="preserve">help, </w:t>
      </w:r>
      <w:r w:rsidR="008D5171" w:rsidRPr="007B5BE6">
        <w:t xml:space="preserve">including </w:t>
      </w:r>
      <w:r w:rsidR="00843041" w:rsidRPr="007B5BE6">
        <w:t>that its outcomes include</w:t>
      </w:r>
      <w:r w:rsidRPr="007B5BE6">
        <w:t xml:space="preserve"> </w:t>
      </w:r>
      <w:r w:rsidR="00B4500A" w:rsidRPr="007B5BE6">
        <w:t xml:space="preserve">unwanted </w:t>
      </w:r>
      <w:r w:rsidRPr="007B5BE6">
        <w:t>justice responses</w:t>
      </w:r>
      <w:r w:rsidR="00B4500A" w:rsidRPr="007B5BE6">
        <w:t xml:space="preserve"> for older people’s particular circumstances</w:t>
      </w:r>
      <w:r w:rsidRPr="007B5BE6">
        <w:t>.</w:t>
      </w:r>
      <w:r w:rsidR="00C440A6" w:rsidRPr="007B5BE6">
        <w:rPr>
          <w:rStyle w:val="FootnoteReference"/>
        </w:rPr>
        <w:footnoteReference w:id="668"/>
      </w:r>
      <w:r w:rsidRPr="007B5BE6">
        <w:t xml:space="preserve"> </w:t>
      </w:r>
    </w:p>
    <w:p w14:paraId="090AFC1C" w14:textId="77777777" w:rsidR="00BE66D3" w:rsidRPr="007B5BE6" w:rsidRDefault="00BE66D3">
      <w:pPr>
        <w:spacing w:after="200" w:line="276" w:lineRule="auto"/>
        <w:jc w:val="left"/>
        <w:rPr>
          <w:rFonts w:eastAsia="Times" w:cs="Times New Roman"/>
          <w:szCs w:val="20"/>
        </w:rPr>
      </w:pPr>
      <w:r w:rsidRPr="007B5BE6">
        <w:br w:type="page"/>
      </w:r>
    </w:p>
    <w:p w14:paraId="6E70C649" w14:textId="77777777" w:rsidR="002D15D1" w:rsidRPr="007B5BE6" w:rsidRDefault="002D15D1" w:rsidP="002D15D1">
      <w:pPr>
        <w:pStyle w:val="NormalNumberedTextTLRI"/>
      </w:pPr>
      <w:r w:rsidRPr="007B5BE6">
        <w:lastRenderedPageBreak/>
        <w:t>Such complexities in considering this reform option were reflected in the following comment by a stakeholder:</w:t>
      </w:r>
    </w:p>
    <w:p w14:paraId="7773D38E" w14:textId="1B39D270" w:rsidR="002D15D1" w:rsidRPr="007B5BE6" w:rsidRDefault="002D15D1" w:rsidP="002D15D1">
      <w:pPr>
        <w:pStyle w:val="Indentedquote"/>
        <w:rPr>
          <w:sz w:val="20"/>
          <w:szCs w:val="20"/>
        </w:rPr>
      </w:pPr>
      <w:r w:rsidRPr="007B5BE6">
        <w:rPr>
          <w:sz w:val="20"/>
          <w:szCs w:val="20"/>
        </w:rPr>
        <w:t xml:space="preserve">I think we would need to be </w:t>
      </w:r>
      <w:proofErr w:type="gramStart"/>
      <w:r w:rsidRPr="007B5BE6">
        <w:rPr>
          <w:sz w:val="20"/>
          <w:szCs w:val="20"/>
        </w:rPr>
        <w:t>really careful</w:t>
      </w:r>
      <w:proofErr w:type="gramEnd"/>
      <w:r w:rsidRPr="007B5BE6">
        <w:rPr>
          <w:sz w:val="20"/>
          <w:szCs w:val="20"/>
        </w:rPr>
        <w:t xml:space="preserve"> about </w:t>
      </w:r>
      <w:r w:rsidR="005C0AD9" w:rsidRPr="007B5BE6">
        <w:rPr>
          <w:sz w:val="20"/>
          <w:szCs w:val="20"/>
        </w:rPr>
        <w:t xml:space="preserve">[such] </w:t>
      </w:r>
      <w:r w:rsidRPr="007B5BE6">
        <w:rPr>
          <w:sz w:val="20"/>
          <w:szCs w:val="20"/>
        </w:rPr>
        <w:t xml:space="preserve">laws because I don't think that people really help seek about elder abuse, especially when it's from a child, like from their child, from their offspring. … So … if the definition of family violence was expanded and it included abuse from adult children to their parents … I think the benefit of that is that we would … hopefully increase some … awareness around that being an issue and then there would be a whole lot of work that would need to be done to … create situations where then it's okay to seek help because people will be very reluctant to [do so] … It would need to be … </w:t>
      </w:r>
      <w:proofErr w:type="gramStart"/>
      <w:r w:rsidRPr="007B5BE6">
        <w:rPr>
          <w:sz w:val="20"/>
          <w:szCs w:val="20"/>
        </w:rPr>
        <w:t>really discreet</w:t>
      </w:r>
      <w:proofErr w:type="gramEnd"/>
      <w:r w:rsidRPr="007B5BE6">
        <w:rPr>
          <w:sz w:val="20"/>
          <w:szCs w:val="20"/>
        </w:rPr>
        <w:t xml:space="preserve"> and really nuanced and I would even suggest that that there would … be people who won't seek help if, because of the possible legal ramifications for their kids.  … </w:t>
      </w:r>
    </w:p>
    <w:p w14:paraId="3187E44D" w14:textId="2A29002C" w:rsidR="002D15D1" w:rsidRPr="007B5BE6" w:rsidRDefault="002D15D1" w:rsidP="002D15D1">
      <w:pPr>
        <w:pStyle w:val="Indentedquote"/>
        <w:rPr>
          <w:sz w:val="20"/>
          <w:szCs w:val="20"/>
        </w:rPr>
      </w:pPr>
      <w:r w:rsidRPr="007B5BE6">
        <w:rPr>
          <w:sz w:val="20"/>
          <w:szCs w:val="20"/>
        </w:rPr>
        <w:t xml:space="preserve">[T]he definition of family violence should … include all forms of violence within domestic situations and family situations … because we need to declare an intolerance of it. … But I also think that we need to be incredibly careful then about what that </w:t>
      </w:r>
      <w:proofErr w:type="gramStart"/>
      <w:r w:rsidRPr="007B5BE6">
        <w:rPr>
          <w:sz w:val="20"/>
          <w:szCs w:val="20"/>
        </w:rPr>
        <w:t>actually would</w:t>
      </w:r>
      <w:proofErr w:type="gramEnd"/>
      <w:r w:rsidRPr="007B5BE6">
        <w:rPr>
          <w:sz w:val="20"/>
          <w:szCs w:val="20"/>
        </w:rPr>
        <w:t xml:space="preserve"> look like for victim</w:t>
      </w:r>
      <w:r w:rsidR="009C4A99" w:rsidRPr="007B5BE6">
        <w:rPr>
          <w:sz w:val="20"/>
          <w:szCs w:val="20"/>
        </w:rPr>
        <w:t>-</w:t>
      </w:r>
      <w:r w:rsidRPr="007B5BE6">
        <w:rPr>
          <w:sz w:val="20"/>
          <w:szCs w:val="20"/>
        </w:rPr>
        <w:t xml:space="preserve">survivors </w:t>
      </w:r>
      <w:proofErr w:type="gramStart"/>
      <w:r w:rsidRPr="007B5BE6">
        <w:rPr>
          <w:sz w:val="20"/>
          <w:szCs w:val="20"/>
        </w:rPr>
        <w:t>in reality and</w:t>
      </w:r>
      <w:proofErr w:type="gramEnd"/>
      <w:r w:rsidRPr="007B5BE6">
        <w:rPr>
          <w:sz w:val="20"/>
          <w:szCs w:val="20"/>
        </w:rPr>
        <w:t xml:space="preserve"> what outcome … we're wanting to achieve for them because that justice outcome isn't probably going to be something that they're looking to pursue … alongside that legal declaration</w:t>
      </w:r>
      <w:r w:rsidR="0082623F" w:rsidRPr="007B5BE6">
        <w:rPr>
          <w:sz w:val="20"/>
          <w:szCs w:val="20"/>
        </w:rPr>
        <w:t>.</w:t>
      </w:r>
      <w:r w:rsidRPr="007B5BE6">
        <w:rPr>
          <w:sz w:val="20"/>
          <w:szCs w:val="20"/>
        </w:rPr>
        <w:t xml:space="preserve"> … We want our laws to reflect our community values</w:t>
      </w:r>
      <w:r w:rsidR="0082623F" w:rsidRPr="007B5BE6">
        <w:rPr>
          <w:sz w:val="20"/>
          <w:szCs w:val="20"/>
        </w:rPr>
        <w:t>,</w:t>
      </w:r>
      <w:r w:rsidRPr="007B5BE6">
        <w:rPr>
          <w:sz w:val="20"/>
          <w:szCs w:val="20"/>
        </w:rPr>
        <w:t xml:space="preserve"> but we also want there to be … community-based mechanisms for people to be able to get the help that they need when … the legal response isn't going to be something that they're seeking.</w:t>
      </w:r>
      <w:r w:rsidR="00711A51" w:rsidRPr="007B5BE6">
        <w:rPr>
          <w:rStyle w:val="FootnoteReference"/>
          <w:sz w:val="20"/>
          <w:szCs w:val="20"/>
        </w:rPr>
        <w:footnoteReference w:id="669"/>
      </w:r>
      <w:r w:rsidRPr="007B5BE6">
        <w:rPr>
          <w:sz w:val="20"/>
          <w:szCs w:val="20"/>
        </w:rPr>
        <w:t xml:space="preserve"> </w:t>
      </w:r>
    </w:p>
    <w:p w14:paraId="454E1F3C" w14:textId="717897EF" w:rsidR="002D15D1" w:rsidRPr="007B5BE6" w:rsidRDefault="00372FF3" w:rsidP="009A60FD">
      <w:pPr>
        <w:pStyle w:val="NormalNumberedTextTLRI"/>
      </w:pPr>
      <w:r w:rsidRPr="007B5BE6">
        <w:t>A s</w:t>
      </w:r>
      <w:r w:rsidR="0082623F" w:rsidRPr="007B5BE6">
        <w:t xml:space="preserve">takeholder </w:t>
      </w:r>
      <w:r w:rsidR="002D15D1" w:rsidRPr="007B5BE6">
        <w:t xml:space="preserve">also expressed </w:t>
      </w:r>
      <w:r w:rsidRPr="007B5BE6">
        <w:t>a</w:t>
      </w:r>
      <w:r w:rsidR="007626BC" w:rsidRPr="007B5BE6">
        <w:t xml:space="preserve"> concern about </w:t>
      </w:r>
      <w:r w:rsidR="002D15D1" w:rsidRPr="007B5BE6">
        <w:t xml:space="preserve">how </w:t>
      </w:r>
      <w:r w:rsidR="00944490" w:rsidRPr="007B5BE6">
        <w:t xml:space="preserve">an expanded </w:t>
      </w:r>
      <w:r w:rsidR="002D15D1" w:rsidRPr="007B5BE6">
        <w:t xml:space="preserve">definition would operate in practice </w:t>
      </w:r>
      <w:r w:rsidR="007215C6" w:rsidRPr="007B5BE6">
        <w:t xml:space="preserve">in </w:t>
      </w:r>
      <w:r w:rsidR="00C07F14" w:rsidRPr="007B5BE6">
        <w:t xml:space="preserve">terms of </w:t>
      </w:r>
      <w:r w:rsidR="00AE0234" w:rsidRPr="007B5BE6">
        <w:t xml:space="preserve">information gathering by </w:t>
      </w:r>
      <w:r w:rsidR="002D15D1" w:rsidRPr="007B5BE6">
        <w:t>police</w:t>
      </w:r>
      <w:r w:rsidR="00AE0234" w:rsidRPr="007B5BE6">
        <w:t xml:space="preserve"> when </w:t>
      </w:r>
      <w:r w:rsidR="00C07F14" w:rsidRPr="007B5BE6">
        <w:t>r</w:t>
      </w:r>
      <w:r w:rsidR="002D15D1" w:rsidRPr="007B5BE6">
        <w:t>espond</w:t>
      </w:r>
      <w:r w:rsidR="00AE0234" w:rsidRPr="007B5BE6">
        <w:t>ing</w:t>
      </w:r>
      <w:r w:rsidR="002D15D1" w:rsidRPr="007B5BE6">
        <w:t xml:space="preserve"> to an incident</w:t>
      </w:r>
      <w:r w:rsidR="00CC044E" w:rsidRPr="007B5BE6">
        <w:t xml:space="preserve"> involving a report of abuse of an older person</w:t>
      </w:r>
      <w:r w:rsidR="002D15D1" w:rsidRPr="007B5BE6">
        <w:t xml:space="preserve">. For example, </w:t>
      </w:r>
      <w:r w:rsidR="0046448D" w:rsidRPr="007B5BE6">
        <w:t xml:space="preserve">it was observed that </w:t>
      </w:r>
      <w:r w:rsidR="002D15D1" w:rsidRPr="007B5BE6">
        <w:t>when</w:t>
      </w:r>
      <w:r w:rsidR="00FC7AB7" w:rsidRPr="007B5BE6">
        <w:t xml:space="preserve"> professionals</w:t>
      </w:r>
      <w:r w:rsidR="002D15D1" w:rsidRPr="007B5BE6">
        <w:t xml:space="preserve"> seek to gather information </w:t>
      </w:r>
      <w:r w:rsidR="00FC7AB7" w:rsidRPr="007B5BE6">
        <w:t>from an</w:t>
      </w:r>
      <w:r w:rsidR="007215C6" w:rsidRPr="007B5BE6">
        <w:t xml:space="preserve"> </w:t>
      </w:r>
      <w:r w:rsidR="002D15D1" w:rsidRPr="007B5BE6">
        <w:t xml:space="preserve">older person </w:t>
      </w:r>
      <w:r w:rsidR="00985616" w:rsidRPr="007B5BE6">
        <w:t xml:space="preserve">with </w:t>
      </w:r>
      <w:r w:rsidR="002D15D1" w:rsidRPr="007B5BE6">
        <w:t>a cognitive</w:t>
      </w:r>
      <w:r w:rsidR="00985616" w:rsidRPr="007B5BE6">
        <w:t xml:space="preserve"> </w:t>
      </w:r>
      <w:r w:rsidR="002D15D1" w:rsidRPr="007B5BE6">
        <w:t>or</w:t>
      </w:r>
      <w:r w:rsidR="00985616" w:rsidRPr="007B5BE6">
        <w:t xml:space="preserve"> </w:t>
      </w:r>
      <w:r w:rsidR="002D15D1" w:rsidRPr="007B5BE6">
        <w:t xml:space="preserve">physical impairment (such as being deaf or blind), </w:t>
      </w:r>
      <w:r w:rsidR="00985616" w:rsidRPr="007B5BE6">
        <w:t>they can</w:t>
      </w:r>
      <w:r w:rsidR="003D3542" w:rsidRPr="007B5BE6">
        <w:t xml:space="preserve"> assum</w:t>
      </w:r>
      <w:r w:rsidR="00985616" w:rsidRPr="007B5BE6">
        <w:t>e</w:t>
      </w:r>
      <w:r w:rsidR="003D3542" w:rsidRPr="007B5BE6">
        <w:t xml:space="preserve"> t</w:t>
      </w:r>
      <w:r w:rsidR="002D15D1" w:rsidRPr="007B5BE6">
        <w:t xml:space="preserve">hat the older person cannot understand or communicate, </w:t>
      </w:r>
      <w:r w:rsidR="003D3542" w:rsidRPr="007B5BE6">
        <w:t>resulting in an</w:t>
      </w:r>
      <w:r w:rsidR="002D15D1" w:rsidRPr="007B5BE6">
        <w:t xml:space="preserve"> automatic tendency to turn to</w:t>
      </w:r>
      <w:r w:rsidR="003D3542" w:rsidRPr="007B5BE6">
        <w:t>,</w:t>
      </w:r>
      <w:r w:rsidR="002D15D1" w:rsidRPr="007B5BE6">
        <w:t xml:space="preserve"> and communicate</w:t>
      </w:r>
      <w:r w:rsidR="003D3542" w:rsidRPr="007B5BE6">
        <w:t>,</w:t>
      </w:r>
      <w:r w:rsidR="002D15D1" w:rsidRPr="007B5BE6">
        <w:t xml:space="preserve"> with their carer. The stakeholder noted the frequency of this occurring in clinical contexts, resulting in health practitioners defaulting to getting the information from </w:t>
      </w:r>
      <w:r w:rsidR="003D3542" w:rsidRPr="007B5BE6">
        <w:t>an older person’s</w:t>
      </w:r>
      <w:r w:rsidR="002D15D1" w:rsidRPr="007B5BE6">
        <w:t xml:space="preserve"> carer or support person.</w:t>
      </w:r>
      <w:r w:rsidR="00711A51" w:rsidRPr="007B5BE6">
        <w:rPr>
          <w:rStyle w:val="FootnoteReference"/>
        </w:rPr>
        <w:footnoteReference w:id="670"/>
      </w:r>
      <w:r w:rsidR="002D15D1" w:rsidRPr="007B5BE6">
        <w:t xml:space="preserve"> </w:t>
      </w:r>
      <w:r w:rsidR="003D3542" w:rsidRPr="007B5BE6">
        <w:t xml:space="preserve">The </w:t>
      </w:r>
      <w:r w:rsidR="002D15D1" w:rsidRPr="007B5BE6">
        <w:t>TLRI notes that communication assistance and support could assist, su</w:t>
      </w:r>
      <w:r w:rsidR="00CB1231" w:rsidRPr="007B5BE6">
        <w:t>ch</w:t>
      </w:r>
      <w:r w:rsidR="002D15D1" w:rsidRPr="007B5BE6">
        <w:t xml:space="preserve"> that </w:t>
      </w:r>
      <w:r w:rsidR="00CB1231" w:rsidRPr="007B5BE6">
        <w:t xml:space="preserve">in these circumstances, </w:t>
      </w:r>
      <w:r w:rsidR="002D15D1" w:rsidRPr="007B5BE6">
        <w:t xml:space="preserve">communication difficulties should not be barrier to the application of the law (see </w:t>
      </w:r>
      <w:r w:rsidR="00582958" w:rsidRPr="007B5BE6">
        <w:t xml:space="preserve">[5.6.12]–[5.6.13] </w:t>
      </w:r>
      <w:r w:rsidR="002D15D1" w:rsidRPr="007B5BE6">
        <w:t xml:space="preserve">and </w:t>
      </w:r>
      <w:r w:rsidR="002D15D1" w:rsidRPr="007B5BE6">
        <w:rPr>
          <w:b/>
          <w:bCs/>
        </w:rPr>
        <w:t xml:space="preserve">Recommendation </w:t>
      </w:r>
      <w:r w:rsidR="00721983" w:rsidRPr="007B5BE6">
        <w:rPr>
          <w:b/>
          <w:bCs/>
        </w:rPr>
        <w:t>31</w:t>
      </w:r>
      <w:r w:rsidR="00721983" w:rsidRPr="007B5BE6">
        <w:t xml:space="preserve">). </w:t>
      </w:r>
    </w:p>
    <w:p w14:paraId="0881029D" w14:textId="1F2764D8" w:rsidR="0072268B" w:rsidRPr="007B5BE6" w:rsidRDefault="0072268B" w:rsidP="00E07B8B">
      <w:pPr>
        <w:pStyle w:val="Sub-HeadingTLRI"/>
        <w:spacing w:before="360"/>
      </w:pPr>
      <w:bookmarkStart w:id="608" w:name="_Toc212561812"/>
      <w:r w:rsidRPr="007B5BE6">
        <w:t>ALRC’s recommendations</w:t>
      </w:r>
      <w:bookmarkEnd w:id="608"/>
      <w:r w:rsidRPr="007B5BE6">
        <w:t xml:space="preserve"> </w:t>
      </w:r>
    </w:p>
    <w:p w14:paraId="584DEFB7" w14:textId="40032B0A" w:rsidR="0072268B" w:rsidRPr="007B5BE6" w:rsidRDefault="0072268B" w:rsidP="0072268B">
      <w:pPr>
        <w:pStyle w:val="NormalNumberedTextTLRI"/>
      </w:pPr>
      <w:r w:rsidRPr="007B5BE6">
        <w:t xml:space="preserve">The </w:t>
      </w:r>
      <w:r w:rsidR="008C39BD" w:rsidRPr="007B5BE6">
        <w:t>Australian Law Reform Commission (‘</w:t>
      </w:r>
      <w:r w:rsidRPr="007B5BE6">
        <w:t>ALRC</w:t>
      </w:r>
      <w:r w:rsidR="008C39BD" w:rsidRPr="007B5BE6">
        <w:t>’)</w:t>
      </w:r>
      <w:r w:rsidRPr="007B5BE6">
        <w:t xml:space="preserve"> did not comprehensively review </w:t>
      </w:r>
      <w:r w:rsidR="007D6FB2" w:rsidRPr="007B5BE6">
        <w:t xml:space="preserve">civil protection </w:t>
      </w:r>
      <w:r w:rsidRPr="007B5BE6">
        <w:t xml:space="preserve">orders as a reform option for improving responses to </w:t>
      </w:r>
      <w:r w:rsidR="009C626C" w:rsidRPr="007B5BE6">
        <w:t xml:space="preserve">the </w:t>
      </w:r>
      <w:r w:rsidRPr="007B5BE6">
        <w:t>abuse of older people</w:t>
      </w:r>
      <w:r w:rsidR="009C626C" w:rsidRPr="007B5BE6">
        <w:t xml:space="preserve">. However, it did </w:t>
      </w:r>
      <w:r w:rsidRPr="007B5BE6">
        <w:t>refer to the fact that there were ‘comprehensive family violence frameworks in all jurisdictions that provide for quasi-criminal protective response</w:t>
      </w:r>
      <w:r w:rsidR="00C23B26" w:rsidRPr="007B5BE6">
        <w:t>s</w:t>
      </w:r>
      <w:r w:rsidRPr="007B5BE6">
        <w:t>, which may be relevant for older people experiencing elder abuse in domestic settings</w:t>
      </w:r>
      <w:r w:rsidR="00B518A8" w:rsidRPr="007B5BE6">
        <w:t>’</w:t>
      </w:r>
      <w:r w:rsidRPr="007B5BE6">
        <w:t>.</w:t>
      </w:r>
      <w:r w:rsidRPr="007B5BE6">
        <w:rPr>
          <w:rStyle w:val="FootnoteReference"/>
        </w:rPr>
        <w:footnoteReference w:id="671"/>
      </w:r>
    </w:p>
    <w:p w14:paraId="21727E9C" w14:textId="77777777" w:rsidR="00BE66D3" w:rsidRPr="007B5BE6" w:rsidRDefault="00BE66D3">
      <w:pPr>
        <w:spacing w:after="200" w:line="276" w:lineRule="auto"/>
        <w:jc w:val="left"/>
        <w:rPr>
          <w:rFonts w:eastAsia="Times" w:cs="Times New Roman"/>
          <w:b/>
          <w:i/>
          <w:szCs w:val="20"/>
        </w:rPr>
      </w:pPr>
      <w:r w:rsidRPr="007B5BE6">
        <w:br w:type="page"/>
      </w:r>
    </w:p>
    <w:p w14:paraId="611122A7" w14:textId="76E3EFC6" w:rsidR="002D15D1" w:rsidRPr="007B5BE6" w:rsidRDefault="002D15D1" w:rsidP="00E07B8B">
      <w:pPr>
        <w:pStyle w:val="Sub-HeadingTLRI"/>
        <w:spacing w:before="360"/>
      </w:pPr>
      <w:bookmarkStart w:id="609" w:name="_Toc212561813"/>
      <w:r w:rsidRPr="007B5BE6">
        <w:lastRenderedPageBreak/>
        <w:t>Approaches in other jurisdictions</w:t>
      </w:r>
      <w:bookmarkEnd w:id="609"/>
    </w:p>
    <w:p w14:paraId="696B430C" w14:textId="005E3817" w:rsidR="002D15D1" w:rsidRPr="007B5BE6" w:rsidRDefault="002D15D1" w:rsidP="002D15D1">
      <w:pPr>
        <w:pStyle w:val="NormalNumberedTextTLRI"/>
      </w:pPr>
      <w:r w:rsidRPr="007B5BE6">
        <w:t xml:space="preserve">As noted, the approach to defining the scope of family violence </w:t>
      </w:r>
      <w:r w:rsidR="008B3411" w:rsidRPr="007B5BE6">
        <w:t xml:space="preserve">in Tasmania </w:t>
      </w:r>
      <w:r w:rsidRPr="007B5BE6">
        <w:t>differs to the approach in other Australian jurisdictions, where it is not limited to current and former partners.</w:t>
      </w:r>
      <w:r w:rsidR="00771172" w:rsidRPr="007B5BE6">
        <w:rPr>
          <w:rStyle w:val="FootnoteReference"/>
        </w:rPr>
        <w:footnoteReference w:id="672"/>
      </w:r>
      <w:r w:rsidRPr="007B5BE6">
        <w:t xml:space="preserve"> </w:t>
      </w:r>
      <w:r w:rsidR="008B3411" w:rsidRPr="007B5BE6">
        <w:t>Models in e</w:t>
      </w:r>
      <w:r w:rsidRPr="007B5BE6">
        <w:t xml:space="preserve">ach other state and territory </w:t>
      </w:r>
      <w:r w:rsidR="008924A4" w:rsidRPr="007B5BE6">
        <w:t xml:space="preserve">apply a </w:t>
      </w:r>
      <w:r w:rsidRPr="007B5BE6">
        <w:t>different approach</w:t>
      </w:r>
      <w:r w:rsidR="007C61F7" w:rsidRPr="007B5BE6">
        <w:t xml:space="preserve"> for the operation of family violence laws, including the</w:t>
      </w:r>
      <w:r w:rsidRPr="007B5BE6">
        <w:t xml:space="preserve"> legislative definition of family violence (and the relationships included).</w:t>
      </w:r>
      <w:r w:rsidR="00F276B4" w:rsidRPr="007B5BE6">
        <w:rPr>
          <w:rStyle w:val="FootnoteReference"/>
        </w:rPr>
        <w:footnoteReference w:id="673"/>
      </w:r>
      <w:r w:rsidRPr="007B5BE6">
        <w:t xml:space="preserve"> </w:t>
      </w:r>
    </w:p>
    <w:p w14:paraId="52F81028" w14:textId="687CDD77" w:rsidR="002D15D1" w:rsidRPr="007B5BE6" w:rsidRDefault="00CE301C" w:rsidP="00DC5E12">
      <w:pPr>
        <w:numPr>
          <w:ilvl w:val="2"/>
          <w:numId w:val="2"/>
        </w:numPr>
        <w:tabs>
          <w:tab w:val="left" w:pos="851"/>
        </w:tabs>
        <w:spacing w:before="220"/>
      </w:pPr>
      <w:r w:rsidRPr="007B5BE6">
        <w:rPr>
          <w:rFonts w:eastAsia="Times" w:cs="Times New Roman"/>
          <w:szCs w:val="20"/>
        </w:rPr>
        <w:t>Some Australian research</w:t>
      </w:r>
      <w:r w:rsidR="00A120CF" w:rsidRPr="007B5BE6">
        <w:rPr>
          <w:rFonts w:eastAsia="Times" w:cs="Times New Roman"/>
          <w:szCs w:val="20"/>
        </w:rPr>
        <w:t xml:space="preserve"> has identified</w:t>
      </w:r>
      <w:r w:rsidR="0021239F" w:rsidRPr="007B5BE6">
        <w:rPr>
          <w:rFonts w:eastAsia="Times" w:cs="Times New Roman"/>
          <w:szCs w:val="20"/>
        </w:rPr>
        <w:t>,</w:t>
      </w:r>
      <w:r w:rsidR="00A120CF" w:rsidRPr="007B5BE6">
        <w:rPr>
          <w:rFonts w:eastAsia="Times" w:cs="Times New Roman"/>
          <w:szCs w:val="20"/>
        </w:rPr>
        <w:t xml:space="preserve"> </w:t>
      </w:r>
      <w:r w:rsidRPr="007B5BE6">
        <w:rPr>
          <w:rFonts w:eastAsia="Times" w:cs="Times New Roman"/>
          <w:szCs w:val="20"/>
        </w:rPr>
        <w:t xml:space="preserve">in </w:t>
      </w:r>
      <w:r w:rsidR="00DC5E12" w:rsidRPr="007B5BE6">
        <w:rPr>
          <w:rFonts w:eastAsia="Times" w:cs="Times New Roman"/>
          <w:szCs w:val="20"/>
        </w:rPr>
        <w:t>jurisdictions</w:t>
      </w:r>
      <w:r w:rsidR="00335682" w:rsidRPr="007B5BE6">
        <w:rPr>
          <w:rFonts w:eastAsia="Times" w:cs="Times New Roman"/>
          <w:szCs w:val="20"/>
        </w:rPr>
        <w:t xml:space="preserve"> where </w:t>
      </w:r>
      <w:r w:rsidR="00CB6D8E" w:rsidRPr="007B5BE6">
        <w:rPr>
          <w:rFonts w:eastAsia="Times" w:cs="Times New Roman"/>
          <w:szCs w:val="20"/>
        </w:rPr>
        <w:t xml:space="preserve">the definition of </w:t>
      </w:r>
      <w:r w:rsidR="00DC5E12" w:rsidRPr="007B5BE6">
        <w:rPr>
          <w:rFonts w:eastAsia="Times" w:cs="Times New Roman"/>
          <w:szCs w:val="20"/>
        </w:rPr>
        <w:t>family violence include</w:t>
      </w:r>
      <w:r w:rsidR="00CB6D8E" w:rsidRPr="007B5BE6">
        <w:rPr>
          <w:rFonts w:eastAsia="Times" w:cs="Times New Roman"/>
          <w:szCs w:val="20"/>
        </w:rPr>
        <w:t>s</w:t>
      </w:r>
      <w:r w:rsidR="00DC5E12" w:rsidRPr="007B5BE6">
        <w:rPr>
          <w:rFonts w:eastAsia="Times" w:cs="Times New Roman"/>
          <w:szCs w:val="20"/>
        </w:rPr>
        <w:t xml:space="preserve"> abuse </w:t>
      </w:r>
      <w:r w:rsidRPr="007B5BE6">
        <w:rPr>
          <w:rFonts w:eastAsia="Times" w:cs="Times New Roman"/>
          <w:szCs w:val="20"/>
        </w:rPr>
        <w:t xml:space="preserve">of </w:t>
      </w:r>
      <w:r w:rsidR="00DC5E12" w:rsidRPr="007B5BE6">
        <w:rPr>
          <w:rFonts w:eastAsia="Times" w:cs="Times New Roman"/>
          <w:szCs w:val="20"/>
        </w:rPr>
        <w:t>older people</w:t>
      </w:r>
      <w:r w:rsidRPr="007B5BE6">
        <w:rPr>
          <w:rFonts w:eastAsia="Times" w:cs="Times New Roman"/>
          <w:szCs w:val="20"/>
        </w:rPr>
        <w:t xml:space="preserve"> in a broader range of relationships</w:t>
      </w:r>
      <w:r w:rsidR="00A120CF" w:rsidRPr="007B5BE6">
        <w:rPr>
          <w:rFonts w:eastAsia="Times" w:cs="Times New Roman"/>
          <w:szCs w:val="20"/>
        </w:rPr>
        <w:t xml:space="preserve">, </w:t>
      </w:r>
      <w:r w:rsidR="00DC5E12" w:rsidRPr="007B5BE6">
        <w:rPr>
          <w:rFonts w:eastAsia="Times" w:cs="Times New Roman"/>
          <w:szCs w:val="20"/>
        </w:rPr>
        <w:t>a</w:t>
      </w:r>
      <w:r w:rsidR="009A60FD" w:rsidRPr="007B5BE6">
        <w:rPr>
          <w:rFonts w:eastAsia="Times" w:cs="Times New Roman"/>
          <w:szCs w:val="20"/>
        </w:rPr>
        <w:t xml:space="preserve"> lack of support for older people</w:t>
      </w:r>
      <w:r w:rsidR="00DC5E12" w:rsidRPr="007B5BE6">
        <w:rPr>
          <w:rFonts w:eastAsia="Times" w:cs="Times New Roman"/>
          <w:szCs w:val="20"/>
        </w:rPr>
        <w:t>,</w:t>
      </w:r>
      <w:r w:rsidR="00A06CA7" w:rsidRPr="007B5BE6">
        <w:rPr>
          <w:rStyle w:val="FootnoteReference"/>
          <w:rFonts w:eastAsia="Times" w:cs="Times New Roman"/>
          <w:szCs w:val="20"/>
        </w:rPr>
        <w:footnoteReference w:id="674"/>
      </w:r>
      <w:r w:rsidR="009A60FD" w:rsidRPr="007B5BE6">
        <w:rPr>
          <w:rFonts w:eastAsia="Times" w:cs="Times New Roman"/>
          <w:szCs w:val="20"/>
        </w:rPr>
        <w:t xml:space="preserve"> and the need for more family violence support services that are age inclusive.</w:t>
      </w:r>
      <w:r w:rsidR="00A06CA7" w:rsidRPr="007B5BE6">
        <w:rPr>
          <w:rStyle w:val="FootnoteReference"/>
          <w:rFonts w:eastAsia="Times" w:cs="Times New Roman"/>
          <w:szCs w:val="20"/>
        </w:rPr>
        <w:footnoteReference w:id="675"/>
      </w:r>
      <w:r w:rsidR="00CB6D8E" w:rsidRPr="007B5BE6">
        <w:rPr>
          <w:rFonts w:eastAsia="Times" w:cs="Times New Roman"/>
          <w:szCs w:val="20"/>
        </w:rPr>
        <w:t xml:space="preserve"> For example, </w:t>
      </w:r>
      <w:r w:rsidR="002D15D1" w:rsidRPr="007B5BE6">
        <w:t xml:space="preserve"> </w:t>
      </w:r>
      <w:r w:rsidR="00D336DF" w:rsidRPr="007B5BE6">
        <w:t xml:space="preserve">research by </w:t>
      </w:r>
      <w:r w:rsidR="002D15D1" w:rsidRPr="007B5BE6">
        <w:t>Better Place</w:t>
      </w:r>
      <w:r w:rsidR="00D336DF" w:rsidRPr="007B5BE6">
        <w:t xml:space="preserve"> </w:t>
      </w:r>
      <w:r w:rsidR="002D15D1" w:rsidRPr="007B5BE6">
        <w:t>involv</w:t>
      </w:r>
      <w:r w:rsidR="00D336DF" w:rsidRPr="007B5BE6">
        <w:t>ed</w:t>
      </w:r>
      <w:r w:rsidR="002D15D1" w:rsidRPr="007B5BE6">
        <w:t xml:space="preserve"> interviews with family violence practitioners on the operation of civil protection orders in Victoria for older people</w:t>
      </w:r>
      <w:r w:rsidR="00D336DF" w:rsidRPr="007B5BE6">
        <w:t>. The research</w:t>
      </w:r>
      <w:r w:rsidR="002D15D1" w:rsidRPr="007B5BE6">
        <w:t xml:space="preserve"> found that there can be benefits </w:t>
      </w:r>
      <w:r w:rsidR="004B0B50" w:rsidRPr="007B5BE6">
        <w:t xml:space="preserve">to </w:t>
      </w:r>
      <w:r w:rsidR="002D15D1" w:rsidRPr="007B5BE6">
        <w:t>seeking and obtaining such orders</w:t>
      </w:r>
      <w:r w:rsidR="00D336DF" w:rsidRPr="007B5BE6">
        <w:t xml:space="preserve">, </w:t>
      </w:r>
      <w:r w:rsidR="002D15D1" w:rsidRPr="007B5BE6">
        <w:t>includ</w:t>
      </w:r>
      <w:r w:rsidR="00D336DF" w:rsidRPr="007B5BE6">
        <w:t>ing</w:t>
      </w:r>
      <w:r w:rsidR="002D15D1" w:rsidRPr="007B5BE6">
        <w:t xml:space="preserve"> that they:</w:t>
      </w:r>
    </w:p>
    <w:p w14:paraId="11909E7C" w14:textId="5FA8AE94" w:rsidR="002D15D1" w:rsidRPr="007B5BE6" w:rsidRDefault="00427851" w:rsidP="002D15D1">
      <w:pPr>
        <w:pStyle w:val="DotPointTLRI"/>
      </w:pPr>
      <w:r w:rsidRPr="007B5BE6">
        <w:t>c</w:t>
      </w:r>
      <w:r w:rsidR="0030352A" w:rsidRPr="007B5BE6">
        <w:t xml:space="preserve">an </w:t>
      </w:r>
      <w:r w:rsidR="002D15D1" w:rsidRPr="007B5BE6">
        <w:t xml:space="preserve">secure immediate safety by excluding </w:t>
      </w:r>
      <w:r w:rsidR="004B0B50" w:rsidRPr="007B5BE6">
        <w:t xml:space="preserve">a </w:t>
      </w:r>
      <w:r w:rsidR="002D15D1" w:rsidRPr="007B5BE6">
        <w:t xml:space="preserve">perpetrator from </w:t>
      </w:r>
      <w:r w:rsidR="004B0B50" w:rsidRPr="007B5BE6">
        <w:t xml:space="preserve">the </w:t>
      </w:r>
      <w:r w:rsidR="002D15D1" w:rsidRPr="007B5BE6">
        <w:t xml:space="preserve">home; </w:t>
      </w:r>
    </w:p>
    <w:p w14:paraId="741CA740" w14:textId="22493ECB" w:rsidR="002D15D1" w:rsidRPr="007B5BE6" w:rsidRDefault="00427851" w:rsidP="002D15D1">
      <w:pPr>
        <w:pStyle w:val="DotPointTLRI"/>
      </w:pPr>
      <w:r w:rsidRPr="007B5BE6">
        <w:t>c</w:t>
      </w:r>
      <w:r w:rsidR="0030352A" w:rsidRPr="007B5BE6">
        <w:t xml:space="preserve">an </w:t>
      </w:r>
      <w:r w:rsidR="002D15D1" w:rsidRPr="007B5BE6">
        <w:t>disrupt acute incident</w:t>
      </w:r>
      <w:r w:rsidR="004B0B50" w:rsidRPr="007B5BE6">
        <w:t xml:space="preserve">s or a </w:t>
      </w:r>
      <w:r w:rsidR="002D15D1" w:rsidRPr="007B5BE6">
        <w:t>crisis;</w:t>
      </w:r>
    </w:p>
    <w:p w14:paraId="0A4948E6" w14:textId="6EFAA48C" w:rsidR="002D15D1" w:rsidRPr="007B5BE6" w:rsidRDefault="008168FE" w:rsidP="002D15D1">
      <w:pPr>
        <w:pStyle w:val="DotPointTLRI"/>
      </w:pPr>
      <w:r w:rsidRPr="007B5BE6">
        <w:t xml:space="preserve">can significantly increase safety, </w:t>
      </w:r>
      <w:r w:rsidR="002D15D1" w:rsidRPr="007B5BE6">
        <w:t>if the order is complied with;</w:t>
      </w:r>
    </w:p>
    <w:p w14:paraId="387E62C4" w14:textId="06A8A2B1" w:rsidR="002D15D1" w:rsidRPr="007B5BE6" w:rsidRDefault="002D15D1" w:rsidP="002D15D1">
      <w:pPr>
        <w:pStyle w:val="DotPointTLRI"/>
      </w:pPr>
      <w:r w:rsidRPr="007B5BE6">
        <w:t xml:space="preserve">can </w:t>
      </w:r>
      <w:r w:rsidR="004B0B50" w:rsidRPr="007B5BE6">
        <w:t>offer a</w:t>
      </w:r>
      <w:r w:rsidRPr="007B5BE6">
        <w:t xml:space="preserve"> </w:t>
      </w:r>
      <w:r w:rsidR="002A229C" w:rsidRPr="007B5BE6">
        <w:t xml:space="preserve">way of </w:t>
      </w:r>
      <w:r w:rsidRPr="007B5BE6">
        <w:t>more permanent</w:t>
      </w:r>
      <w:r w:rsidR="002A229C" w:rsidRPr="007B5BE6">
        <w:t>ly</w:t>
      </w:r>
      <w:r w:rsidRPr="007B5BE6">
        <w:t xml:space="preserve"> removing </w:t>
      </w:r>
      <w:r w:rsidR="008168FE" w:rsidRPr="007B5BE6">
        <w:t xml:space="preserve">an </w:t>
      </w:r>
      <w:r w:rsidRPr="007B5BE6">
        <w:t xml:space="preserve">adult child from </w:t>
      </w:r>
      <w:r w:rsidR="002A229C" w:rsidRPr="007B5BE6">
        <w:t xml:space="preserve">the </w:t>
      </w:r>
      <w:r w:rsidRPr="007B5BE6">
        <w:t>home;</w:t>
      </w:r>
    </w:p>
    <w:p w14:paraId="639FD06B" w14:textId="0E760BC3" w:rsidR="002D15D1" w:rsidRPr="007B5BE6" w:rsidRDefault="002D15D1" w:rsidP="002D15D1">
      <w:pPr>
        <w:pStyle w:val="DotPointTLRI"/>
      </w:pPr>
      <w:r w:rsidRPr="007B5BE6">
        <w:t xml:space="preserve">can include conditions that reflect older person’s wishes; </w:t>
      </w:r>
    </w:p>
    <w:p w14:paraId="050B8333" w14:textId="3545D8F2" w:rsidR="002D15D1" w:rsidRPr="007B5BE6" w:rsidRDefault="002D15D1" w:rsidP="002D15D1">
      <w:pPr>
        <w:pStyle w:val="DotPointTLRI"/>
      </w:pPr>
      <w:r w:rsidRPr="007B5BE6">
        <w:t>keep perpetrators accountable and flagged in systems;</w:t>
      </w:r>
    </w:p>
    <w:p w14:paraId="25B4E557" w14:textId="510DA325" w:rsidR="002D15D1" w:rsidRPr="007B5BE6" w:rsidRDefault="002D15D1" w:rsidP="002D15D1">
      <w:pPr>
        <w:pStyle w:val="DotPointTLRI"/>
      </w:pPr>
      <w:r w:rsidRPr="007B5BE6">
        <w:t>send</w:t>
      </w:r>
      <w:r w:rsidR="0030352A" w:rsidRPr="007B5BE6">
        <w:t xml:space="preserve"> a</w:t>
      </w:r>
      <w:r w:rsidRPr="007B5BE6">
        <w:t xml:space="preserve"> message to perpetrator and community that elder abuse is a crime; and</w:t>
      </w:r>
    </w:p>
    <w:p w14:paraId="27CEFBB8" w14:textId="62D82346" w:rsidR="002D15D1" w:rsidRPr="007B5BE6" w:rsidRDefault="002D15D1" w:rsidP="002D15D1">
      <w:pPr>
        <w:pStyle w:val="DotPointTLRI"/>
      </w:pPr>
      <w:r w:rsidRPr="007B5BE6">
        <w:t>allow</w:t>
      </w:r>
      <w:r w:rsidR="0030352A" w:rsidRPr="007B5BE6">
        <w:t xml:space="preserve"> for the</w:t>
      </w:r>
      <w:r w:rsidRPr="007B5BE6">
        <w:t xml:space="preserve"> provision of services to</w:t>
      </w:r>
      <w:r w:rsidR="00A42608" w:rsidRPr="007B5BE6">
        <w:t xml:space="preserve"> an</w:t>
      </w:r>
      <w:r w:rsidRPr="007B5BE6">
        <w:t xml:space="preserve"> older person</w:t>
      </w:r>
      <w:r w:rsidR="00A42608" w:rsidRPr="007B5BE6">
        <w:t xml:space="preserve">, </w:t>
      </w:r>
      <w:r w:rsidRPr="007B5BE6">
        <w:t>safety planning and review</w:t>
      </w:r>
      <w:r w:rsidR="00E67632" w:rsidRPr="007B5BE6">
        <w:t xml:space="preserve"> of</w:t>
      </w:r>
      <w:r w:rsidRPr="007B5BE6">
        <w:t xml:space="preserve"> service needs.</w:t>
      </w:r>
      <w:r w:rsidR="00861563" w:rsidRPr="007B5BE6">
        <w:rPr>
          <w:rStyle w:val="FootnoteReference"/>
        </w:rPr>
        <w:footnoteReference w:id="676"/>
      </w:r>
      <w:r w:rsidRPr="007B5BE6">
        <w:t xml:space="preserve"> </w:t>
      </w:r>
    </w:p>
    <w:p w14:paraId="4A9B95C3" w14:textId="3ED9A1DF" w:rsidR="002D15D1" w:rsidRPr="007B5BE6" w:rsidRDefault="00E67632" w:rsidP="002D15D1">
      <w:pPr>
        <w:pStyle w:val="NormalNumberedTextTLRI"/>
      </w:pPr>
      <w:r w:rsidRPr="007B5BE6">
        <w:t>B</w:t>
      </w:r>
      <w:r w:rsidR="002D15D1" w:rsidRPr="007B5BE6">
        <w:t>arriers were also identified as potential hindrances to the operation of family violence orders for older people</w:t>
      </w:r>
      <w:r w:rsidR="005D73FE" w:rsidRPr="007B5BE6">
        <w:t xml:space="preserve">, as </w:t>
      </w:r>
      <w:r w:rsidR="002D15D1" w:rsidRPr="007B5BE6">
        <w:t xml:space="preserve">set out in Table </w:t>
      </w:r>
      <w:r w:rsidR="00EF443A" w:rsidRPr="007B5BE6">
        <w:t>5.1</w:t>
      </w:r>
      <w:r w:rsidR="002D15D1" w:rsidRPr="007B5BE6">
        <w:t>.</w:t>
      </w:r>
      <w:r w:rsidR="00D530E3" w:rsidRPr="007B5BE6">
        <w:rPr>
          <w:rStyle w:val="FootnoteReference"/>
        </w:rPr>
        <w:footnoteReference w:id="677"/>
      </w:r>
    </w:p>
    <w:p w14:paraId="21079356" w14:textId="77777777" w:rsidR="00BE66D3" w:rsidRPr="007B5BE6" w:rsidRDefault="00BE66D3">
      <w:pPr>
        <w:spacing w:after="200" w:line="276" w:lineRule="auto"/>
        <w:jc w:val="left"/>
        <w:rPr>
          <w:b/>
        </w:rPr>
      </w:pPr>
      <w:r w:rsidRPr="007B5BE6">
        <w:rPr>
          <w:b/>
        </w:rPr>
        <w:br w:type="page"/>
      </w:r>
    </w:p>
    <w:p w14:paraId="4DCD4476" w14:textId="406FEDEE" w:rsidR="002D15D1" w:rsidRPr="007B5BE6" w:rsidRDefault="002D15D1" w:rsidP="00D55E3C">
      <w:pPr>
        <w:spacing w:before="240" w:after="240"/>
        <w:rPr>
          <w:b/>
        </w:rPr>
      </w:pPr>
      <w:r w:rsidRPr="007B5BE6">
        <w:rPr>
          <w:b/>
        </w:rPr>
        <w:lastRenderedPageBreak/>
        <w:t xml:space="preserve">Table </w:t>
      </w:r>
      <w:r w:rsidR="00EF443A" w:rsidRPr="007B5BE6">
        <w:rPr>
          <w:b/>
        </w:rPr>
        <w:t>5.1:</w:t>
      </w:r>
      <w:r w:rsidRPr="007B5BE6">
        <w:rPr>
          <w:b/>
        </w:rPr>
        <w:t xml:space="preserve"> Barriers to operation of family violence orders for older people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397"/>
        <w:gridCol w:w="2694"/>
        <w:gridCol w:w="2925"/>
      </w:tblGrid>
      <w:tr w:rsidR="002D15D1" w:rsidRPr="007B5BE6" w14:paraId="1E22F469" w14:textId="77777777" w:rsidTr="0092637E">
        <w:trPr>
          <w:tblHeader/>
        </w:trPr>
        <w:tc>
          <w:tcPr>
            <w:tcW w:w="3397" w:type="dxa"/>
            <w:tcBorders>
              <w:top w:val="single" w:sz="8" w:space="0" w:color="auto"/>
              <w:bottom w:val="single" w:sz="8" w:space="0" w:color="auto"/>
              <w:right w:val="nil"/>
            </w:tcBorders>
            <w:shd w:val="clear" w:color="auto" w:fill="FFFFFF" w:themeFill="background1"/>
          </w:tcPr>
          <w:p w14:paraId="56C84EEA" w14:textId="77777777" w:rsidR="002D15D1" w:rsidRPr="007B5BE6" w:rsidRDefault="002D15D1">
            <w:pPr>
              <w:rPr>
                <w:b/>
                <w:sz w:val="20"/>
                <w:szCs w:val="20"/>
              </w:rPr>
            </w:pPr>
            <w:r w:rsidRPr="007B5BE6">
              <w:rPr>
                <w:b/>
                <w:sz w:val="20"/>
                <w:szCs w:val="20"/>
              </w:rPr>
              <w:t>Related to the protected older person</w:t>
            </w:r>
          </w:p>
        </w:tc>
        <w:tc>
          <w:tcPr>
            <w:tcW w:w="2694" w:type="dxa"/>
            <w:tcBorders>
              <w:top w:val="single" w:sz="8" w:space="0" w:color="auto"/>
              <w:left w:val="nil"/>
              <w:bottom w:val="single" w:sz="8" w:space="0" w:color="auto"/>
              <w:right w:val="nil"/>
            </w:tcBorders>
            <w:shd w:val="clear" w:color="auto" w:fill="FFFFFF" w:themeFill="background1"/>
          </w:tcPr>
          <w:p w14:paraId="5D883E00" w14:textId="77777777" w:rsidR="002D15D1" w:rsidRPr="007B5BE6" w:rsidRDefault="002D15D1">
            <w:pPr>
              <w:rPr>
                <w:b/>
                <w:sz w:val="20"/>
                <w:szCs w:val="20"/>
              </w:rPr>
            </w:pPr>
            <w:r w:rsidRPr="007B5BE6">
              <w:rPr>
                <w:b/>
                <w:sz w:val="20"/>
                <w:szCs w:val="20"/>
              </w:rPr>
              <w:t>Age-related</w:t>
            </w:r>
          </w:p>
        </w:tc>
        <w:tc>
          <w:tcPr>
            <w:tcW w:w="2925" w:type="dxa"/>
            <w:tcBorders>
              <w:top w:val="single" w:sz="8" w:space="0" w:color="auto"/>
              <w:left w:val="nil"/>
              <w:bottom w:val="single" w:sz="8" w:space="0" w:color="auto"/>
            </w:tcBorders>
            <w:shd w:val="clear" w:color="auto" w:fill="FFFFFF" w:themeFill="background1"/>
          </w:tcPr>
          <w:p w14:paraId="4EBF5B6B" w14:textId="77777777" w:rsidR="002D15D1" w:rsidRPr="007B5BE6" w:rsidRDefault="002D15D1">
            <w:pPr>
              <w:rPr>
                <w:b/>
                <w:sz w:val="20"/>
                <w:szCs w:val="20"/>
              </w:rPr>
            </w:pPr>
            <w:r w:rsidRPr="007B5BE6">
              <w:rPr>
                <w:b/>
                <w:sz w:val="20"/>
                <w:szCs w:val="20"/>
              </w:rPr>
              <w:t>Related to the perpetrator</w:t>
            </w:r>
          </w:p>
        </w:tc>
      </w:tr>
      <w:tr w:rsidR="002D15D1" w:rsidRPr="007B5BE6" w14:paraId="5A7A2791" w14:textId="77777777" w:rsidTr="0092637E">
        <w:tc>
          <w:tcPr>
            <w:tcW w:w="3397" w:type="dxa"/>
            <w:tcBorders>
              <w:top w:val="single" w:sz="8" w:space="0" w:color="auto"/>
            </w:tcBorders>
          </w:tcPr>
          <w:p w14:paraId="3E072022" w14:textId="77777777" w:rsidR="002D15D1" w:rsidRPr="007B5BE6" w:rsidRDefault="002D15D1" w:rsidP="0004503A">
            <w:pPr>
              <w:jc w:val="left"/>
              <w:rPr>
                <w:sz w:val="20"/>
                <w:szCs w:val="20"/>
              </w:rPr>
            </w:pPr>
            <w:r w:rsidRPr="007B5BE6">
              <w:rPr>
                <w:sz w:val="20"/>
                <w:szCs w:val="20"/>
              </w:rPr>
              <w:t>Reluctance to report breaches or provide statements to police (beyond calling 000 for immediate safety help)</w:t>
            </w:r>
          </w:p>
        </w:tc>
        <w:tc>
          <w:tcPr>
            <w:tcW w:w="2694" w:type="dxa"/>
            <w:tcBorders>
              <w:top w:val="single" w:sz="8" w:space="0" w:color="auto"/>
            </w:tcBorders>
          </w:tcPr>
          <w:p w14:paraId="326896D6" w14:textId="5CACEEF5" w:rsidR="002D15D1" w:rsidRPr="007B5BE6" w:rsidRDefault="002D15D1" w:rsidP="00C36293">
            <w:pPr>
              <w:jc w:val="left"/>
              <w:rPr>
                <w:sz w:val="20"/>
                <w:szCs w:val="20"/>
              </w:rPr>
            </w:pPr>
            <w:r w:rsidRPr="007B5BE6">
              <w:rPr>
                <w:sz w:val="20"/>
                <w:szCs w:val="20"/>
              </w:rPr>
              <w:t>Access to reporting breache</w:t>
            </w:r>
            <w:r w:rsidR="00DE7601" w:rsidRPr="007B5BE6">
              <w:rPr>
                <w:sz w:val="20"/>
                <w:szCs w:val="20"/>
              </w:rPr>
              <w:t>s—b</w:t>
            </w:r>
            <w:r w:rsidRPr="007B5BE6">
              <w:rPr>
                <w:sz w:val="20"/>
                <w:szCs w:val="20"/>
              </w:rPr>
              <w:t>y phone or other means</w:t>
            </w:r>
          </w:p>
        </w:tc>
        <w:tc>
          <w:tcPr>
            <w:tcW w:w="2925" w:type="dxa"/>
            <w:tcBorders>
              <w:top w:val="single" w:sz="8" w:space="0" w:color="auto"/>
            </w:tcBorders>
          </w:tcPr>
          <w:p w14:paraId="716F6B74" w14:textId="71581048" w:rsidR="002D15D1" w:rsidRPr="007B5BE6" w:rsidRDefault="002D15D1" w:rsidP="00C36293">
            <w:pPr>
              <w:jc w:val="left"/>
              <w:rPr>
                <w:sz w:val="20"/>
                <w:szCs w:val="20"/>
              </w:rPr>
            </w:pPr>
            <w:r w:rsidRPr="007B5BE6">
              <w:rPr>
                <w:sz w:val="20"/>
                <w:szCs w:val="20"/>
              </w:rPr>
              <w:t>Perpetrator blames older person for consequences of previous reports to police (</w:t>
            </w:r>
            <w:r w:rsidR="006263A8" w:rsidRPr="007B5BE6">
              <w:rPr>
                <w:sz w:val="20"/>
                <w:szCs w:val="20"/>
              </w:rPr>
              <w:t>for example,</w:t>
            </w:r>
            <w:r w:rsidRPr="007B5BE6">
              <w:rPr>
                <w:sz w:val="20"/>
                <w:szCs w:val="20"/>
              </w:rPr>
              <w:t xml:space="preserve"> imprisonment or homelessness) </w:t>
            </w:r>
          </w:p>
        </w:tc>
      </w:tr>
      <w:tr w:rsidR="002D15D1" w:rsidRPr="007B5BE6" w14:paraId="6098F8E2" w14:textId="77777777" w:rsidTr="00C36293">
        <w:tc>
          <w:tcPr>
            <w:tcW w:w="3397" w:type="dxa"/>
          </w:tcPr>
          <w:p w14:paraId="1B4CCB35" w14:textId="6ACF82B0" w:rsidR="002D15D1" w:rsidRPr="007B5BE6" w:rsidRDefault="002D15D1" w:rsidP="0004503A">
            <w:pPr>
              <w:jc w:val="left"/>
              <w:rPr>
                <w:sz w:val="20"/>
                <w:szCs w:val="20"/>
              </w:rPr>
            </w:pPr>
            <w:r w:rsidRPr="007B5BE6">
              <w:rPr>
                <w:sz w:val="20"/>
                <w:szCs w:val="20"/>
              </w:rPr>
              <w:t>Not reporting frequent breaches</w:t>
            </w:r>
            <w:r w:rsidR="00DE7601" w:rsidRPr="007B5BE6">
              <w:rPr>
                <w:sz w:val="20"/>
                <w:szCs w:val="20"/>
              </w:rPr>
              <w:t xml:space="preserve">—order </w:t>
            </w:r>
            <w:r w:rsidRPr="007B5BE6">
              <w:rPr>
                <w:sz w:val="20"/>
                <w:szCs w:val="20"/>
              </w:rPr>
              <w:t>becomes a ‘piece of paper’</w:t>
            </w:r>
          </w:p>
        </w:tc>
        <w:tc>
          <w:tcPr>
            <w:tcW w:w="2694" w:type="dxa"/>
          </w:tcPr>
          <w:p w14:paraId="6C1C6873" w14:textId="5E1CCDAF" w:rsidR="002D15D1" w:rsidRPr="007B5BE6" w:rsidRDefault="002D15D1" w:rsidP="00C36293">
            <w:pPr>
              <w:jc w:val="left"/>
              <w:rPr>
                <w:sz w:val="20"/>
                <w:szCs w:val="20"/>
              </w:rPr>
            </w:pPr>
            <w:r w:rsidRPr="007B5BE6">
              <w:rPr>
                <w:sz w:val="20"/>
                <w:szCs w:val="20"/>
              </w:rPr>
              <w:t>Access to other options for reporting through community contact</w:t>
            </w:r>
            <w:r w:rsidR="00DE7601" w:rsidRPr="007B5BE6">
              <w:rPr>
                <w:sz w:val="20"/>
                <w:szCs w:val="20"/>
              </w:rPr>
              <w:t>—</w:t>
            </w:r>
            <w:r w:rsidRPr="007B5BE6">
              <w:rPr>
                <w:sz w:val="20"/>
                <w:szCs w:val="20"/>
              </w:rPr>
              <w:t xml:space="preserve">if perpetrator is </w:t>
            </w:r>
            <w:r w:rsidR="00DE7601" w:rsidRPr="007B5BE6">
              <w:rPr>
                <w:sz w:val="20"/>
                <w:szCs w:val="20"/>
              </w:rPr>
              <w:t xml:space="preserve">a </w:t>
            </w:r>
            <w:r w:rsidRPr="007B5BE6">
              <w:rPr>
                <w:sz w:val="20"/>
                <w:szCs w:val="20"/>
              </w:rPr>
              <w:t>carer or support person</w:t>
            </w:r>
            <w:r w:rsidR="00DE7601" w:rsidRPr="007B5BE6">
              <w:rPr>
                <w:sz w:val="20"/>
                <w:szCs w:val="20"/>
              </w:rPr>
              <w:t>,</w:t>
            </w:r>
            <w:r w:rsidRPr="007B5BE6">
              <w:rPr>
                <w:sz w:val="20"/>
                <w:szCs w:val="20"/>
              </w:rPr>
              <w:t xml:space="preserve"> or transport for appointments</w:t>
            </w:r>
          </w:p>
        </w:tc>
        <w:tc>
          <w:tcPr>
            <w:tcW w:w="2925" w:type="dxa"/>
          </w:tcPr>
          <w:p w14:paraId="18DFE676" w14:textId="120B98EE" w:rsidR="002D15D1" w:rsidRPr="007B5BE6" w:rsidRDefault="002D15D1" w:rsidP="00C36293">
            <w:pPr>
              <w:jc w:val="left"/>
              <w:rPr>
                <w:sz w:val="20"/>
                <w:szCs w:val="20"/>
              </w:rPr>
            </w:pPr>
            <w:r w:rsidRPr="007B5BE6">
              <w:rPr>
                <w:sz w:val="20"/>
                <w:szCs w:val="20"/>
              </w:rPr>
              <w:t xml:space="preserve">Ineffective as </w:t>
            </w:r>
            <w:r w:rsidR="006263A8" w:rsidRPr="007B5BE6">
              <w:rPr>
                <w:sz w:val="20"/>
                <w:szCs w:val="20"/>
              </w:rPr>
              <w:t xml:space="preserve">a </w:t>
            </w:r>
            <w:r w:rsidRPr="007B5BE6">
              <w:rPr>
                <w:sz w:val="20"/>
                <w:szCs w:val="20"/>
              </w:rPr>
              <w:t xml:space="preserve">deterrent or </w:t>
            </w:r>
            <w:r w:rsidR="00DE7601" w:rsidRPr="007B5BE6">
              <w:rPr>
                <w:sz w:val="20"/>
                <w:szCs w:val="20"/>
              </w:rPr>
              <w:t xml:space="preserve">in </w:t>
            </w:r>
            <w:r w:rsidRPr="007B5BE6">
              <w:rPr>
                <w:sz w:val="20"/>
                <w:szCs w:val="20"/>
              </w:rPr>
              <w:t>increas</w:t>
            </w:r>
            <w:r w:rsidR="00DE7601" w:rsidRPr="007B5BE6">
              <w:rPr>
                <w:sz w:val="20"/>
                <w:szCs w:val="20"/>
              </w:rPr>
              <w:t>ing</w:t>
            </w:r>
            <w:r w:rsidRPr="007B5BE6">
              <w:rPr>
                <w:sz w:val="20"/>
                <w:szCs w:val="20"/>
              </w:rPr>
              <w:t xml:space="preserve"> accountability of </w:t>
            </w:r>
            <w:r w:rsidR="00DE7601" w:rsidRPr="007B5BE6">
              <w:rPr>
                <w:sz w:val="20"/>
                <w:szCs w:val="20"/>
              </w:rPr>
              <w:t xml:space="preserve">the </w:t>
            </w:r>
            <w:r w:rsidRPr="007B5BE6">
              <w:rPr>
                <w:sz w:val="20"/>
                <w:szCs w:val="20"/>
              </w:rPr>
              <w:t xml:space="preserve">perpetrator </w:t>
            </w:r>
          </w:p>
        </w:tc>
      </w:tr>
      <w:tr w:rsidR="002D15D1" w:rsidRPr="007B5BE6" w14:paraId="7083D69B" w14:textId="77777777" w:rsidTr="00C36293">
        <w:tc>
          <w:tcPr>
            <w:tcW w:w="3397" w:type="dxa"/>
          </w:tcPr>
          <w:p w14:paraId="6790E2E5" w14:textId="41ED6E09" w:rsidR="002D15D1" w:rsidRPr="007B5BE6" w:rsidRDefault="002D15D1" w:rsidP="0004503A">
            <w:pPr>
              <w:jc w:val="left"/>
              <w:rPr>
                <w:sz w:val="20"/>
                <w:szCs w:val="20"/>
              </w:rPr>
            </w:pPr>
            <w:r w:rsidRPr="007B5BE6">
              <w:rPr>
                <w:sz w:val="20"/>
                <w:szCs w:val="20"/>
              </w:rPr>
              <w:t>Older persons’ perceptions that orders are not effective and unwilling</w:t>
            </w:r>
            <w:r w:rsidR="00DE7601" w:rsidRPr="007B5BE6">
              <w:rPr>
                <w:sz w:val="20"/>
                <w:szCs w:val="20"/>
              </w:rPr>
              <w:t>ness</w:t>
            </w:r>
            <w:r w:rsidRPr="007B5BE6">
              <w:rPr>
                <w:sz w:val="20"/>
                <w:szCs w:val="20"/>
              </w:rPr>
              <w:t xml:space="preserve"> to report </w:t>
            </w:r>
          </w:p>
        </w:tc>
        <w:tc>
          <w:tcPr>
            <w:tcW w:w="2694" w:type="dxa"/>
          </w:tcPr>
          <w:p w14:paraId="3C5D6181" w14:textId="77777777" w:rsidR="002D15D1" w:rsidRPr="007B5BE6" w:rsidRDefault="002D15D1" w:rsidP="00C36293">
            <w:pPr>
              <w:jc w:val="left"/>
              <w:rPr>
                <w:sz w:val="20"/>
                <w:szCs w:val="20"/>
              </w:rPr>
            </w:pPr>
            <w:r w:rsidRPr="007B5BE6">
              <w:rPr>
                <w:sz w:val="20"/>
                <w:szCs w:val="20"/>
              </w:rPr>
              <w:t xml:space="preserve">Lack of understanding regarding orders and conditions </w:t>
            </w:r>
          </w:p>
        </w:tc>
        <w:tc>
          <w:tcPr>
            <w:tcW w:w="2925" w:type="dxa"/>
          </w:tcPr>
          <w:p w14:paraId="6572646F" w14:textId="2885561C" w:rsidR="002D15D1" w:rsidRPr="007B5BE6" w:rsidRDefault="002D15D1" w:rsidP="00C36293">
            <w:pPr>
              <w:jc w:val="left"/>
              <w:rPr>
                <w:sz w:val="20"/>
                <w:szCs w:val="20"/>
              </w:rPr>
            </w:pPr>
            <w:r w:rsidRPr="007B5BE6">
              <w:rPr>
                <w:sz w:val="20"/>
                <w:szCs w:val="20"/>
              </w:rPr>
              <w:t xml:space="preserve">Perpetrator provides care to </w:t>
            </w:r>
            <w:r w:rsidR="00634999" w:rsidRPr="007B5BE6">
              <w:rPr>
                <w:sz w:val="20"/>
                <w:szCs w:val="20"/>
              </w:rPr>
              <w:t xml:space="preserve">the </w:t>
            </w:r>
            <w:r w:rsidRPr="007B5BE6">
              <w:rPr>
                <w:sz w:val="20"/>
                <w:szCs w:val="20"/>
              </w:rPr>
              <w:t xml:space="preserve">older person </w:t>
            </w:r>
          </w:p>
        </w:tc>
      </w:tr>
      <w:tr w:rsidR="002D15D1" w:rsidRPr="007B5BE6" w14:paraId="48FA80B8" w14:textId="77777777" w:rsidTr="00C36293">
        <w:tc>
          <w:tcPr>
            <w:tcW w:w="3397" w:type="dxa"/>
          </w:tcPr>
          <w:p w14:paraId="0CCCE1D0" w14:textId="066D15DD" w:rsidR="002D15D1" w:rsidRPr="007B5BE6" w:rsidRDefault="002D15D1" w:rsidP="0004503A">
            <w:pPr>
              <w:jc w:val="left"/>
              <w:rPr>
                <w:sz w:val="20"/>
                <w:szCs w:val="20"/>
              </w:rPr>
            </w:pPr>
            <w:r w:rsidRPr="007B5BE6">
              <w:rPr>
                <w:sz w:val="20"/>
                <w:szCs w:val="20"/>
              </w:rPr>
              <w:t xml:space="preserve">Older person does not want </w:t>
            </w:r>
            <w:r w:rsidR="00866C62" w:rsidRPr="007B5BE6">
              <w:rPr>
                <w:sz w:val="20"/>
                <w:szCs w:val="20"/>
              </w:rPr>
              <w:t xml:space="preserve">the </w:t>
            </w:r>
            <w:r w:rsidRPr="007B5BE6">
              <w:rPr>
                <w:sz w:val="20"/>
                <w:szCs w:val="20"/>
              </w:rPr>
              <w:t xml:space="preserve">consequences </w:t>
            </w:r>
            <w:r w:rsidR="00866C62" w:rsidRPr="007B5BE6">
              <w:rPr>
                <w:sz w:val="20"/>
                <w:szCs w:val="20"/>
              </w:rPr>
              <w:t>that</w:t>
            </w:r>
            <w:r w:rsidRPr="007B5BE6">
              <w:rPr>
                <w:sz w:val="20"/>
                <w:szCs w:val="20"/>
              </w:rPr>
              <w:t xml:space="preserve"> </w:t>
            </w:r>
            <w:r w:rsidR="00866C62" w:rsidRPr="007B5BE6">
              <w:rPr>
                <w:sz w:val="20"/>
                <w:szCs w:val="20"/>
              </w:rPr>
              <w:t xml:space="preserve">order </w:t>
            </w:r>
            <w:r w:rsidRPr="007B5BE6">
              <w:rPr>
                <w:sz w:val="20"/>
                <w:szCs w:val="20"/>
              </w:rPr>
              <w:t xml:space="preserve">breaches </w:t>
            </w:r>
            <w:r w:rsidR="00866C62" w:rsidRPr="007B5BE6">
              <w:rPr>
                <w:sz w:val="20"/>
                <w:szCs w:val="20"/>
              </w:rPr>
              <w:t xml:space="preserve">have for their </w:t>
            </w:r>
            <w:r w:rsidRPr="007B5BE6">
              <w:rPr>
                <w:sz w:val="20"/>
                <w:szCs w:val="20"/>
              </w:rPr>
              <w:t xml:space="preserve">child, </w:t>
            </w:r>
            <w:r w:rsidR="00866C62" w:rsidRPr="007B5BE6">
              <w:rPr>
                <w:sz w:val="20"/>
                <w:szCs w:val="20"/>
              </w:rPr>
              <w:t xml:space="preserve">including </w:t>
            </w:r>
            <w:r w:rsidRPr="007B5BE6">
              <w:rPr>
                <w:sz w:val="20"/>
                <w:szCs w:val="20"/>
              </w:rPr>
              <w:t xml:space="preserve">criminal </w:t>
            </w:r>
            <w:r w:rsidR="00866C62" w:rsidRPr="007B5BE6">
              <w:rPr>
                <w:sz w:val="20"/>
                <w:szCs w:val="20"/>
              </w:rPr>
              <w:t xml:space="preserve">record </w:t>
            </w:r>
            <w:r w:rsidRPr="007B5BE6">
              <w:rPr>
                <w:sz w:val="20"/>
                <w:szCs w:val="20"/>
              </w:rPr>
              <w:t xml:space="preserve">or imprisonment </w:t>
            </w:r>
          </w:p>
        </w:tc>
        <w:tc>
          <w:tcPr>
            <w:tcW w:w="2694" w:type="dxa"/>
          </w:tcPr>
          <w:p w14:paraId="2AFF9273" w14:textId="77777777" w:rsidR="002D15D1" w:rsidRPr="007B5BE6" w:rsidRDefault="002D15D1" w:rsidP="00C36293">
            <w:pPr>
              <w:jc w:val="left"/>
              <w:rPr>
                <w:sz w:val="20"/>
                <w:szCs w:val="20"/>
              </w:rPr>
            </w:pPr>
            <w:r w:rsidRPr="007B5BE6">
              <w:rPr>
                <w:sz w:val="20"/>
                <w:szCs w:val="20"/>
              </w:rPr>
              <w:t>Lack of understanding of compliance requirements and what constitutes a breach</w:t>
            </w:r>
          </w:p>
        </w:tc>
        <w:tc>
          <w:tcPr>
            <w:tcW w:w="2925" w:type="dxa"/>
          </w:tcPr>
          <w:p w14:paraId="29A20DDC" w14:textId="06A53865" w:rsidR="002D15D1" w:rsidRPr="007B5BE6" w:rsidRDefault="002D15D1" w:rsidP="00C36293">
            <w:pPr>
              <w:jc w:val="left"/>
              <w:rPr>
                <w:sz w:val="20"/>
                <w:szCs w:val="20"/>
              </w:rPr>
            </w:pPr>
            <w:r w:rsidRPr="007B5BE6">
              <w:rPr>
                <w:sz w:val="20"/>
                <w:szCs w:val="20"/>
              </w:rPr>
              <w:t xml:space="preserve">Enmeshed relationship/co-dependence </w:t>
            </w:r>
          </w:p>
        </w:tc>
      </w:tr>
      <w:tr w:rsidR="002D15D1" w:rsidRPr="007B5BE6" w14:paraId="0C635175" w14:textId="77777777" w:rsidTr="00C36293">
        <w:tc>
          <w:tcPr>
            <w:tcW w:w="3397" w:type="dxa"/>
          </w:tcPr>
          <w:p w14:paraId="4D28FDD7" w14:textId="0B713643" w:rsidR="002D15D1" w:rsidRPr="007B5BE6" w:rsidRDefault="002D15D1" w:rsidP="0004503A">
            <w:pPr>
              <w:jc w:val="left"/>
              <w:rPr>
                <w:sz w:val="20"/>
                <w:szCs w:val="20"/>
              </w:rPr>
            </w:pPr>
            <w:r w:rsidRPr="007B5BE6">
              <w:rPr>
                <w:sz w:val="20"/>
                <w:szCs w:val="20"/>
              </w:rPr>
              <w:t>Older person does not believe child will comply</w:t>
            </w:r>
            <w:r w:rsidR="00DE7601" w:rsidRPr="007B5BE6">
              <w:rPr>
                <w:sz w:val="20"/>
                <w:szCs w:val="20"/>
              </w:rPr>
              <w:t>—</w:t>
            </w:r>
            <w:r w:rsidR="00866C62" w:rsidRPr="007B5BE6">
              <w:rPr>
                <w:sz w:val="20"/>
                <w:szCs w:val="20"/>
              </w:rPr>
              <w:t>‘</w:t>
            </w:r>
            <w:r w:rsidRPr="007B5BE6">
              <w:rPr>
                <w:sz w:val="20"/>
                <w:szCs w:val="20"/>
              </w:rPr>
              <w:t>futility</w:t>
            </w:r>
            <w:r w:rsidR="00866C62" w:rsidRPr="007B5BE6">
              <w:rPr>
                <w:sz w:val="20"/>
                <w:szCs w:val="20"/>
              </w:rPr>
              <w:t>’</w:t>
            </w:r>
            <w:r w:rsidRPr="007B5BE6">
              <w:rPr>
                <w:sz w:val="20"/>
                <w:szCs w:val="20"/>
              </w:rPr>
              <w:t xml:space="preserve"> of order </w:t>
            </w:r>
          </w:p>
        </w:tc>
        <w:tc>
          <w:tcPr>
            <w:tcW w:w="2694" w:type="dxa"/>
          </w:tcPr>
          <w:p w14:paraId="389F09A2" w14:textId="2F9137D4" w:rsidR="002D15D1" w:rsidRPr="007B5BE6" w:rsidRDefault="002D15D1" w:rsidP="00C36293">
            <w:pPr>
              <w:jc w:val="left"/>
              <w:rPr>
                <w:sz w:val="20"/>
                <w:szCs w:val="20"/>
              </w:rPr>
            </w:pPr>
            <w:r w:rsidRPr="007B5BE6">
              <w:rPr>
                <w:sz w:val="20"/>
                <w:szCs w:val="20"/>
              </w:rPr>
              <w:t>Cognitive impairment</w:t>
            </w:r>
            <w:r w:rsidR="00DE7601" w:rsidRPr="007B5BE6">
              <w:rPr>
                <w:sz w:val="20"/>
                <w:szCs w:val="20"/>
              </w:rPr>
              <w:t>—</w:t>
            </w:r>
            <w:r w:rsidRPr="007B5BE6">
              <w:rPr>
                <w:sz w:val="20"/>
                <w:szCs w:val="20"/>
              </w:rPr>
              <w:t>impacts capacity and communication needs</w:t>
            </w:r>
          </w:p>
        </w:tc>
        <w:tc>
          <w:tcPr>
            <w:tcW w:w="2925" w:type="dxa"/>
          </w:tcPr>
          <w:p w14:paraId="48414E3D" w14:textId="24F16F59" w:rsidR="002D15D1" w:rsidRPr="007B5BE6" w:rsidRDefault="002D15D1" w:rsidP="00C36293">
            <w:pPr>
              <w:jc w:val="left"/>
              <w:rPr>
                <w:sz w:val="20"/>
                <w:szCs w:val="20"/>
              </w:rPr>
            </w:pPr>
            <w:r w:rsidRPr="007B5BE6">
              <w:rPr>
                <w:sz w:val="20"/>
                <w:szCs w:val="20"/>
              </w:rPr>
              <w:t>Perpetrator commonly has mental health needs (older person</w:t>
            </w:r>
            <w:r w:rsidR="00634999" w:rsidRPr="007B5BE6">
              <w:rPr>
                <w:sz w:val="20"/>
                <w:szCs w:val="20"/>
              </w:rPr>
              <w:t xml:space="preserve"> may be</w:t>
            </w:r>
            <w:r w:rsidRPr="007B5BE6">
              <w:rPr>
                <w:sz w:val="20"/>
                <w:szCs w:val="20"/>
              </w:rPr>
              <w:t xml:space="preserve"> fearful of deterioration and/or suicide)  </w:t>
            </w:r>
          </w:p>
        </w:tc>
      </w:tr>
      <w:tr w:rsidR="002D15D1" w:rsidRPr="007B5BE6" w14:paraId="799B38B4" w14:textId="77777777" w:rsidTr="00C36293">
        <w:tc>
          <w:tcPr>
            <w:tcW w:w="3397" w:type="dxa"/>
          </w:tcPr>
          <w:p w14:paraId="59389A11" w14:textId="4156D5D5" w:rsidR="002D15D1" w:rsidRPr="007B5BE6" w:rsidRDefault="002D15D1" w:rsidP="0004503A">
            <w:pPr>
              <w:jc w:val="left"/>
              <w:rPr>
                <w:sz w:val="20"/>
                <w:szCs w:val="20"/>
              </w:rPr>
            </w:pPr>
            <w:r w:rsidRPr="007B5BE6">
              <w:rPr>
                <w:sz w:val="20"/>
                <w:szCs w:val="20"/>
              </w:rPr>
              <w:t xml:space="preserve">Previous reports to police have not changed </w:t>
            </w:r>
            <w:r w:rsidR="00866C62" w:rsidRPr="007B5BE6">
              <w:rPr>
                <w:sz w:val="20"/>
                <w:szCs w:val="20"/>
              </w:rPr>
              <w:t xml:space="preserve">the </w:t>
            </w:r>
            <w:r w:rsidRPr="007B5BE6">
              <w:rPr>
                <w:sz w:val="20"/>
                <w:szCs w:val="20"/>
              </w:rPr>
              <w:t xml:space="preserve">situation for </w:t>
            </w:r>
            <w:r w:rsidR="00866C62" w:rsidRPr="007B5BE6">
              <w:rPr>
                <w:sz w:val="20"/>
                <w:szCs w:val="20"/>
              </w:rPr>
              <w:t xml:space="preserve">the </w:t>
            </w:r>
            <w:r w:rsidRPr="007B5BE6">
              <w:rPr>
                <w:sz w:val="20"/>
                <w:szCs w:val="20"/>
              </w:rPr>
              <w:t xml:space="preserve">older person and child </w:t>
            </w:r>
          </w:p>
        </w:tc>
        <w:tc>
          <w:tcPr>
            <w:tcW w:w="5619" w:type="dxa"/>
            <w:gridSpan w:val="2"/>
            <w:vMerge w:val="restart"/>
          </w:tcPr>
          <w:p w14:paraId="6B7B7097" w14:textId="77777777" w:rsidR="002D15D1" w:rsidRPr="007B5BE6" w:rsidRDefault="002D15D1">
            <w:pPr>
              <w:rPr>
                <w:sz w:val="20"/>
                <w:szCs w:val="20"/>
              </w:rPr>
            </w:pPr>
          </w:p>
        </w:tc>
      </w:tr>
      <w:tr w:rsidR="002D15D1" w:rsidRPr="007B5BE6" w14:paraId="3D946AA6" w14:textId="77777777" w:rsidTr="00C36293">
        <w:tc>
          <w:tcPr>
            <w:tcW w:w="3397" w:type="dxa"/>
          </w:tcPr>
          <w:p w14:paraId="52DB484D" w14:textId="77777777" w:rsidR="002D15D1" w:rsidRPr="007B5BE6" w:rsidRDefault="002D15D1" w:rsidP="0004503A">
            <w:pPr>
              <w:jc w:val="left"/>
              <w:rPr>
                <w:sz w:val="20"/>
                <w:szCs w:val="20"/>
              </w:rPr>
            </w:pPr>
            <w:r w:rsidRPr="007B5BE6">
              <w:rPr>
                <w:sz w:val="20"/>
                <w:szCs w:val="20"/>
              </w:rPr>
              <w:t xml:space="preserve">Older person does not want to live alone </w:t>
            </w:r>
          </w:p>
        </w:tc>
        <w:tc>
          <w:tcPr>
            <w:tcW w:w="5619" w:type="dxa"/>
            <w:gridSpan w:val="2"/>
            <w:vMerge/>
          </w:tcPr>
          <w:p w14:paraId="41719601" w14:textId="77777777" w:rsidR="002D15D1" w:rsidRPr="007B5BE6" w:rsidRDefault="002D15D1">
            <w:pPr>
              <w:rPr>
                <w:sz w:val="20"/>
                <w:szCs w:val="20"/>
              </w:rPr>
            </w:pPr>
          </w:p>
        </w:tc>
      </w:tr>
      <w:tr w:rsidR="002D15D1" w:rsidRPr="007B5BE6" w14:paraId="24BA8DB3" w14:textId="77777777" w:rsidTr="00C36293">
        <w:tc>
          <w:tcPr>
            <w:tcW w:w="3397" w:type="dxa"/>
          </w:tcPr>
          <w:p w14:paraId="01CC2452" w14:textId="71179056" w:rsidR="002D15D1" w:rsidRPr="007B5BE6" w:rsidRDefault="002D15D1" w:rsidP="0004503A">
            <w:pPr>
              <w:jc w:val="left"/>
              <w:rPr>
                <w:sz w:val="20"/>
                <w:szCs w:val="20"/>
              </w:rPr>
            </w:pPr>
            <w:r w:rsidRPr="007B5BE6">
              <w:rPr>
                <w:sz w:val="20"/>
                <w:szCs w:val="20"/>
              </w:rPr>
              <w:t>Preservation of relationship is paramount</w:t>
            </w:r>
            <w:r w:rsidR="00634999" w:rsidRPr="007B5BE6">
              <w:rPr>
                <w:sz w:val="20"/>
                <w:szCs w:val="20"/>
              </w:rPr>
              <w:t>—</w:t>
            </w:r>
            <w:r w:rsidRPr="007B5BE6">
              <w:rPr>
                <w:sz w:val="20"/>
                <w:szCs w:val="20"/>
              </w:rPr>
              <w:t xml:space="preserve">older person does not want to lose contact with </w:t>
            </w:r>
            <w:r w:rsidR="00634999" w:rsidRPr="007B5BE6">
              <w:rPr>
                <w:sz w:val="20"/>
                <w:szCs w:val="20"/>
              </w:rPr>
              <w:t xml:space="preserve">their </w:t>
            </w:r>
            <w:r w:rsidRPr="007B5BE6">
              <w:rPr>
                <w:sz w:val="20"/>
                <w:szCs w:val="20"/>
              </w:rPr>
              <w:t xml:space="preserve">child </w:t>
            </w:r>
          </w:p>
        </w:tc>
        <w:tc>
          <w:tcPr>
            <w:tcW w:w="5619" w:type="dxa"/>
            <w:gridSpan w:val="2"/>
            <w:vMerge/>
          </w:tcPr>
          <w:p w14:paraId="0F9A123E" w14:textId="77777777" w:rsidR="002D15D1" w:rsidRPr="007B5BE6" w:rsidRDefault="002D15D1">
            <w:pPr>
              <w:rPr>
                <w:sz w:val="20"/>
                <w:szCs w:val="20"/>
              </w:rPr>
            </w:pPr>
          </w:p>
        </w:tc>
      </w:tr>
      <w:tr w:rsidR="002D15D1" w:rsidRPr="007B5BE6" w14:paraId="192AAF72" w14:textId="77777777" w:rsidTr="00C36293">
        <w:tc>
          <w:tcPr>
            <w:tcW w:w="3397" w:type="dxa"/>
          </w:tcPr>
          <w:p w14:paraId="23DAC6D9" w14:textId="77777777" w:rsidR="002D15D1" w:rsidRPr="007B5BE6" w:rsidRDefault="002D15D1" w:rsidP="0004503A">
            <w:pPr>
              <w:jc w:val="left"/>
              <w:rPr>
                <w:sz w:val="20"/>
                <w:szCs w:val="20"/>
              </w:rPr>
            </w:pPr>
            <w:r w:rsidRPr="007B5BE6">
              <w:rPr>
                <w:sz w:val="20"/>
                <w:szCs w:val="20"/>
              </w:rPr>
              <w:t xml:space="preserve">Risk of social isolation </w:t>
            </w:r>
          </w:p>
        </w:tc>
        <w:tc>
          <w:tcPr>
            <w:tcW w:w="5619" w:type="dxa"/>
            <w:gridSpan w:val="2"/>
            <w:vMerge/>
          </w:tcPr>
          <w:p w14:paraId="1B0B3CDD" w14:textId="77777777" w:rsidR="002D15D1" w:rsidRPr="007B5BE6" w:rsidRDefault="002D15D1">
            <w:pPr>
              <w:rPr>
                <w:sz w:val="20"/>
                <w:szCs w:val="20"/>
              </w:rPr>
            </w:pPr>
          </w:p>
        </w:tc>
      </w:tr>
      <w:tr w:rsidR="002D15D1" w:rsidRPr="007B5BE6" w14:paraId="55559843" w14:textId="77777777" w:rsidTr="00C36293">
        <w:tc>
          <w:tcPr>
            <w:tcW w:w="3397" w:type="dxa"/>
          </w:tcPr>
          <w:p w14:paraId="159974FE" w14:textId="3225633C" w:rsidR="002D15D1" w:rsidRPr="007B5BE6" w:rsidRDefault="002D15D1" w:rsidP="0004503A">
            <w:pPr>
              <w:jc w:val="left"/>
              <w:rPr>
                <w:sz w:val="20"/>
                <w:szCs w:val="20"/>
              </w:rPr>
            </w:pPr>
            <w:r w:rsidRPr="007B5BE6">
              <w:rPr>
                <w:sz w:val="20"/>
                <w:szCs w:val="20"/>
              </w:rPr>
              <w:t xml:space="preserve">Historical experiences with police </w:t>
            </w:r>
            <w:r w:rsidR="00634999" w:rsidRPr="007B5BE6">
              <w:rPr>
                <w:sz w:val="20"/>
                <w:szCs w:val="20"/>
              </w:rPr>
              <w:t xml:space="preserve">as a </w:t>
            </w:r>
            <w:r w:rsidRPr="007B5BE6">
              <w:rPr>
                <w:sz w:val="20"/>
                <w:szCs w:val="20"/>
              </w:rPr>
              <w:t xml:space="preserve">barrier to reporting </w:t>
            </w:r>
          </w:p>
        </w:tc>
        <w:tc>
          <w:tcPr>
            <w:tcW w:w="5619" w:type="dxa"/>
            <w:gridSpan w:val="2"/>
            <w:vMerge/>
          </w:tcPr>
          <w:p w14:paraId="3B2A002D" w14:textId="77777777" w:rsidR="002D15D1" w:rsidRPr="007B5BE6" w:rsidRDefault="002D15D1">
            <w:pPr>
              <w:rPr>
                <w:sz w:val="20"/>
                <w:szCs w:val="20"/>
              </w:rPr>
            </w:pPr>
          </w:p>
        </w:tc>
      </w:tr>
    </w:tbl>
    <w:p w14:paraId="3E65D18F" w14:textId="77777777" w:rsidR="00BE66D3" w:rsidRPr="007B5BE6" w:rsidRDefault="00BE66D3">
      <w:pPr>
        <w:spacing w:after="200" w:line="276" w:lineRule="auto"/>
        <w:jc w:val="left"/>
        <w:rPr>
          <w:rFonts w:eastAsia="Times" w:cs="Times New Roman"/>
          <w:szCs w:val="20"/>
        </w:rPr>
      </w:pPr>
      <w:r w:rsidRPr="007B5BE6">
        <w:br w:type="page"/>
      </w:r>
    </w:p>
    <w:p w14:paraId="717AE473" w14:textId="7A08CB22" w:rsidR="002D15D1" w:rsidRPr="007B5BE6" w:rsidRDefault="002D15D1" w:rsidP="002D15D1">
      <w:pPr>
        <w:pStyle w:val="NormalNumberedTextTLRI"/>
      </w:pPr>
      <w:r w:rsidRPr="007B5BE6">
        <w:lastRenderedPageBreak/>
        <w:t>Conclusions drawn from the research included that:</w:t>
      </w:r>
    </w:p>
    <w:p w14:paraId="129B04BE" w14:textId="2B9D57E9" w:rsidR="002D15D1" w:rsidRPr="007B5BE6" w:rsidRDefault="002D15D1" w:rsidP="002D15D1">
      <w:pPr>
        <w:pStyle w:val="DotPointTLRI"/>
      </w:pPr>
      <w:r w:rsidRPr="007B5BE6">
        <w:t>Further research is needed to examine issues such as whether civil protection orders make older people safer, whether the system is overly reliant on such orders</w:t>
      </w:r>
      <w:r w:rsidR="00634999" w:rsidRPr="007B5BE6">
        <w:t xml:space="preserve">, which are </w:t>
      </w:r>
      <w:r w:rsidRPr="007B5BE6">
        <w:t xml:space="preserve">often </w:t>
      </w:r>
      <w:r w:rsidR="00634999" w:rsidRPr="007B5BE6">
        <w:t xml:space="preserve">perceived as </w:t>
      </w:r>
      <w:r w:rsidRPr="007B5BE6">
        <w:t>‘futile’, and what older parents want as part of a ‘family and holistic approach’</w:t>
      </w:r>
      <w:r w:rsidR="0015348B" w:rsidRPr="007B5BE6">
        <w:t>. S</w:t>
      </w:r>
      <w:r w:rsidR="00634999" w:rsidRPr="007B5BE6">
        <w:t>uch</w:t>
      </w:r>
      <w:r w:rsidRPr="007B5BE6">
        <w:t xml:space="preserve"> research should be informed by perspectives from older people </w:t>
      </w:r>
      <w:r w:rsidR="0015348B" w:rsidRPr="007B5BE6">
        <w:t>with</w:t>
      </w:r>
      <w:r w:rsidRPr="007B5BE6">
        <w:t xml:space="preserve"> lived experience. </w:t>
      </w:r>
    </w:p>
    <w:p w14:paraId="6011B554" w14:textId="1FEB9FAC" w:rsidR="002D15D1" w:rsidRPr="007B5BE6" w:rsidRDefault="002D15D1" w:rsidP="002D15D1">
      <w:pPr>
        <w:pStyle w:val="DotPointTLRI"/>
      </w:pPr>
      <w:r w:rsidRPr="007B5BE6">
        <w:t xml:space="preserve">The system needs to provide a ‘valid and appealing option for older people to achieve safety not </w:t>
      </w:r>
      <w:r w:rsidR="00C121B6" w:rsidRPr="007B5BE6">
        <w:t xml:space="preserve">a </w:t>
      </w:r>
      <w:r w:rsidR="007530DA" w:rsidRPr="007B5BE6">
        <w:t>“</w:t>
      </w:r>
      <w:r w:rsidRPr="007B5BE6">
        <w:t>one-size-fits-all approach</w:t>
      </w:r>
      <w:r w:rsidR="007530DA" w:rsidRPr="007B5BE6">
        <w:t>”</w:t>
      </w:r>
      <w:r w:rsidR="00C121B6" w:rsidRPr="007B5BE6">
        <w:t>,</w:t>
      </w:r>
      <w:r w:rsidRPr="007B5BE6">
        <w:t xml:space="preserve"> based on intimate partner violence’</w:t>
      </w:r>
      <w:r w:rsidR="00C121B6" w:rsidRPr="007B5BE6">
        <w:t>. A</w:t>
      </w:r>
      <w:r w:rsidRPr="007B5BE6">
        <w:t>n alternative</w:t>
      </w:r>
      <w:r w:rsidR="00C85EB0" w:rsidRPr="007B5BE6">
        <w:t xml:space="preserve"> </w:t>
      </w:r>
      <w:r w:rsidRPr="007B5BE6">
        <w:t xml:space="preserve">approach </w:t>
      </w:r>
      <w:r w:rsidR="00062471" w:rsidRPr="007B5BE6">
        <w:t xml:space="preserve">could be </w:t>
      </w:r>
      <w:r w:rsidR="00E916DE" w:rsidRPr="007B5BE6">
        <w:t xml:space="preserve">provided through </w:t>
      </w:r>
      <w:r w:rsidR="00062471" w:rsidRPr="007B5BE6">
        <w:t>t</w:t>
      </w:r>
      <w:r w:rsidR="0052501F" w:rsidRPr="007B5BE6">
        <w:t xml:space="preserve">he retention of </w:t>
      </w:r>
      <w:r w:rsidRPr="007B5BE6">
        <w:t xml:space="preserve">civil protection orders </w:t>
      </w:r>
      <w:r w:rsidR="00E916DE" w:rsidRPr="007B5BE6">
        <w:t>with a</w:t>
      </w:r>
      <w:r w:rsidRPr="007B5BE6">
        <w:t xml:space="preserve"> different response when such orders are breached</w:t>
      </w:r>
      <w:r w:rsidR="00A55C47" w:rsidRPr="007B5BE6">
        <w:t xml:space="preserve">. </w:t>
      </w:r>
      <w:r w:rsidR="00062471" w:rsidRPr="007B5BE6">
        <w:t>This could</w:t>
      </w:r>
      <w:r w:rsidR="00A55C47" w:rsidRPr="007B5BE6">
        <w:t xml:space="preserve"> </w:t>
      </w:r>
      <w:r w:rsidRPr="007B5BE6">
        <w:t>involve an initial police response</w:t>
      </w:r>
      <w:r w:rsidR="00062471" w:rsidRPr="007B5BE6">
        <w:t>,</w:t>
      </w:r>
      <w:r w:rsidRPr="007B5BE6">
        <w:t xml:space="preserve"> combined with a ‘diversion-type program’ </w:t>
      </w:r>
      <w:r w:rsidR="00062471" w:rsidRPr="007B5BE6">
        <w:t>providing</w:t>
      </w:r>
      <w:r w:rsidRPr="007B5BE6">
        <w:t xml:space="preserve"> wrap-around case management </w:t>
      </w:r>
      <w:r w:rsidR="004E0E6F" w:rsidRPr="007B5BE6">
        <w:t xml:space="preserve">to facilitate </w:t>
      </w:r>
      <w:r w:rsidRPr="007B5BE6">
        <w:t>the perpetrator</w:t>
      </w:r>
      <w:r w:rsidR="004E0E6F" w:rsidRPr="007B5BE6">
        <w:t xml:space="preserve">’s </w:t>
      </w:r>
      <w:r w:rsidRPr="007B5BE6">
        <w:t>engage</w:t>
      </w:r>
      <w:r w:rsidR="004E0E6F" w:rsidRPr="007B5BE6">
        <w:t>ment</w:t>
      </w:r>
      <w:r w:rsidRPr="007B5BE6">
        <w:t xml:space="preserve"> with intervention and support, including addressing housing, mental health and substance issues.</w:t>
      </w:r>
      <w:r w:rsidR="00D530E3" w:rsidRPr="007B5BE6">
        <w:rPr>
          <w:rStyle w:val="FootnoteReference"/>
        </w:rPr>
        <w:footnoteReference w:id="678"/>
      </w:r>
      <w:r w:rsidRPr="007B5BE6">
        <w:t xml:space="preserve">  </w:t>
      </w:r>
    </w:p>
    <w:p w14:paraId="22663C39" w14:textId="77777777" w:rsidR="002D15D1" w:rsidRPr="007B5BE6" w:rsidRDefault="002D15D1" w:rsidP="00E07B8B">
      <w:pPr>
        <w:pStyle w:val="Sub-HeadingTLRI"/>
        <w:spacing w:before="360"/>
      </w:pPr>
      <w:bookmarkStart w:id="610" w:name="_Toc212561814"/>
      <w:r w:rsidRPr="007B5BE6">
        <w:t>TLRI’s view and recommendations</w:t>
      </w:r>
      <w:bookmarkEnd w:id="610"/>
      <w:r w:rsidRPr="007B5BE6">
        <w:t xml:space="preserve"> </w:t>
      </w:r>
    </w:p>
    <w:p w14:paraId="47210EFA" w14:textId="646A0578" w:rsidR="002D15D1" w:rsidRPr="007B5BE6" w:rsidRDefault="002D15D1" w:rsidP="002D15D1">
      <w:pPr>
        <w:pStyle w:val="NormalNumberedTextTLRI"/>
      </w:pPr>
      <w:r w:rsidRPr="007B5BE6">
        <w:t xml:space="preserve">At first glance, expanding the definition of family violence to have a broader </w:t>
      </w:r>
      <w:r w:rsidR="004C455E" w:rsidRPr="007B5BE6">
        <w:t xml:space="preserve">operational </w:t>
      </w:r>
      <w:r w:rsidRPr="007B5BE6">
        <w:t>scope</w:t>
      </w:r>
      <w:r w:rsidR="00836C1A" w:rsidRPr="007B5BE6">
        <w:t>—</w:t>
      </w:r>
      <w:r w:rsidR="00690D66" w:rsidRPr="007B5BE6">
        <w:t>to</w:t>
      </w:r>
      <w:r w:rsidRPr="007B5BE6">
        <w:t xml:space="preserve"> include abuse of older people </w:t>
      </w:r>
      <w:r w:rsidR="00E94315" w:rsidRPr="007B5BE6">
        <w:t>in a wider range of relationship context</w:t>
      </w:r>
      <w:r w:rsidR="00836C1A" w:rsidRPr="007B5BE6">
        <w:t>s—w</w:t>
      </w:r>
      <w:r w:rsidRPr="007B5BE6">
        <w:t xml:space="preserve">ould appear to address concerns about the limitations of current civil protection orders for older people (as well as address </w:t>
      </w:r>
      <w:r w:rsidR="00F95B31" w:rsidRPr="007B5BE6">
        <w:t xml:space="preserve">identified </w:t>
      </w:r>
      <w:r w:rsidRPr="007B5BE6">
        <w:t>issues relating to coercive control and financial abuse). This would also bring Tasmania in line with other Australian jurisdictions. However, the TLRI does not support this reform option</w:t>
      </w:r>
      <w:r w:rsidR="003D74CB" w:rsidRPr="007B5BE6">
        <w:t xml:space="preserve"> for several reasons</w:t>
      </w:r>
      <w:r w:rsidRPr="007B5BE6">
        <w:t>.</w:t>
      </w:r>
    </w:p>
    <w:p w14:paraId="5A487678" w14:textId="5D0A4034" w:rsidR="002D15D1" w:rsidRPr="007B5BE6" w:rsidRDefault="002D15D1" w:rsidP="002D15D1">
      <w:pPr>
        <w:pStyle w:val="NormalNumberedTextTLRI"/>
      </w:pPr>
      <w:r w:rsidRPr="007B5BE6">
        <w:t xml:space="preserve">The </w:t>
      </w:r>
      <w:r w:rsidRPr="007B5BE6">
        <w:rPr>
          <w:i/>
        </w:rPr>
        <w:t xml:space="preserve">Family Violence Act 2004 </w:t>
      </w:r>
      <w:r w:rsidRPr="007B5BE6">
        <w:t>(Tas) and the Safe at Home framework were introduced in 2004 and ha</w:t>
      </w:r>
      <w:r w:rsidR="003D74CB" w:rsidRPr="007B5BE6">
        <w:t>ve</w:t>
      </w:r>
      <w:r w:rsidRPr="007B5BE6">
        <w:t xml:space="preserve"> </w:t>
      </w:r>
      <w:r w:rsidR="00C431BF" w:rsidRPr="007B5BE6">
        <w:t xml:space="preserve">been specifically tailored and </w:t>
      </w:r>
      <w:r w:rsidRPr="007B5BE6">
        <w:t>developed over a period of 20 years</w:t>
      </w:r>
      <w:r w:rsidR="007F24CF" w:rsidRPr="007B5BE6">
        <w:t>,</w:t>
      </w:r>
      <w:r w:rsidRPr="007B5BE6">
        <w:t xml:space="preserve"> in response to a particular form of violenc</w:t>
      </w:r>
      <w:r w:rsidR="007F24CF" w:rsidRPr="007B5BE6">
        <w:t xml:space="preserve">e—being family violence that </w:t>
      </w:r>
      <w:r w:rsidRPr="007B5BE6">
        <w:t>is committed within intimate partner relationships.</w:t>
      </w:r>
      <w:r w:rsidR="00DD11C6" w:rsidRPr="007B5BE6">
        <w:rPr>
          <w:rStyle w:val="FootnoteReference"/>
        </w:rPr>
        <w:footnoteReference w:id="679"/>
      </w:r>
      <w:r w:rsidRPr="007B5BE6">
        <w:t xml:space="preserve"> As a result, response</w:t>
      </w:r>
      <w:r w:rsidR="00543304" w:rsidRPr="007B5BE6">
        <w:t>s</w:t>
      </w:r>
      <w:r w:rsidRPr="007B5BE6">
        <w:t xml:space="preserve"> provided </w:t>
      </w:r>
      <w:r w:rsidR="00543304" w:rsidRPr="007B5BE6">
        <w:t xml:space="preserve">are </w:t>
      </w:r>
      <w:r w:rsidRPr="007B5BE6">
        <w:t>targeted and tailored towards that context, including:</w:t>
      </w:r>
    </w:p>
    <w:p w14:paraId="28F5B7C8" w14:textId="5D6248B7" w:rsidR="002D15D1" w:rsidRPr="007B5BE6" w:rsidRDefault="002D15D1" w:rsidP="002D15D1">
      <w:pPr>
        <w:pStyle w:val="DotPointTLRI"/>
      </w:pPr>
      <w:r w:rsidRPr="007B5BE6">
        <w:t xml:space="preserve">Legislative factors under the </w:t>
      </w:r>
      <w:r w:rsidRPr="007B5BE6">
        <w:rPr>
          <w:i/>
        </w:rPr>
        <w:t xml:space="preserve">Family Violence Act 2004 </w:t>
      </w:r>
      <w:r w:rsidRPr="007B5BE6">
        <w:t>(Tas): pro-intervention approach, police responses to incidents and powers to issue police family violence orders for up to 12 months, approaches to risk assessment, intersection with child safety/protection issues</w:t>
      </w:r>
      <w:r w:rsidR="00543304" w:rsidRPr="007B5BE6">
        <w:t>,</w:t>
      </w:r>
      <w:r w:rsidRPr="007B5BE6">
        <w:t xml:space="preserve"> and interaction between civil orders under state law and Family Court orders under </w:t>
      </w:r>
      <w:r w:rsidR="00543304" w:rsidRPr="007B5BE6">
        <w:t>Commonwealth</w:t>
      </w:r>
      <w:r w:rsidRPr="007B5BE6">
        <w:t xml:space="preserve"> law.</w:t>
      </w:r>
      <w:r w:rsidR="008B591C" w:rsidRPr="007B5BE6">
        <w:rPr>
          <w:rStyle w:val="FootnoteReference"/>
        </w:rPr>
        <w:footnoteReference w:id="680"/>
      </w:r>
    </w:p>
    <w:p w14:paraId="7598337E" w14:textId="68F75CFB" w:rsidR="002D15D1" w:rsidRPr="007B5BE6" w:rsidRDefault="002D15D1" w:rsidP="002D15D1">
      <w:pPr>
        <w:pStyle w:val="DotPointTLRI"/>
      </w:pPr>
      <w:r w:rsidRPr="007B5BE6">
        <w:lastRenderedPageBreak/>
        <w:t>Case management factors under Safe at Home: safety planning and risk assessment, and Integrated Case Coordination (</w:t>
      </w:r>
      <w:r w:rsidR="00543304" w:rsidRPr="007B5BE6">
        <w:t>‘</w:t>
      </w:r>
      <w:r w:rsidRPr="007B5BE6">
        <w:t>ICC</w:t>
      </w:r>
      <w:r w:rsidR="00543304" w:rsidRPr="007B5BE6">
        <w:t>’</w:t>
      </w:r>
      <w:r w:rsidRPr="007B5BE6">
        <w:t>) meetings</w:t>
      </w:r>
      <w:r w:rsidR="00AC66F6" w:rsidRPr="007B5BE6">
        <w:t xml:space="preserve"> (</w:t>
      </w:r>
      <w:r w:rsidRPr="007B5BE6">
        <w:t>held weekly through Tasmania as a key feature of Safe at Home</w:t>
      </w:r>
      <w:r w:rsidR="00AC66F6" w:rsidRPr="007B5BE6">
        <w:t xml:space="preserve">) </w:t>
      </w:r>
      <w:r w:rsidRPr="007B5BE6">
        <w:t>acting as a safety hub to discuss all risk and safety aspects of</w:t>
      </w:r>
      <w:r w:rsidR="00AA59F6" w:rsidRPr="007B5BE6">
        <w:t xml:space="preserve"> </w:t>
      </w:r>
      <w:r w:rsidRPr="007B5BE6">
        <w:t>family violence cases</w:t>
      </w:r>
      <w:r w:rsidR="00AA59F6" w:rsidRPr="007B5BE6">
        <w:t xml:space="preserve"> within the Safe at Home system</w:t>
      </w:r>
      <w:r w:rsidRPr="007B5BE6">
        <w:t>.</w:t>
      </w:r>
      <w:r w:rsidR="003C5FCA" w:rsidRPr="007B5BE6">
        <w:rPr>
          <w:rStyle w:val="FootnoteReference"/>
        </w:rPr>
        <w:footnoteReference w:id="681"/>
      </w:r>
    </w:p>
    <w:p w14:paraId="6AFC5FAF" w14:textId="2AC53B8B" w:rsidR="002D15D1" w:rsidRPr="007B5BE6" w:rsidRDefault="002D15D1" w:rsidP="002D15D1">
      <w:pPr>
        <w:pStyle w:val="DotPointTLRI"/>
      </w:pPr>
      <w:r w:rsidRPr="007B5BE6">
        <w:t>Service system factors under Safe at Home: multi-disciplinary</w:t>
      </w:r>
      <w:r w:rsidR="002329B6" w:rsidRPr="007B5BE6">
        <w:t>,</w:t>
      </w:r>
      <w:r w:rsidRPr="007B5BE6">
        <w:t xml:space="preserve"> partnership approach with partner</w:t>
      </w:r>
      <w:r w:rsidR="002329B6" w:rsidRPr="007B5BE6">
        <w:t xml:space="preserve"> agencies,</w:t>
      </w:r>
      <w:r w:rsidRPr="007B5BE6">
        <w:t xml:space="preserve"> and business units</w:t>
      </w:r>
      <w:r w:rsidR="002329B6" w:rsidRPr="007B5BE6">
        <w:t xml:space="preserve"> with partner agencies,</w:t>
      </w:r>
      <w:r w:rsidRPr="007B5BE6">
        <w:t xml:space="preserve"> </w:t>
      </w:r>
      <w:r w:rsidR="00AC66F6" w:rsidRPr="007B5BE6">
        <w:t xml:space="preserve">included </w:t>
      </w:r>
      <w:proofErr w:type="gramStart"/>
      <w:r w:rsidR="00AC66F6" w:rsidRPr="007B5BE6">
        <w:t>on the basis of</w:t>
      </w:r>
      <w:proofErr w:type="gramEnd"/>
      <w:r w:rsidR="00AC66F6" w:rsidRPr="007B5BE6">
        <w:t xml:space="preserve"> </w:t>
      </w:r>
      <w:r w:rsidR="002329B6" w:rsidRPr="007B5BE6">
        <w:t xml:space="preserve">identified </w:t>
      </w:r>
      <w:r w:rsidRPr="007B5BE6">
        <w:t>dynamics</w:t>
      </w:r>
      <w:r w:rsidR="002329B6" w:rsidRPr="007B5BE6">
        <w:t xml:space="preserve"> and</w:t>
      </w:r>
      <w:r w:rsidRPr="007B5BE6">
        <w:t xml:space="preserve"> risk factors</w:t>
      </w:r>
      <w:r w:rsidR="002329B6" w:rsidRPr="007B5BE6">
        <w:t>,</w:t>
      </w:r>
      <w:r w:rsidRPr="007B5BE6">
        <w:t xml:space="preserve"> and </w:t>
      </w:r>
      <w:r w:rsidR="002329B6" w:rsidRPr="007B5BE6">
        <w:t xml:space="preserve">the </w:t>
      </w:r>
      <w:r w:rsidRPr="007B5BE6">
        <w:t>support needs</w:t>
      </w:r>
      <w:r w:rsidR="00AC66F6" w:rsidRPr="007B5BE6">
        <w:t xml:space="preserve"> of people experiencing, or at risk of experiencing, family violence</w:t>
      </w:r>
      <w:r w:rsidR="002329B6" w:rsidRPr="007B5BE6">
        <w:t xml:space="preserve">. This includes </w:t>
      </w:r>
      <w:r w:rsidRPr="007B5BE6">
        <w:t xml:space="preserve">people of all ages (commonly </w:t>
      </w:r>
      <w:r w:rsidR="00EE17A8" w:rsidRPr="007B5BE6">
        <w:t xml:space="preserve">adult </w:t>
      </w:r>
      <w:r w:rsidRPr="007B5BE6">
        <w:t>women) as victim</w:t>
      </w:r>
      <w:r w:rsidR="009C4A99" w:rsidRPr="007B5BE6">
        <w:t>-</w:t>
      </w:r>
      <w:r w:rsidRPr="007B5BE6">
        <w:t>survivors and their children.</w:t>
      </w:r>
      <w:r w:rsidR="003B586B" w:rsidRPr="007B5BE6">
        <w:rPr>
          <w:rStyle w:val="FootnoteReference"/>
        </w:rPr>
        <w:footnoteReference w:id="682"/>
      </w:r>
    </w:p>
    <w:p w14:paraId="0E636B61" w14:textId="200B1105" w:rsidR="002D15D1" w:rsidRPr="007B5BE6" w:rsidRDefault="002D15D1" w:rsidP="00C36293">
      <w:pPr>
        <w:pStyle w:val="NormalNumberedTextTLRI"/>
      </w:pPr>
      <w:r w:rsidRPr="007B5BE6">
        <w:t xml:space="preserve">Accordingly, the TLRI’s view is that it would not be appropriate to expand the definition of family violence </w:t>
      </w:r>
      <w:r w:rsidR="000A4909" w:rsidRPr="007B5BE6">
        <w:t xml:space="preserve">under the </w:t>
      </w:r>
      <w:r w:rsidR="000A4909" w:rsidRPr="007B5BE6">
        <w:rPr>
          <w:i/>
        </w:rPr>
        <w:t xml:space="preserve">Family Violence Act 2004 </w:t>
      </w:r>
      <w:r w:rsidR="000A4909" w:rsidRPr="007B5BE6">
        <w:t xml:space="preserve">(Tas), </w:t>
      </w:r>
      <w:r w:rsidRPr="007B5BE6">
        <w:t>and with it</w:t>
      </w:r>
      <w:r w:rsidR="00EE17A8" w:rsidRPr="007B5BE6">
        <w:t>,</w:t>
      </w:r>
      <w:r w:rsidRPr="007B5BE6">
        <w:t xml:space="preserve"> the whole of government Safe at Home response. </w:t>
      </w:r>
      <w:r w:rsidR="00021E7B" w:rsidRPr="007B5BE6">
        <w:t>However, i</w:t>
      </w:r>
      <w:r w:rsidRPr="007B5BE6">
        <w:t xml:space="preserve">n this context, the TLRI does see benefits in a specialised approach to ensure civil protection orders operate more effectively as a safeguarding mechanism </w:t>
      </w:r>
      <w:r w:rsidR="00F11410" w:rsidRPr="007B5BE6">
        <w:t xml:space="preserve">for older people </w:t>
      </w:r>
      <w:r w:rsidRPr="007B5BE6">
        <w:t>th</w:t>
      </w:r>
      <w:r w:rsidR="000A4909" w:rsidRPr="007B5BE6">
        <w:t>r</w:t>
      </w:r>
      <w:r w:rsidRPr="007B5BE6">
        <w:t xml:space="preserve">ough reforms to restraint order laws. </w:t>
      </w:r>
    </w:p>
    <w:p w14:paraId="79F120AA" w14:textId="6612F0FA" w:rsidR="002D15D1" w:rsidRPr="007B5BE6" w:rsidRDefault="00F07FC5" w:rsidP="00E07B8B">
      <w:pPr>
        <w:pStyle w:val="Headingunnumbered"/>
        <w:spacing w:before="360"/>
      </w:pPr>
      <w:bookmarkStart w:id="611" w:name="_Toc212561815"/>
      <w:r w:rsidRPr="007B5BE6">
        <w:t xml:space="preserve">Reform to the </w:t>
      </w:r>
      <w:r w:rsidRPr="007B5BE6">
        <w:rPr>
          <w:i/>
          <w:iCs/>
        </w:rPr>
        <w:t>Justices Act 1959</w:t>
      </w:r>
      <w:r w:rsidRPr="007B5BE6">
        <w:t xml:space="preserve"> (Tas): specialised restraint orders</w:t>
      </w:r>
      <w:bookmarkEnd w:id="611"/>
    </w:p>
    <w:p w14:paraId="4E8FE115" w14:textId="5496F0AE" w:rsidR="002D15D1" w:rsidRPr="007B5BE6" w:rsidRDefault="003D62A5" w:rsidP="002D15D1">
      <w:pPr>
        <w:numPr>
          <w:ilvl w:val="2"/>
          <w:numId w:val="2"/>
        </w:numPr>
        <w:tabs>
          <w:tab w:val="left" w:pos="851"/>
        </w:tabs>
        <w:spacing w:before="220"/>
        <w:rPr>
          <w:rFonts w:eastAsia="Times" w:cs="Times New Roman"/>
          <w:szCs w:val="20"/>
        </w:rPr>
      </w:pPr>
      <w:r w:rsidRPr="007B5BE6">
        <w:rPr>
          <w:rFonts w:eastAsia="Times" w:cs="Times New Roman"/>
          <w:szCs w:val="20"/>
        </w:rPr>
        <w:t>An</w:t>
      </w:r>
      <w:r w:rsidR="002D15D1" w:rsidRPr="007B5BE6">
        <w:rPr>
          <w:rFonts w:eastAsia="Times" w:cs="Times New Roman"/>
          <w:szCs w:val="20"/>
        </w:rPr>
        <w:t xml:space="preserve"> alternative reform </w:t>
      </w:r>
      <w:r w:rsidR="00F11410" w:rsidRPr="007B5BE6">
        <w:rPr>
          <w:rFonts w:eastAsia="Times" w:cs="Times New Roman"/>
          <w:szCs w:val="20"/>
        </w:rPr>
        <w:t xml:space="preserve">option </w:t>
      </w:r>
      <w:r w:rsidR="002D15D1" w:rsidRPr="007B5BE6">
        <w:rPr>
          <w:rFonts w:eastAsia="Times" w:cs="Times New Roman"/>
          <w:szCs w:val="20"/>
        </w:rPr>
        <w:t xml:space="preserve">is to amend the restraint order provisions under the </w:t>
      </w:r>
      <w:r w:rsidR="002D15D1" w:rsidRPr="007B5BE6">
        <w:rPr>
          <w:rFonts w:eastAsia="Times" w:cs="Times New Roman"/>
          <w:i/>
          <w:iCs/>
          <w:szCs w:val="20"/>
        </w:rPr>
        <w:t xml:space="preserve">Justices Act 1959 </w:t>
      </w:r>
      <w:r w:rsidR="002D15D1" w:rsidRPr="007B5BE6">
        <w:rPr>
          <w:rFonts w:eastAsia="Times" w:cs="Times New Roman"/>
          <w:szCs w:val="20"/>
        </w:rPr>
        <w:t xml:space="preserve">(Tas). Restraint orders under the </w:t>
      </w:r>
      <w:r w:rsidR="002D15D1" w:rsidRPr="007B5BE6">
        <w:rPr>
          <w:rFonts w:eastAsia="Times" w:cs="Times New Roman"/>
          <w:i/>
          <w:iCs/>
          <w:szCs w:val="20"/>
        </w:rPr>
        <w:t>Justices Act 1959</w:t>
      </w:r>
      <w:r w:rsidR="002D15D1" w:rsidRPr="007B5BE6">
        <w:rPr>
          <w:rFonts w:eastAsia="Times" w:cs="Times New Roman"/>
          <w:szCs w:val="20"/>
        </w:rPr>
        <w:t xml:space="preserve"> (Tas) provide a </w:t>
      </w:r>
      <w:r w:rsidR="00AF49D9" w:rsidRPr="007B5BE6">
        <w:rPr>
          <w:rFonts w:eastAsia="Times" w:cs="Times New Roman"/>
          <w:szCs w:val="20"/>
        </w:rPr>
        <w:t xml:space="preserve">potential </w:t>
      </w:r>
      <w:r w:rsidR="002D15D1" w:rsidRPr="007B5BE6">
        <w:rPr>
          <w:rFonts w:eastAsia="Times" w:cs="Times New Roman"/>
          <w:szCs w:val="20"/>
        </w:rPr>
        <w:t xml:space="preserve">legal mechanism </w:t>
      </w:r>
      <w:r w:rsidR="00E93791" w:rsidRPr="007B5BE6">
        <w:rPr>
          <w:rFonts w:eastAsia="Times" w:cs="Times New Roman"/>
          <w:szCs w:val="20"/>
        </w:rPr>
        <w:t xml:space="preserve">for </w:t>
      </w:r>
      <w:r w:rsidR="00AF49D9" w:rsidRPr="007B5BE6">
        <w:rPr>
          <w:rFonts w:eastAsia="Times" w:cs="Times New Roman"/>
          <w:szCs w:val="20"/>
        </w:rPr>
        <w:t xml:space="preserve">protecting </w:t>
      </w:r>
      <w:r w:rsidR="002D15D1" w:rsidRPr="007B5BE6">
        <w:rPr>
          <w:rFonts w:eastAsia="Times" w:cs="Times New Roman"/>
          <w:szCs w:val="20"/>
        </w:rPr>
        <w:t>older people experiencing abuse. However, unlike family violence orders</w:t>
      </w:r>
      <w:r w:rsidR="001E683E" w:rsidRPr="007B5BE6">
        <w:rPr>
          <w:rFonts w:eastAsia="Times" w:cs="Times New Roman"/>
          <w:szCs w:val="20"/>
        </w:rPr>
        <w:t xml:space="preserve"> (which are confined to current or former significant intimate</w:t>
      </w:r>
      <w:r w:rsidR="002D15D1" w:rsidRPr="007B5BE6">
        <w:rPr>
          <w:rFonts w:eastAsia="Times" w:cs="Times New Roman"/>
          <w:szCs w:val="20"/>
        </w:rPr>
        <w:t xml:space="preserve"> </w:t>
      </w:r>
      <w:r w:rsidR="001E683E" w:rsidRPr="007B5BE6">
        <w:rPr>
          <w:rFonts w:eastAsia="Times" w:cs="Times New Roman"/>
          <w:szCs w:val="20"/>
        </w:rPr>
        <w:t xml:space="preserve">partner relationships), </w:t>
      </w:r>
      <w:r w:rsidR="002D15D1" w:rsidRPr="007B5BE6">
        <w:rPr>
          <w:rFonts w:eastAsia="Times" w:cs="Times New Roman"/>
          <w:szCs w:val="20"/>
        </w:rPr>
        <w:t xml:space="preserve">there are no constraints on restraint orders </w:t>
      </w:r>
      <w:r w:rsidR="0093705C" w:rsidRPr="007B5BE6">
        <w:rPr>
          <w:rFonts w:eastAsia="Times" w:cs="Times New Roman"/>
          <w:szCs w:val="20"/>
        </w:rPr>
        <w:t>regarding the</w:t>
      </w:r>
      <w:r w:rsidR="002D15D1" w:rsidRPr="007B5BE6">
        <w:rPr>
          <w:rFonts w:eastAsia="Times" w:cs="Times New Roman"/>
          <w:szCs w:val="20"/>
        </w:rPr>
        <w:t xml:space="preserve"> relationship between the older person and the person who is perpetrating the </w:t>
      </w:r>
      <w:r w:rsidRPr="007B5BE6">
        <w:rPr>
          <w:rFonts w:eastAsia="Times" w:cs="Times New Roman"/>
          <w:szCs w:val="20"/>
        </w:rPr>
        <w:t xml:space="preserve">abuse, or who poses </w:t>
      </w:r>
      <w:r w:rsidR="00172545" w:rsidRPr="007B5BE6">
        <w:rPr>
          <w:rFonts w:eastAsia="Times" w:cs="Times New Roman"/>
          <w:szCs w:val="20"/>
        </w:rPr>
        <w:t>a</w:t>
      </w:r>
      <w:r w:rsidRPr="007B5BE6">
        <w:rPr>
          <w:rFonts w:eastAsia="Times" w:cs="Times New Roman"/>
          <w:szCs w:val="20"/>
        </w:rPr>
        <w:t xml:space="preserve"> risk of abuse</w:t>
      </w:r>
      <w:r w:rsidR="00263A64" w:rsidRPr="007B5BE6">
        <w:rPr>
          <w:rFonts w:eastAsia="Times" w:cs="Times New Roman"/>
          <w:szCs w:val="20"/>
        </w:rPr>
        <w:t>.</w:t>
      </w:r>
      <w:r w:rsidR="002D15D1" w:rsidRPr="007B5BE6">
        <w:rPr>
          <w:rFonts w:eastAsia="Times" w:cs="Times New Roman"/>
          <w:szCs w:val="20"/>
        </w:rPr>
        <w:t xml:space="preserve"> Like a family violence order (which requires the court to be satisfied that person has committed family violence and may again commit family violence), the circumstances in which restraint orders </w:t>
      </w:r>
      <w:r w:rsidR="00212FED" w:rsidRPr="007B5BE6">
        <w:rPr>
          <w:rFonts w:eastAsia="Times" w:cs="Times New Roman"/>
          <w:szCs w:val="20"/>
        </w:rPr>
        <w:t>can be made include that</w:t>
      </w:r>
      <w:r w:rsidR="002D15D1" w:rsidRPr="007B5BE6">
        <w:rPr>
          <w:rFonts w:eastAsia="Times" w:cs="Times New Roman"/>
          <w:szCs w:val="20"/>
        </w:rPr>
        <w:t xml:space="preserve"> the behaviour </w:t>
      </w:r>
      <w:r w:rsidR="00212FED" w:rsidRPr="007B5BE6">
        <w:rPr>
          <w:rFonts w:eastAsia="Times" w:cs="Times New Roman"/>
          <w:szCs w:val="20"/>
        </w:rPr>
        <w:t>has</w:t>
      </w:r>
      <w:r w:rsidR="002D15D1" w:rsidRPr="007B5BE6">
        <w:rPr>
          <w:rFonts w:eastAsia="Times" w:cs="Times New Roman"/>
          <w:szCs w:val="20"/>
        </w:rPr>
        <w:t xml:space="preserve"> already occurred and </w:t>
      </w:r>
      <w:r w:rsidR="00212FED" w:rsidRPr="007B5BE6">
        <w:rPr>
          <w:rFonts w:eastAsia="Times" w:cs="Times New Roman"/>
          <w:szCs w:val="20"/>
        </w:rPr>
        <w:t>that it is</w:t>
      </w:r>
      <w:r w:rsidR="002D15D1" w:rsidRPr="007B5BE6">
        <w:rPr>
          <w:rFonts w:eastAsia="Times" w:cs="Times New Roman"/>
          <w:szCs w:val="20"/>
        </w:rPr>
        <w:t xml:space="preserve"> likely to occur again. Therefore, both </w:t>
      </w:r>
      <w:r w:rsidR="008B41E8" w:rsidRPr="007B5BE6">
        <w:rPr>
          <w:rFonts w:eastAsia="Times" w:cs="Times New Roman"/>
          <w:szCs w:val="20"/>
        </w:rPr>
        <w:t>family violence</w:t>
      </w:r>
      <w:r w:rsidR="002D15D1" w:rsidRPr="007B5BE6">
        <w:rPr>
          <w:rFonts w:eastAsia="Times" w:cs="Times New Roman"/>
          <w:szCs w:val="20"/>
        </w:rPr>
        <w:t xml:space="preserve"> orders </w:t>
      </w:r>
      <w:r w:rsidR="008B41E8" w:rsidRPr="007B5BE6">
        <w:rPr>
          <w:rFonts w:eastAsia="Times" w:cs="Times New Roman"/>
          <w:szCs w:val="20"/>
        </w:rPr>
        <w:t xml:space="preserve">and restraint orders </w:t>
      </w:r>
      <w:r w:rsidR="002D15D1" w:rsidRPr="007B5BE6">
        <w:rPr>
          <w:rFonts w:eastAsia="Times" w:cs="Times New Roman"/>
          <w:szCs w:val="20"/>
        </w:rPr>
        <w:t>aim to prevent the re-occurrence</w:t>
      </w:r>
      <w:r w:rsidR="008B41E8" w:rsidRPr="007B5BE6">
        <w:rPr>
          <w:rFonts w:eastAsia="Times" w:cs="Times New Roman"/>
          <w:szCs w:val="20"/>
        </w:rPr>
        <w:t>,</w:t>
      </w:r>
      <w:r w:rsidR="002D15D1" w:rsidRPr="007B5BE6">
        <w:rPr>
          <w:rFonts w:eastAsia="Times" w:cs="Times New Roman"/>
          <w:szCs w:val="20"/>
        </w:rPr>
        <w:t xml:space="preserve"> or continuation</w:t>
      </w:r>
      <w:r w:rsidR="008B41E8" w:rsidRPr="007B5BE6">
        <w:rPr>
          <w:rFonts w:eastAsia="Times" w:cs="Times New Roman"/>
          <w:szCs w:val="20"/>
        </w:rPr>
        <w:t>,</w:t>
      </w:r>
      <w:r w:rsidR="002D15D1" w:rsidRPr="007B5BE6">
        <w:rPr>
          <w:rFonts w:eastAsia="Times" w:cs="Times New Roman"/>
          <w:szCs w:val="20"/>
        </w:rPr>
        <w:t xml:space="preserve"> of the behaviour in question. Under the </w:t>
      </w:r>
      <w:r w:rsidR="002D15D1" w:rsidRPr="007B5BE6">
        <w:rPr>
          <w:rFonts w:eastAsia="Times" w:cs="Times New Roman"/>
          <w:i/>
          <w:iCs/>
          <w:szCs w:val="20"/>
        </w:rPr>
        <w:t xml:space="preserve">Justices Act 1959 </w:t>
      </w:r>
      <w:r w:rsidR="002D15D1" w:rsidRPr="007B5BE6">
        <w:rPr>
          <w:rFonts w:eastAsia="Times" w:cs="Times New Roman"/>
          <w:szCs w:val="20"/>
        </w:rPr>
        <w:t>(Tas), there is a power for a court to make an interim restraint order without being satisfied that the basis for a restraint order has been established.</w:t>
      </w:r>
      <w:r w:rsidR="00AB3BAE" w:rsidRPr="007B5BE6">
        <w:rPr>
          <w:rStyle w:val="FootnoteReference"/>
          <w:rFonts w:eastAsia="Times" w:cs="Times New Roman"/>
          <w:szCs w:val="20"/>
        </w:rPr>
        <w:footnoteReference w:id="683"/>
      </w:r>
      <w:r w:rsidR="002D15D1" w:rsidRPr="007B5BE6">
        <w:rPr>
          <w:rFonts w:eastAsia="Times" w:cs="Times New Roman"/>
          <w:szCs w:val="20"/>
        </w:rPr>
        <w:t xml:space="preserve"> </w:t>
      </w:r>
    </w:p>
    <w:p w14:paraId="04FC6E51" w14:textId="77777777" w:rsidR="00BE66D3" w:rsidRPr="007B5BE6" w:rsidRDefault="00BE66D3">
      <w:pPr>
        <w:spacing w:after="200" w:line="276" w:lineRule="auto"/>
        <w:jc w:val="left"/>
        <w:rPr>
          <w:rFonts w:eastAsia="Times" w:cs="Times New Roman"/>
          <w:b/>
          <w:i/>
          <w:szCs w:val="20"/>
        </w:rPr>
      </w:pPr>
      <w:r w:rsidRPr="007B5BE6">
        <w:br w:type="page"/>
      </w:r>
    </w:p>
    <w:p w14:paraId="5EC166DF" w14:textId="5708BB0B" w:rsidR="002223DB" w:rsidRPr="007B5BE6" w:rsidRDefault="002223DB" w:rsidP="00E07B8B">
      <w:pPr>
        <w:pStyle w:val="Sub-HeadingTLRI"/>
        <w:spacing w:before="360"/>
      </w:pPr>
      <w:bookmarkStart w:id="612" w:name="_Toc212561816"/>
      <w:r w:rsidRPr="007B5BE6">
        <w:lastRenderedPageBreak/>
        <w:t>Approach in other jurisdictions</w:t>
      </w:r>
      <w:bookmarkEnd w:id="612"/>
      <w:r w:rsidRPr="007B5BE6">
        <w:t xml:space="preserve"> </w:t>
      </w:r>
    </w:p>
    <w:p w14:paraId="355A5513" w14:textId="7BE27A86" w:rsidR="00D31EA6" w:rsidRPr="007B5BE6" w:rsidRDefault="00643E88" w:rsidP="00643E88">
      <w:pPr>
        <w:pStyle w:val="NormalNumberedTextTLRI"/>
      </w:pPr>
      <w:r w:rsidRPr="007B5BE6">
        <w:t>A</w:t>
      </w:r>
      <w:r w:rsidR="009D33F6" w:rsidRPr="007B5BE6">
        <w:t>s noted,</w:t>
      </w:r>
      <w:r w:rsidRPr="007B5BE6">
        <w:t xml:space="preserve"> other Australian jurisdictions have </w:t>
      </w:r>
      <w:r w:rsidR="00AB73A7" w:rsidRPr="007B5BE6">
        <w:t xml:space="preserve">family violence legislation </w:t>
      </w:r>
      <w:r w:rsidR="00C81DCC" w:rsidRPr="007B5BE6">
        <w:t xml:space="preserve">providing </w:t>
      </w:r>
      <w:r w:rsidR="00AB73A7" w:rsidRPr="007B5BE6">
        <w:t xml:space="preserve">civil protection under </w:t>
      </w:r>
      <w:r w:rsidR="002223DB" w:rsidRPr="007B5BE6">
        <w:t xml:space="preserve">orders restraining people from behaviour </w:t>
      </w:r>
      <w:r w:rsidR="00693CF0" w:rsidRPr="007B5BE6">
        <w:t>through a</w:t>
      </w:r>
      <w:r w:rsidR="006D3BF7" w:rsidRPr="007B5BE6">
        <w:t xml:space="preserve"> </w:t>
      </w:r>
      <w:r w:rsidR="002223DB" w:rsidRPr="007B5BE6">
        <w:t>wide</w:t>
      </w:r>
      <w:r w:rsidR="00693CF0" w:rsidRPr="007B5BE6">
        <w:t>r</w:t>
      </w:r>
      <w:r w:rsidR="002223DB" w:rsidRPr="007B5BE6">
        <w:t xml:space="preserve"> definition of family </w:t>
      </w:r>
      <w:r w:rsidR="00B03926" w:rsidRPr="007B5BE6">
        <w:t>relationships</w:t>
      </w:r>
      <w:r w:rsidR="00693CF0" w:rsidRPr="007B5BE6">
        <w:t xml:space="preserve">. Thus, there has been less </w:t>
      </w:r>
      <w:r w:rsidR="00645695" w:rsidRPr="007B5BE6">
        <w:t>reli</w:t>
      </w:r>
      <w:r w:rsidR="00693CF0" w:rsidRPr="007B5BE6">
        <w:t>ance, in these jurisdictions,</w:t>
      </w:r>
      <w:r w:rsidR="00645695" w:rsidRPr="007B5BE6">
        <w:t xml:space="preserve"> on</w:t>
      </w:r>
      <w:r w:rsidR="002223DB" w:rsidRPr="007B5BE6">
        <w:t xml:space="preserve"> restraint </w:t>
      </w:r>
      <w:r w:rsidR="00645695" w:rsidRPr="007B5BE6">
        <w:t>order legislation</w:t>
      </w:r>
      <w:r w:rsidR="00DC6070" w:rsidRPr="007B5BE6">
        <w:t xml:space="preserve"> in the context of abuse of older people</w:t>
      </w:r>
      <w:r w:rsidR="002223DB" w:rsidRPr="007B5BE6">
        <w:t xml:space="preserve">. </w:t>
      </w:r>
    </w:p>
    <w:p w14:paraId="00BAC563" w14:textId="019D6D5B" w:rsidR="002D15D1" w:rsidRPr="007B5BE6" w:rsidRDefault="00403F65" w:rsidP="00E07B8B">
      <w:pPr>
        <w:pStyle w:val="Sub-HeadingTLRI"/>
        <w:spacing w:before="360"/>
      </w:pPr>
      <w:bookmarkStart w:id="613" w:name="_Toc212561817"/>
      <w:r w:rsidRPr="007B5BE6">
        <w:t>Interviews with stakeholders</w:t>
      </w:r>
      <w:bookmarkEnd w:id="613"/>
    </w:p>
    <w:p w14:paraId="183329E1" w14:textId="6E59BAA0" w:rsidR="002D15D1" w:rsidRPr="007B5BE6" w:rsidRDefault="00403F65" w:rsidP="002D15D1">
      <w:pPr>
        <w:numPr>
          <w:ilvl w:val="2"/>
          <w:numId w:val="2"/>
        </w:numPr>
        <w:tabs>
          <w:tab w:val="left" w:pos="851"/>
        </w:tabs>
        <w:spacing w:before="220"/>
        <w:rPr>
          <w:rFonts w:eastAsia="Times" w:cs="Times New Roman"/>
          <w:szCs w:val="20"/>
        </w:rPr>
      </w:pPr>
      <w:r w:rsidRPr="007B5BE6">
        <w:rPr>
          <w:rFonts w:eastAsia="Times" w:cs="Times New Roman"/>
          <w:szCs w:val="20"/>
        </w:rPr>
        <w:t>S</w:t>
      </w:r>
      <w:r w:rsidR="002D15D1" w:rsidRPr="007B5BE6">
        <w:rPr>
          <w:rFonts w:eastAsia="Times" w:cs="Times New Roman"/>
          <w:szCs w:val="20"/>
        </w:rPr>
        <w:t xml:space="preserve">takeholders were supportive of powers that </w:t>
      </w:r>
      <w:r w:rsidR="009B474E" w:rsidRPr="007B5BE6">
        <w:rPr>
          <w:rFonts w:eastAsia="Times" w:cs="Times New Roman"/>
          <w:szCs w:val="20"/>
        </w:rPr>
        <w:t xml:space="preserve">would </w:t>
      </w:r>
      <w:r w:rsidR="002D15D1" w:rsidRPr="007B5BE6">
        <w:rPr>
          <w:rFonts w:eastAsia="Times" w:cs="Times New Roman"/>
          <w:szCs w:val="20"/>
        </w:rPr>
        <w:t xml:space="preserve">allow for restraint orders to be issued by a court </w:t>
      </w:r>
      <w:r w:rsidR="009B474E" w:rsidRPr="007B5BE6">
        <w:rPr>
          <w:rFonts w:eastAsia="Times" w:cs="Times New Roman"/>
          <w:szCs w:val="20"/>
        </w:rPr>
        <w:t>to</w:t>
      </w:r>
      <w:r w:rsidR="002D15D1" w:rsidRPr="007B5BE6">
        <w:rPr>
          <w:rFonts w:eastAsia="Times" w:cs="Times New Roman"/>
          <w:szCs w:val="20"/>
        </w:rPr>
        <w:t xml:space="preserve"> be served and enforced by Tasmania Police as an option under the current legal framework to protect older people </w:t>
      </w:r>
      <w:r w:rsidR="009B474E" w:rsidRPr="007B5BE6">
        <w:rPr>
          <w:rFonts w:eastAsia="Times" w:cs="Times New Roman"/>
          <w:szCs w:val="20"/>
        </w:rPr>
        <w:t>from</w:t>
      </w:r>
      <w:r w:rsidR="002D15D1" w:rsidRPr="007B5BE6">
        <w:rPr>
          <w:rFonts w:eastAsia="Times" w:cs="Times New Roman"/>
          <w:szCs w:val="20"/>
        </w:rPr>
        <w:t xml:space="preserve"> abuse from people other than </w:t>
      </w:r>
      <w:r w:rsidR="00A447DA" w:rsidRPr="007B5BE6">
        <w:rPr>
          <w:rFonts w:eastAsia="Times" w:cs="Times New Roman"/>
          <w:szCs w:val="20"/>
        </w:rPr>
        <w:t xml:space="preserve">current or former </w:t>
      </w:r>
      <w:r w:rsidR="002D15D1" w:rsidRPr="007B5BE6">
        <w:rPr>
          <w:rFonts w:eastAsia="Times" w:cs="Times New Roman"/>
          <w:szCs w:val="20"/>
        </w:rPr>
        <w:t>intimate partners.</w:t>
      </w:r>
      <w:r w:rsidR="00AB3BAE" w:rsidRPr="007B5BE6">
        <w:rPr>
          <w:rStyle w:val="FootnoteReference"/>
          <w:rFonts w:eastAsia="Times" w:cs="Times New Roman"/>
          <w:szCs w:val="20"/>
        </w:rPr>
        <w:footnoteReference w:id="684"/>
      </w:r>
      <w:r w:rsidR="002D15D1" w:rsidRPr="007B5BE6">
        <w:t xml:space="preserve"> Stakeholders recognised that restraint orders </w:t>
      </w:r>
      <w:r w:rsidR="00156C4F" w:rsidRPr="007B5BE6">
        <w:t xml:space="preserve">are currently </w:t>
      </w:r>
      <w:r w:rsidR="002D15D1" w:rsidRPr="007B5BE6">
        <w:t xml:space="preserve">available </w:t>
      </w:r>
      <w:r w:rsidR="00156C4F" w:rsidRPr="007B5BE6">
        <w:t xml:space="preserve">as </w:t>
      </w:r>
      <w:r w:rsidR="002D15D1" w:rsidRPr="007B5BE6">
        <w:t>a</w:t>
      </w:r>
      <w:r w:rsidR="00156C4F" w:rsidRPr="007B5BE6">
        <w:t xml:space="preserve"> response</w:t>
      </w:r>
      <w:r w:rsidR="002D15D1" w:rsidRPr="007B5BE6">
        <w:t xml:space="preserve"> option</w:t>
      </w:r>
      <w:r w:rsidR="00156C4F" w:rsidRPr="007B5BE6">
        <w:t xml:space="preserve">, </w:t>
      </w:r>
      <w:r w:rsidR="002D15D1" w:rsidRPr="007B5BE6">
        <w:t xml:space="preserve">and </w:t>
      </w:r>
      <w:r w:rsidR="00156C4F" w:rsidRPr="007B5BE6">
        <w:t xml:space="preserve">further </w:t>
      </w:r>
      <w:r w:rsidR="00771A6F" w:rsidRPr="007B5BE6">
        <w:t>that Senior Assist</w:t>
      </w:r>
      <w:r w:rsidR="002D15D1" w:rsidRPr="007B5BE6">
        <w:t xml:space="preserve"> </w:t>
      </w:r>
      <w:r w:rsidR="00771A6F" w:rsidRPr="007B5BE6">
        <w:t>was able</w:t>
      </w:r>
      <w:r w:rsidR="002D15D1" w:rsidRPr="007B5BE6">
        <w:t xml:space="preserve"> to provide advice </w:t>
      </w:r>
      <w:r w:rsidR="00771A6F" w:rsidRPr="007B5BE6">
        <w:t>and assistance</w:t>
      </w:r>
      <w:r w:rsidR="00156C4F" w:rsidRPr="007B5BE6">
        <w:t xml:space="preserve"> regarding this</w:t>
      </w:r>
      <w:r w:rsidR="00510813" w:rsidRPr="007B5BE6">
        <w:t>.</w:t>
      </w:r>
      <w:r w:rsidR="002D15D1" w:rsidRPr="007B5BE6">
        <w:t xml:space="preserve"> </w:t>
      </w:r>
      <w:r w:rsidR="002D15D1" w:rsidRPr="007B5BE6">
        <w:rPr>
          <w:rFonts w:eastAsia="Times" w:cs="Times New Roman"/>
          <w:szCs w:val="20"/>
        </w:rPr>
        <w:t xml:space="preserve">However, stakeholders identified numerous gaps and issues in </w:t>
      </w:r>
      <w:r w:rsidR="00510813" w:rsidRPr="007B5BE6">
        <w:rPr>
          <w:rFonts w:eastAsia="Times" w:cs="Times New Roman"/>
          <w:szCs w:val="20"/>
        </w:rPr>
        <w:t>the operation of restraint orders</w:t>
      </w:r>
      <w:r w:rsidR="002E2381" w:rsidRPr="007B5BE6">
        <w:rPr>
          <w:rFonts w:eastAsia="Times" w:cs="Times New Roman"/>
          <w:szCs w:val="20"/>
        </w:rPr>
        <w:t xml:space="preserve"> in the context of the abuse of older people</w:t>
      </w:r>
      <w:r w:rsidR="00221AA5" w:rsidRPr="007B5BE6">
        <w:rPr>
          <w:rFonts w:eastAsia="Times" w:cs="Times New Roman"/>
          <w:szCs w:val="20"/>
        </w:rPr>
        <w:t xml:space="preserve">, </w:t>
      </w:r>
      <w:r w:rsidR="003A3119">
        <w:rPr>
          <w:rFonts w:eastAsia="Times" w:cs="Times New Roman"/>
          <w:szCs w:val="20"/>
        </w:rPr>
        <w:t>suggest</w:t>
      </w:r>
      <w:r w:rsidR="00B06F79">
        <w:rPr>
          <w:rFonts w:eastAsia="Times" w:cs="Times New Roman"/>
          <w:szCs w:val="20"/>
        </w:rPr>
        <w:t>ing</w:t>
      </w:r>
      <w:r w:rsidR="003A3119">
        <w:rPr>
          <w:rFonts w:eastAsia="Times" w:cs="Times New Roman"/>
          <w:szCs w:val="20"/>
        </w:rPr>
        <w:t xml:space="preserve"> a need for more specialisation</w:t>
      </w:r>
      <w:r w:rsidR="00B84C49">
        <w:rPr>
          <w:rFonts w:eastAsia="Times" w:cs="Times New Roman"/>
          <w:szCs w:val="20"/>
        </w:rPr>
        <w:t xml:space="preserve">. This </w:t>
      </w:r>
      <w:r w:rsidR="00221AA5" w:rsidRPr="007B5BE6">
        <w:rPr>
          <w:rFonts w:eastAsia="Times" w:cs="Times New Roman"/>
          <w:szCs w:val="20"/>
        </w:rPr>
        <w:t>includ</w:t>
      </w:r>
      <w:r w:rsidR="00B84C49">
        <w:rPr>
          <w:rFonts w:eastAsia="Times" w:cs="Times New Roman"/>
          <w:szCs w:val="20"/>
        </w:rPr>
        <w:t>ed</w:t>
      </w:r>
      <w:r w:rsidR="00221AA5" w:rsidRPr="007B5BE6">
        <w:rPr>
          <w:rFonts w:eastAsia="Times" w:cs="Times New Roman"/>
          <w:szCs w:val="20"/>
        </w:rPr>
        <w:t xml:space="preserve"> </w:t>
      </w:r>
      <w:r w:rsidR="002D15D1" w:rsidRPr="007B5BE6">
        <w:rPr>
          <w:rFonts w:eastAsia="Times" w:cs="Times New Roman"/>
          <w:szCs w:val="20"/>
        </w:rPr>
        <w:t>that:</w:t>
      </w:r>
    </w:p>
    <w:p w14:paraId="7DDA5814" w14:textId="77777777" w:rsidR="002D15D1" w:rsidRPr="007B5BE6" w:rsidRDefault="002D15D1" w:rsidP="002D15D1">
      <w:pPr>
        <w:pStyle w:val="DotPointTLRI"/>
      </w:pPr>
      <w:r w:rsidRPr="007B5BE6">
        <w:t>there can be a reluctance of police to apply for restraint orders in circumstances involving abuse by a family member of an older person;</w:t>
      </w:r>
    </w:p>
    <w:p w14:paraId="3C71FD93" w14:textId="45B07FDC" w:rsidR="002D15D1" w:rsidRPr="007B5BE6" w:rsidRDefault="002D15D1" w:rsidP="002D15D1">
      <w:pPr>
        <w:pStyle w:val="DotPointTLRI"/>
      </w:pPr>
      <w:r w:rsidRPr="007B5BE6">
        <w:t xml:space="preserve">the court process </w:t>
      </w:r>
      <w:r w:rsidR="00EF57FA" w:rsidRPr="007B5BE6">
        <w:t>for</w:t>
      </w:r>
      <w:r w:rsidRPr="007B5BE6">
        <w:t xml:space="preserve"> applying for a restrai</w:t>
      </w:r>
      <w:r w:rsidR="006E4FBA" w:rsidRPr="007B5BE6">
        <w:t>nt</w:t>
      </w:r>
      <w:r w:rsidRPr="007B5BE6">
        <w:t xml:space="preserve"> order can be stressful for an older person and takes an emotional toll;</w:t>
      </w:r>
    </w:p>
    <w:p w14:paraId="7C19CDD6" w14:textId="1F25E22E" w:rsidR="002D15D1" w:rsidRPr="007B5BE6" w:rsidRDefault="002D15D1" w:rsidP="002D15D1">
      <w:pPr>
        <w:pStyle w:val="DotPointTLRI"/>
      </w:pPr>
      <w:r w:rsidRPr="007B5BE6">
        <w:t xml:space="preserve">the ability to have a restraint order issued, where the application is contested, relies on the protected person being willing and </w:t>
      </w:r>
      <w:r w:rsidR="006E4FBA" w:rsidRPr="007B5BE6">
        <w:t>having legal</w:t>
      </w:r>
      <w:r w:rsidRPr="007B5BE6">
        <w:t xml:space="preserve"> capacity to give evidence in court;</w:t>
      </w:r>
    </w:p>
    <w:p w14:paraId="04FA77FE" w14:textId="0B62CE97" w:rsidR="002D15D1" w:rsidRPr="007B5BE6" w:rsidRDefault="002D15D1" w:rsidP="002D15D1">
      <w:pPr>
        <w:pStyle w:val="DotPointTLRI"/>
      </w:pPr>
      <w:r w:rsidRPr="007B5BE6">
        <w:t>there can</w:t>
      </w:r>
      <w:r w:rsidR="006E4FBA" w:rsidRPr="007B5BE6">
        <w:t xml:space="preserve"> be</w:t>
      </w:r>
      <w:r w:rsidRPr="007B5BE6">
        <w:t xml:space="preserve"> fear or reluctance by an older person to seek a restraint order or to report breaches of a restraint order, particular</w:t>
      </w:r>
      <w:r w:rsidR="006E4FBA" w:rsidRPr="007B5BE6">
        <w:t>ly</w:t>
      </w:r>
      <w:r w:rsidRPr="007B5BE6">
        <w:t xml:space="preserve"> when </w:t>
      </w:r>
      <w:r w:rsidR="00AA5F9F" w:rsidRPr="007B5BE6">
        <w:t xml:space="preserve">the conduct </w:t>
      </w:r>
      <w:r w:rsidRPr="007B5BE6">
        <w:t>involv</w:t>
      </w:r>
      <w:r w:rsidR="00AA5F9F" w:rsidRPr="007B5BE6">
        <w:t>es</w:t>
      </w:r>
      <w:r w:rsidRPr="007B5BE6">
        <w:t xml:space="preserve"> family</w:t>
      </w:r>
      <w:r w:rsidR="00AA5F9F" w:rsidRPr="007B5BE6">
        <w:t>,</w:t>
      </w:r>
      <w:r w:rsidRPr="007B5BE6">
        <w:t xml:space="preserve"> due to fear of the consequences; </w:t>
      </w:r>
    </w:p>
    <w:p w14:paraId="17D9F875" w14:textId="47EEA91F" w:rsidR="002D15D1" w:rsidRPr="007B5BE6" w:rsidRDefault="002D15D1" w:rsidP="002D15D1">
      <w:pPr>
        <w:pStyle w:val="DotPointTLRI"/>
      </w:pPr>
      <w:r w:rsidRPr="007B5BE6">
        <w:t xml:space="preserve">there are limitations in the safeguards offered by </w:t>
      </w:r>
      <w:r w:rsidR="00AA5F9F" w:rsidRPr="007B5BE6">
        <w:t xml:space="preserve">current </w:t>
      </w:r>
      <w:r w:rsidRPr="007B5BE6">
        <w:t>restraint order</w:t>
      </w:r>
      <w:r w:rsidR="00AA5F9F" w:rsidRPr="007B5BE6">
        <w:t xml:space="preserve"> provisions </w:t>
      </w:r>
      <w:r w:rsidRPr="007B5BE6">
        <w:t xml:space="preserve">when there are complex caring, living or property arrangements; and </w:t>
      </w:r>
    </w:p>
    <w:p w14:paraId="201D684A" w14:textId="7E6D9A5A" w:rsidR="002D15D1" w:rsidRPr="007B5BE6" w:rsidRDefault="002D15D1" w:rsidP="002D15D1">
      <w:pPr>
        <w:pStyle w:val="DotPointTLRI"/>
      </w:pPr>
      <w:r w:rsidRPr="007B5BE6">
        <w:t>the consequence</w:t>
      </w:r>
      <w:r w:rsidR="00877E68" w:rsidRPr="007B5BE6">
        <w:t xml:space="preserve">s of </w:t>
      </w:r>
      <w:r w:rsidRPr="007B5BE6">
        <w:t>breach</w:t>
      </w:r>
      <w:r w:rsidR="00877E68" w:rsidRPr="007B5BE6">
        <w:t>ing</w:t>
      </w:r>
      <w:r w:rsidRPr="007B5BE6">
        <w:t xml:space="preserve"> restraint orders </w:t>
      </w:r>
      <w:r w:rsidR="00877E68" w:rsidRPr="007B5BE6">
        <w:t xml:space="preserve">are lacking </w:t>
      </w:r>
      <w:r w:rsidRPr="007B5BE6">
        <w:t xml:space="preserve">under the </w:t>
      </w:r>
      <w:r w:rsidRPr="007B5BE6">
        <w:rPr>
          <w:i/>
          <w:iCs/>
        </w:rPr>
        <w:t>Justices Act 195</w:t>
      </w:r>
      <w:r w:rsidR="00477F94" w:rsidRPr="007B5BE6">
        <w:rPr>
          <w:i/>
          <w:iCs/>
        </w:rPr>
        <w:t>9</w:t>
      </w:r>
      <w:r w:rsidRPr="007B5BE6">
        <w:t xml:space="preserve"> (Tas) compared </w:t>
      </w:r>
      <w:r w:rsidR="00304E2F" w:rsidRPr="007B5BE6">
        <w:t xml:space="preserve">to </w:t>
      </w:r>
      <w:r w:rsidR="00877E68" w:rsidRPr="007B5BE6">
        <w:t xml:space="preserve">those </w:t>
      </w:r>
      <w:r w:rsidR="00824B58" w:rsidRPr="007B5BE6">
        <w:t xml:space="preserve">for breaching </w:t>
      </w:r>
      <w:r w:rsidRPr="007B5BE6">
        <w:t>family violence o</w:t>
      </w:r>
      <w:r w:rsidR="00824B58" w:rsidRPr="007B5BE6">
        <w:t>rders</w:t>
      </w:r>
      <w:r w:rsidRPr="007B5BE6">
        <w:t xml:space="preserve"> under the </w:t>
      </w:r>
      <w:r w:rsidRPr="007B5BE6">
        <w:rPr>
          <w:i/>
          <w:iCs/>
        </w:rPr>
        <w:t>Family Violence Act 2004</w:t>
      </w:r>
      <w:r w:rsidRPr="007B5BE6">
        <w:t xml:space="preserve"> (Tas) and</w:t>
      </w:r>
      <w:r w:rsidR="00877E68" w:rsidRPr="007B5BE6">
        <w:t xml:space="preserve"> the</w:t>
      </w:r>
      <w:r w:rsidRPr="007B5BE6">
        <w:t xml:space="preserve"> Safe at Home integrated criminal justice response.</w:t>
      </w:r>
      <w:r w:rsidR="00AB3BAE" w:rsidRPr="007B5BE6">
        <w:rPr>
          <w:rStyle w:val="FootnoteReference"/>
        </w:rPr>
        <w:footnoteReference w:id="685"/>
      </w:r>
    </w:p>
    <w:p w14:paraId="5A05DE73" w14:textId="7E22943A" w:rsidR="002D15D1" w:rsidRPr="007B5BE6" w:rsidRDefault="002D15D1" w:rsidP="002D15D1">
      <w:pPr>
        <w:numPr>
          <w:ilvl w:val="2"/>
          <w:numId w:val="2"/>
        </w:numPr>
        <w:tabs>
          <w:tab w:val="left" w:pos="851"/>
        </w:tabs>
        <w:spacing w:before="220"/>
        <w:rPr>
          <w:rFonts w:eastAsia="Times" w:cs="Times New Roman"/>
          <w:szCs w:val="20"/>
        </w:rPr>
      </w:pPr>
      <w:r w:rsidRPr="007B5BE6">
        <w:rPr>
          <w:rFonts w:eastAsia="Times" w:cs="Times New Roman"/>
          <w:szCs w:val="20"/>
        </w:rPr>
        <w:t xml:space="preserve">An example </w:t>
      </w:r>
      <w:r w:rsidR="00521EB0" w:rsidRPr="007B5BE6">
        <w:rPr>
          <w:rFonts w:eastAsia="Times" w:cs="Times New Roman"/>
          <w:szCs w:val="20"/>
        </w:rPr>
        <w:t>given</w:t>
      </w:r>
      <w:r w:rsidR="00BB59C6" w:rsidRPr="007B5BE6">
        <w:rPr>
          <w:rFonts w:eastAsia="Times" w:cs="Times New Roman"/>
          <w:szCs w:val="20"/>
        </w:rPr>
        <w:t xml:space="preserve"> by a stakeholder</w:t>
      </w:r>
      <w:r w:rsidR="00521EB0" w:rsidRPr="007B5BE6">
        <w:rPr>
          <w:rFonts w:eastAsia="Times" w:cs="Times New Roman"/>
          <w:szCs w:val="20"/>
        </w:rPr>
        <w:t xml:space="preserve"> </w:t>
      </w:r>
      <w:r w:rsidRPr="007B5BE6">
        <w:rPr>
          <w:rFonts w:eastAsia="Times" w:cs="Times New Roman"/>
          <w:szCs w:val="20"/>
        </w:rPr>
        <w:t xml:space="preserve">to illustrate the </w:t>
      </w:r>
      <w:r w:rsidR="00155C2A" w:rsidRPr="007B5BE6">
        <w:rPr>
          <w:rFonts w:eastAsia="Times" w:cs="Times New Roman"/>
          <w:szCs w:val="20"/>
        </w:rPr>
        <w:t xml:space="preserve">more </w:t>
      </w:r>
      <w:r w:rsidRPr="007B5BE6">
        <w:rPr>
          <w:rFonts w:eastAsia="Times" w:cs="Times New Roman"/>
          <w:szCs w:val="20"/>
        </w:rPr>
        <w:t>limit</w:t>
      </w:r>
      <w:r w:rsidR="00155C2A" w:rsidRPr="007B5BE6">
        <w:rPr>
          <w:rFonts w:eastAsia="Times" w:cs="Times New Roman"/>
          <w:szCs w:val="20"/>
        </w:rPr>
        <w:t>ed</w:t>
      </w:r>
      <w:r w:rsidRPr="007B5BE6">
        <w:rPr>
          <w:rFonts w:eastAsia="Times" w:cs="Times New Roman"/>
          <w:szCs w:val="20"/>
        </w:rPr>
        <w:t xml:space="preserve"> legal response </w:t>
      </w:r>
      <w:r w:rsidR="00DE1C53" w:rsidRPr="007B5BE6">
        <w:rPr>
          <w:rFonts w:eastAsia="Times" w:cs="Times New Roman"/>
          <w:szCs w:val="20"/>
        </w:rPr>
        <w:t>within</w:t>
      </w:r>
      <w:r w:rsidR="00155C2A" w:rsidRPr="007B5BE6">
        <w:rPr>
          <w:rFonts w:eastAsia="Times" w:cs="Times New Roman"/>
          <w:szCs w:val="20"/>
        </w:rPr>
        <w:t xml:space="preserve"> restraint order</w:t>
      </w:r>
      <w:r w:rsidR="00DE1C53" w:rsidRPr="007B5BE6">
        <w:rPr>
          <w:rFonts w:eastAsia="Times" w:cs="Times New Roman"/>
          <w:szCs w:val="20"/>
        </w:rPr>
        <w:t xml:space="preserve"> provisions in the </w:t>
      </w:r>
      <w:r w:rsidR="00155C2A" w:rsidRPr="007B5BE6">
        <w:rPr>
          <w:rFonts w:eastAsia="Times" w:cs="Times New Roman"/>
          <w:szCs w:val="20"/>
        </w:rPr>
        <w:t xml:space="preserve">context of </w:t>
      </w:r>
      <w:r w:rsidRPr="007B5BE6">
        <w:rPr>
          <w:rFonts w:eastAsia="Times" w:cs="Times New Roman"/>
          <w:szCs w:val="20"/>
        </w:rPr>
        <w:t xml:space="preserve">abuse of an older person, was </w:t>
      </w:r>
      <w:r w:rsidR="00521EB0" w:rsidRPr="007B5BE6">
        <w:rPr>
          <w:rFonts w:eastAsia="Times" w:cs="Times New Roman"/>
          <w:szCs w:val="20"/>
        </w:rPr>
        <w:t>a previous direction in the</w:t>
      </w:r>
      <w:r w:rsidRPr="007B5BE6">
        <w:rPr>
          <w:rFonts w:eastAsia="Times" w:cs="Times New Roman"/>
          <w:szCs w:val="20"/>
        </w:rPr>
        <w:t xml:space="preserve"> Tasmania Police Procedures Manual that police were to apply for restraint orders in circumstances of abuse of an older person only when the person was in immediate danger.</w:t>
      </w:r>
      <w:r w:rsidR="00AB3BAE" w:rsidRPr="007B5BE6">
        <w:rPr>
          <w:rStyle w:val="FootnoteReference"/>
          <w:rFonts w:eastAsia="Times" w:cs="Times New Roman"/>
          <w:szCs w:val="20"/>
        </w:rPr>
        <w:footnoteReference w:id="686"/>
      </w:r>
      <w:r w:rsidRPr="007B5BE6">
        <w:rPr>
          <w:rFonts w:eastAsia="Times" w:cs="Times New Roman"/>
          <w:szCs w:val="20"/>
        </w:rPr>
        <w:t xml:space="preserve"> </w:t>
      </w:r>
      <w:r w:rsidR="00DE1C53" w:rsidRPr="007B5BE6">
        <w:rPr>
          <w:rFonts w:eastAsia="Times" w:cs="Times New Roman"/>
          <w:szCs w:val="20"/>
        </w:rPr>
        <w:t>Although this direction had now changed, this example was given to illustrate how restraint orders do not offer</w:t>
      </w:r>
      <w:r w:rsidR="00C6754B" w:rsidRPr="007B5BE6">
        <w:rPr>
          <w:rFonts w:eastAsia="Times" w:cs="Times New Roman"/>
          <w:szCs w:val="20"/>
        </w:rPr>
        <w:t xml:space="preserve"> the same level of protection </w:t>
      </w:r>
      <w:r w:rsidR="00D4049B" w:rsidRPr="007B5BE6">
        <w:rPr>
          <w:rFonts w:eastAsia="Times" w:cs="Times New Roman"/>
          <w:szCs w:val="20"/>
        </w:rPr>
        <w:t>given by family violence orders</w:t>
      </w:r>
      <w:r w:rsidR="00C6754B" w:rsidRPr="007B5BE6">
        <w:rPr>
          <w:rFonts w:eastAsia="Times" w:cs="Times New Roman"/>
          <w:szCs w:val="20"/>
        </w:rPr>
        <w:t xml:space="preserve"> under the </w:t>
      </w:r>
      <w:r w:rsidR="00C6754B" w:rsidRPr="007B5BE6">
        <w:rPr>
          <w:i/>
          <w:iCs/>
        </w:rPr>
        <w:t>Family Violence Act 2004</w:t>
      </w:r>
      <w:r w:rsidR="00C6754B" w:rsidRPr="007B5BE6">
        <w:t xml:space="preserve"> (Tas).</w:t>
      </w:r>
    </w:p>
    <w:p w14:paraId="2E33D8B1" w14:textId="2D941FEA" w:rsidR="002D15D1" w:rsidRPr="007B5BE6" w:rsidRDefault="002D15D1" w:rsidP="002D15D1">
      <w:pPr>
        <w:numPr>
          <w:ilvl w:val="2"/>
          <w:numId w:val="2"/>
        </w:numPr>
        <w:tabs>
          <w:tab w:val="left" w:pos="851"/>
        </w:tabs>
        <w:spacing w:before="220"/>
        <w:rPr>
          <w:rFonts w:eastAsia="Times" w:cs="Times New Roman"/>
          <w:szCs w:val="20"/>
        </w:rPr>
      </w:pPr>
      <w:r w:rsidRPr="007B5BE6">
        <w:rPr>
          <w:rFonts w:eastAsia="Times" w:cs="Times New Roman"/>
          <w:szCs w:val="20"/>
        </w:rPr>
        <w:t xml:space="preserve">Another stakeholder also commented on difficulties in using restraint orders as an option </w:t>
      </w:r>
      <w:r w:rsidR="00BB59C6" w:rsidRPr="007B5BE6">
        <w:rPr>
          <w:rFonts w:eastAsia="Times" w:cs="Times New Roman"/>
          <w:szCs w:val="20"/>
        </w:rPr>
        <w:t xml:space="preserve">to respond to abuse of an older person </w:t>
      </w:r>
      <w:r w:rsidRPr="007B5BE6">
        <w:rPr>
          <w:rFonts w:eastAsia="Times" w:cs="Times New Roman"/>
          <w:szCs w:val="20"/>
        </w:rPr>
        <w:t>under the current law:</w:t>
      </w:r>
    </w:p>
    <w:p w14:paraId="160CBBE5" w14:textId="45D3BAA7" w:rsidR="002D15D1" w:rsidRPr="007B5BE6" w:rsidRDefault="00BB59C6" w:rsidP="002D15D1">
      <w:pPr>
        <w:spacing w:before="220"/>
        <w:ind w:left="720" w:right="720"/>
        <w:rPr>
          <w:rFonts w:eastAsia="Aptos" w:cs="Times New Roman"/>
          <w:sz w:val="20"/>
          <w:szCs w:val="20"/>
        </w:rPr>
      </w:pPr>
      <w:r w:rsidRPr="007B5BE6">
        <w:rPr>
          <w:rFonts w:eastAsia="Aptos" w:cs="Times New Roman"/>
          <w:sz w:val="20"/>
          <w:szCs w:val="20"/>
        </w:rPr>
        <w:t>[P]</w:t>
      </w:r>
      <w:r w:rsidR="002D15D1" w:rsidRPr="007B5BE6">
        <w:rPr>
          <w:rFonts w:eastAsia="Aptos" w:cs="Times New Roman"/>
          <w:sz w:val="20"/>
          <w:szCs w:val="20"/>
        </w:rPr>
        <w:t xml:space="preserve">eople don’t see how it’s going to protect them forcibly … . And [in practice] you file an order, but it could </w:t>
      </w:r>
      <w:r w:rsidRPr="007B5BE6">
        <w:rPr>
          <w:rFonts w:eastAsia="Aptos" w:cs="Times New Roman"/>
          <w:sz w:val="20"/>
          <w:szCs w:val="20"/>
        </w:rPr>
        <w:t xml:space="preserve">be </w:t>
      </w:r>
      <w:r w:rsidR="002D15D1" w:rsidRPr="007B5BE6">
        <w:rPr>
          <w:rFonts w:eastAsia="Aptos" w:cs="Times New Roman"/>
          <w:sz w:val="20"/>
          <w:szCs w:val="20"/>
        </w:rPr>
        <w:t>weeks for the police to serve this order on the person</w:t>
      </w:r>
      <w:r w:rsidR="00E44141" w:rsidRPr="007B5BE6">
        <w:rPr>
          <w:rFonts w:eastAsia="Aptos" w:cs="Times New Roman"/>
          <w:sz w:val="20"/>
          <w:szCs w:val="20"/>
        </w:rPr>
        <w:t>, or the [older] person</w:t>
      </w:r>
      <w:r w:rsidR="002D15D1" w:rsidRPr="007B5BE6">
        <w:rPr>
          <w:rFonts w:eastAsia="Aptos" w:cs="Times New Roman"/>
          <w:sz w:val="20"/>
          <w:szCs w:val="20"/>
        </w:rPr>
        <w:t xml:space="preserve"> is asked to serve it themselves and pay someone to do it and they don’t have the money to go and serve their order, which means the abuse can continue for weeks.</w:t>
      </w:r>
      <w:r w:rsidR="00AB3BAE" w:rsidRPr="007B5BE6">
        <w:rPr>
          <w:rStyle w:val="FootnoteReference"/>
          <w:rFonts w:eastAsia="Aptos" w:cs="Times New Roman"/>
          <w:sz w:val="20"/>
          <w:szCs w:val="20"/>
        </w:rPr>
        <w:footnoteReference w:id="687"/>
      </w:r>
    </w:p>
    <w:p w14:paraId="0190FF83" w14:textId="0D2D7F54" w:rsidR="002D15D1" w:rsidRPr="007B5BE6" w:rsidRDefault="002D15D1" w:rsidP="002D15D1">
      <w:pPr>
        <w:pStyle w:val="NormalNumberedTextTLRI"/>
      </w:pPr>
      <w:r w:rsidRPr="007B5BE6">
        <w:lastRenderedPageBreak/>
        <w:t>In addition, stakeholders identified considerable barriers to</w:t>
      </w:r>
      <w:r w:rsidR="00601E37" w:rsidRPr="007B5BE6">
        <w:t xml:space="preserve"> the</w:t>
      </w:r>
      <w:r w:rsidRPr="007B5BE6">
        <w:t xml:space="preserve"> use of these orders for older people, including fear of consequences, and concerns about the breakdown of the relationship with the abuser (often </w:t>
      </w:r>
      <w:r w:rsidR="00601E37" w:rsidRPr="007B5BE6">
        <w:t>the older person’s adult</w:t>
      </w:r>
      <w:r w:rsidRPr="007B5BE6">
        <w:t xml:space="preserve"> chil</w:t>
      </w:r>
      <w:r w:rsidR="00601E37" w:rsidRPr="007B5BE6">
        <w:t>d</w:t>
      </w:r>
      <w:r w:rsidRPr="007B5BE6">
        <w:t>).</w:t>
      </w:r>
      <w:r w:rsidR="00AB3BAE" w:rsidRPr="007B5BE6">
        <w:rPr>
          <w:rStyle w:val="FootnoteReference"/>
        </w:rPr>
        <w:footnoteReference w:id="688"/>
      </w:r>
      <w:r w:rsidRPr="007B5BE6">
        <w:t xml:space="preserve"> </w:t>
      </w:r>
    </w:p>
    <w:p w14:paraId="5EC06603" w14:textId="751BBC49" w:rsidR="002D15D1" w:rsidRPr="007B5BE6" w:rsidRDefault="002D15D1" w:rsidP="00D67277">
      <w:pPr>
        <w:pStyle w:val="Sub-HeadingTLRI"/>
        <w:spacing w:before="360"/>
      </w:pPr>
      <w:bookmarkStart w:id="614" w:name="_Toc212561818"/>
      <w:r w:rsidRPr="007B5BE6">
        <w:t>TLRI’s view and recommendations</w:t>
      </w:r>
      <w:bookmarkEnd w:id="614"/>
    </w:p>
    <w:p w14:paraId="16167635" w14:textId="60021EB2" w:rsidR="002D15D1" w:rsidRPr="007B5BE6" w:rsidRDefault="002D15D1" w:rsidP="002D15D1">
      <w:pPr>
        <w:pStyle w:val="NormalNumberedTextTLRI"/>
      </w:pPr>
      <w:r w:rsidRPr="007B5BE6">
        <w:t xml:space="preserve">Based on </w:t>
      </w:r>
      <w:r w:rsidR="0038023F" w:rsidRPr="007B5BE6">
        <w:t xml:space="preserve">the TLRI’s </w:t>
      </w:r>
      <w:r w:rsidRPr="007B5BE6">
        <w:t xml:space="preserve">consideration of </w:t>
      </w:r>
      <w:r w:rsidR="0038023F" w:rsidRPr="007B5BE6">
        <w:t>restraint orders</w:t>
      </w:r>
      <w:r w:rsidR="00531E4D" w:rsidRPr="007B5BE6">
        <w:t xml:space="preserve"> and </w:t>
      </w:r>
      <w:r w:rsidRPr="007B5BE6">
        <w:t>family violence order</w:t>
      </w:r>
      <w:r w:rsidR="0038023F" w:rsidRPr="007B5BE6">
        <w:t>s</w:t>
      </w:r>
      <w:r w:rsidR="00BD4009" w:rsidRPr="007B5BE6">
        <w:t xml:space="preserve"> </w:t>
      </w:r>
      <w:r w:rsidR="00531E4D" w:rsidRPr="007B5BE6">
        <w:t>(</w:t>
      </w:r>
      <w:r w:rsidR="00BD4009" w:rsidRPr="007B5BE6">
        <w:t xml:space="preserve">at </w:t>
      </w:r>
      <w:r w:rsidR="007D345A" w:rsidRPr="007B5BE6">
        <w:t>[5.2.3]</w:t>
      </w:r>
      <w:r w:rsidR="00531E4D" w:rsidRPr="007B5BE6">
        <w:t>–[5.2</w:t>
      </w:r>
      <w:r w:rsidR="00746ED6" w:rsidRPr="007B5BE6">
        <w:t>.</w:t>
      </w:r>
      <w:r w:rsidR="00531E4D" w:rsidRPr="007B5BE6">
        <w:t>19])</w:t>
      </w:r>
      <w:r w:rsidRPr="007B5BE6">
        <w:t>, a</w:t>
      </w:r>
      <w:r w:rsidR="00531E4D" w:rsidRPr="007B5BE6">
        <w:t>s well as</w:t>
      </w:r>
      <w:r w:rsidRPr="007B5BE6">
        <w:t xml:space="preserve"> feedback </w:t>
      </w:r>
      <w:r w:rsidR="0038023F" w:rsidRPr="007B5BE6">
        <w:t xml:space="preserve">in </w:t>
      </w:r>
      <w:r w:rsidR="00403F65" w:rsidRPr="007B5BE6">
        <w:t>stakeholder interviews</w:t>
      </w:r>
      <w:r w:rsidRPr="007B5BE6">
        <w:t xml:space="preserve">, the TLRI’s view is that the </w:t>
      </w:r>
      <w:r w:rsidRPr="007B5BE6">
        <w:rPr>
          <w:i/>
        </w:rPr>
        <w:t xml:space="preserve">Justices Act </w:t>
      </w:r>
      <w:r w:rsidR="00BA78C6" w:rsidRPr="007B5BE6">
        <w:rPr>
          <w:i/>
          <w:iCs/>
        </w:rPr>
        <w:t>195</w:t>
      </w:r>
      <w:r w:rsidR="00477F94" w:rsidRPr="007B5BE6">
        <w:rPr>
          <w:i/>
          <w:iCs/>
        </w:rPr>
        <w:t>9</w:t>
      </w:r>
      <w:r w:rsidR="00BA78C6" w:rsidRPr="007B5BE6">
        <w:rPr>
          <w:i/>
          <w:iCs/>
        </w:rPr>
        <w:t xml:space="preserve"> </w:t>
      </w:r>
      <w:r w:rsidR="00BA78C6" w:rsidRPr="007B5BE6">
        <w:t xml:space="preserve">(Tas) </w:t>
      </w:r>
      <w:r w:rsidRPr="007B5BE6">
        <w:t xml:space="preserve">should be amended to improve restraint orders to provide a more specialised response tailored to the abuse of older people. </w:t>
      </w:r>
      <w:r w:rsidR="002128B9" w:rsidRPr="007B5BE6">
        <w:t xml:space="preserve">The current </w:t>
      </w:r>
      <w:r w:rsidRPr="007B5BE6">
        <w:t>legal and social support for making restraint order applications</w:t>
      </w:r>
      <w:r w:rsidR="00C85525" w:rsidRPr="007B5BE6">
        <w:t xml:space="preserve"> through </w:t>
      </w:r>
      <w:r w:rsidRPr="007B5BE6">
        <w:t xml:space="preserve">Senior Assist </w:t>
      </w:r>
      <w:r w:rsidR="00C85525" w:rsidRPr="007B5BE6">
        <w:t>(</w:t>
      </w:r>
      <w:r w:rsidR="00AD14B9" w:rsidRPr="007B5BE6">
        <w:t>justice-health partnership model of</w:t>
      </w:r>
      <w:r w:rsidR="00C85525" w:rsidRPr="007B5BE6">
        <w:t xml:space="preserve"> a lawyer and a social worker</w:t>
      </w:r>
      <w:r w:rsidR="00AD14B9" w:rsidRPr="007B5BE6">
        <w:t>) cr</w:t>
      </w:r>
      <w:r w:rsidRPr="007B5BE6">
        <w:t>eates a pathway for access. However, changes are needed to tailor</w:t>
      </w:r>
      <w:r w:rsidR="000758F1" w:rsidRPr="007B5BE6">
        <w:t xml:space="preserve"> responses under</w:t>
      </w:r>
      <w:r w:rsidR="00A36975" w:rsidRPr="007B5BE6">
        <w:t xml:space="preserve"> restraint order</w:t>
      </w:r>
      <w:r w:rsidR="00221FC6" w:rsidRPr="007B5BE6">
        <w:t>s</w:t>
      </w:r>
      <w:r w:rsidR="00A36975" w:rsidRPr="007B5BE6">
        <w:t xml:space="preserve"> </w:t>
      </w:r>
      <w:r w:rsidRPr="007B5BE6">
        <w:t xml:space="preserve">to </w:t>
      </w:r>
      <w:r w:rsidR="00A36975" w:rsidRPr="007B5BE6">
        <w:t xml:space="preserve">the </w:t>
      </w:r>
      <w:r w:rsidRPr="007B5BE6">
        <w:t>circumstances of abuse</w:t>
      </w:r>
      <w:r w:rsidR="000758F1" w:rsidRPr="007B5BE6">
        <w:t>,</w:t>
      </w:r>
      <w:r w:rsidRPr="007B5BE6">
        <w:t xml:space="preserve"> and to address barriers </w:t>
      </w:r>
      <w:r w:rsidR="000758F1" w:rsidRPr="007B5BE6">
        <w:t xml:space="preserve">for </w:t>
      </w:r>
      <w:r w:rsidRPr="007B5BE6">
        <w:t xml:space="preserve">older people wanting to pursue </w:t>
      </w:r>
      <w:r w:rsidR="000758F1" w:rsidRPr="007B5BE6">
        <w:t xml:space="preserve">such </w:t>
      </w:r>
      <w:r w:rsidRPr="007B5BE6">
        <w:t xml:space="preserve">a legal avenue. The TLRI’s view </w:t>
      </w:r>
      <w:r w:rsidR="00221FC6" w:rsidRPr="007B5BE6">
        <w:t xml:space="preserve">is that </w:t>
      </w:r>
      <w:r w:rsidRPr="007B5BE6">
        <w:t xml:space="preserve">restraint orders are currently too general and </w:t>
      </w:r>
      <w:r w:rsidR="004F4CA8" w:rsidRPr="007B5BE6">
        <w:t xml:space="preserve">in </w:t>
      </w:r>
      <w:r w:rsidRPr="007B5BE6">
        <w:t xml:space="preserve">need </w:t>
      </w:r>
      <w:r w:rsidR="004F4CA8" w:rsidRPr="007B5BE6">
        <w:t>of</w:t>
      </w:r>
      <w:r w:rsidRPr="007B5BE6">
        <w:t xml:space="preserve"> update</w:t>
      </w:r>
      <w:r w:rsidR="004F4CA8" w:rsidRPr="007B5BE6">
        <w:t xml:space="preserve"> </w:t>
      </w:r>
      <w:r w:rsidR="008D0923" w:rsidRPr="007B5BE6">
        <w:t xml:space="preserve">to develop </w:t>
      </w:r>
      <w:r w:rsidRPr="007B5BE6">
        <w:t xml:space="preserve">a fit-for-purpose legal mechanism for older people </w:t>
      </w:r>
      <w:r w:rsidR="00D87DEF" w:rsidRPr="007B5BE6">
        <w:t xml:space="preserve">as a response to abuse and to </w:t>
      </w:r>
      <w:r w:rsidRPr="007B5BE6">
        <w:t>complement the introduction of an overarching legislative safeguarding</w:t>
      </w:r>
      <w:r w:rsidR="00200D04" w:rsidRPr="007B5BE6">
        <w:t xml:space="preserve"> approach</w:t>
      </w:r>
      <w:r w:rsidRPr="007B5BE6">
        <w:t xml:space="preserve">. </w:t>
      </w:r>
    </w:p>
    <w:p w14:paraId="76C17F0E" w14:textId="3D9C1914" w:rsidR="002D15D1" w:rsidRPr="007B5BE6" w:rsidRDefault="002D15D1" w:rsidP="002D15D1">
      <w:pPr>
        <w:pStyle w:val="NormalNumberedTextTLRI"/>
      </w:pPr>
      <w:r w:rsidRPr="007B5BE6">
        <w:t>To give effect to this, the TLRI’s recommend</w:t>
      </w:r>
      <w:r w:rsidR="001B364B" w:rsidRPr="007B5BE6">
        <w:t>s</w:t>
      </w:r>
      <w:r w:rsidRPr="007B5BE6">
        <w:t xml:space="preserve"> that the </w:t>
      </w:r>
      <w:r w:rsidRPr="007B5BE6">
        <w:rPr>
          <w:i/>
        </w:rPr>
        <w:t>Justices Act 1959</w:t>
      </w:r>
      <w:r w:rsidRPr="007B5BE6">
        <w:t xml:space="preserve"> (Tas) should be reformed to create specialised restraint orders that may be applied for by</w:t>
      </w:r>
      <w:r w:rsidR="00D87DEF" w:rsidRPr="007B5BE6">
        <w:t>,</w:t>
      </w:r>
      <w:r w:rsidRPr="007B5BE6">
        <w:t xml:space="preserve"> or on behalf of</w:t>
      </w:r>
      <w:r w:rsidR="00D87DEF" w:rsidRPr="007B5BE6">
        <w:t>,</w:t>
      </w:r>
      <w:r w:rsidRPr="007B5BE6">
        <w:t xml:space="preserve"> older Tasmanians (</w:t>
      </w:r>
      <w:r w:rsidR="00C54D00" w:rsidRPr="007B5BE6">
        <w:t xml:space="preserve">with an option </w:t>
      </w:r>
      <w:r w:rsidR="00F132F4" w:rsidRPr="007B5BE6">
        <w:t>being to define older people</w:t>
      </w:r>
      <w:r w:rsidR="00191F88" w:rsidRPr="007B5BE6">
        <w:t xml:space="preserve">, </w:t>
      </w:r>
      <w:r w:rsidR="00214D2E" w:rsidRPr="007B5BE6">
        <w:t xml:space="preserve">for example, </w:t>
      </w:r>
      <w:r w:rsidR="00F132F4" w:rsidRPr="007B5BE6">
        <w:t xml:space="preserve">as </w:t>
      </w:r>
      <w:r w:rsidRPr="007B5BE6">
        <w:t>people aged 65 years or more or Aboriginal people aged 50 years or mor</w:t>
      </w:r>
      <w:r w:rsidR="00A53C0E" w:rsidRPr="007B5BE6">
        <w:t>e</w:t>
      </w:r>
      <w:r w:rsidRPr="007B5BE6">
        <w:t>) to restrain another person from certain behaviour directed at them. These reforms should include consideratio</w:t>
      </w:r>
      <w:r w:rsidR="00B84F2A" w:rsidRPr="007B5BE6">
        <w:t xml:space="preserve">n given to </w:t>
      </w:r>
      <w:r w:rsidR="001D5636" w:rsidRPr="007B5BE6">
        <w:t>developing</w:t>
      </w:r>
      <w:r w:rsidRPr="007B5BE6">
        <w:t>:</w:t>
      </w:r>
    </w:p>
    <w:p w14:paraId="783437F0" w14:textId="77777777" w:rsidR="002D15D1" w:rsidRPr="007B5BE6" w:rsidRDefault="002D15D1" w:rsidP="002D15D1">
      <w:pPr>
        <w:pStyle w:val="DotPointTLRI"/>
      </w:pPr>
      <w:r w:rsidRPr="007B5BE6">
        <w:t xml:space="preserve">specialised restraint orders that may be imposed by a court upon application by a specified person, including an older person and Tasmania Police (on behalf of the older person); </w:t>
      </w:r>
    </w:p>
    <w:p w14:paraId="0652FC22" w14:textId="2D8E9616" w:rsidR="002D15D1" w:rsidRPr="007B5BE6" w:rsidRDefault="002D15D1" w:rsidP="002D15D1">
      <w:pPr>
        <w:pStyle w:val="DotPointTLRI"/>
      </w:pPr>
      <w:r w:rsidRPr="007B5BE6">
        <w:t xml:space="preserve">criteria for making such a </w:t>
      </w:r>
      <w:r w:rsidR="00B84F2A" w:rsidRPr="007B5BE6">
        <w:t xml:space="preserve">specialised </w:t>
      </w:r>
      <w:r w:rsidRPr="007B5BE6">
        <w:t>restraint order to cover a wider range of behaviour</w:t>
      </w:r>
      <w:r w:rsidR="00B84F2A" w:rsidRPr="007B5BE6">
        <w:t>s</w:t>
      </w:r>
      <w:r w:rsidRPr="007B5BE6">
        <w:t xml:space="preserve"> </w:t>
      </w:r>
      <w:r w:rsidR="002A0D83" w:rsidRPr="007B5BE6">
        <w:t xml:space="preserve">for </w:t>
      </w:r>
      <w:r w:rsidRPr="007B5BE6">
        <w:t>protect</w:t>
      </w:r>
      <w:r w:rsidR="002A0D83" w:rsidRPr="007B5BE6">
        <w:t>ing</w:t>
      </w:r>
      <w:r w:rsidRPr="007B5BE6">
        <w:t xml:space="preserve"> an older person under the Act against a range of behaviours</w:t>
      </w:r>
      <w:r w:rsidR="00F85E9C" w:rsidRPr="007B5BE6">
        <w:t>,</w:t>
      </w:r>
      <w:r w:rsidRPr="007B5BE6">
        <w:t xml:space="preserve"> like those covered by the </w:t>
      </w:r>
      <w:r w:rsidRPr="007B5BE6">
        <w:rPr>
          <w:i/>
        </w:rPr>
        <w:t>Family Violence Act 2004</w:t>
      </w:r>
      <w:r w:rsidRPr="007B5BE6">
        <w:t xml:space="preserve"> (Tas); and</w:t>
      </w:r>
    </w:p>
    <w:p w14:paraId="389F6743" w14:textId="480C21A1" w:rsidR="002D15D1" w:rsidRPr="007B5BE6" w:rsidRDefault="002D15D1" w:rsidP="002D15D1">
      <w:pPr>
        <w:pStyle w:val="DotPointTLRI"/>
      </w:pPr>
      <w:r w:rsidRPr="007B5BE6">
        <w:t xml:space="preserve">a specialised interim restraint order that may be issued by Tasmania Police </w:t>
      </w:r>
      <w:r w:rsidR="001C602E" w:rsidRPr="007B5BE6">
        <w:t>(</w:t>
      </w:r>
      <w:r w:rsidR="006C64A3" w:rsidRPr="007B5BE6">
        <w:t xml:space="preserve">similar </w:t>
      </w:r>
      <w:r w:rsidR="001C602E" w:rsidRPr="007B5BE6">
        <w:t xml:space="preserve">to a </w:t>
      </w:r>
      <w:r w:rsidR="00F85E9C" w:rsidRPr="007B5BE6">
        <w:t>police family violence order,</w:t>
      </w:r>
      <w:r w:rsidR="006C64A3" w:rsidRPr="007B5BE6">
        <w:t xml:space="preserve"> but of shorter duration</w:t>
      </w:r>
      <w:r w:rsidR="001C602E" w:rsidRPr="007B5BE6">
        <w:t>)</w:t>
      </w:r>
      <w:r w:rsidR="00C26262" w:rsidRPr="007B5BE6">
        <w:t>,</w:t>
      </w:r>
      <w:r w:rsidR="001C602E" w:rsidRPr="007B5BE6">
        <w:t xml:space="preserve"> </w:t>
      </w:r>
      <w:r w:rsidRPr="007B5BE6">
        <w:t>or by a court upon application by the entity designated with the role of older adult safeguarding, with provisions setting out criteria for the imposition of such orders in each circumstance</w:t>
      </w:r>
      <w:r w:rsidR="006A1193" w:rsidRPr="007B5BE6">
        <w:t>,</w:t>
      </w:r>
      <w:r w:rsidRPr="007B5BE6">
        <w:t xml:space="preserve"> and specifying limits on the duration of such orders.  </w:t>
      </w:r>
    </w:p>
    <w:p w14:paraId="5649570C" w14:textId="36B24589" w:rsidR="002D15D1" w:rsidRPr="007B5BE6" w:rsidRDefault="002D15D1" w:rsidP="002D15D1">
      <w:pPr>
        <w:pStyle w:val="NormalNumberedTextTLRI"/>
      </w:pPr>
      <w:r w:rsidRPr="007B5BE6">
        <w:t xml:space="preserve">These </w:t>
      </w:r>
      <w:r w:rsidR="00375ECD" w:rsidRPr="007B5BE6">
        <w:t xml:space="preserve">are matters on which further consultation would be required. However, </w:t>
      </w:r>
      <w:r w:rsidR="00404899" w:rsidRPr="007B5BE6">
        <w:t xml:space="preserve">these recommended </w:t>
      </w:r>
      <w:r w:rsidRPr="007B5BE6">
        <w:t xml:space="preserve">changes </w:t>
      </w:r>
      <w:r w:rsidR="00375ECD" w:rsidRPr="007B5BE6">
        <w:t>c</w:t>
      </w:r>
      <w:r w:rsidRPr="007B5BE6">
        <w:t>ould support the operation of the TLRI’s recommendations regarding the creation of an overarching approach to safeguarding</w:t>
      </w:r>
      <w:r w:rsidR="009126EC" w:rsidRPr="007B5BE6">
        <w:t xml:space="preserve"> through the creation of a role of the Commissioner for Older People</w:t>
      </w:r>
      <w:r w:rsidR="00D4662D" w:rsidRPr="007B5BE6">
        <w:t xml:space="preserve">. </w:t>
      </w:r>
      <w:r w:rsidR="00193655" w:rsidRPr="007B5BE6">
        <w:t>Further, any s</w:t>
      </w:r>
      <w:r w:rsidR="00D4662D" w:rsidRPr="007B5BE6">
        <w:t>u</w:t>
      </w:r>
      <w:r w:rsidR="009126EC" w:rsidRPr="007B5BE6">
        <w:t xml:space="preserve">ch </w:t>
      </w:r>
      <w:r w:rsidR="00193655" w:rsidRPr="007B5BE6">
        <w:t xml:space="preserve">safeguarding </w:t>
      </w:r>
      <w:r w:rsidRPr="007B5BE6">
        <w:t xml:space="preserve">entity </w:t>
      </w:r>
      <w:r w:rsidR="00D4662D" w:rsidRPr="007B5BE6">
        <w:t xml:space="preserve">could </w:t>
      </w:r>
      <w:r w:rsidR="006C7F37" w:rsidRPr="007B5BE6">
        <w:t>potentially</w:t>
      </w:r>
      <w:r w:rsidR="000B3C31" w:rsidRPr="007B5BE6">
        <w:t xml:space="preserve"> be</w:t>
      </w:r>
      <w:r w:rsidR="006C7F37" w:rsidRPr="007B5BE6">
        <w:t xml:space="preserve"> </w:t>
      </w:r>
      <w:r w:rsidRPr="007B5BE6">
        <w:t xml:space="preserve">empowered to make an application for a restraint order. In this way, the specialised restraint order framework is designed to </w:t>
      </w:r>
      <w:r w:rsidR="00D4662D" w:rsidRPr="007B5BE6">
        <w:t xml:space="preserve">have the capability to </w:t>
      </w:r>
      <w:r w:rsidRPr="007B5BE6">
        <w:t xml:space="preserve">support </w:t>
      </w:r>
      <w:r w:rsidR="00E95CF5" w:rsidRPr="007B5BE6">
        <w:t xml:space="preserve">an overarching </w:t>
      </w:r>
      <w:r w:rsidRPr="007B5BE6">
        <w:t xml:space="preserve">safeguarding framework, following </w:t>
      </w:r>
      <w:r w:rsidR="006A1193" w:rsidRPr="007B5BE6">
        <w:t>SA’s</w:t>
      </w:r>
      <w:r w:rsidRPr="007B5BE6">
        <w:t xml:space="preserve"> approach, which allows for the court to make civil protection orders</w:t>
      </w:r>
      <w:r w:rsidR="004F44FD" w:rsidRPr="007B5BE6">
        <w:t xml:space="preserve">, including interim orders, </w:t>
      </w:r>
      <w:r w:rsidRPr="007B5BE6">
        <w:t xml:space="preserve">to allow </w:t>
      </w:r>
      <w:r w:rsidR="004F44FD" w:rsidRPr="007B5BE6">
        <w:t xml:space="preserve">the </w:t>
      </w:r>
      <w:r w:rsidR="00E95CF5" w:rsidRPr="007B5BE6">
        <w:t xml:space="preserve">ASU to </w:t>
      </w:r>
      <w:r w:rsidRPr="007B5BE6">
        <w:t>investigat</w:t>
      </w:r>
      <w:r w:rsidR="00E95CF5" w:rsidRPr="007B5BE6">
        <w:t>e complaints and perform other functions</w:t>
      </w:r>
      <w:r w:rsidRPr="007B5BE6">
        <w:t>.</w:t>
      </w:r>
      <w:r w:rsidR="000B7983" w:rsidRPr="007B5BE6">
        <w:rPr>
          <w:rStyle w:val="FootnoteReference"/>
        </w:rPr>
        <w:footnoteReference w:id="689"/>
      </w:r>
    </w:p>
    <w:p w14:paraId="6FB9F3F4" w14:textId="0B5B5126" w:rsidR="002D15D1" w:rsidRPr="007B5BE6" w:rsidRDefault="004F44FD" w:rsidP="002D15D1">
      <w:pPr>
        <w:pStyle w:val="NormalNumberedTextTLRI"/>
      </w:pPr>
      <w:r w:rsidRPr="007B5BE6">
        <w:t>In implementing these recommended reforms, t</w:t>
      </w:r>
      <w:r w:rsidR="00375309" w:rsidRPr="007B5BE6">
        <w:t xml:space="preserve">here should be a </w:t>
      </w:r>
      <w:r w:rsidR="002D15D1" w:rsidRPr="007B5BE6">
        <w:t>focus on supporting the participation of the older person in any</w:t>
      </w:r>
      <w:r w:rsidR="00A31104" w:rsidRPr="007B5BE6">
        <w:t xml:space="preserve"> </w:t>
      </w:r>
      <w:r w:rsidR="002D15D1" w:rsidRPr="007B5BE6">
        <w:t xml:space="preserve">processes </w:t>
      </w:r>
      <w:r w:rsidR="00A31104" w:rsidRPr="007B5BE6">
        <w:t>for</w:t>
      </w:r>
      <w:r w:rsidR="002D15D1" w:rsidRPr="007B5BE6">
        <w:t xml:space="preserve"> seek</w:t>
      </w:r>
      <w:r w:rsidR="00FA1BA2" w:rsidRPr="007B5BE6">
        <w:t>ing and</w:t>
      </w:r>
      <w:r w:rsidR="002D15D1" w:rsidRPr="007B5BE6">
        <w:t xml:space="preserve"> making any such orders, </w:t>
      </w:r>
      <w:r w:rsidR="00375309" w:rsidRPr="007B5BE6">
        <w:t xml:space="preserve">reflecting </w:t>
      </w:r>
      <w:r w:rsidR="002D15D1" w:rsidRPr="007B5BE6">
        <w:t>a presumption of capacity and</w:t>
      </w:r>
      <w:r w:rsidR="00375309" w:rsidRPr="007B5BE6">
        <w:t xml:space="preserve"> including</w:t>
      </w:r>
      <w:r w:rsidR="002D15D1" w:rsidRPr="007B5BE6">
        <w:t xml:space="preserve"> provision of any </w:t>
      </w:r>
      <w:r w:rsidR="00C1587E" w:rsidRPr="007B5BE6">
        <w:t xml:space="preserve">required </w:t>
      </w:r>
      <w:r w:rsidR="002D15D1" w:rsidRPr="007B5BE6">
        <w:t xml:space="preserve">communication or participation supports (see </w:t>
      </w:r>
      <w:r w:rsidR="002D15D1" w:rsidRPr="007B5BE6">
        <w:rPr>
          <w:b/>
          <w:bCs/>
        </w:rPr>
        <w:t>Recommendation</w:t>
      </w:r>
      <w:r w:rsidR="00871D35" w:rsidRPr="007B5BE6">
        <w:rPr>
          <w:b/>
          <w:bCs/>
        </w:rPr>
        <w:t xml:space="preserve"> 31</w:t>
      </w:r>
      <w:r w:rsidR="002D15D1" w:rsidRPr="007B5BE6">
        <w:t xml:space="preserve">). </w:t>
      </w:r>
    </w:p>
    <w:p w14:paraId="4BD0CB1B" w14:textId="045DD1C2" w:rsidR="002D15D1" w:rsidRPr="007B5BE6" w:rsidRDefault="002D15D1" w:rsidP="002D15D1">
      <w:pPr>
        <w:pStyle w:val="NormalNumberedTextTLRI"/>
      </w:pPr>
      <w:r w:rsidRPr="007B5BE6">
        <w:t xml:space="preserve">There is also an opportunity to draw on the </w:t>
      </w:r>
      <w:r w:rsidR="00412F5A" w:rsidRPr="007B5BE6">
        <w:t xml:space="preserve">existing </w:t>
      </w:r>
      <w:r w:rsidRPr="007B5BE6">
        <w:t>integrated service delivery model</w:t>
      </w:r>
      <w:r w:rsidR="00412F5A" w:rsidRPr="007B5BE6">
        <w:t xml:space="preserve"> </w:t>
      </w:r>
      <w:r w:rsidRPr="007B5BE6">
        <w:t xml:space="preserve">to develop a separate and tailored </w:t>
      </w:r>
      <w:r w:rsidR="00DF55A7" w:rsidRPr="007B5BE6">
        <w:t xml:space="preserve">civil protection order </w:t>
      </w:r>
      <w:r w:rsidRPr="007B5BE6">
        <w:t>response for older people</w:t>
      </w:r>
      <w:r w:rsidR="00DA5406" w:rsidRPr="007B5BE6">
        <w:t xml:space="preserve">, which </w:t>
      </w:r>
      <w:r w:rsidRPr="007B5BE6">
        <w:t>is less adversarial and focused on capacity</w:t>
      </w:r>
      <w:r w:rsidR="00DA5406" w:rsidRPr="007B5BE6">
        <w:t xml:space="preserve">- </w:t>
      </w:r>
      <w:r w:rsidRPr="007B5BE6">
        <w:t>and family</w:t>
      </w:r>
      <w:r w:rsidR="00DA5406" w:rsidRPr="007B5BE6">
        <w:t>-</w:t>
      </w:r>
      <w:r w:rsidRPr="007B5BE6">
        <w:t>building</w:t>
      </w:r>
      <w:r w:rsidR="00412F5A" w:rsidRPr="007B5BE6">
        <w:t>,</w:t>
      </w:r>
      <w:r w:rsidRPr="007B5BE6">
        <w:t xml:space="preserve"> through access to mediation and counselling. Currently, </w:t>
      </w:r>
      <w:r w:rsidRPr="007B5BE6">
        <w:lastRenderedPageBreak/>
        <w:t>mediation is available for older people and their families as a voluntary referral option, for example as a response offered through contact with the Helpline.</w:t>
      </w:r>
      <w:r w:rsidR="0000731C" w:rsidRPr="007B5BE6">
        <w:rPr>
          <w:rStyle w:val="FootnoteReference"/>
        </w:rPr>
        <w:footnoteReference w:id="690"/>
      </w:r>
      <w:r w:rsidRPr="007B5BE6">
        <w:t xml:space="preserve"> The TLRI recommends that consideration be given to </w:t>
      </w:r>
      <w:r w:rsidR="00DA5406" w:rsidRPr="007B5BE6">
        <w:t xml:space="preserve">a </w:t>
      </w:r>
      <w:r w:rsidRPr="007B5BE6">
        <w:t xml:space="preserve">court-ordered mediation program. The TLRI’s view is that such an approach has the potential to bring benefits that </w:t>
      </w:r>
      <w:r w:rsidR="00B371A5" w:rsidRPr="007B5BE6">
        <w:t>c</w:t>
      </w:r>
      <w:r w:rsidRPr="007B5BE6">
        <w:t xml:space="preserve">ould operate in conjunction with the recommended reforms to the </w:t>
      </w:r>
      <w:r w:rsidRPr="007B5BE6">
        <w:rPr>
          <w:i/>
        </w:rPr>
        <w:t>Justices Act 1959</w:t>
      </w:r>
      <w:r w:rsidRPr="007B5BE6">
        <w:t xml:space="preserve"> (Tas) to create a specialised response to </w:t>
      </w:r>
      <w:r w:rsidR="0096119F" w:rsidRPr="007B5BE6">
        <w:t xml:space="preserve">the </w:t>
      </w:r>
      <w:r w:rsidRPr="007B5BE6">
        <w:t xml:space="preserve">abuse of older people via the mechanism of restraint orders, as outlined in </w:t>
      </w:r>
      <w:r w:rsidRPr="007B5BE6">
        <w:rPr>
          <w:b/>
          <w:bCs/>
        </w:rPr>
        <w:t xml:space="preserve">Recommendation </w:t>
      </w:r>
      <w:r w:rsidR="007B0557" w:rsidRPr="007B5BE6">
        <w:rPr>
          <w:b/>
          <w:bCs/>
        </w:rPr>
        <w:t>20</w:t>
      </w:r>
      <w:r w:rsidRPr="007B5BE6">
        <w:t xml:space="preserve">. </w:t>
      </w:r>
      <w:r w:rsidR="00B371A5" w:rsidRPr="007B5BE6">
        <w:t>B</w:t>
      </w:r>
      <w:r w:rsidRPr="007B5BE6">
        <w:t>enefits include:</w:t>
      </w:r>
    </w:p>
    <w:p w14:paraId="240CA134" w14:textId="36C4CE55" w:rsidR="002D15D1" w:rsidRPr="007B5BE6" w:rsidRDefault="005933AB" w:rsidP="002D15D1">
      <w:pPr>
        <w:pStyle w:val="DotPointTLRI"/>
      </w:pPr>
      <w:r w:rsidRPr="007B5BE6">
        <w:t>creating a more tailored</w:t>
      </w:r>
      <w:r w:rsidR="002D15D1" w:rsidRPr="007B5BE6">
        <w:t xml:space="preserve"> response to </w:t>
      </w:r>
      <w:r w:rsidR="00F70402" w:rsidRPr="007B5BE6">
        <w:t xml:space="preserve">the </w:t>
      </w:r>
      <w:r w:rsidR="002D15D1" w:rsidRPr="007B5BE6">
        <w:t>circumstances of abuse</w:t>
      </w:r>
      <w:r w:rsidR="00F70402" w:rsidRPr="007B5BE6">
        <w:t xml:space="preserve"> and</w:t>
      </w:r>
      <w:r w:rsidRPr="007B5BE6">
        <w:t xml:space="preserve"> </w:t>
      </w:r>
      <w:r w:rsidR="00F70402" w:rsidRPr="007B5BE6">
        <w:t>addressing</w:t>
      </w:r>
      <w:r w:rsidR="002D15D1" w:rsidRPr="007B5BE6">
        <w:t xml:space="preserve"> barriers </w:t>
      </w:r>
      <w:r w:rsidRPr="007B5BE6">
        <w:t>for</w:t>
      </w:r>
      <w:r w:rsidR="002D15D1" w:rsidRPr="007B5BE6">
        <w:t xml:space="preserve"> older people wanting to pursue a legal avenue;</w:t>
      </w:r>
    </w:p>
    <w:p w14:paraId="13910BEE" w14:textId="3D34423A" w:rsidR="002D15D1" w:rsidRPr="007B5BE6" w:rsidRDefault="00056CFA" w:rsidP="002D15D1">
      <w:pPr>
        <w:pStyle w:val="DotPointTLRI"/>
      </w:pPr>
      <w:r w:rsidRPr="007B5BE6">
        <w:t xml:space="preserve">incorporating the </w:t>
      </w:r>
      <w:r w:rsidR="002D15D1" w:rsidRPr="007B5BE6">
        <w:t>benefi</w:t>
      </w:r>
      <w:r w:rsidRPr="007B5BE6">
        <w:t>cial elements</w:t>
      </w:r>
      <w:r w:rsidR="002D15D1" w:rsidRPr="007B5BE6">
        <w:t xml:space="preserve"> of mediation</w:t>
      </w:r>
      <w:r w:rsidR="000C46E0" w:rsidRPr="007B5BE6">
        <w:t xml:space="preserve"> </w:t>
      </w:r>
      <w:r w:rsidR="006C2DDD" w:rsidRPr="007B5BE6">
        <w:t xml:space="preserve">in addressing the </w:t>
      </w:r>
      <w:r w:rsidR="000C46E0" w:rsidRPr="007B5BE6">
        <w:t xml:space="preserve">abuse of older people and </w:t>
      </w:r>
      <w:r w:rsidR="006C2DDD" w:rsidRPr="007B5BE6">
        <w:t xml:space="preserve">managing </w:t>
      </w:r>
      <w:r w:rsidR="000C46E0" w:rsidRPr="007B5BE6">
        <w:t>family dynamics</w:t>
      </w:r>
      <w:r w:rsidR="002D15D1" w:rsidRPr="007B5BE6">
        <w:t xml:space="preserve"> </w:t>
      </w:r>
      <w:r w:rsidR="00C96BB7" w:rsidRPr="007B5BE6">
        <w:t>(</w:t>
      </w:r>
      <w:r w:rsidR="001C31AD" w:rsidRPr="007B5BE6">
        <w:t xml:space="preserve">as </w:t>
      </w:r>
      <w:r w:rsidR="00311A22" w:rsidRPr="007B5BE6">
        <w:t xml:space="preserve">identified by stakeholders </w:t>
      </w:r>
      <w:r w:rsidR="00EF5E26" w:rsidRPr="007B5BE6">
        <w:t xml:space="preserve">in the context of </w:t>
      </w:r>
      <w:r w:rsidR="00C96BB7" w:rsidRPr="007B5BE6">
        <w:t>it</w:t>
      </w:r>
      <w:r w:rsidR="00287A02" w:rsidRPr="007B5BE6">
        <w:t xml:space="preserve">s current availability as a </w:t>
      </w:r>
      <w:r w:rsidR="00606925" w:rsidRPr="007B5BE6">
        <w:t xml:space="preserve">voluntary referral </w:t>
      </w:r>
      <w:r w:rsidR="00EF5E26" w:rsidRPr="007B5BE6">
        <w:t>option</w:t>
      </w:r>
      <w:r w:rsidR="000C46E0" w:rsidRPr="007B5BE6">
        <w:t>)</w:t>
      </w:r>
      <w:r w:rsidR="002D15D1" w:rsidRPr="007B5BE6">
        <w:t xml:space="preserve"> into the legal process for determining applications for restraint orders; and</w:t>
      </w:r>
    </w:p>
    <w:p w14:paraId="3E835A3D" w14:textId="18DD7D6B" w:rsidR="002D15D1" w:rsidRPr="007B5BE6" w:rsidRDefault="002D15D1" w:rsidP="002D15D1">
      <w:pPr>
        <w:pStyle w:val="DotPointTLRI"/>
      </w:pPr>
      <w:r w:rsidRPr="007B5BE6">
        <w:t>allow</w:t>
      </w:r>
      <w:r w:rsidR="00287A02" w:rsidRPr="007B5BE6">
        <w:t>ing</w:t>
      </w:r>
      <w:r w:rsidRPr="007B5BE6">
        <w:t xml:space="preserve"> for a more holistic and nuanced approach to </w:t>
      </w:r>
      <w:r w:rsidR="00764214" w:rsidRPr="007B5BE6">
        <w:t xml:space="preserve">the </w:t>
      </w:r>
      <w:r w:rsidRPr="007B5BE6">
        <w:t xml:space="preserve">consideration of </w:t>
      </w:r>
      <w:r w:rsidR="00287A02" w:rsidRPr="007B5BE6">
        <w:t xml:space="preserve">restraint order </w:t>
      </w:r>
      <w:r w:rsidRPr="007B5BE6">
        <w:t>conditions,</w:t>
      </w:r>
      <w:r w:rsidR="00254173" w:rsidRPr="007B5BE6">
        <w:t xml:space="preserve"> by providing opportunities for </w:t>
      </w:r>
      <w:r w:rsidR="00436F23" w:rsidRPr="007B5BE6">
        <w:t xml:space="preserve">this to be </w:t>
      </w:r>
      <w:r w:rsidRPr="007B5BE6">
        <w:t>informed</w:t>
      </w:r>
      <w:r w:rsidR="00436F23" w:rsidRPr="007B5BE6">
        <w:t>,</w:t>
      </w:r>
      <w:r w:rsidRPr="007B5BE6">
        <w:t xml:space="preserve"> as is appropriate</w:t>
      </w:r>
      <w:r w:rsidR="00436F23" w:rsidRPr="007B5BE6">
        <w:t>,</w:t>
      </w:r>
      <w:r w:rsidRPr="007B5BE6">
        <w:t xml:space="preserve"> by the views and circumstances of the older person seeking protection.</w:t>
      </w:r>
    </w:p>
    <w:p w14:paraId="5029B984" w14:textId="65806175" w:rsidR="002D15D1" w:rsidRPr="007B5BE6" w:rsidRDefault="002D15D1" w:rsidP="002D15D1">
      <w:pPr>
        <w:pStyle w:val="NormalNumberedTextTLRI"/>
      </w:pPr>
      <w:r w:rsidRPr="007B5BE6">
        <w:t>Accordingly</w:t>
      </w:r>
      <w:r w:rsidR="005D4A86" w:rsidRPr="007B5BE6">
        <w:t>,</w:t>
      </w:r>
      <w:r w:rsidRPr="007B5BE6">
        <w:t xml:space="preserve"> the TLRI recommends </w:t>
      </w:r>
      <w:r w:rsidR="005750DD" w:rsidRPr="007B5BE6">
        <w:t>consideration be given to</w:t>
      </w:r>
      <w:r w:rsidRPr="007B5BE6">
        <w:t xml:space="preserve"> the development of a model for court</w:t>
      </w:r>
      <w:r w:rsidR="00436F23" w:rsidRPr="007B5BE6">
        <w:t>-</w:t>
      </w:r>
      <w:r w:rsidRPr="007B5BE6">
        <w:t>ordered mediation</w:t>
      </w:r>
      <w:r w:rsidR="005750DD" w:rsidRPr="007B5BE6">
        <w:t>.</w:t>
      </w:r>
      <w:r w:rsidRPr="007B5BE6">
        <w:t xml:space="preserve"> This should be done by consultation with relevant stakeholders, including but not limited </w:t>
      </w:r>
      <w:r w:rsidR="00B960C3" w:rsidRPr="007B5BE6">
        <w:t>to</w:t>
      </w:r>
      <w:r w:rsidR="001C31AD" w:rsidRPr="007B5BE6">
        <w:t xml:space="preserve"> </w:t>
      </w:r>
      <w:r w:rsidRPr="007B5BE6">
        <w:t xml:space="preserve">Tasmanian </w:t>
      </w:r>
      <w:r w:rsidR="00B960C3" w:rsidRPr="007B5BE6">
        <w:t>c</w:t>
      </w:r>
      <w:r w:rsidRPr="007B5BE6">
        <w:t>ourts, Tasmania Legal Aid and legal professional bodies,</w:t>
      </w:r>
      <w:r w:rsidR="00FB296F" w:rsidRPr="007B5BE6">
        <w:t xml:space="preserve"> and</w:t>
      </w:r>
      <w:r w:rsidRPr="007B5BE6">
        <w:t xml:space="preserve"> older people, including older Tasmanians with lived experience of abuse</w:t>
      </w:r>
      <w:r w:rsidR="00825CE1" w:rsidRPr="007B5BE6">
        <w:t>.</w:t>
      </w:r>
    </w:p>
    <w:p w14:paraId="6D3F1033" w14:textId="724E3A77" w:rsidR="00DD2FF6" w:rsidRPr="007B5BE6" w:rsidRDefault="00DD2FF6" w:rsidP="005750DD">
      <w:pPr>
        <w:pStyle w:val="RecommendationBoxHeading"/>
        <w:ind w:left="0"/>
      </w:pPr>
      <w:r w:rsidRPr="007B5BE6">
        <w:rPr>
          <w:noProof/>
        </w:rPr>
        <mc:AlternateContent>
          <mc:Choice Requires="wps">
            <w:drawing>
              <wp:inline distT="0" distB="0" distL="0" distR="0" wp14:anchorId="3E25DE25" wp14:editId="667AEDCE">
                <wp:extent cx="5727065" cy="3324225"/>
                <wp:effectExtent l="0" t="0" r="6985" b="9525"/>
                <wp:docPr id="203745317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3324225"/>
                        </a:xfrm>
                        <a:prstGeom prst="rect">
                          <a:avLst/>
                        </a:prstGeom>
                        <a:solidFill>
                          <a:srgbClr val="E8E8E8"/>
                        </a:solidFill>
                      </wps:spPr>
                      <wps:txbx>
                        <w:txbxContent>
                          <w:p w14:paraId="474C79D4" w14:textId="77777777" w:rsidR="00DD2FF6" w:rsidRPr="006F2DE6" w:rsidRDefault="00DD2FF6" w:rsidP="00DD2FF6">
                            <w:pPr>
                              <w:pStyle w:val="RecommendationBoxHeading"/>
                            </w:pPr>
                            <w:r w:rsidRPr="00DD2FF6">
                              <w:t>Recommendation</w:t>
                            </w:r>
                            <w:r w:rsidRPr="006F2DE6">
                              <w:t xml:space="preserve"> 20</w:t>
                            </w:r>
                          </w:p>
                          <w:p w14:paraId="5BEA8BE9" w14:textId="77777777" w:rsidR="00DD2FF6" w:rsidRPr="006F2DE6" w:rsidRDefault="00DD2FF6" w:rsidP="00DD2FF6">
                            <w:pPr>
                              <w:pStyle w:val="RecommendationBoxText"/>
                            </w:pPr>
                            <w:r w:rsidRPr="006F2DE6">
                              <w:t xml:space="preserve">The </w:t>
                            </w:r>
                            <w:r w:rsidRPr="006F2DE6">
                              <w:rPr>
                                <w:i/>
                              </w:rPr>
                              <w:t>Justices Act 1959</w:t>
                            </w:r>
                            <w:r w:rsidRPr="006F2DE6">
                              <w:t xml:space="preserve"> (Tas) should be reformed to create a specialised restraint order that may be applied for by</w:t>
                            </w:r>
                            <w:r>
                              <w:t>,</w:t>
                            </w:r>
                            <w:r w:rsidRPr="006F2DE6">
                              <w:t xml:space="preserve"> or on behalf of</w:t>
                            </w:r>
                            <w:r>
                              <w:t>,</w:t>
                            </w:r>
                            <w:r w:rsidRPr="006F2DE6">
                              <w:t xml:space="preserve"> an older person</w:t>
                            </w:r>
                            <w:r w:rsidRPr="006F2DE6" w:rsidDel="00A3222D">
                              <w:t xml:space="preserve"> </w:t>
                            </w:r>
                            <w:r w:rsidRPr="006F2DE6">
                              <w:t>to restrain another person from certain behaviour directed at the</w:t>
                            </w:r>
                            <w:r>
                              <w:t xml:space="preserve"> older person</w:t>
                            </w:r>
                            <w:r w:rsidRPr="006F2DE6">
                              <w:t>. This should include consideration of:</w:t>
                            </w:r>
                          </w:p>
                          <w:p w14:paraId="500657F0" w14:textId="741D74F8" w:rsidR="00DD2FF6" w:rsidRPr="00DD2FF6" w:rsidRDefault="00DD2FF6" w:rsidP="005A71B7">
                            <w:pPr>
                              <w:pStyle w:val="RecommendationBoxText"/>
                              <w:numPr>
                                <w:ilvl w:val="0"/>
                                <w:numId w:val="29"/>
                              </w:numPr>
                            </w:pPr>
                            <w:r w:rsidRPr="00DD2FF6">
                              <w:t xml:space="preserve">changes to section 106B of the Justices Act 1959 (Tas) to cover a wider range of behaviour in the specialised restraint order, which could be modelled on the definition of family violence under the Family Violence Act 2004 (Tas); and </w:t>
                            </w:r>
                          </w:p>
                          <w:p w14:paraId="1E687A6A" w14:textId="5318A7D2" w:rsidR="00DD2FF6" w:rsidRPr="00DD2FF6" w:rsidRDefault="00DD2FF6" w:rsidP="005A71B7">
                            <w:pPr>
                              <w:pStyle w:val="RecommendationBoxText"/>
                              <w:numPr>
                                <w:ilvl w:val="0"/>
                                <w:numId w:val="29"/>
                              </w:numPr>
                            </w:pPr>
                            <w:r w:rsidRPr="00DD2FF6">
                              <w:t xml:space="preserve">the creation of a specialised interim restraint order that may be imposed by police when an older person is in immediate need of protection (similar to the powers of a police officer to make a police family violence order but of shorter duration), or imposed by a court upon application to the court, including whether an interim order can be sought by the Commissioner for Older People to allow for an investigation into a report or to facilitate entry by an authorised officer, with provisions setting out criteria for the imposition of such orders in each circumstance and specifying limits on the duration of such orders.  </w:t>
                            </w:r>
                          </w:p>
                          <w:p w14:paraId="5F094E29" w14:textId="706DC3D2" w:rsidR="00DD2FF6" w:rsidRPr="00F77824" w:rsidRDefault="00DD2FF6" w:rsidP="00BE66D3">
                            <w:pPr>
                              <w:pStyle w:val="RecommendationBoxText"/>
                              <w:rPr>
                                <w:rFonts w:eastAsia="Times"/>
                              </w:rPr>
                            </w:pPr>
                            <w:r w:rsidRPr="006F2DE6">
                              <w:t xml:space="preserve">Consideration of these matters should be informed by consultation with </w:t>
                            </w:r>
                            <w:r w:rsidRPr="006F2DE6" w:rsidDel="00ED5E1A">
                              <w:t xml:space="preserve">relevant </w:t>
                            </w:r>
                            <w:r w:rsidRPr="006F2DE6">
                              <w:t>stakeholders.</w:t>
                            </w:r>
                          </w:p>
                        </w:txbxContent>
                      </wps:txbx>
                      <wps:bodyPr wrap="square" lIns="0" tIns="0" rIns="0" bIns="0" rtlCol="0">
                        <a:noAutofit/>
                      </wps:bodyPr>
                    </wps:wsp>
                  </a:graphicData>
                </a:graphic>
              </wp:inline>
            </w:drawing>
          </mc:Choice>
          <mc:Fallback>
            <w:pict>
              <v:shape w14:anchorId="3E25DE25" id="_x0000_s1046" type="#_x0000_t202" style="width:450.95pt;height:26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" fillcolor="#e8e8e8" stroked="f">
                <v:textbox inset="0,0,0,0">
                  <w:txbxContent>
                    <w:p w14:paraId="474C79D4" w14:textId="77777777" w:rsidR="00DD2FF6" w:rsidRPr="006F2DE6" w:rsidRDefault="00DD2FF6" w:rsidP="00DD2FF6">
                      <w:pPr>
                        <w:pStyle w:val="RecommendationBoxHeading"/>
                      </w:pPr>
                      <w:r w:rsidRPr="00DD2FF6">
                        <w:t>Recommendation</w:t>
                      </w:r>
                      <w:r w:rsidRPr="006F2DE6">
                        <w:t xml:space="preserve"> 20</w:t>
                      </w:r>
                    </w:p>
                    <w:p w14:paraId="5BEA8BE9" w14:textId="77777777" w:rsidR="00DD2FF6" w:rsidRPr="006F2DE6" w:rsidRDefault="00DD2FF6" w:rsidP="00DD2FF6">
                      <w:pPr>
                        <w:pStyle w:val="RecommendationBoxText"/>
                      </w:pPr>
                      <w:r w:rsidRPr="006F2DE6">
                        <w:t xml:space="preserve">The </w:t>
                      </w:r>
                      <w:r w:rsidRPr="006F2DE6">
                        <w:rPr>
                          <w:i/>
                        </w:rPr>
                        <w:t>Justices Act 1959</w:t>
                      </w:r>
                      <w:r w:rsidRPr="006F2DE6">
                        <w:t xml:space="preserve"> (Tas) should be reformed to create a specialised restraint order that may be applied for by</w:t>
                      </w:r>
                      <w:r>
                        <w:t>,</w:t>
                      </w:r>
                      <w:r w:rsidRPr="006F2DE6">
                        <w:t xml:space="preserve"> or on behalf of</w:t>
                      </w:r>
                      <w:r>
                        <w:t>,</w:t>
                      </w:r>
                      <w:r w:rsidRPr="006F2DE6">
                        <w:t xml:space="preserve"> an older person</w:t>
                      </w:r>
                      <w:r w:rsidRPr="006F2DE6" w:rsidDel="00A3222D">
                        <w:t xml:space="preserve"> </w:t>
                      </w:r>
                      <w:r w:rsidRPr="006F2DE6">
                        <w:t>to restrain another person from certain behaviour directed at the</w:t>
                      </w:r>
                      <w:r>
                        <w:t xml:space="preserve"> older person</w:t>
                      </w:r>
                      <w:r w:rsidRPr="006F2DE6">
                        <w:t>. This should include consideration of:</w:t>
                      </w:r>
                    </w:p>
                    <w:p w14:paraId="500657F0" w14:textId="741D74F8" w:rsidR="00DD2FF6" w:rsidRPr="00DD2FF6" w:rsidRDefault="00DD2FF6" w:rsidP="005A71B7">
                      <w:pPr>
                        <w:pStyle w:val="RecommendationBoxText"/>
                        <w:numPr>
                          <w:ilvl w:val="0"/>
                          <w:numId w:val="29"/>
                        </w:numPr>
                      </w:pPr>
                      <w:r w:rsidRPr="00DD2FF6">
                        <w:t xml:space="preserve">changes to section 106B of the Justices Act 1959 (Tas) to cover a wider range of behaviour in the specialised restraint order, which could be modelled on the definition of family violence under the Family Violence Act 2004 (Tas); and </w:t>
                      </w:r>
                    </w:p>
                    <w:p w14:paraId="1E687A6A" w14:textId="5318A7D2" w:rsidR="00DD2FF6" w:rsidRPr="00DD2FF6" w:rsidRDefault="00DD2FF6" w:rsidP="005A71B7">
                      <w:pPr>
                        <w:pStyle w:val="RecommendationBoxText"/>
                        <w:numPr>
                          <w:ilvl w:val="0"/>
                          <w:numId w:val="29"/>
                        </w:numPr>
                      </w:pPr>
                      <w:r w:rsidRPr="00DD2FF6">
                        <w:t xml:space="preserve">the creation of a specialised interim restraint order that may be imposed by police when an older person is in immediate need of protection (similar to the powers of a police officer to make a police family violence order but of shorter duration), or imposed by a court upon application to the court, including whether an interim order can be sought by the Commissioner for Older People to allow for an investigation into a report or to facilitate entry by an authorised officer, with provisions setting out criteria for the imposition of such orders in each circumstance and specifying limits on the duration of such orders.  </w:t>
                      </w:r>
                    </w:p>
                    <w:p w14:paraId="5F094E29" w14:textId="706DC3D2" w:rsidR="00DD2FF6" w:rsidRPr="00F77824" w:rsidRDefault="00DD2FF6" w:rsidP="00BE66D3">
                      <w:pPr>
                        <w:pStyle w:val="RecommendationBoxText"/>
                        <w:rPr>
                          <w:rFonts w:eastAsia="Times"/>
                        </w:rPr>
                      </w:pPr>
                      <w:r w:rsidRPr="006F2DE6">
                        <w:t xml:space="preserve">Consideration of these matters should be informed by consultation with </w:t>
                      </w:r>
                      <w:r w:rsidRPr="006F2DE6" w:rsidDel="00ED5E1A">
                        <w:t xml:space="preserve">relevant </w:t>
                      </w:r>
                      <w:r w:rsidRPr="006F2DE6">
                        <w:t>stakeholders.</w:t>
                      </w:r>
                    </w:p>
                  </w:txbxContent>
                </v:textbox>
                <w10:anchorlock/>
              </v:shape>
            </w:pict>
          </mc:Fallback>
        </mc:AlternateContent>
      </w:r>
    </w:p>
    <w:p w14:paraId="31AF31EA" w14:textId="33A25A19" w:rsidR="00DD2FF6" w:rsidRPr="007B5BE6" w:rsidRDefault="00DD2FF6" w:rsidP="007039BC">
      <w:pPr>
        <w:pStyle w:val="RecommendationBoxHeading"/>
        <w:ind w:left="0"/>
      </w:pPr>
      <w:r w:rsidRPr="007B5BE6">
        <w:rPr>
          <w:noProof/>
        </w:rPr>
        <mc:AlternateContent>
          <mc:Choice Requires="wps">
            <w:drawing>
              <wp:inline distT="0" distB="0" distL="0" distR="0" wp14:anchorId="76673ABC" wp14:editId="00491E01">
                <wp:extent cx="5727065" cy="943660"/>
                <wp:effectExtent l="0" t="0" r="6985" b="8890"/>
                <wp:docPr id="1390955745"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43660"/>
                        </a:xfrm>
                        <a:prstGeom prst="rect">
                          <a:avLst/>
                        </a:prstGeom>
                        <a:solidFill>
                          <a:srgbClr val="E8E8E8"/>
                        </a:solidFill>
                      </wps:spPr>
                      <wps:txbx>
                        <w:txbxContent>
                          <w:p w14:paraId="02A7EBEE" w14:textId="77777777" w:rsidR="00DD2FF6" w:rsidRPr="006F2DE6" w:rsidRDefault="00DD2FF6" w:rsidP="00DD2FF6">
                            <w:pPr>
                              <w:pStyle w:val="RecommendationBoxHeading"/>
                            </w:pPr>
                            <w:r w:rsidRPr="00DD2FF6">
                              <w:t>Recommendation</w:t>
                            </w:r>
                            <w:r w:rsidRPr="006F2DE6">
                              <w:t xml:space="preserve"> 21</w:t>
                            </w:r>
                          </w:p>
                          <w:p w14:paraId="7F12C3D4" w14:textId="77777777" w:rsidR="00DD2FF6" w:rsidRPr="006F2DE6" w:rsidRDefault="00DD2FF6" w:rsidP="00DD2FF6">
                            <w:pPr>
                              <w:pStyle w:val="RecommendationBoxText"/>
                            </w:pPr>
                            <w:r w:rsidRPr="006F2DE6">
                              <w:t>Consideration should be given to the development of a model for a court</w:t>
                            </w:r>
                            <w:r>
                              <w:t>-</w:t>
                            </w:r>
                            <w:r w:rsidRPr="006F2DE6">
                              <w:t>ordered mediation. This should be informed by consultation with relevant stakeholders.</w:t>
                            </w:r>
                          </w:p>
                          <w:p w14:paraId="6687D6C4"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76673ABC" id="_x0000_s1047" type="#_x0000_t202" style="width:450.9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" fillcolor="#e8e8e8" stroked="f">
                <v:textbox inset="0,0,0,0">
                  <w:txbxContent>
                    <w:p w14:paraId="02A7EBEE" w14:textId="77777777" w:rsidR="00DD2FF6" w:rsidRPr="006F2DE6" w:rsidRDefault="00DD2FF6" w:rsidP="00DD2FF6">
                      <w:pPr>
                        <w:pStyle w:val="RecommendationBoxHeading"/>
                      </w:pPr>
                      <w:r w:rsidRPr="00DD2FF6">
                        <w:t>Recommendation</w:t>
                      </w:r>
                      <w:r w:rsidRPr="006F2DE6">
                        <w:t xml:space="preserve"> 21</w:t>
                      </w:r>
                    </w:p>
                    <w:p w14:paraId="7F12C3D4" w14:textId="77777777" w:rsidR="00DD2FF6" w:rsidRPr="006F2DE6" w:rsidRDefault="00DD2FF6" w:rsidP="00DD2FF6">
                      <w:pPr>
                        <w:pStyle w:val="RecommendationBoxText"/>
                      </w:pPr>
                      <w:r w:rsidRPr="006F2DE6">
                        <w:t>Consideration should be given to the development of a model for a court</w:t>
                      </w:r>
                      <w:r>
                        <w:t>-</w:t>
                      </w:r>
                      <w:r w:rsidRPr="006F2DE6">
                        <w:t>ordered mediation. This should be informed by consultation with relevant stakeholders.</w:t>
                      </w:r>
                    </w:p>
                    <w:p w14:paraId="6687D6C4" w14:textId="77777777" w:rsidR="00DD2FF6" w:rsidRPr="00F77824" w:rsidRDefault="00DD2FF6" w:rsidP="00DD2FF6">
                      <w:pPr>
                        <w:pStyle w:val="RecommendationBoxText"/>
                        <w:ind w:left="0"/>
                        <w:rPr>
                          <w:rFonts w:eastAsia="Times"/>
                        </w:rPr>
                      </w:pPr>
                    </w:p>
                  </w:txbxContent>
                </v:textbox>
                <w10:anchorlock/>
              </v:shape>
            </w:pict>
          </mc:Fallback>
        </mc:AlternateContent>
      </w:r>
    </w:p>
    <w:p w14:paraId="09E4EA36" w14:textId="49748AF3" w:rsidR="000003AF" w:rsidRPr="007B5BE6" w:rsidRDefault="00811B1B" w:rsidP="00744D17">
      <w:pPr>
        <w:pStyle w:val="NumberedHeadingTLRI"/>
      </w:pPr>
      <w:bookmarkStart w:id="615" w:name="_Toc212561819"/>
      <w:r w:rsidRPr="007B5BE6">
        <w:lastRenderedPageBreak/>
        <w:t>S</w:t>
      </w:r>
      <w:r w:rsidR="008E12C4" w:rsidRPr="007B5BE6">
        <w:t xml:space="preserve">pecialised </w:t>
      </w:r>
      <w:r w:rsidR="00257B3A" w:rsidRPr="007B5BE6">
        <w:t xml:space="preserve">criminal </w:t>
      </w:r>
      <w:r w:rsidR="008E12C4" w:rsidRPr="007B5BE6">
        <w:t xml:space="preserve">offences </w:t>
      </w:r>
      <w:r w:rsidR="001C62CE" w:rsidRPr="007B5BE6">
        <w:t>for abuse of older people</w:t>
      </w:r>
      <w:r w:rsidR="00095516" w:rsidRPr="007B5BE6">
        <w:t xml:space="preserve"> in the general criminal law</w:t>
      </w:r>
      <w:bookmarkEnd w:id="615"/>
    </w:p>
    <w:p w14:paraId="62AD4C1C" w14:textId="60FEE8E6" w:rsidR="00FE19A9" w:rsidRPr="007B5BE6" w:rsidRDefault="00742C55" w:rsidP="000003AF">
      <w:pPr>
        <w:pStyle w:val="NormalNumberedTextTLRI"/>
      </w:pPr>
      <w:r w:rsidRPr="007B5BE6">
        <w:t>A</w:t>
      </w:r>
      <w:r w:rsidR="00347BA0" w:rsidRPr="007B5BE6">
        <w:t xml:space="preserve">s noted in </w:t>
      </w:r>
      <w:r w:rsidR="00347BA0" w:rsidRPr="007B5BE6">
        <w:rPr>
          <w:b/>
          <w:bCs/>
        </w:rPr>
        <w:t>Part 3</w:t>
      </w:r>
      <w:r w:rsidR="00347BA0" w:rsidRPr="007B5BE6">
        <w:t xml:space="preserve">, </w:t>
      </w:r>
      <w:r w:rsidRPr="007B5BE6">
        <w:t>offences under the current criminal law cover a wide range of circumstances that could constitute abuse of an older person</w:t>
      </w:r>
      <w:r w:rsidR="00CD4664" w:rsidRPr="007B5BE6">
        <w:t xml:space="preserve">. </w:t>
      </w:r>
      <w:r w:rsidR="001B1001" w:rsidRPr="007B5BE6">
        <w:rPr>
          <w:rFonts w:eastAsia="Aptos"/>
          <w:b/>
          <w:bCs/>
          <w:szCs w:val="24"/>
        </w:rPr>
        <w:t>Appendix G</w:t>
      </w:r>
      <w:r w:rsidR="001B1001" w:rsidRPr="007B5BE6">
        <w:rPr>
          <w:rFonts w:eastAsia="Aptos"/>
          <w:szCs w:val="24"/>
        </w:rPr>
        <w:t xml:space="preserve"> (Table G.1) sets out </w:t>
      </w:r>
      <w:r w:rsidR="001B1001" w:rsidRPr="007B5BE6">
        <w:t>e</w:t>
      </w:r>
      <w:r w:rsidR="00AD3A91" w:rsidRPr="007B5BE6">
        <w:rPr>
          <w:rFonts w:eastAsia="Aptos"/>
          <w:szCs w:val="24"/>
        </w:rPr>
        <w:t xml:space="preserve">xamples of criminal offences </w:t>
      </w:r>
      <w:r w:rsidR="005E6F61" w:rsidRPr="007B5BE6">
        <w:rPr>
          <w:rFonts w:eastAsia="Aptos"/>
          <w:szCs w:val="24"/>
        </w:rPr>
        <w:t xml:space="preserve">potentially applicable </w:t>
      </w:r>
      <w:r w:rsidR="00AD3A91" w:rsidRPr="007B5BE6">
        <w:rPr>
          <w:rFonts w:eastAsia="Aptos"/>
          <w:szCs w:val="24"/>
        </w:rPr>
        <w:t xml:space="preserve">for </w:t>
      </w:r>
      <w:r w:rsidR="005E6F61" w:rsidRPr="007B5BE6">
        <w:rPr>
          <w:rFonts w:eastAsia="Aptos"/>
          <w:szCs w:val="24"/>
        </w:rPr>
        <w:t xml:space="preserve">the </w:t>
      </w:r>
      <w:r w:rsidR="00AD3A91" w:rsidRPr="007B5BE6">
        <w:rPr>
          <w:rFonts w:eastAsia="Aptos"/>
          <w:szCs w:val="24"/>
        </w:rPr>
        <w:t>types of abuse that can be experienced by older people.</w:t>
      </w:r>
      <w:r w:rsidR="006C4EF3" w:rsidRPr="007B5BE6">
        <w:rPr>
          <w:rStyle w:val="FootnoteReference"/>
          <w:rFonts w:eastAsia="Aptos"/>
          <w:szCs w:val="24"/>
        </w:rPr>
        <w:footnoteReference w:id="691"/>
      </w:r>
      <w:r w:rsidR="00473F71" w:rsidRPr="007B5BE6">
        <w:t xml:space="preserve"> However, specific ‘elder abuse’ offences do not exist.</w:t>
      </w:r>
    </w:p>
    <w:p w14:paraId="48B7EEE6" w14:textId="4CCE41DB" w:rsidR="002B71D9" w:rsidRPr="007B5BE6" w:rsidRDefault="002B71D9" w:rsidP="000D6F8F">
      <w:pPr>
        <w:pStyle w:val="NormalNumberedTextTLRI"/>
      </w:pPr>
      <w:r w:rsidRPr="007B5BE6">
        <w:t xml:space="preserve">It is difficult to assess how the criminal law currently operates as a response to </w:t>
      </w:r>
      <w:r w:rsidR="00705D40" w:rsidRPr="007B5BE6">
        <w:t xml:space="preserve">the </w:t>
      </w:r>
      <w:r w:rsidRPr="007B5BE6">
        <w:t xml:space="preserve">abuse of older people, due to the limits on the information readily available </w:t>
      </w:r>
      <w:r w:rsidR="0013577C" w:rsidRPr="007B5BE6">
        <w:t>for</w:t>
      </w:r>
      <w:r w:rsidRPr="007B5BE6">
        <w:t xml:space="preserve"> search</w:t>
      </w:r>
      <w:r w:rsidR="0013577C" w:rsidRPr="007B5BE6">
        <w:t xml:space="preserve">ing </w:t>
      </w:r>
      <w:r w:rsidRPr="007B5BE6">
        <w:t>or extract</w:t>
      </w:r>
      <w:r w:rsidR="0013577C" w:rsidRPr="007B5BE6">
        <w:t>ion</w:t>
      </w:r>
      <w:r w:rsidRPr="007B5BE6">
        <w:t xml:space="preserve"> from data held by police or courts.</w:t>
      </w:r>
      <w:r w:rsidR="006C4EF3" w:rsidRPr="007B5BE6">
        <w:rPr>
          <w:rStyle w:val="FootnoteReference"/>
        </w:rPr>
        <w:footnoteReference w:id="692"/>
      </w:r>
      <w:r w:rsidRPr="007B5BE6">
        <w:t xml:space="preserve"> </w:t>
      </w:r>
      <w:r w:rsidR="006435EB" w:rsidRPr="007B5BE6">
        <w:t>Available i</w:t>
      </w:r>
      <w:r w:rsidR="00BC3EFB" w:rsidRPr="007B5BE6">
        <w:t xml:space="preserve">nformation suggests that the criminal law is not frequently relied upon. </w:t>
      </w:r>
      <w:r w:rsidR="00D83BAC" w:rsidRPr="007B5BE6">
        <w:t xml:space="preserve">For example, </w:t>
      </w:r>
      <w:r w:rsidR="001303A2" w:rsidRPr="007B5BE6">
        <w:t>for</w:t>
      </w:r>
      <w:r w:rsidR="00D83BAC" w:rsidRPr="007B5BE6">
        <w:t xml:space="preserve"> offences relating to enduring powers of attorney </w:t>
      </w:r>
      <w:r w:rsidR="001E5FBA" w:rsidRPr="007B5BE6">
        <w:t>or guardian</w:t>
      </w:r>
      <w:r w:rsidR="001303A2" w:rsidRPr="007B5BE6">
        <w:t>ship</w:t>
      </w:r>
      <w:r w:rsidR="001E5FBA" w:rsidRPr="007B5BE6">
        <w:t>, i</w:t>
      </w:r>
      <w:r w:rsidR="000D6F8F" w:rsidRPr="007B5BE6">
        <w:t xml:space="preserve">n the Magistrates Court, sentencing data </w:t>
      </w:r>
      <w:r w:rsidR="001303A2" w:rsidRPr="007B5BE6">
        <w:t>shows</w:t>
      </w:r>
      <w:r w:rsidR="000D6F8F" w:rsidRPr="007B5BE6">
        <w:t xml:space="preserve"> no cases in the past five years </w:t>
      </w:r>
      <w:r w:rsidR="00430EDB" w:rsidRPr="007B5BE6">
        <w:t>of</w:t>
      </w:r>
      <w:r w:rsidR="000D6F8F" w:rsidRPr="007B5BE6">
        <w:t xml:space="preserve"> a person sentenced for an offence under the </w:t>
      </w:r>
      <w:r w:rsidR="000D6F8F" w:rsidRPr="007B5BE6">
        <w:rPr>
          <w:i/>
        </w:rPr>
        <w:t>Powers of Attorney Act</w:t>
      </w:r>
      <w:r w:rsidR="000D6F8F" w:rsidRPr="007B5BE6">
        <w:t xml:space="preserve"> (Tas) or the </w:t>
      </w:r>
      <w:r w:rsidR="000D6F8F" w:rsidRPr="007B5BE6">
        <w:rPr>
          <w:i/>
        </w:rPr>
        <w:t>Guardianship and Administration Act</w:t>
      </w:r>
      <w:r w:rsidR="000D6F8F" w:rsidRPr="007B5BE6">
        <w:t xml:space="preserve"> (Tas).</w:t>
      </w:r>
      <w:r w:rsidR="006577F0" w:rsidRPr="007B5BE6">
        <w:rPr>
          <w:rStyle w:val="FootnoteReference"/>
        </w:rPr>
        <w:footnoteReference w:id="693"/>
      </w:r>
      <w:r w:rsidR="000D6F8F" w:rsidRPr="007B5BE6">
        <w:t xml:space="preserve"> </w:t>
      </w:r>
      <w:r w:rsidR="008D3358" w:rsidRPr="007B5BE6">
        <w:t xml:space="preserve">It is also noted </w:t>
      </w:r>
      <w:r w:rsidR="00566089" w:rsidRPr="007B5BE6">
        <w:t xml:space="preserve">that </w:t>
      </w:r>
      <w:r w:rsidR="00593077" w:rsidRPr="007B5BE6">
        <w:t xml:space="preserve">no </w:t>
      </w:r>
      <w:r w:rsidR="004A05F8" w:rsidRPr="007B5BE6">
        <w:t>sentenced</w:t>
      </w:r>
      <w:r w:rsidR="00593077" w:rsidRPr="007B5BE6">
        <w:t xml:space="preserve"> cases</w:t>
      </w:r>
      <w:r w:rsidR="00566089" w:rsidRPr="007B5BE6">
        <w:t xml:space="preserve"> </w:t>
      </w:r>
      <w:r w:rsidR="00593077" w:rsidRPr="007B5BE6">
        <w:t xml:space="preserve">were identified for the offence of </w:t>
      </w:r>
      <w:r w:rsidR="004A05F8" w:rsidRPr="007B5BE6">
        <w:t>financial abuse</w:t>
      </w:r>
      <w:r w:rsidR="009D39BD" w:rsidRPr="007B5BE6">
        <w:t xml:space="preserve"> in the context of family violence</w:t>
      </w:r>
      <w:r w:rsidR="004A05F8" w:rsidRPr="007B5BE6">
        <w:t>.</w:t>
      </w:r>
    </w:p>
    <w:p w14:paraId="691546D3" w14:textId="014B5D5F" w:rsidR="000D6F8F" w:rsidRPr="007B5BE6" w:rsidRDefault="002B71D9" w:rsidP="000D6F8F">
      <w:pPr>
        <w:pStyle w:val="NormalNumberedTextTLRI"/>
      </w:pPr>
      <w:r w:rsidRPr="007B5BE6">
        <w:t>T</w:t>
      </w:r>
      <w:r w:rsidR="000D6F8F" w:rsidRPr="007B5BE6">
        <w:t>he</w:t>
      </w:r>
      <w:r w:rsidR="00F52731" w:rsidRPr="007B5BE6">
        <w:t xml:space="preserve"> TLRI has identified only </w:t>
      </w:r>
      <w:r w:rsidR="000D6F8F" w:rsidRPr="007B5BE6">
        <w:t>t</w:t>
      </w:r>
      <w:r w:rsidRPr="007B5BE6">
        <w:t>wo Tasmanian cases where a family member was convicted in relation to the death of a paren</w:t>
      </w:r>
      <w:r w:rsidR="00A227FF" w:rsidRPr="007B5BE6">
        <w:t xml:space="preserve">t, demonstrating </w:t>
      </w:r>
      <w:r w:rsidRPr="007B5BE6">
        <w:t>the few publicly available cases involving a criminal law response.</w:t>
      </w:r>
      <w:r w:rsidR="006577F0" w:rsidRPr="007B5BE6">
        <w:rPr>
          <w:rStyle w:val="FootnoteReference"/>
        </w:rPr>
        <w:footnoteReference w:id="694"/>
      </w:r>
      <w:r w:rsidRPr="007B5BE6">
        <w:t xml:space="preserve"> The circumstances of these cases, involving the deaths of </w:t>
      </w:r>
      <w:r w:rsidR="00EB4852" w:rsidRPr="007B5BE6">
        <w:t>the two older people—Mr</w:t>
      </w:r>
      <w:r w:rsidRPr="007B5BE6">
        <w:t>s Mackozdi and Mrs Corstorphin</w:t>
      </w:r>
      <w:r w:rsidR="00EB4852" w:rsidRPr="007B5BE6">
        <w:t>e</w:t>
      </w:r>
      <w:r w:rsidR="000B725B" w:rsidRPr="007B5BE6">
        <w:t>—w</w:t>
      </w:r>
      <w:r w:rsidRPr="007B5BE6">
        <w:t xml:space="preserve">ere discussed at </w:t>
      </w:r>
      <w:r w:rsidR="00350E35" w:rsidRPr="007B5BE6">
        <w:t>[2.5.4]</w:t>
      </w:r>
      <w:r w:rsidR="00321371" w:rsidRPr="007B5BE6">
        <w:t>–[2.5.8]</w:t>
      </w:r>
      <w:r w:rsidRPr="007B5BE6">
        <w:t xml:space="preserve"> and are set out in </w:t>
      </w:r>
      <w:r w:rsidR="00EF490E" w:rsidRPr="007B5BE6">
        <w:rPr>
          <w:b/>
          <w:bCs/>
        </w:rPr>
        <w:t xml:space="preserve">Appendix </w:t>
      </w:r>
      <w:r w:rsidR="00972F41" w:rsidRPr="007B5BE6">
        <w:rPr>
          <w:b/>
          <w:bCs/>
        </w:rPr>
        <w:t>B</w:t>
      </w:r>
      <w:r w:rsidR="00EF490E" w:rsidRPr="007B5BE6">
        <w:t xml:space="preserve"> (</w:t>
      </w:r>
      <w:r w:rsidRPr="007B5BE6">
        <w:t xml:space="preserve">Table </w:t>
      </w:r>
      <w:r w:rsidR="00972F41" w:rsidRPr="007B5BE6">
        <w:t>B.1</w:t>
      </w:r>
      <w:r w:rsidR="00EF490E" w:rsidRPr="007B5BE6">
        <w:t>)</w:t>
      </w:r>
      <w:r w:rsidRPr="007B5BE6">
        <w:t>.</w:t>
      </w:r>
      <w:r w:rsidR="000D6F8F" w:rsidRPr="007B5BE6">
        <w:t xml:space="preserve"> </w:t>
      </w:r>
      <w:r w:rsidRPr="007B5BE6">
        <w:t>Following Mrs Mackozdi’s death from hypothermia after sleeping in a shipping container,</w:t>
      </w:r>
      <w:r w:rsidR="006577F0" w:rsidRPr="007B5BE6">
        <w:rPr>
          <w:rStyle w:val="FootnoteReference"/>
        </w:rPr>
        <w:footnoteReference w:id="695"/>
      </w:r>
      <w:r w:rsidRPr="007B5BE6">
        <w:t xml:space="preserve"> her daughter and son in law pleaded guilty to manslaughter and were sentenced</w:t>
      </w:r>
      <w:r w:rsidR="00BE2AE0" w:rsidRPr="007B5BE6">
        <w:t xml:space="preserve"> </w:t>
      </w:r>
      <w:r w:rsidRPr="007B5BE6">
        <w:t xml:space="preserve">on the basis that Mrs Mackozdi died </w:t>
      </w:r>
      <w:proofErr w:type="gramStart"/>
      <w:r w:rsidRPr="007B5BE6">
        <w:t>as a result of</w:t>
      </w:r>
      <w:proofErr w:type="gramEnd"/>
      <w:r w:rsidRPr="007B5BE6">
        <w:t xml:space="preserve"> gross negligence.</w:t>
      </w:r>
      <w:r w:rsidR="00B24C10" w:rsidRPr="007B5BE6">
        <w:t xml:space="preserve"> Each were sentenced to two years’ imprisonment, wholly suspended on condition </w:t>
      </w:r>
      <w:r w:rsidR="00316862" w:rsidRPr="007B5BE6">
        <w:t>of not committing an offence punishable by imprisonment</w:t>
      </w:r>
      <w:r w:rsidR="00D65BD1" w:rsidRPr="007B5BE6">
        <w:t xml:space="preserve"> for a period of two years</w:t>
      </w:r>
      <w:r w:rsidR="00316862" w:rsidRPr="007B5BE6">
        <w:t>.</w:t>
      </w:r>
      <w:r w:rsidR="006577F0" w:rsidRPr="007B5BE6">
        <w:rPr>
          <w:rStyle w:val="FootnoteReference"/>
        </w:rPr>
        <w:footnoteReference w:id="696"/>
      </w:r>
      <w:r w:rsidRPr="007B5BE6">
        <w:t xml:space="preserve"> Following Mrs Corstorphine’s death from her daughter smothering her with a pillow, her daughter was found guilty of murder and sentenced to imprisonment </w:t>
      </w:r>
      <w:r w:rsidRPr="007B5BE6">
        <w:lastRenderedPageBreak/>
        <w:t>for 23 years.</w:t>
      </w:r>
      <w:r w:rsidR="003A3C67" w:rsidRPr="007B5BE6">
        <w:rPr>
          <w:rStyle w:val="FootnoteReference"/>
        </w:rPr>
        <w:footnoteReference w:id="697"/>
      </w:r>
      <w:r w:rsidRPr="007B5BE6">
        <w:t xml:space="preserve"> </w:t>
      </w:r>
      <w:r w:rsidR="005462F4" w:rsidRPr="007B5BE6">
        <w:t>The</w:t>
      </w:r>
      <w:r w:rsidR="004F133E" w:rsidRPr="007B5BE6">
        <w:t xml:space="preserve"> TLRI </w:t>
      </w:r>
      <w:r w:rsidR="002614A1" w:rsidRPr="007B5BE6">
        <w:t xml:space="preserve">is not aware of </w:t>
      </w:r>
      <w:r w:rsidR="0017631F" w:rsidRPr="007B5BE6">
        <w:t xml:space="preserve">any other </w:t>
      </w:r>
      <w:r w:rsidR="005462F4" w:rsidRPr="007B5BE6">
        <w:t>cases involv</w:t>
      </w:r>
      <w:r w:rsidR="007D4C5B" w:rsidRPr="007B5BE6">
        <w:t>ing</w:t>
      </w:r>
      <w:r w:rsidR="005462F4" w:rsidRPr="007B5BE6">
        <w:t xml:space="preserve"> </w:t>
      </w:r>
      <w:r w:rsidR="0017631F" w:rsidRPr="007B5BE6">
        <w:t xml:space="preserve">findings of guilt for </w:t>
      </w:r>
      <w:r w:rsidR="005462F4" w:rsidRPr="007B5BE6">
        <w:t>criminal offences</w:t>
      </w:r>
      <w:r w:rsidR="0017631F" w:rsidRPr="007B5BE6">
        <w:t xml:space="preserve"> </w:t>
      </w:r>
      <w:r w:rsidR="006E196C" w:rsidRPr="007B5BE6">
        <w:t xml:space="preserve">concerning </w:t>
      </w:r>
      <w:r w:rsidR="0017631F" w:rsidRPr="007B5BE6">
        <w:t>the abuse of older people</w:t>
      </w:r>
      <w:r w:rsidR="005462F4" w:rsidRPr="007B5BE6">
        <w:t>.</w:t>
      </w:r>
      <w:r w:rsidR="0017631F" w:rsidRPr="007B5BE6">
        <w:rPr>
          <w:rStyle w:val="FootnoteReference"/>
        </w:rPr>
        <w:footnoteReference w:id="698"/>
      </w:r>
    </w:p>
    <w:p w14:paraId="374B564E" w14:textId="06A64F4C" w:rsidR="00AA1D02" w:rsidRPr="007B5BE6" w:rsidRDefault="00403F65" w:rsidP="00D67277">
      <w:pPr>
        <w:pStyle w:val="Headingunnumbered"/>
        <w:spacing w:before="360"/>
      </w:pPr>
      <w:bookmarkStart w:id="616" w:name="_Toc212561820"/>
      <w:r w:rsidRPr="007B5BE6">
        <w:t>Interviews with stakeholders</w:t>
      </w:r>
      <w:bookmarkEnd w:id="616"/>
    </w:p>
    <w:p w14:paraId="1385E76E" w14:textId="356014BA" w:rsidR="00930CA1" w:rsidRPr="007B5BE6" w:rsidRDefault="00493464" w:rsidP="00930CA1">
      <w:pPr>
        <w:pStyle w:val="NormalNumberedTextTLRI"/>
      </w:pPr>
      <w:r w:rsidRPr="007B5BE6">
        <w:t xml:space="preserve">Overall, </w:t>
      </w:r>
      <w:r w:rsidR="0083757F" w:rsidRPr="007B5BE6">
        <w:t xml:space="preserve">stakeholders did not focus on </w:t>
      </w:r>
      <w:r w:rsidRPr="007B5BE6">
        <w:t xml:space="preserve">the introduction of new specialised criminal offences focused on older people as a way of addressing gaps in criminal law responses to abuse. </w:t>
      </w:r>
      <w:r w:rsidR="00E35769" w:rsidRPr="007B5BE6">
        <w:t>Generally, t</w:t>
      </w:r>
      <w:r w:rsidR="00DA0006" w:rsidRPr="007B5BE6">
        <w:t xml:space="preserve">he </w:t>
      </w:r>
      <w:r w:rsidR="00E35769" w:rsidRPr="007B5BE6">
        <w:t>introduction of</w:t>
      </w:r>
      <w:r w:rsidR="00DA0006" w:rsidRPr="007B5BE6">
        <w:t xml:space="preserve"> new offences was not seen to provide an adequate solution</w:t>
      </w:r>
      <w:r w:rsidR="00E35769" w:rsidRPr="007B5BE6">
        <w:t>.</w:t>
      </w:r>
      <w:r w:rsidRPr="007B5BE6">
        <w:t xml:space="preserve"> Some stakeholders </w:t>
      </w:r>
      <w:r w:rsidR="00930CA1" w:rsidRPr="007B5BE6">
        <w:t>had</w:t>
      </w:r>
      <w:r w:rsidRPr="007B5BE6">
        <w:t xml:space="preserve"> concerns about </w:t>
      </w:r>
      <w:r w:rsidR="00500C13" w:rsidRPr="007B5BE6">
        <w:t xml:space="preserve">the reform option of </w:t>
      </w:r>
      <w:r w:rsidR="00930CA1" w:rsidRPr="007B5BE6">
        <w:t xml:space="preserve">creating new </w:t>
      </w:r>
      <w:r w:rsidR="00755B39" w:rsidRPr="007B5BE6">
        <w:t xml:space="preserve">specialised criminal </w:t>
      </w:r>
      <w:r w:rsidR="00930CA1" w:rsidRPr="007B5BE6">
        <w:t>offences as</w:t>
      </w:r>
      <w:r w:rsidRPr="007B5BE6">
        <w:t xml:space="preserve"> a</w:t>
      </w:r>
      <w:r w:rsidR="00BF1B6E" w:rsidRPr="007B5BE6">
        <w:t xml:space="preserve">n </w:t>
      </w:r>
      <w:r w:rsidRPr="007B5BE6">
        <w:t xml:space="preserve">approach </w:t>
      </w:r>
      <w:r w:rsidR="00BF1B6E" w:rsidRPr="007B5BE6">
        <w:t>to addressing identified gaps. Rather, they</w:t>
      </w:r>
      <w:r w:rsidRPr="007B5BE6">
        <w:t xml:space="preserve"> emphasised the importance of addressing gaps in the law through reforms that support a preventative approach, including one that includes a ‘wrap-around’ service response and builds an older person’s community and family connections as much as is appropriate and possible. For example, introducing an offence of neglect of an older person may operate in way that criminalises financial hardship and poverty</w:t>
      </w:r>
      <w:r w:rsidR="009D7A25" w:rsidRPr="007B5BE6">
        <w:t xml:space="preserve">; </w:t>
      </w:r>
      <w:r w:rsidR="00EF5576" w:rsidRPr="007B5BE6">
        <w:t>therefore</w:t>
      </w:r>
      <w:r w:rsidR="009D7A25" w:rsidRPr="007B5BE6">
        <w:t>,</w:t>
      </w:r>
      <w:r w:rsidR="00EF5576" w:rsidRPr="007B5BE6">
        <w:t xml:space="preserve"> </w:t>
      </w:r>
      <w:r w:rsidRPr="007B5BE6">
        <w:t>other approaches, including addressing support needs, should be considered as a response to such circumstances.</w:t>
      </w:r>
      <w:r w:rsidR="0096146E" w:rsidRPr="007B5BE6">
        <w:rPr>
          <w:rStyle w:val="FootnoteReference"/>
        </w:rPr>
        <w:footnoteReference w:id="699"/>
      </w:r>
      <w:r w:rsidRPr="007B5BE6">
        <w:t xml:space="preserve"> </w:t>
      </w:r>
      <w:r w:rsidR="00CC19E8" w:rsidRPr="007B5BE6">
        <w:t>Other</w:t>
      </w:r>
      <w:r w:rsidR="00930CA1" w:rsidRPr="007B5BE6">
        <w:t xml:space="preserve"> stakeholders noted that some, but not all, types of abuse experienced by older people are currently captured within existing offences under Tasmanian law. It was noted that behaviour that constitutes abuse of an older person may come under existing criminal offences, such as common assault, fraud or theft</w:t>
      </w:r>
      <w:r w:rsidR="00930CA1" w:rsidRPr="007B5BE6">
        <w:rPr>
          <w:rFonts w:eastAsia="Aptos"/>
          <w:szCs w:val="24"/>
        </w:rPr>
        <w:t>.</w:t>
      </w:r>
      <w:r w:rsidR="0096146E" w:rsidRPr="007B5BE6">
        <w:rPr>
          <w:rStyle w:val="FootnoteReference"/>
          <w:rFonts w:eastAsia="Aptos"/>
          <w:szCs w:val="24"/>
        </w:rPr>
        <w:footnoteReference w:id="700"/>
      </w:r>
      <w:r w:rsidR="00930CA1" w:rsidRPr="007B5BE6">
        <w:t xml:space="preserve"> </w:t>
      </w:r>
    </w:p>
    <w:p w14:paraId="4B1C9541" w14:textId="0E749CE9" w:rsidR="00930CA1" w:rsidRPr="007B5BE6" w:rsidRDefault="00930CA1" w:rsidP="00930CA1">
      <w:pPr>
        <w:pStyle w:val="NormalNumberedTextTLRI"/>
        <w:rPr>
          <w:i/>
          <w:iCs/>
        </w:rPr>
      </w:pPr>
      <w:r w:rsidRPr="007B5BE6">
        <w:t>Two stakeholders referred to sentencing and noted that current approaches did not specifically identify or categorise offending as having been committed in circumstances of ‘elder abuse’ as an aggravating factor. One stakeholder commented that the vulnerability of a victim is a consideration for sentencing</w:t>
      </w:r>
      <w:r w:rsidR="009D7A25" w:rsidRPr="007B5BE6">
        <w:t>,</w:t>
      </w:r>
      <w:r w:rsidRPr="007B5BE6">
        <w:t xml:space="preserve"> as it may bear on </w:t>
      </w:r>
      <w:r w:rsidR="007D5433" w:rsidRPr="007B5BE6">
        <w:t xml:space="preserve">relevant matters, </w:t>
      </w:r>
      <w:r w:rsidRPr="007B5BE6">
        <w:t xml:space="preserve">such as the physical mobility or the relationship between the victim and the offender; however, that the age of the victim is not provided for as an aggravating factor under </w:t>
      </w:r>
      <w:r w:rsidRPr="007B5BE6">
        <w:rPr>
          <w:i/>
          <w:iCs/>
        </w:rPr>
        <w:t>the Sentencing Act 1997</w:t>
      </w:r>
      <w:r w:rsidRPr="007B5BE6">
        <w:t xml:space="preserve"> (Tas).</w:t>
      </w:r>
      <w:r w:rsidR="0096146E" w:rsidRPr="007B5BE6">
        <w:rPr>
          <w:rStyle w:val="FootnoteReference"/>
        </w:rPr>
        <w:footnoteReference w:id="701"/>
      </w:r>
      <w:r w:rsidRPr="007B5BE6">
        <w:rPr>
          <w:i/>
          <w:iCs/>
        </w:rPr>
        <w:t xml:space="preserve"> </w:t>
      </w:r>
    </w:p>
    <w:p w14:paraId="76AE83B7" w14:textId="0FF908E1" w:rsidR="00A26A20" w:rsidRPr="007B5BE6" w:rsidRDefault="00BF74C6" w:rsidP="00816139">
      <w:pPr>
        <w:pStyle w:val="NormalNumberedTextTLRI"/>
      </w:pPr>
      <w:r w:rsidRPr="007B5BE6">
        <w:t xml:space="preserve">Some stakeholders raised the </w:t>
      </w:r>
      <w:r w:rsidR="006516FD" w:rsidRPr="007B5BE6">
        <w:t xml:space="preserve">potentially </w:t>
      </w:r>
      <w:r w:rsidRPr="007B5BE6">
        <w:t xml:space="preserve">symbolic and educative effect </w:t>
      </w:r>
      <w:r w:rsidR="00816139" w:rsidRPr="007B5BE6">
        <w:t>of</w:t>
      </w:r>
      <w:r w:rsidR="006148BA" w:rsidRPr="007B5BE6">
        <w:t xml:space="preserve"> </w:t>
      </w:r>
      <w:r w:rsidR="006516FD" w:rsidRPr="007B5BE6">
        <w:t xml:space="preserve">introducing </w:t>
      </w:r>
      <w:r w:rsidR="0089710E" w:rsidRPr="007B5BE6">
        <w:t>s</w:t>
      </w:r>
      <w:r w:rsidR="00124BC1" w:rsidRPr="007B5BE6">
        <w:t xml:space="preserve">pecialised </w:t>
      </w:r>
      <w:r w:rsidR="006148BA" w:rsidRPr="007B5BE6">
        <w:t xml:space="preserve">offences </w:t>
      </w:r>
      <w:r w:rsidR="006516FD" w:rsidRPr="007B5BE6">
        <w:t xml:space="preserve">in this context. They </w:t>
      </w:r>
      <w:r w:rsidR="006148BA" w:rsidRPr="007B5BE6">
        <w:t xml:space="preserve">suggested that enshrining concepts of </w:t>
      </w:r>
      <w:r w:rsidR="007D5433" w:rsidRPr="007B5BE6">
        <w:t>‘</w:t>
      </w:r>
      <w:r w:rsidR="006148BA" w:rsidRPr="007B5BE6">
        <w:t>elder abuse</w:t>
      </w:r>
      <w:r w:rsidR="007D5433" w:rsidRPr="007B5BE6">
        <w:t>’</w:t>
      </w:r>
      <w:r w:rsidR="006148BA" w:rsidRPr="007B5BE6">
        <w:t xml:space="preserve"> in law may send a message to the community, including potential victims</w:t>
      </w:r>
      <w:r w:rsidR="003E348E" w:rsidRPr="007B5BE6">
        <w:t>-</w:t>
      </w:r>
      <w:r w:rsidR="006148BA" w:rsidRPr="007B5BE6">
        <w:t>survivors and perpetrators</w:t>
      </w:r>
      <w:r w:rsidR="008A2BBF" w:rsidRPr="007B5BE6">
        <w:t>,</w:t>
      </w:r>
      <w:r w:rsidR="006148BA" w:rsidRPr="007B5BE6">
        <w:t xml:space="preserve"> that abuse is not accepted and will not be tolerated under the law.</w:t>
      </w:r>
      <w:r w:rsidR="0096146E" w:rsidRPr="007B5BE6">
        <w:rPr>
          <w:rStyle w:val="FootnoteReference"/>
        </w:rPr>
        <w:footnoteReference w:id="702"/>
      </w:r>
      <w:r w:rsidR="006148BA" w:rsidRPr="007B5BE6">
        <w:t xml:space="preserve"> </w:t>
      </w:r>
    </w:p>
    <w:p w14:paraId="774A4D8E" w14:textId="508643E1" w:rsidR="00493464" w:rsidRPr="007B5BE6" w:rsidRDefault="00816139">
      <w:pPr>
        <w:pStyle w:val="NormalNumberedTextTLRI"/>
      </w:pPr>
      <w:r w:rsidRPr="007B5BE6">
        <w:t>However, r</w:t>
      </w:r>
      <w:r w:rsidR="00493464" w:rsidRPr="007B5BE6">
        <w:t xml:space="preserve">ather than suggesting the creation of new criminal offences, </w:t>
      </w:r>
      <w:r w:rsidR="002D52AB" w:rsidRPr="007B5BE6">
        <w:t xml:space="preserve">most </w:t>
      </w:r>
      <w:r w:rsidR="00493464" w:rsidRPr="007B5BE6">
        <w:t>stakeholders tended to focus more on the barriers to the operation of existing offences</w:t>
      </w:r>
      <w:r w:rsidR="002D52AB" w:rsidRPr="007B5BE6">
        <w:t>,</w:t>
      </w:r>
      <w:r w:rsidR="00493464" w:rsidRPr="007B5BE6">
        <w:t xml:space="preserve"> and the need to address these</w:t>
      </w:r>
      <w:r w:rsidR="002D52AB" w:rsidRPr="007B5BE6">
        <w:t>,</w:t>
      </w:r>
      <w:r w:rsidR="00493464" w:rsidRPr="007B5BE6">
        <w:t xml:space="preserve"> as the most pressing issue underlying the </w:t>
      </w:r>
      <w:r w:rsidR="00AD7272" w:rsidRPr="007B5BE6">
        <w:t xml:space="preserve">identified </w:t>
      </w:r>
      <w:r w:rsidR="00493464" w:rsidRPr="007B5BE6">
        <w:t xml:space="preserve">gaps in the criminal law’s response to </w:t>
      </w:r>
      <w:r w:rsidR="00AD7272" w:rsidRPr="007B5BE6">
        <w:t xml:space="preserve">the </w:t>
      </w:r>
      <w:r w:rsidR="00493464" w:rsidRPr="007B5BE6">
        <w:t xml:space="preserve">abuse of older people. </w:t>
      </w:r>
      <w:r w:rsidR="00B53C50" w:rsidRPr="007B5BE6">
        <w:t xml:space="preserve">Stakeholders identified numerous issues </w:t>
      </w:r>
      <w:r w:rsidR="00E06285" w:rsidRPr="007B5BE6">
        <w:t>around the operation of</w:t>
      </w:r>
      <w:r w:rsidR="00B53C50" w:rsidRPr="007B5BE6">
        <w:t xml:space="preserve"> existing criminal laws </w:t>
      </w:r>
      <w:r w:rsidR="00835700" w:rsidRPr="007B5BE6">
        <w:t xml:space="preserve">that limit the effectiveness or appropriateness of </w:t>
      </w:r>
      <w:r w:rsidR="00B53C50" w:rsidRPr="007B5BE6">
        <w:t>response</w:t>
      </w:r>
      <w:r w:rsidR="00835700" w:rsidRPr="007B5BE6">
        <w:t>s</w:t>
      </w:r>
      <w:r w:rsidR="00B53C50" w:rsidRPr="007B5BE6">
        <w:t xml:space="preserve"> to the abuse of older people</w:t>
      </w:r>
      <w:r w:rsidR="00847162" w:rsidRPr="007B5BE6">
        <w:t>.</w:t>
      </w:r>
      <w:r w:rsidR="00B53C50" w:rsidRPr="007B5BE6">
        <w:t xml:space="preserve"> </w:t>
      </w:r>
      <w:r w:rsidR="00B0141D" w:rsidRPr="007B5BE6">
        <w:t>This included issues around</w:t>
      </w:r>
      <w:r w:rsidR="00493464" w:rsidRPr="007B5BE6">
        <w:t xml:space="preserve"> reporting to law enforcement</w:t>
      </w:r>
      <w:r w:rsidR="00B0141D" w:rsidRPr="007B5BE6">
        <w:t>,</w:t>
      </w:r>
      <w:r w:rsidR="00493464" w:rsidRPr="007B5BE6">
        <w:t xml:space="preserve"> and response</w:t>
      </w:r>
      <w:r w:rsidR="005425B9" w:rsidRPr="007B5BE6">
        <w:t>s</w:t>
      </w:r>
      <w:r w:rsidR="00493464" w:rsidRPr="007B5BE6">
        <w:t xml:space="preserve"> to </w:t>
      </w:r>
      <w:r w:rsidR="00D63336" w:rsidRPr="007B5BE6">
        <w:t xml:space="preserve">such </w:t>
      </w:r>
      <w:r w:rsidR="00493464" w:rsidRPr="007B5BE6">
        <w:t>reports by way of detection and investigation. This included:</w:t>
      </w:r>
    </w:p>
    <w:p w14:paraId="788E2596" w14:textId="675A64F5" w:rsidR="00493464" w:rsidRPr="007B5BE6" w:rsidRDefault="00493464" w:rsidP="000826EC">
      <w:pPr>
        <w:pStyle w:val="DotPointTLRI"/>
      </w:pPr>
      <w:r w:rsidRPr="007B5BE6">
        <w:lastRenderedPageBreak/>
        <w:t xml:space="preserve">reluctance </w:t>
      </w:r>
      <w:r w:rsidR="00D63336" w:rsidRPr="007B5BE6">
        <w:t xml:space="preserve">of older people </w:t>
      </w:r>
      <w:r w:rsidRPr="007B5BE6">
        <w:t>to report due to fear of consequences for themselves or the abuser, particularly where the abuser is a family member or carer, or they are in receipt of care services;</w:t>
      </w:r>
    </w:p>
    <w:p w14:paraId="0044E601" w14:textId="3142438D" w:rsidR="00493464" w:rsidRPr="007B5BE6" w:rsidRDefault="00493464" w:rsidP="000826EC">
      <w:pPr>
        <w:pStyle w:val="DotPointTLRI"/>
      </w:pPr>
      <w:r w:rsidRPr="007B5BE6">
        <w:t>lack of evidence due to victims</w:t>
      </w:r>
      <w:r w:rsidR="00D63336" w:rsidRPr="007B5BE6">
        <w:t>-survivors</w:t>
      </w:r>
      <w:r w:rsidRPr="007B5BE6">
        <w:t xml:space="preserve"> not wanting to pursue charges</w:t>
      </w:r>
      <w:r w:rsidR="00A64371" w:rsidRPr="007B5BE6">
        <w:t>;</w:t>
      </w:r>
    </w:p>
    <w:p w14:paraId="6E38673D" w14:textId="72A1B0BC" w:rsidR="00493464" w:rsidRPr="007B5BE6" w:rsidRDefault="00493464" w:rsidP="000826EC">
      <w:pPr>
        <w:pStyle w:val="DotPointTLRI"/>
      </w:pPr>
      <w:r w:rsidRPr="007B5BE6">
        <w:t>difficulties gathering adequate evidence to support charges, due to the victim</w:t>
      </w:r>
      <w:r w:rsidR="00396933" w:rsidRPr="007B5BE6">
        <w:t>-survivor</w:t>
      </w:r>
      <w:r w:rsidRPr="007B5BE6">
        <w:t xml:space="preserve"> having a cognitive impairment, which may present with communication or memory issues;</w:t>
      </w:r>
    </w:p>
    <w:p w14:paraId="04DD75D1" w14:textId="790AF7BD" w:rsidR="00493464" w:rsidRPr="007B5BE6" w:rsidRDefault="00493464" w:rsidP="000826EC">
      <w:pPr>
        <w:pStyle w:val="DotPointTLRI"/>
      </w:pPr>
      <w:r w:rsidRPr="007B5BE6">
        <w:t xml:space="preserve">barriers </w:t>
      </w:r>
      <w:r w:rsidR="005425B9" w:rsidRPr="007B5BE6">
        <w:t>for</w:t>
      </w:r>
      <w:r w:rsidRPr="007B5BE6">
        <w:t xml:space="preserve"> law enforcement to detect and investigate reported abuse, including expertise and skills in responding to incidents involving older people</w:t>
      </w:r>
      <w:r w:rsidR="005425B9" w:rsidRPr="007B5BE6">
        <w:t xml:space="preserve"> (</w:t>
      </w:r>
      <w:r w:rsidR="003B5FB9" w:rsidRPr="007B5BE6">
        <w:t xml:space="preserve">including, for example, </w:t>
      </w:r>
      <w:r w:rsidR="008F0276" w:rsidRPr="007B5BE6">
        <w:t>forg</w:t>
      </w:r>
      <w:r w:rsidR="003C0037" w:rsidRPr="007B5BE6">
        <w:t xml:space="preserve">ing of documents, such as </w:t>
      </w:r>
      <w:r w:rsidR="00C46C04" w:rsidRPr="007B5BE6">
        <w:t xml:space="preserve">appointment or revocation of </w:t>
      </w:r>
      <w:r w:rsidR="003C0037" w:rsidRPr="007B5BE6">
        <w:t>e</w:t>
      </w:r>
      <w:r w:rsidR="008F0276" w:rsidRPr="007B5BE6">
        <w:t>nduring guardianship or power</w:t>
      </w:r>
      <w:r w:rsidR="00C46C04" w:rsidRPr="007B5BE6">
        <w:t>s</w:t>
      </w:r>
      <w:r w:rsidR="008F0276" w:rsidRPr="007B5BE6">
        <w:t xml:space="preserve"> of attorney, </w:t>
      </w:r>
      <w:r w:rsidR="00C70434" w:rsidRPr="007B5BE6">
        <w:t>My Aged Care declaration</w:t>
      </w:r>
      <w:r w:rsidR="003C0037" w:rsidRPr="007B5BE6">
        <w:t>s</w:t>
      </w:r>
      <w:r w:rsidR="00C70434" w:rsidRPr="007B5BE6">
        <w:t>, and mail redirection</w:t>
      </w:r>
      <w:r w:rsidR="003C0037" w:rsidRPr="007B5BE6">
        <w:t>s</w:t>
      </w:r>
      <w:r w:rsidR="00C70434" w:rsidRPr="007B5BE6">
        <w:t>)</w:t>
      </w:r>
      <w:r w:rsidR="003C0037" w:rsidRPr="007B5BE6">
        <w:t xml:space="preserve">, and </w:t>
      </w:r>
      <w:r w:rsidRPr="007B5BE6">
        <w:t>a lack of resources to pursue behaviour that does not readily fall within existing criminal offences, for example abuse of enduring powers of attorney; and</w:t>
      </w:r>
    </w:p>
    <w:p w14:paraId="3EFD8EF2" w14:textId="7D0DEE6D" w:rsidR="00493464" w:rsidRPr="007B5BE6" w:rsidRDefault="00493464" w:rsidP="000826EC">
      <w:pPr>
        <w:pStyle w:val="DotPointTLRI"/>
      </w:pPr>
      <w:r w:rsidRPr="007B5BE6">
        <w:t xml:space="preserve">insufficient supports for older people as witnesses </w:t>
      </w:r>
      <w:r w:rsidR="00EC4C79" w:rsidRPr="007B5BE6">
        <w:t xml:space="preserve">to support charging of </w:t>
      </w:r>
      <w:r w:rsidRPr="007B5BE6">
        <w:t xml:space="preserve">criminal </w:t>
      </w:r>
      <w:r w:rsidR="00EC4C79" w:rsidRPr="007B5BE6">
        <w:t>offences</w:t>
      </w:r>
      <w:r w:rsidRPr="007B5BE6">
        <w:t>, including</w:t>
      </w:r>
      <w:r w:rsidR="00DB1B32" w:rsidRPr="007B5BE6">
        <w:t xml:space="preserve"> participating in an </w:t>
      </w:r>
      <w:r w:rsidRPr="007B5BE6">
        <w:t>investigative interview and giving evidence in court.</w:t>
      </w:r>
      <w:r w:rsidR="00881E55" w:rsidRPr="007B5BE6">
        <w:rPr>
          <w:rStyle w:val="FootnoteReference"/>
        </w:rPr>
        <w:footnoteReference w:id="703"/>
      </w:r>
    </w:p>
    <w:p w14:paraId="2B640E1F" w14:textId="4F59B20D" w:rsidR="00F138B7" w:rsidRPr="007B5BE6" w:rsidRDefault="00C823F2" w:rsidP="00C83408">
      <w:pPr>
        <w:pStyle w:val="NormalNumberedTextTLRI"/>
      </w:pPr>
      <w:r w:rsidRPr="007B5BE6">
        <w:t>When discussing gaps regarding criminal law responses</w:t>
      </w:r>
      <w:r w:rsidR="00E83C7C" w:rsidRPr="007B5BE6">
        <w:t xml:space="preserve"> to alleged offences against an older person</w:t>
      </w:r>
      <w:r w:rsidRPr="007B5BE6">
        <w:t>, s</w:t>
      </w:r>
      <w:r w:rsidR="00C83408" w:rsidRPr="007B5BE6">
        <w:t xml:space="preserve">takeholders </w:t>
      </w:r>
      <w:r w:rsidRPr="007B5BE6">
        <w:t>expressed concerns</w:t>
      </w:r>
      <w:r w:rsidR="00C83408" w:rsidRPr="007B5BE6">
        <w:t xml:space="preserve"> that </w:t>
      </w:r>
      <w:r w:rsidR="005544C5" w:rsidRPr="007B5BE6">
        <w:t>c</w:t>
      </w:r>
      <w:r w:rsidR="00F138B7" w:rsidRPr="007B5BE6">
        <w:t>riminal behaviour against older people seemed to be considered less serious</w:t>
      </w:r>
      <w:r w:rsidR="0081755B" w:rsidRPr="007B5BE6">
        <w:t xml:space="preserve">. </w:t>
      </w:r>
      <w:r w:rsidR="00F138B7" w:rsidRPr="007B5BE6">
        <w:t xml:space="preserve">Another concern </w:t>
      </w:r>
      <w:r w:rsidR="00E83C7C" w:rsidRPr="007B5BE6">
        <w:t xml:space="preserve">was </w:t>
      </w:r>
      <w:r w:rsidR="00F138B7" w:rsidRPr="007B5BE6">
        <w:t>there can be difficulties</w:t>
      </w:r>
      <w:r w:rsidR="00E83C7C" w:rsidRPr="007B5BE6">
        <w:t xml:space="preserve"> (or perceptions of such) </w:t>
      </w:r>
      <w:r w:rsidR="00F138B7" w:rsidRPr="007B5BE6">
        <w:t>that the older person is not going to present adequately or competently as a witness in a criminal matter.</w:t>
      </w:r>
      <w:r w:rsidR="00881E55" w:rsidRPr="007B5BE6">
        <w:rPr>
          <w:rStyle w:val="FootnoteReference"/>
        </w:rPr>
        <w:footnoteReference w:id="704"/>
      </w:r>
      <w:r w:rsidR="00F138B7" w:rsidRPr="007B5BE6">
        <w:t xml:space="preserve"> </w:t>
      </w:r>
      <w:r w:rsidR="0081755B" w:rsidRPr="007B5BE6">
        <w:t xml:space="preserve">It was stated that the fact </w:t>
      </w:r>
      <w:r w:rsidR="004767B2" w:rsidRPr="007B5BE6">
        <w:t xml:space="preserve">of </w:t>
      </w:r>
      <w:r w:rsidR="0081755B" w:rsidRPr="007B5BE6">
        <w:t xml:space="preserve">an older person </w:t>
      </w:r>
      <w:r w:rsidR="004767B2" w:rsidRPr="007B5BE6">
        <w:t>lacking</w:t>
      </w:r>
      <w:r w:rsidR="0081755B" w:rsidRPr="007B5BE6">
        <w:t xml:space="preserve"> capacity to give evidence should not be considered a bar to prosecuting criminal offences against older people, and that there can be other sources of evidence when the victim is not available to provide it.</w:t>
      </w:r>
      <w:r w:rsidR="00F665F5" w:rsidRPr="007B5BE6">
        <w:rPr>
          <w:rStyle w:val="FootnoteReference"/>
        </w:rPr>
        <w:footnoteReference w:id="705"/>
      </w:r>
      <w:r w:rsidR="0081755B" w:rsidRPr="007B5BE6">
        <w:t xml:space="preserve"> Further, it was observed that the</w:t>
      </w:r>
      <w:r w:rsidR="00F138B7" w:rsidRPr="007B5BE6">
        <w:t xml:space="preserve"> use of a witness intermediary and additional support</w:t>
      </w:r>
      <w:r w:rsidR="00377B74" w:rsidRPr="007B5BE6">
        <w:t>s</w:t>
      </w:r>
      <w:r w:rsidR="00F138B7" w:rsidRPr="007B5BE6">
        <w:t xml:space="preserve"> were options to address these concerns.</w:t>
      </w:r>
      <w:r w:rsidR="00F665F5" w:rsidRPr="007B5BE6">
        <w:rPr>
          <w:rStyle w:val="FootnoteReference"/>
        </w:rPr>
        <w:footnoteReference w:id="706"/>
      </w:r>
    </w:p>
    <w:p w14:paraId="22D029F0" w14:textId="2B580E4B" w:rsidR="00C83408" w:rsidRPr="007B5BE6" w:rsidRDefault="0080476C" w:rsidP="009E69FE">
      <w:pPr>
        <w:pStyle w:val="NormalNumberedTextTLRI"/>
      </w:pPr>
      <w:r w:rsidRPr="007B5BE6">
        <w:t>Evidentiary issues were identified as a potential</w:t>
      </w:r>
      <w:r w:rsidR="00C83408" w:rsidRPr="007B5BE6">
        <w:t xml:space="preserve"> challenge to reach legal thresholds in certain contexts in which offences</w:t>
      </w:r>
      <w:r w:rsidR="00774E5B" w:rsidRPr="007B5BE6">
        <w:t>,</w:t>
      </w:r>
      <w:r w:rsidR="00C83408" w:rsidRPr="007B5BE6">
        <w:t xml:space="preserve"> such as theft</w:t>
      </w:r>
      <w:r w:rsidR="00774E5B" w:rsidRPr="007B5BE6">
        <w:t>,</w:t>
      </w:r>
      <w:r w:rsidR="00C83408" w:rsidRPr="007B5BE6">
        <w:t xml:space="preserve"> against an older person occurs. There </w:t>
      </w:r>
      <w:r w:rsidRPr="007B5BE6">
        <w:t>may</w:t>
      </w:r>
      <w:r w:rsidR="00C83408" w:rsidRPr="007B5BE6">
        <w:t xml:space="preserve"> be no proof that an intentional criminal act was committed or otherwise meets </w:t>
      </w:r>
      <w:r w:rsidR="00774E5B" w:rsidRPr="007B5BE6">
        <w:t xml:space="preserve">the </w:t>
      </w:r>
      <w:r w:rsidR="00C83408" w:rsidRPr="007B5BE6">
        <w:t xml:space="preserve">offence elements if the older person consented or </w:t>
      </w:r>
      <w:r w:rsidR="007C750D" w:rsidRPr="007B5BE6">
        <w:t xml:space="preserve">has </w:t>
      </w:r>
      <w:r w:rsidR="00C83408" w:rsidRPr="007B5BE6">
        <w:t xml:space="preserve">willingly given access to </w:t>
      </w:r>
      <w:proofErr w:type="gramStart"/>
      <w:r w:rsidR="00C83408" w:rsidRPr="007B5BE6">
        <w:t>the means by which</w:t>
      </w:r>
      <w:proofErr w:type="gramEnd"/>
      <w:r w:rsidR="00C83408" w:rsidRPr="007B5BE6">
        <w:t xml:space="preserve"> a trusted person committed the offence. For example, they may have given the person their PIN and then </w:t>
      </w:r>
      <w:r w:rsidR="007C750D" w:rsidRPr="007B5BE6">
        <w:t xml:space="preserve">the trusted person took </w:t>
      </w:r>
      <w:r w:rsidR="00C83408" w:rsidRPr="007B5BE6">
        <w:t>more money than what was agreed</w:t>
      </w:r>
      <w:r w:rsidR="007C750D" w:rsidRPr="007B5BE6">
        <w:t xml:space="preserve"> to by the older person</w:t>
      </w:r>
      <w:r w:rsidR="00C83408" w:rsidRPr="007B5BE6">
        <w:t>.</w:t>
      </w:r>
      <w:r w:rsidR="003642F1" w:rsidRPr="007B5BE6">
        <w:rPr>
          <w:rStyle w:val="FootnoteReference"/>
        </w:rPr>
        <w:footnoteReference w:id="707"/>
      </w:r>
      <w:r w:rsidR="00C83408" w:rsidRPr="007B5BE6">
        <w:t xml:space="preserve"> </w:t>
      </w:r>
    </w:p>
    <w:p w14:paraId="263103A9" w14:textId="56A84AD1" w:rsidR="007E079F" w:rsidRPr="007B5BE6" w:rsidRDefault="009E69FE" w:rsidP="00E37E26">
      <w:pPr>
        <w:pStyle w:val="NormalNumberedTextTLRI"/>
      </w:pPr>
      <w:r w:rsidRPr="007B5BE6">
        <w:t>Coercive control is an issue that was raised by stakeholders, and it was noted</w:t>
      </w:r>
      <w:r w:rsidR="00DD67AA" w:rsidRPr="007B5BE6">
        <w:t xml:space="preserve"> that </w:t>
      </w:r>
      <w:r w:rsidR="000462B4" w:rsidRPr="007B5BE6">
        <w:t>although psychological abuse or coercively controlling behaviour almost always features as part of abusive behaviour</w:t>
      </w:r>
      <w:r w:rsidR="00DD67AA" w:rsidRPr="007B5BE6">
        <w:t xml:space="preserve"> (</w:t>
      </w:r>
      <w:r w:rsidR="000462B4" w:rsidRPr="007B5BE6">
        <w:t>either on its own or together with other forms of abuse of older people</w:t>
      </w:r>
      <w:r w:rsidR="00DD67AA" w:rsidRPr="007B5BE6">
        <w:t>)</w:t>
      </w:r>
      <w:r w:rsidR="00BC670F" w:rsidRPr="007B5BE6">
        <w:t>,</w:t>
      </w:r>
      <w:r w:rsidR="000462B4" w:rsidRPr="007B5BE6">
        <w:t xml:space="preserve"> this was not as well covered under the existing criminal law in Tasmania. Some stakeholders also noted that this kind of behaviour can be particularly difficult to enshrine in law in the circumstances in which abuse of older people often occurred.</w:t>
      </w:r>
      <w:r w:rsidR="003642F1" w:rsidRPr="007B5BE6">
        <w:rPr>
          <w:rStyle w:val="FootnoteReference"/>
        </w:rPr>
        <w:footnoteReference w:id="708"/>
      </w:r>
      <w:r w:rsidR="000462B4" w:rsidRPr="007B5BE6">
        <w:t xml:space="preserve"> It was </w:t>
      </w:r>
      <w:r w:rsidR="00154EBD" w:rsidRPr="007B5BE6">
        <w:t xml:space="preserve">further </w:t>
      </w:r>
      <w:r w:rsidR="000462B4" w:rsidRPr="007B5BE6">
        <w:t xml:space="preserve">noted that responses to this kind of behaviour in Tasmania are currently provided through the </w:t>
      </w:r>
      <w:r w:rsidR="000462B4" w:rsidRPr="007B5BE6">
        <w:rPr>
          <w:i/>
          <w:iCs/>
        </w:rPr>
        <w:t>Family Violence Act 2004</w:t>
      </w:r>
      <w:r w:rsidR="000462B4" w:rsidRPr="007B5BE6">
        <w:t xml:space="preserve"> (Tas), with coercive controlling behaviour included in the definition of family violence and </w:t>
      </w:r>
      <w:r w:rsidR="00E83AE3" w:rsidRPr="007B5BE6">
        <w:t xml:space="preserve">in </w:t>
      </w:r>
      <w:r w:rsidR="000462B4" w:rsidRPr="007B5BE6">
        <w:t xml:space="preserve">the offence of emotional abuse </w:t>
      </w:r>
      <w:r w:rsidR="00184627" w:rsidRPr="007B5BE6">
        <w:t>and intimidation</w:t>
      </w:r>
      <w:r w:rsidR="000462B4" w:rsidRPr="007B5BE6">
        <w:t>.</w:t>
      </w:r>
      <w:r w:rsidR="0009393A" w:rsidRPr="007B5BE6">
        <w:rPr>
          <w:rStyle w:val="FootnoteReference"/>
        </w:rPr>
        <w:footnoteReference w:id="709"/>
      </w:r>
      <w:r w:rsidR="006C309C" w:rsidRPr="007B5BE6">
        <w:t xml:space="preserve"> </w:t>
      </w:r>
      <w:r w:rsidR="000462B4" w:rsidRPr="007B5BE6">
        <w:t xml:space="preserve">However, these provisions would only apply where the abuse was perpetrated by a current or former </w:t>
      </w:r>
      <w:r w:rsidR="0009641A" w:rsidRPr="007B5BE6">
        <w:t xml:space="preserve">‘significant’ </w:t>
      </w:r>
      <w:r w:rsidR="000462B4" w:rsidRPr="007B5BE6">
        <w:t>intimate</w:t>
      </w:r>
      <w:r w:rsidR="00934CE1" w:rsidRPr="007B5BE6">
        <w:t xml:space="preserve"> </w:t>
      </w:r>
      <w:r w:rsidR="000462B4" w:rsidRPr="007B5BE6">
        <w:t xml:space="preserve">partner of the older person. </w:t>
      </w:r>
      <w:r w:rsidR="006C309C" w:rsidRPr="007B5BE6">
        <w:t xml:space="preserve">The TLRI identified 53 </w:t>
      </w:r>
      <w:r w:rsidR="0040622A" w:rsidRPr="007B5BE6">
        <w:t xml:space="preserve">sentenced </w:t>
      </w:r>
      <w:r w:rsidR="006C309C" w:rsidRPr="007B5BE6">
        <w:t xml:space="preserve">cases involving 132 </w:t>
      </w:r>
      <w:r w:rsidR="006C309C" w:rsidRPr="007B5BE6">
        <w:lastRenderedPageBreak/>
        <w:t xml:space="preserve">changes of emotional abuse or intimidation under section 9 of the </w:t>
      </w:r>
      <w:r w:rsidR="006C309C" w:rsidRPr="007B5BE6">
        <w:rPr>
          <w:i/>
          <w:iCs/>
        </w:rPr>
        <w:t xml:space="preserve">Family Violence Act 2004 </w:t>
      </w:r>
      <w:r w:rsidR="006C309C" w:rsidRPr="007B5BE6">
        <w:t xml:space="preserve">(Tas) from the Tasmanian </w:t>
      </w:r>
      <w:r w:rsidR="0040622A" w:rsidRPr="007B5BE6">
        <w:t>‘</w:t>
      </w:r>
      <w:r w:rsidR="006C309C" w:rsidRPr="007B5BE6">
        <w:t>SACStats</w:t>
      </w:r>
      <w:r w:rsidR="0040622A" w:rsidRPr="007B5BE6">
        <w:t>’ database.</w:t>
      </w:r>
      <w:r w:rsidR="004959DB" w:rsidRPr="007B5BE6">
        <w:rPr>
          <w:rStyle w:val="FootnoteReference"/>
        </w:rPr>
        <w:footnoteReference w:id="710"/>
      </w:r>
      <w:r w:rsidR="0040622A" w:rsidRPr="007B5BE6">
        <w:t xml:space="preserve"> </w:t>
      </w:r>
    </w:p>
    <w:p w14:paraId="454B1FC2" w14:textId="5FD65A1B" w:rsidR="00C92AE6" w:rsidRPr="007B5BE6" w:rsidRDefault="00C92AE6" w:rsidP="00E37E26">
      <w:pPr>
        <w:pStyle w:val="NormalNumberedTextTLRI"/>
      </w:pPr>
      <w:r w:rsidRPr="007B5BE6">
        <w:t>In addition, in Tasmania (</w:t>
      </w:r>
      <w:r w:rsidR="00E2711F" w:rsidRPr="007B5BE6">
        <w:t>given the</w:t>
      </w:r>
      <w:r w:rsidRPr="007B5BE6">
        <w:t xml:space="preserve"> scope of the relationships covered by the </w:t>
      </w:r>
      <w:r w:rsidRPr="007B5BE6">
        <w:rPr>
          <w:i/>
          <w:iCs/>
        </w:rPr>
        <w:t>Family Violence Act</w:t>
      </w:r>
      <w:r w:rsidRPr="007B5BE6">
        <w:t xml:space="preserve"> </w:t>
      </w:r>
      <w:r w:rsidRPr="007B5BE6">
        <w:rPr>
          <w:i/>
          <w:iCs/>
        </w:rPr>
        <w:t>200</w:t>
      </w:r>
      <w:r w:rsidR="00ED6665" w:rsidRPr="007B5BE6">
        <w:rPr>
          <w:i/>
          <w:iCs/>
        </w:rPr>
        <w:t>4</w:t>
      </w:r>
      <w:r w:rsidRPr="007B5BE6">
        <w:rPr>
          <w:i/>
          <w:iCs/>
        </w:rPr>
        <w:t xml:space="preserve"> </w:t>
      </w:r>
      <w:r w:rsidR="006C309C" w:rsidRPr="007B5BE6">
        <w:t>(</w:t>
      </w:r>
      <w:r w:rsidRPr="007B5BE6">
        <w:t>Tas)</w:t>
      </w:r>
      <w:r w:rsidR="00E9303B" w:rsidRPr="007B5BE6">
        <w:t>)</w:t>
      </w:r>
      <w:r w:rsidRPr="007B5BE6">
        <w:t>, the offence</w:t>
      </w:r>
      <w:r w:rsidR="00E2711F" w:rsidRPr="007B5BE6">
        <w:t xml:space="preserve"> of </w:t>
      </w:r>
      <w:r w:rsidR="007E28B2" w:rsidRPr="007B5BE6">
        <w:t xml:space="preserve">economic </w:t>
      </w:r>
      <w:r w:rsidR="00E2711F" w:rsidRPr="007B5BE6">
        <w:t>abuse</w:t>
      </w:r>
      <w:r w:rsidR="004959DB" w:rsidRPr="007B5BE6">
        <w:t xml:space="preserve">, </w:t>
      </w:r>
      <w:r w:rsidR="00E2711F" w:rsidRPr="007B5BE6">
        <w:t xml:space="preserve">does not apply broadly to the abuse of older people. </w:t>
      </w:r>
      <w:r w:rsidR="005B2889" w:rsidRPr="007B5BE6">
        <w:t>Economic</w:t>
      </w:r>
      <w:r w:rsidR="00E2711F" w:rsidRPr="007B5BE6">
        <w:t xml:space="preserve"> abuse</w:t>
      </w:r>
      <w:r w:rsidR="004959DB" w:rsidRPr="007B5BE6">
        <w:t xml:space="preserve"> also includes elements of coercively controlling behaviour. The offence encompasses</w:t>
      </w:r>
      <w:r w:rsidR="00CD5B4E" w:rsidRPr="007B5BE6">
        <w:t xml:space="preserve"> </w:t>
      </w:r>
      <w:r w:rsidR="00327BF3" w:rsidRPr="007B5BE6">
        <w:t>behaviour</w:t>
      </w:r>
      <w:r w:rsidR="00CD5B4E" w:rsidRPr="007B5BE6">
        <w:t xml:space="preserve"> where a person, with intent to unreasonabl</w:t>
      </w:r>
      <w:r w:rsidR="0011441C" w:rsidRPr="007B5BE6">
        <w:t>y</w:t>
      </w:r>
      <w:r w:rsidR="00CD5B4E" w:rsidRPr="007B5BE6">
        <w:t xml:space="preserve"> control or inti</w:t>
      </w:r>
      <w:r w:rsidR="00F43374" w:rsidRPr="007B5BE6">
        <w:t>midate</w:t>
      </w:r>
      <w:r w:rsidR="009771BE" w:rsidRPr="007B5BE6">
        <w:t xml:space="preserve"> or cause mental harm, </w:t>
      </w:r>
      <w:r w:rsidR="00327BF3" w:rsidRPr="007B5BE6">
        <w:t>apprehension or</w:t>
      </w:r>
      <w:r w:rsidR="009771BE" w:rsidRPr="007B5BE6">
        <w:t xml:space="preserve"> fear</w:t>
      </w:r>
      <w:r w:rsidR="00005203" w:rsidRPr="007B5BE6">
        <w:t>,</w:t>
      </w:r>
      <w:r w:rsidR="009771BE" w:rsidRPr="007B5BE6">
        <w:t xml:space="preserve"> pursues a course of </w:t>
      </w:r>
      <w:r w:rsidR="00327BF3" w:rsidRPr="007B5BE6">
        <w:t xml:space="preserve">conduct </w:t>
      </w:r>
      <w:r w:rsidR="009771BE" w:rsidRPr="007B5BE6">
        <w:t xml:space="preserve">that </w:t>
      </w:r>
      <w:r w:rsidR="00327BF3" w:rsidRPr="007B5BE6">
        <w:t>involves</w:t>
      </w:r>
      <w:r w:rsidR="009771BE" w:rsidRPr="007B5BE6">
        <w:t xml:space="preserve"> a range of </w:t>
      </w:r>
      <w:r w:rsidR="003A3A61" w:rsidRPr="007B5BE6">
        <w:t xml:space="preserve">actions in relation to </w:t>
      </w:r>
      <w:r w:rsidR="00327BF3" w:rsidRPr="007B5BE6">
        <w:t>assets</w:t>
      </w:r>
      <w:r w:rsidR="003A3A61" w:rsidRPr="007B5BE6">
        <w:t xml:space="preserve"> or income</w:t>
      </w:r>
      <w:r w:rsidR="00327BF3" w:rsidRPr="007B5BE6">
        <w:t>/financial support or participation in financial decision making.</w:t>
      </w:r>
      <w:r w:rsidR="00327BF3" w:rsidRPr="007B5BE6">
        <w:rPr>
          <w:rStyle w:val="FootnoteReference"/>
        </w:rPr>
        <w:footnoteReference w:id="711"/>
      </w:r>
      <w:r w:rsidR="00332F63" w:rsidRPr="007B5BE6">
        <w:t xml:space="preserve"> It is noted that there were no sentence</w:t>
      </w:r>
      <w:r w:rsidR="00956368" w:rsidRPr="007B5BE6">
        <w:t>d</w:t>
      </w:r>
      <w:r w:rsidR="00332F63" w:rsidRPr="007B5BE6">
        <w:t xml:space="preserve"> ca</w:t>
      </w:r>
      <w:r w:rsidR="008C64CB" w:rsidRPr="007B5BE6">
        <w:t>ses identified in the T</w:t>
      </w:r>
      <w:r w:rsidR="00F941AD" w:rsidRPr="007B5BE6">
        <w:t>asmanian</w:t>
      </w:r>
      <w:r w:rsidR="008C64CB" w:rsidRPr="007B5BE6">
        <w:t xml:space="preserve"> </w:t>
      </w:r>
      <w:r w:rsidR="003050D1" w:rsidRPr="007B5BE6">
        <w:t>‘</w:t>
      </w:r>
      <w:r w:rsidR="008C64CB" w:rsidRPr="007B5BE6">
        <w:t>SACStats</w:t>
      </w:r>
      <w:r w:rsidR="003050D1" w:rsidRPr="007B5BE6">
        <w:t>’</w:t>
      </w:r>
      <w:r w:rsidR="008C64CB" w:rsidRPr="007B5BE6">
        <w:t xml:space="preserve"> data</w:t>
      </w:r>
      <w:r w:rsidR="003050D1" w:rsidRPr="007B5BE6">
        <w:t>base</w:t>
      </w:r>
      <w:r w:rsidR="008C64CB" w:rsidRPr="007B5BE6">
        <w:t xml:space="preserve"> where a person was sentenced for this offence</w:t>
      </w:r>
      <w:r w:rsidR="006C309C" w:rsidRPr="007B5BE6">
        <w:t xml:space="preserve"> under section 8 of the </w:t>
      </w:r>
      <w:r w:rsidR="006C309C" w:rsidRPr="007B5BE6">
        <w:rPr>
          <w:i/>
          <w:iCs/>
        </w:rPr>
        <w:t>Family Violence Act</w:t>
      </w:r>
      <w:r w:rsidR="006C309C" w:rsidRPr="007B5BE6">
        <w:t xml:space="preserve"> </w:t>
      </w:r>
      <w:r w:rsidR="006C309C" w:rsidRPr="007B5BE6">
        <w:rPr>
          <w:i/>
          <w:iCs/>
        </w:rPr>
        <w:t xml:space="preserve">2005 </w:t>
      </w:r>
      <w:r w:rsidR="006C309C" w:rsidRPr="007B5BE6">
        <w:t>(Tas)</w:t>
      </w:r>
      <w:r w:rsidR="008C64CB" w:rsidRPr="007B5BE6">
        <w:t>.</w:t>
      </w:r>
      <w:r w:rsidR="008C64CB" w:rsidRPr="007B5BE6">
        <w:rPr>
          <w:rStyle w:val="FootnoteReference"/>
        </w:rPr>
        <w:footnoteReference w:id="712"/>
      </w:r>
    </w:p>
    <w:p w14:paraId="17DCA79D" w14:textId="5F8BFC33" w:rsidR="00820819" w:rsidRPr="007B5BE6" w:rsidRDefault="00820819" w:rsidP="00D67277">
      <w:pPr>
        <w:pStyle w:val="Headingunnumbered"/>
        <w:spacing w:before="360"/>
      </w:pPr>
      <w:bookmarkStart w:id="617" w:name="_Toc212561821"/>
      <w:r w:rsidRPr="007B5BE6">
        <w:t>ALRC’s recommendations</w:t>
      </w:r>
      <w:bookmarkEnd w:id="617"/>
      <w:r w:rsidRPr="007B5BE6">
        <w:t xml:space="preserve"> </w:t>
      </w:r>
    </w:p>
    <w:p w14:paraId="0716FC4B" w14:textId="08E5FAAB" w:rsidR="00820819" w:rsidRPr="007B5BE6" w:rsidRDefault="00820819" w:rsidP="00820819">
      <w:pPr>
        <w:pStyle w:val="NormalNumberedTextTLRI"/>
      </w:pPr>
      <w:r w:rsidRPr="007B5BE6">
        <w:t xml:space="preserve">The ALRC </w:t>
      </w:r>
      <w:r w:rsidR="009F42C0" w:rsidRPr="007B5BE6">
        <w:t>addressed</w:t>
      </w:r>
      <w:r w:rsidRPr="007B5BE6">
        <w:t xml:space="preserve"> the issue of </w:t>
      </w:r>
      <w:r w:rsidR="009F42C0" w:rsidRPr="007B5BE6">
        <w:t xml:space="preserve">the scope of </w:t>
      </w:r>
      <w:r w:rsidRPr="007B5BE6">
        <w:t>criminal offences for abuse of older people and possible reforms</w:t>
      </w:r>
      <w:r w:rsidR="00F9089D" w:rsidRPr="007B5BE6">
        <w:t>.</w:t>
      </w:r>
      <w:r w:rsidRPr="007B5BE6">
        <w:t xml:space="preserve"> It noted that potential benefits identified of introducing specific criminal offences targeting the abuse of older people or ‘elder abuse’ </w:t>
      </w:r>
      <w:r w:rsidR="009F42C0" w:rsidRPr="007B5BE6">
        <w:t xml:space="preserve">would </w:t>
      </w:r>
      <w:r w:rsidRPr="007B5BE6">
        <w:t>include:</w:t>
      </w:r>
    </w:p>
    <w:p w14:paraId="17D97CF3" w14:textId="77777777" w:rsidR="00820819" w:rsidRPr="007B5BE6" w:rsidRDefault="00820819" w:rsidP="000826EC">
      <w:pPr>
        <w:pStyle w:val="DotPointTLRI"/>
      </w:pPr>
      <w:r w:rsidRPr="007B5BE6">
        <w:t>creating a pathway into the criminal justice system for older people who have experienced abuse;</w:t>
      </w:r>
    </w:p>
    <w:p w14:paraId="0D9B367F" w14:textId="77777777" w:rsidR="00820819" w:rsidRPr="007B5BE6" w:rsidRDefault="00820819" w:rsidP="000826EC">
      <w:pPr>
        <w:pStyle w:val="DotPointTLRI"/>
      </w:pPr>
      <w:r w:rsidRPr="007B5BE6">
        <w:t>operating as a deterrent against the perpetration of abuse;</w:t>
      </w:r>
    </w:p>
    <w:p w14:paraId="16864CCD" w14:textId="77777777" w:rsidR="00820819" w:rsidRPr="007B5BE6" w:rsidRDefault="00820819" w:rsidP="000826EC">
      <w:pPr>
        <w:pStyle w:val="DotPointTLRI"/>
      </w:pPr>
      <w:r w:rsidRPr="007B5BE6">
        <w:t>recognising the increased ‘vulnerability’ of older people; and</w:t>
      </w:r>
    </w:p>
    <w:p w14:paraId="393D23D3" w14:textId="3A7A450E" w:rsidR="00820819" w:rsidRPr="007B5BE6" w:rsidRDefault="00820819" w:rsidP="000826EC">
      <w:pPr>
        <w:pStyle w:val="DotPointTLRI"/>
      </w:pPr>
      <w:r w:rsidRPr="007B5BE6">
        <w:t>educating the community and increas</w:t>
      </w:r>
      <w:r w:rsidR="00AE6484" w:rsidRPr="007B5BE6">
        <w:t>ing</w:t>
      </w:r>
      <w:r w:rsidRPr="007B5BE6">
        <w:t xml:space="preserve"> awareness of the issue of abuse of older people.</w:t>
      </w:r>
      <w:r w:rsidR="00E31E4A" w:rsidRPr="007B5BE6">
        <w:rPr>
          <w:rStyle w:val="FootnoteReference"/>
        </w:rPr>
        <w:footnoteReference w:id="713"/>
      </w:r>
    </w:p>
    <w:p w14:paraId="799416D6" w14:textId="18EB0850" w:rsidR="00490770" w:rsidRDefault="009F42C0" w:rsidP="00820819">
      <w:pPr>
        <w:pStyle w:val="NormalNumberedTextTLRI"/>
      </w:pPr>
      <w:r w:rsidRPr="007B5BE6">
        <w:t>However, t</w:t>
      </w:r>
      <w:r w:rsidR="00820819" w:rsidRPr="007B5BE6">
        <w:t xml:space="preserve">he ALRC’s view was that initiatives aimed at improving police responses to </w:t>
      </w:r>
      <w:r w:rsidR="001A253B" w:rsidRPr="007B5BE6">
        <w:t xml:space="preserve">the abuse of older people </w:t>
      </w:r>
      <w:r w:rsidR="00820819" w:rsidRPr="007B5BE6">
        <w:t xml:space="preserve">and providing support for vulnerable witnesses were preferable to the creation of new </w:t>
      </w:r>
      <w:r w:rsidR="001A253B" w:rsidRPr="007B5BE6">
        <w:t>‘</w:t>
      </w:r>
      <w:r w:rsidR="00820819" w:rsidRPr="007B5BE6">
        <w:t>elder abuse</w:t>
      </w:r>
      <w:r w:rsidR="001A253B" w:rsidRPr="007B5BE6">
        <w:t>’</w:t>
      </w:r>
      <w:r w:rsidR="00820819" w:rsidRPr="007B5BE6">
        <w:t xml:space="preserve"> offences on the basis that the existing criminal laws were generally adequate.</w:t>
      </w:r>
      <w:r w:rsidR="00E31E4A" w:rsidRPr="007B5BE6">
        <w:rPr>
          <w:rStyle w:val="FootnoteReference"/>
        </w:rPr>
        <w:footnoteReference w:id="714"/>
      </w:r>
      <w:r w:rsidR="00820819" w:rsidRPr="007B5BE6">
        <w:t xml:space="preserve"> The ALRC stated that the criminal laws available ‘largely provide[d] appropriate offences to respond to the types of conduct that might be understood to constitute “elder abuse”’, and that to create new offences was ‘unnecessary and risk[ed] duplicating existing offences’.</w:t>
      </w:r>
      <w:r w:rsidR="00E31E4A" w:rsidRPr="007B5BE6">
        <w:rPr>
          <w:rStyle w:val="FootnoteReference"/>
        </w:rPr>
        <w:footnoteReference w:id="715"/>
      </w:r>
      <w:r w:rsidR="00820819" w:rsidRPr="007B5BE6">
        <w:t xml:space="preserve"> Further,  </w:t>
      </w:r>
      <w:r w:rsidR="001A253B" w:rsidRPr="007B5BE6">
        <w:t>the AL</w:t>
      </w:r>
      <w:r w:rsidR="007142E4" w:rsidRPr="007B5BE6">
        <w:t>R</w:t>
      </w:r>
      <w:r w:rsidR="001A253B" w:rsidRPr="007B5BE6">
        <w:t xml:space="preserve">C </w:t>
      </w:r>
      <w:r w:rsidR="00820819" w:rsidRPr="007B5BE6">
        <w:t>noted that offences that are limited to older people only risked being paternalistic and discriminatory, and that it could be difficult in framing offences to capture the wide range of behaviours that can be encompassed within abuse of older people.</w:t>
      </w:r>
      <w:r w:rsidR="00E31E4A" w:rsidRPr="007B5BE6">
        <w:rPr>
          <w:rStyle w:val="FootnoteReference"/>
        </w:rPr>
        <w:footnoteReference w:id="716"/>
      </w:r>
      <w:r w:rsidR="00820819" w:rsidRPr="007B5BE6">
        <w:t xml:space="preserve"> </w:t>
      </w:r>
    </w:p>
    <w:p w14:paraId="2E9E7E0B" w14:textId="57F0C7C6" w:rsidR="00820819" w:rsidRPr="007B5BE6" w:rsidRDefault="00820819" w:rsidP="005F7BEF">
      <w:pPr>
        <w:pStyle w:val="NormalNumberedTextTLRI"/>
      </w:pPr>
      <w:r w:rsidRPr="007B5BE6">
        <w:t>Instead, the ALRC focused on factors (other than the availability of offences) that may limit the application of the criminal law</w:t>
      </w:r>
      <w:r w:rsidR="00461D31" w:rsidRPr="007B5BE6">
        <w:t xml:space="preserve">. This included </w:t>
      </w:r>
      <w:r w:rsidRPr="007B5BE6">
        <w:t xml:space="preserve">a lack of understanding </w:t>
      </w:r>
      <w:r w:rsidR="00461D31" w:rsidRPr="007B5BE6">
        <w:t xml:space="preserve">around </w:t>
      </w:r>
      <w:r w:rsidR="00650E57" w:rsidRPr="007B5BE6">
        <w:t>abuse of older people</w:t>
      </w:r>
      <w:r w:rsidR="00461D31" w:rsidRPr="007B5BE6">
        <w:t>, and its meaning</w:t>
      </w:r>
      <w:r w:rsidR="00650E57" w:rsidRPr="007B5BE6">
        <w:t xml:space="preserve"> </w:t>
      </w:r>
      <w:r w:rsidRPr="007B5BE6">
        <w:t xml:space="preserve">(by those affected as well </w:t>
      </w:r>
      <w:r w:rsidR="00650E57" w:rsidRPr="007B5BE6">
        <w:t xml:space="preserve">by those working in </w:t>
      </w:r>
      <w:r w:rsidRPr="007B5BE6">
        <w:t>the justice system), a reluctance to report</w:t>
      </w:r>
      <w:r w:rsidR="00461D31" w:rsidRPr="007B5BE6">
        <w:t>,</w:t>
      </w:r>
      <w:r w:rsidRPr="007B5BE6">
        <w:t xml:space="preserve"> and concerns about the justice system response.</w:t>
      </w:r>
      <w:r w:rsidR="00E31E4A" w:rsidRPr="007B5BE6">
        <w:rPr>
          <w:rStyle w:val="FootnoteReference"/>
        </w:rPr>
        <w:footnoteReference w:id="717"/>
      </w:r>
      <w:r w:rsidRPr="007B5BE6">
        <w:t xml:space="preserve"> </w:t>
      </w:r>
      <w:r w:rsidR="005E1A16" w:rsidRPr="007B5BE6">
        <w:t>T</w:t>
      </w:r>
      <w:r w:rsidRPr="007B5BE6">
        <w:t>he</w:t>
      </w:r>
      <w:r w:rsidR="00461D31" w:rsidRPr="007B5BE6">
        <w:t xml:space="preserve"> TLRI considers and addresses these</w:t>
      </w:r>
      <w:r w:rsidRPr="007B5BE6">
        <w:t xml:space="preserve"> additional </w:t>
      </w:r>
      <w:r w:rsidR="00461D31" w:rsidRPr="007B5BE6">
        <w:lastRenderedPageBreak/>
        <w:t>factors</w:t>
      </w:r>
      <w:r w:rsidR="00E34C28" w:rsidRPr="007B5BE6">
        <w:t xml:space="preserve"> regarding</w:t>
      </w:r>
      <w:r w:rsidRPr="007B5BE6">
        <w:t xml:space="preserve"> police responses to </w:t>
      </w:r>
      <w:r w:rsidR="00461D31" w:rsidRPr="007B5BE6">
        <w:t xml:space="preserve">the </w:t>
      </w:r>
      <w:r w:rsidRPr="007B5BE6">
        <w:t>abuse of older people and the experiences of older people in the justice system</w:t>
      </w:r>
      <w:r w:rsidR="002F5704" w:rsidRPr="007B5BE6">
        <w:t>, and the initiatives aimed at improvement in these areas</w:t>
      </w:r>
      <w:r w:rsidR="005E1A16" w:rsidRPr="007B5BE6">
        <w:t xml:space="preserve"> (see </w:t>
      </w:r>
      <w:r w:rsidR="00D878F5" w:rsidRPr="007B5BE6">
        <w:t xml:space="preserve">[5.6.1] – [5.6.11] </w:t>
      </w:r>
      <w:r w:rsidR="005E1A16" w:rsidRPr="007B5BE6">
        <w:t xml:space="preserve">and </w:t>
      </w:r>
      <w:r w:rsidR="005E1A16" w:rsidRPr="007B5BE6">
        <w:rPr>
          <w:b/>
          <w:bCs/>
        </w:rPr>
        <w:t xml:space="preserve">Recommendations </w:t>
      </w:r>
      <w:r w:rsidR="00D878F5" w:rsidRPr="007B5BE6">
        <w:rPr>
          <w:b/>
          <w:bCs/>
        </w:rPr>
        <w:t>28–30</w:t>
      </w:r>
      <w:r w:rsidR="00D878F5" w:rsidRPr="007B5BE6">
        <w:t>)</w:t>
      </w:r>
      <w:r w:rsidRPr="007B5BE6">
        <w:t xml:space="preserve">. </w:t>
      </w:r>
    </w:p>
    <w:p w14:paraId="4808DC12" w14:textId="7FB86D71" w:rsidR="00184F90" w:rsidRPr="007B5BE6" w:rsidRDefault="00184F90" w:rsidP="00D67277">
      <w:pPr>
        <w:pStyle w:val="Headingunnumbered"/>
        <w:spacing w:before="360"/>
      </w:pPr>
      <w:bookmarkStart w:id="618" w:name="_Toc212561822"/>
      <w:r w:rsidRPr="007B5BE6">
        <w:t>Approaches in other jurisdictions</w:t>
      </w:r>
      <w:bookmarkEnd w:id="618"/>
    </w:p>
    <w:p w14:paraId="16EF6E91" w14:textId="5EA3153A" w:rsidR="00184F90" w:rsidRPr="007B5BE6" w:rsidRDefault="00184F90" w:rsidP="00184F90">
      <w:pPr>
        <w:pStyle w:val="NormalNumberedTextTLRI"/>
      </w:pPr>
      <w:r w:rsidRPr="007B5BE6">
        <w:t>Most other Australian states</w:t>
      </w:r>
      <w:r w:rsidR="00992F34" w:rsidRPr="007B5BE6">
        <w:t xml:space="preserve"> and territories</w:t>
      </w:r>
      <w:r w:rsidRPr="007B5BE6">
        <w:t xml:space="preserve">, like Tasmania, do not have specialised criminal offences to respond to behaviour targeting an older person, nor specify the age of </w:t>
      </w:r>
      <w:r w:rsidR="00B1658E" w:rsidRPr="007B5BE6">
        <w:t>the</w:t>
      </w:r>
      <w:r w:rsidRPr="007B5BE6">
        <w:t xml:space="preserve"> victim as a legislated sentencing factor to which courts must have regard. The exceptions are the Australian Capital Territory </w:t>
      </w:r>
      <w:r w:rsidR="00DD0836" w:rsidRPr="007B5BE6">
        <w:t>(</w:t>
      </w:r>
      <w:r w:rsidR="008D156D" w:rsidRPr="007B5BE6">
        <w:t>‘</w:t>
      </w:r>
      <w:r w:rsidR="00DD0836" w:rsidRPr="007B5BE6">
        <w:t>ACT</w:t>
      </w:r>
      <w:r w:rsidR="008D156D" w:rsidRPr="007B5BE6">
        <w:t>’</w:t>
      </w:r>
      <w:r w:rsidR="00DD0836" w:rsidRPr="007B5BE6">
        <w:t xml:space="preserve">) </w:t>
      </w:r>
      <w:r w:rsidRPr="007B5BE6">
        <w:t xml:space="preserve">and Queensland, </w:t>
      </w:r>
      <w:r w:rsidR="0054653E" w:rsidRPr="007B5BE6">
        <w:t>where there are</w:t>
      </w:r>
      <w:r w:rsidRPr="007B5BE6">
        <w:t xml:space="preserve"> specific criminal laws</w:t>
      </w:r>
      <w:r w:rsidR="00101C58" w:rsidRPr="007B5BE6">
        <w:t xml:space="preserve"> that apply </w:t>
      </w:r>
      <w:r w:rsidR="00E5525E" w:rsidRPr="007B5BE6">
        <w:t>to</w:t>
      </w:r>
      <w:r w:rsidR="00101C58" w:rsidRPr="007B5BE6">
        <w:t xml:space="preserve"> </w:t>
      </w:r>
      <w:r w:rsidR="0054653E" w:rsidRPr="007B5BE6">
        <w:t xml:space="preserve">some types of </w:t>
      </w:r>
      <w:r w:rsidR="00101C58" w:rsidRPr="007B5BE6">
        <w:t>abus</w:t>
      </w:r>
      <w:r w:rsidR="00B9251F" w:rsidRPr="007B5BE6">
        <w:t>ive conduct towards</w:t>
      </w:r>
      <w:r w:rsidR="00101C58" w:rsidRPr="007B5BE6">
        <w:t xml:space="preserve"> an older person</w:t>
      </w:r>
      <w:r w:rsidRPr="007B5BE6">
        <w:t>.</w:t>
      </w:r>
      <w:r w:rsidR="00830A40" w:rsidRPr="007B5BE6">
        <w:rPr>
          <w:rStyle w:val="FootnoteReference"/>
        </w:rPr>
        <w:footnoteReference w:id="718"/>
      </w:r>
    </w:p>
    <w:p w14:paraId="7A7163D9" w14:textId="2D84911F" w:rsidR="00184F90" w:rsidRPr="007B5BE6" w:rsidRDefault="0054653E" w:rsidP="00184F90">
      <w:pPr>
        <w:pStyle w:val="NormalNumberedTextTLRI"/>
      </w:pPr>
      <w:r w:rsidRPr="007B5BE6">
        <w:t xml:space="preserve">In the </w:t>
      </w:r>
      <w:r w:rsidR="00184F90" w:rsidRPr="007B5BE6">
        <w:t>A</w:t>
      </w:r>
      <w:r w:rsidR="00DD0836" w:rsidRPr="007B5BE6">
        <w:t>CT</w:t>
      </w:r>
      <w:r w:rsidRPr="007B5BE6">
        <w:t xml:space="preserve">, </w:t>
      </w:r>
      <w:r w:rsidR="00F403D8" w:rsidRPr="007B5BE6">
        <w:t>there</w:t>
      </w:r>
      <w:r w:rsidR="00184F90" w:rsidRPr="007B5BE6">
        <w:t xml:space="preserve"> </w:t>
      </w:r>
      <w:r w:rsidR="00815697" w:rsidRPr="007B5BE6">
        <w:t>are</w:t>
      </w:r>
      <w:r w:rsidR="00101C58" w:rsidRPr="007B5BE6">
        <w:t xml:space="preserve"> </w:t>
      </w:r>
      <w:r w:rsidR="00BF4673" w:rsidRPr="007B5BE6">
        <w:t>offences</w:t>
      </w:r>
      <w:r w:rsidR="00101C58" w:rsidRPr="007B5BE6">
        <w:t xml:space="preserve"> of ‘elder abuse’</w:t>
      </w:r>
      <w:r w:rsidR="00384C88" w:rsidRPr="007B5BE6">
        <w:t>, u</w:t>
      </w:r>
      <w:r w:rsidR="00101C58" w:rsidRPr="007B5BE6">
        <w:t>nder t</w:t>
      </w:r>
      <w:r w:rsidR="00184F90" w:rsidRPr="007B5BE6">
        <w:t xml:space="preserve">he </w:t>
      </w:r>
      <w:r w:rsidR="00184F90" w:rsidRPr="007B5BE6">
        <w:rPr>
          <w:i/>
          <w:iCs/>
        </w:rPr>
        <w:t>Crimes Act 19</w:t>
      </w:r>
      <w:r w:rsidR="00AB2547" w:rsidRPr="007B5BE6">
        <w:rPr>
          <w:i/>
          <w:iCs/>
        </w:rPr>
        <w:t>0</w:t>
      </w:r>
      <w:r w:rsidR="00184F90" w:rsidRPr="007B5BE6">
        <w:rPr>
          <w:i/>
          <w:iCs/>
        </w:rPr>
        <w:t>0</w:t>
      </w:r>
      <w:r w:rsidR="00184F90" w:rsidRPr="007B5BE6">
        <w:t xml:space="preserve"> (ACT)</w:t>
      </w:r>
      <w:r w:rsidR="00101C58" w:rsidRPr="007B5BE6">
        <w:t>,</w:t>
      </w:r>
      <w:r w:rsidR="00184F90" w:rsidRPr="007B5BE6">
        <w:t xml:space="preserve"> </w:t>
      </w:r>
      <w:r w:rsidR="00384C88" w:rsidRPr="007B5BE6">
        <w:t>relating to</w:t>
      </w:r>
      <w:r w:rsidR="00184F90" w:rsidRPr="007B5BE6">
        <w:t>:</w:t>
      </w:r>
    </w:p>
    <w:p w14:paraId="6B107E5B" w14:textId="7BBE67FB" w:rsidR="00184F90" w:rsidRPr="007B5BE6" w:rsidRDefault="00384C88" w:rsidP="000826EC">
      <w:pPr>
        <w:pStyle w:val="DotPointTLRI"/>
      </w:pPr>
      <w:r w:rsidRPr="007B5BE6">
        <w:t>Abuse of a</w:t>
      </w:r>
      <w:r w:rsidR="00815697" w:rsidRPr="007B5BE6">
        <w:t xml:space="preserve"> vulnerable </w:t>
      </w:r>
      <w:r w:rsidR="00A5676B" w:rsidRPr="007B5BE6">
        <w:t>person</w:t>
      </w:r>
      <w:r w:rsidR="00B9251F" w:rsidRPr="007B5BE6">
        <w:t xml:space="preserve">, </w:t>
      </w:r>
      <w:r w:rsidR="00A5676B" w:rsidRPr="007B5BE6">
        <w:t>where the</w:t>
      </w:r>
      <w:r w:rsidR="00815697" w:rsidRPr="007B5BE6">
        <w:t xml:space="preserve"> </w:t>
      </w:r>
      <w:r w:rsidR="00E946EE" w:rsidRPr="007B5BE6">
        <w:t xml:space="preserve">person </w:t>
      </w:r>
      <w:r w:rsidR="005218C1" w:rsidRPr="007B5BE6">
        <w:t xml:space="preserve">is </w:t>
      </w:r>
      <w:r w:rsidR="00184F90" w:rsidRPr="007B5BE6">
        <w:t xml:space="preserve">responsible for providing care to a vulnerable person and engages in abusive conduct </w:t>
      </w:r>
      <w:r w:rsidR="00B9251F" w:rsidRPr="007B5BE6">
        <w:t xml:space="preserve">that </w:t>
      </w:r>
      <w:r w:rsidR="00184F90" w:rsidRPr="007B5BE6">
        <w:t xml:space="preserve">results in harm to the vulnerable person or a financial benefit </w:t>
      </w:r>
      <w:r w:rsidR="00A94619" w:rsidRPr="007B5BE6">
        <w:t>f</w:t>
      </w:r>
      <w:r w:rsidR="00184F90" w:rsidRPr="007B5BE6">
        <w:t xml:space="preserve">or </w:t>
      </w:r>
      <w:r w:rsidR="00A94619" w:rsidRPr="007B5BE6">
        <w:t xml:space="preserve">that person </w:t>
      </w:r>
      <w:r w:rsidR="00184F90" w:rsidRPr="007B5BE6">
        <w:t>or someone else.</w:t>
      </w:r>
      <w:r w:rsidR="00A94619" w:rsidRPr="007B5BE6">
        <w:rPr>
          <w:rStyle w:val="FootnoteReference"/>
        </w:rPr>
        <w:footnoteReference w:id="719"/>
      </w:r>
    </w:p>
    <w:p w14:paraId="72CC5314" w14:textId="28BF2231" w:rsidR="00184F90" w:rsidRPr="007B5BE6" w:rsidRDefault="00B83FCA" w:rsidP="000826EC">
      <w:pPr>
        <w:pStyle w:val="DotPointTLRI"/>
      </w:pPr>
      <w:r w:rsidRPr="007B5BE6">
        <w:t>Failure</w:t>
      </w:r>
      <w:r w:rsidR="00184F90" w:rsidRPr="007B5BE6">
        <w:t xml:space="preserve"> to protect a vulnerable person from </w:t>
      </w:r>
      <w:r w:rsidRPr="007B5BE6">
        <w:t>a</w:t>
      </w:r>
      <w:r w:rsidR="00642183" w:rsidRPr="007B5BE6">
        <w:t xml:space="preserve"> </w:t>
      </w:r>
      <w:r w:rsidR="00184F90" w:rsidRPr="007B5BE6">
        <w:t xml:space="preserve">substantial risk of a </w:t>
      </w:r>
      <w:r w:rsidRPr="007B5BE6">
        <w:t>criminal</w:t>
      </w:r>
      <w:r w:rsidR="00184F90" w:rsidRPr="007B5BE6">
        <w:t xml:space="preserve"> offence </w:t>
      </w:r>
      <w:r w:rsidR="00A11FD1" w:rsidRPr="007B5BE6">
        <w:t>for a</w:t>
      </w:r>
      <w:r w:rsidR="00184F90" w:rsidRPr="007B5BE6">
        <w:t xml:space="preserve"> person</w:t>
      </w:r>
      <w:r w:rsidR="00A11FD1" w:rsidRPr="007B5BE6">
        <w:t xml:space="preserve"> </w:t>
      </w:r>
      <w:r w:rsidR="00184F90" w:rsidRPr="007B5BE6">
        <w:t>in authority in a relevant institution.</w:t>
      </w:r>
      <w:r w:rsidR="00830A40" w:rsidRPr="007B5BE6">
        <w:rPr>
          <w:rStyle w:val="FootnoteReference"/>
        </w:rPr>
        <w:footnoteReference w:id="720"/>
      </w:r>
    </w:p>
    <w:p w14:paraId="239C275E" w14:textId="0B07B38D" w:rsidR="00184F90" w:rsidRPr="007B5BE6" w:rsidRDefault="002B7358" w:rsidP="000826EC">
      <w:pPr>
        <w:pStyle w:val="DotPointTLRI"/>
      </w:pPr>
      <w:r w:rsidRPr="007B5BE6">
        <w:t xml:space="preserve">Neglect where a person is </w:t>
      </w:r>
      <w:r w:rsidR="00184F90" w:rsidRPr="007B5BE6">
        <w:t>responsible for providing care to a vulnerable person and fail</w:t>
      </w:r>
      <w:r w:rsidRPr="007B5BE6">
        <w:t>s</w:t>
      </w:r>
      <w:r w:rsidR="00184F90" w:rsidRPr="007B5BE6">
        <w:t xml:space="preserve"> to provide the vulnerable person with the necessities of life, which causes serious harm to the vulnerable person.</w:t>
      </w:r>
      <w:r w:rsidR="00F541D6" w:rsidRPr="007B5BE6">
        <w:rPr>
          <w:rStyle w:val="FootnoteReference"/>
        </w:rPr>
        <w:footnoteReference w:id="721"/>
      </w:r>
    </w:p>
    <w:p w14:paraId="389F19CA" w14:textId="1E12233D" w:rsidR="00184F90" w:rsidRPr="007B5BE6" w:rsidRDefault="009B4D90" w:rsidP="00184F90">
      <w:pPr>
        <w:pStyle w:val="NormalNumberedTextTLRI"/>
      </w:pPr>
      <w:r w:rsidRPr="007B5BE6">
        <w:t>In addition,</w:t>
      </w:r>
      <w:r w:rsidR="00184F90" w:rsidRPr="007B5BE6">
        <w:t xml:space="preserve"> the </w:t>
      </w:r>
      <w:r w:rsidR="00317D6D" w:rsidRPr="007B5BE6">
        <w:rPr>
          <w:i/>
          <w:iCs/>
        </w:rPr>
        <w:t xml:space="preserve">Crimes </w:t>
      </w:r>
      <w:r w:rsidR="00317D6D" w:rsidRPr="007B5BE6">
        <w:t>(</w:t>
      </w:r>
      <w:r w:rsidR="00184F90" w:rsidRPr="007B5BE6">
        <w:rPr>
          <w:i/>
        </w:rPr>
        <w:t>Sentencing</w:t>
      </w:r>
      <w:r w:rsidR="00317D6D" w:rsidRPr="007B5BE6">
        <w:rPr>
          <w:i/>
        </w:rPr>
        <w:t>)</w:t>
      </w:r>
      <w:r w:rsidR="00184F90" w:rsidRPr="007B5BE6">
        <w:rPr>
          <w:i/>
        </w:rPr>
        <w:t xml:space="preserve"> Act </w:t>
      </w:r>
      <w:r w:rsidR="00184F90" w:rsidRPr="007B5BE6">
        <w:rPr>
          <w:i/>
          <w:iCs/>
        </w:rPr>
        <w:t>2005</w:t>
      </w:r>
      <w:r w:rsidR="00184F90" w:rsidRPr="007B5BE6">
        <w:t xml:space="preserve"> (ACT) </w:t>
      </w:r>
      <w:r w:rsidRPr="007B5BE6">
        <w:t>requires</w:t>
      </w:r>
      <w:r w:rsidR="00184F90" w:rsidRPr="007B5BE6">
        <w:t xml:space="preserve"> a court to have regard to whether the victim of an offence was a vulnerable person and whether the offender knew or ought reasonably to have known that:</w:t>
      </w:r>
    </w:p>
    <w:p w14:paraId="4AAD2FA7" w14:textId="73E61C33" w:rsidR="00184F90" w:rsidRPr="007B5BE6" w:rsidRDefault="00184F90" w:rsidP="000826EC">
      <w:pPr>
        <w:pStyle w:val="DotPointTLRI"/>
      </w:pPr>
      <w:r w:rsidRPr="007B5BE6">
        <w:t>the victim was a vulnerable person</w:t>
      </w:r>
      <w:r w:rsidR="009B4D90" w:rsidRPr="007B5BE6">
        <w:t xml:space="preserve"> (an adult who has a disability or is at least 60 years old with specified characteristics)</w:t>
      </w:r>
      <w:r w:rsidRPr="007B5BE6">
        <w:t>;</w:t>
      </w:r>
      <w:r w:rsidR="00B33EFE" w:rsidRPr="007B5BE6">
        <w:t xml:space="preserve"> or</w:t>
      </w:r>
    </w:p>
    <w:p w14:paraId="7109E844" w14:textId="77777777" w:rsidR="00184F90" w:rsidRPr="007B5BE6" w:rsidRDefault="00184F90" w:rsidP="000826EC">
      <w:pPr>
        <w:pStyle w:val="DotPointTLRI"/>
      </w:pPr>
      <w:r w:rsidRPr="007B5BE6">
        <w:t xml:space="preserve">the victim was a vulnerable person and the extent of the person’s vulnerability; and </w:t>
      </w:r>
    </w:p>
    <w:p w14:paraId="2420674D" w14:textId="4A115349" w:rsidR="00184F90" w:rsidRPr="007B5BE6" w:rsidRDefault="00184F90" w:rsidP="000826EC">
      <w:pPr>
        <w:pStyle w:val="DotPointTLRI"/>
      </w:pPr>
      <w:r w:rsidRPr="007B5BE6">
        <w:t>the loss or harm to the vulnerable person.</w:t>
      </w:r>
      <w:r w:rsidR="00830A40" w:rsidRPr="007B5BE6">
        <w:rPr>
          <w:rStyle w:val="FootnoteReference"/>
        </w:rPr>
        <w:footnoteReference w:id="722"/>
      </w:r>
    </w:p>
    <w:p w14:paraId="3A42BA70" w14:textId="39C4F1C5" w:rsidR="00184F90" w:rsidRPr="007B5BE6" w:rsidRDefault="00B3352B" w:rsidP="00184F90">
      <w:pPr>
        <w:pStyle w:val="NormalNumberedTextTLRI"/>
      </w:pPr>
      <w:r w:rsidRPr="007B5BE6">
        <w:t>While these</w:t>
      </w:r>
      <w:r w:rsidR="009B4D90" w:rsidRPr="007B5BE6">
        <w:t xml:space="preserve"> offences have criminalise</w:t>
      </w:r>
      <w:r w:rsidR="00B027A2" w:rsidRPr="007B5BE6">
        <w:t>d</w:t>
      </w:r>
      <w:r w:rsidR="009B4D90" w:rsidRPr="007B5BE6">
        <w:t xml:space="preserve"> some forms of </w:t>
      </w:r>
      <w:r w:rsidR="00145D83" w:rsidRPr="007B5BE6">
        <w:t xml:space="preserve">abuse </w:t>
      </w:r>
      <w:r w:rsidR="00B465EB" w:rsidRPr="007B5BE6">
        <w:t xml:space="preserve">of older people, </w:t>
      </w:r>
      <w:r w:rsidR="00A21932" w:rsidRPr="007B5BE6">
        <w:t>the</w:t>
      </w:r>
      <w:r w:rsidR="00675B99" w:rsidRPr="007B5BE6">
        <w:t>ir</w:t>
      </w:r>
      <w:r w:rsidR="00A21932" w:rsidRPr="007B5BE6">
        <w:t xml:space="preserve"> </w:t>
      </w:r>
      <w:r w:rsidRPr="007B5BE6">
        <w:t xml:space="preserve">effectiveness is </w:t>
      </w:r>
      <w:r w:rsidR="00B465EB" w:rsidRPr="007B5BE6">
        <w:t>unclear,</w:t>
      </w:r>
      <w:r w:rsidRPr="007B5BE6">
        <w:t xml:space="preserve"> given that</w:t>
      </w:r>
      <w:r w:rsidR="00D90963" w:rsidRPr="007B5BE6">
        <w:t xml:space="preserve"> the offences </w:t>
      </w:r>
      <w:r w:rsidRPr="007B5BE6">
        <w:t xml:space="preserve">do not appear to have </w:t>
      </w:r>
      <w:r w:rsidR="00E8366C" w:rsidRPr="007B5BE6">
        <w:t>been</w:t>
      </w:r>
      <w:r w:rsidR="00D90963" w:rsidRPr="007B5BE6">
        <w:t xml:space="preserve"> used in practice. </w:t>
      </w:r>
      <w:r w:rsidR="00E8366C" w:rsidRPr="007B5BE6">
        <w:t>A</w:t>
      </w:r>
      <w:r w:rsidR="00D73D33" w:rsidRPr="007B5BE6">
        <w:t xml:space="preserve"> 2023</w:t>
      </w:r>
      <w:r w:rsidR="00184F90" w:rsidRPr="007B5BE6">
        <w:t xml:space="preserve"> review </w:t>
      </w:r>
      <w:r w:rsidR="00D90963" w:rsidRPr="007B5BE6">
        <w:t>found that</w:t>
      </w:r>
      <w:r w:rsidR="00184F90" w:rsidRPr="007B5BE6">
        <w:t xml:space="preserve"> there was no record of offences reported</w:t>
      </w:r>
      <w:r w:rsidR="00373B87" w:rsidRPr="007B5BE6">
        <w:t>,</w:t>
      </w:r>
      <w:r w:rsidR="00184F90" w:rsidRPr="007B5BE6">
        <w:t xml:space="preserve"> or charge</w:t>
      </w:r>
      <w:r w:rsidR="00B524F3" w:rsidRPr="007B5BE6">
        <w:t>s</w:t>
      </w:r>
      <w:r w:rsidR="00184F90" w:rsidRPr="007B5BE6">
        <w:t xml:space="preserve"> laid under </w:t>
      </w:r>
      <w:r w:rsidR="00B524F3" w:rsidRPr="007B5BE6">
        <w:t>any of the provisions</w:t>
      </w:r>
      <w:r w:rsidR="00184F90" w:rsidRPr="007B5BE6">
        <w:t>.</w:t>
      </w:r>
      <w:r w:rsidR="00A933D8" w:rsidRPr="007B5BE6">
        <w:rPr>
          <w:rStyle w:val="FootnoteReference"/>
        </w:rPr>
        <w:footnoteReference w:id="723"/>
      </w:r>
      <w:r w:rsidR="00184F90" w:rsidRPr="007B5BE6">
        <w:t xml:space="preserve"> </w:t>
      </w:r>
    </w:p>
    <w:p w14:paraId="2CF73CEC" w14:textId="18D3B55B" w:rsidR="00184F90" w:rsidRPr="007B5BE6" w:rsidRDefault="00184F90" w:rsidP="00184F90">
      <w:pPr>
        <w:pStyle w:val="NormalNumberedTextTLRI"/>
      </w:pPr>
      <w:r w:rsidRPr="007B5BE6">
        <w:lastRenderedPageBreak/>
        <w:t>In Queensland, the</w:t>
      </w:r>
      <w:r w:rsidR="00F22B9C" w:rsidRPr="007B5BE6">
        <w:t>re have been sentencing reforms with the</w:t>
      </w:r>
      <w:r w:rsidRPr="007B5BE6">
        <w:t xml:space="preserve"> </w:t>
      </w:r>
      <w:r w:rsidRPr="007B5BE6">
        <w:rPr>
          <w:i/>
          <w:iCs/>
        </w:rPr>
        <w:t>Criminal Code 1899</w:t>
      </w:r>
      <w:r w:rsidRPr="007B5BE6">
        <w:t xml:space="preserve"> (Qld)</w:t>
      </w:r>
      <w:r w:rsidR="00F22B9C" w:rsidRPr="007B5BE6">
        <w:t xml:space="preserve"> </w:t>
      </w:r>
      <w:r w:rsidR="00B524F3" w:rsidRPr="007B5BE6">
        <w:t xml:space="preserve">to </w:t>
      </w:r>
      <w:r w:rsidR="00F22B9C" w:rsidRPr="007B5BE6">
        <w:t>creat</w:t>
      </w:r>
      <w:r w:rsidR="00373B87" w:rsidRPr="007B5BE6">
        <w:t>e</w:t>
      </w:r>
      <w:r w:rsidR="00F22B9C" w:rsidRPr="007B5BE6">
        <w:t xml:space="preserve"> </w:t>
      </w:r>
      <w:r w:rsidRPr="007B5BE6">
        <w:t>an aggravated assault offence</w:t>
      </w:r>
      <w:r w:rsidR="00373B87" w:rsidRPr="007B5BE6">
        <w:t xml:space="preserve"> of</w:t>
      </w:r>
      <w:r w:rsidRPr="007B5BE6">
        <w:t xml:space="preserve"> ‘serious assault’, which includes </w:t>
      </w:r>
      <w:r w:rsidR="00373B87" w:rsidRPr="007B5BE6">
        <w:t xml:space="preserve">cases </w:t>
      </w:r>
      <w:r w:rsidRPr="007B5BE6">
        <w:t xml:space="preserve">where a person assaults a person who is </w:t>
      </w:r>
      <w:r w:rsidR="00B465EB" w:rsidRPr="007B5BE6">
        <w:t xml:space="preserve">aged </w:t>
      </w:r>
      <w:r w:rsidRPr="007B5BE6">
        <w:t>60 years or more.</w:t>
      </w:r>
      <w:r w:rsidR="00517245" w:rsidRPr="007B5BE6">
        <w:rPr>
          <w:rStyle w:val="FootnoteReference"/>
        </w:rPr>
        <w:footnoteReference w:id="724"/>
      </w:r>
      <w:r w:rsidRPr="007B5BE6">
        <w:t xml:space="preserve"> </w:t>
      </w:r>
    </w:p>
    <w:p w14:paraId="28355877" w14:textId="439B9CC6" w:rsidR="00EC18F8" w:rsidRPr="007B5BE6" w:rsidRDefault="00EC18F8" w:rsidP="00184F90">
      <w:pPr>
        <w:pStyle w:val="NormalNumberedTextTLRI"/>
      </w:pPr>
      <w:r w:rsidRPr="007B5BE6">
        <w:t xml:space="preserve">In addition, in jurisdictions where the scope </w:t>
      </w:r>
      <w:r w:rsidR="00F21C31" w:rsidRPr="007B5BE6">
        <w:t>of</w:t>
      </w:r>
      <w:r w:rsidRPr="007B5BE6">
        <w:t xml:space="preserve"> relationships included within ‘family violence’ is broader, there are family violence </w:t>
      </w:r>
      <w:r w:rsidR="00F21C31" w:rsidRPr="007B5BE6">
        <w:t>offences</w:t>
      </w:r>
      <w:r w:rsidRPr="007B5BE6">
        <w:t xml:space="preserve"> that would apply</w:t>
      </w:r>
      <w:r w:rsidR="00C85ACA" w:rsidRPr="007B5BE6">
        <w:t>. Examples</w:t>
      </w:r>
      <w:r w:rsidRPr="007B5BE6">
        <w:t xml:space="preserve"> </w:t>
      </w:r>
      <w:r w:rsidR="00F21C31" w:rsidRPr="007B5BE6">
        <w:t>includ</w:t>
      </w:r>
      <w:r w:rsidR="00C85ACA" w:rsidRPr="007B5BE6">
        <w:t>e</w:t>
      </w:r>
      <w:r w:rsidR="009B7652" w:rsidRPr="007B5BE6">
        <w:t xml:space="preserve"> </w:t>
      </w:r>
      <w:r w:rsidR="00F21C31" w:rsidRPr="007B5BE6">
        <w:t>the</w:t>
      </w:r>
      <w:r w:rsidR="009B7652" w:rsidRPr="007B5BE6">
        <w:t xml:space="preserve"> </w:t>
      </w:r>
      <w:r w:rsidR="00BC5FA7" w:rsidRPr="007B5BE6">
        <w:t xml:space="preserve">Queensland </w:t>
      </w:r>
      <w:r w:rsidR="009B7652" w:rsidRPr="007B5BE6">
        <w:t xml:space="preserve">offence of ‘coercive </w:t>
      </w:r>
      <w:r w:rsidR="00F21C31" w:rsidRPr="007B5BE6">
        <w:t>control</w:t>
      </w:r>
      <w:r w:rsidR="00C85ACA" w:rsidRPr="007B5BE6">
        <w:t>’</w:t>
      </w:r>
      <w:r w:rsidR="009B7652" w:rsidRPr="007B5BE6">
        <w:t>,</w:t>
      </w:r>
      <w:r w:rsidR="009B7652" w:rsidRPr="007B5BE6">
        <w:rPr>
          <w:rStyle w:val="FootnoteReference"/>
        </w:rPr>
        <w:footnoteReference w:id="725"/>
      </w:r>
      <w:r w:rsidR="00C85ACA" w:rsidRPr="007B5BE6">
        <w:t xml:space="preserve"> </w:t>
      </w:r>
      <w:r w:rsidR="00BF2FDF" w:rsidRPr="007B5BE6">
        <w:t xml:space="preserve">and </w:t>
      </w:r>
      <w:r w:rsidR="0064263F" w:rsidRPr="007B5BE6">
        <w:t xml:space="preserve">the offence of </w:t>
      </w:r>
      <w:r w:rsidR="009B7652" w:rsidRPr="007B5BE6">
        <w:t xml:space="preserve">stalking or </w:t>
      </w:r>
      <w:r w:rsidR="00F21C31" w:rsidRPr="007B5BE6">
        <w:t>intim</w:t>
      </w:r>
      <w:r w:rsidR="00086754" w:rsidRPr="007B5BE6">
        <w:t>id</w:t>
      </w:r>
      <w:r w:rsidR="00F21C31" w:rsidRPr="007B5BE6">
        <w:t>ation</w:t>
      </w:r>
      <w:r w:rsidR="009B7652" w:rsidRPr="007B5BE6">
        <w:t xml:space="preserve"> with intent to cause physical or </w:t>
      </w:r>
      <w:r w:rsidR="00F21C31" w:rsidRPr="007B5BE6">
        <w:t>mental</w:t>
      </w:r>
      <w:r w:rsidR="009B7652" w:rsidRPr="007B5BE6">
        <w:t xml:space="preserve"> harm</w:t>
      </w:r>
      <w:r w:rsidR="00BF2FDF" w:rsidRPr="007B5BE6">
        <w:t xml:space="preserve"> </w:t>
      </w:r>
      <w:r w:rsidR="0064263F" w:rsidRPr="007B5BE6">
        <w:t xml:space="preserve">that exists in </w:t>
      </w:r>
      <w:r w:rsidR="00BF2FDF" w:rsidRPr="007B5BE6">
        <w:t>New South Wales</w:t>
      </w:r>
      <w:r w:rsidR="0064263F" w:rsidRPr="007B5BE6">
        <w:t xml:space="preserve"> (‘NSW’)</w:t>
      </w:r>
      <w:r w:rsidR="00F21C31" w:rsidRPr="007B5BE6">
        <w:t>.</w:t>
      </w:r>
      <w:r w:rsidR="00FB54CA" w:rsidRPr="007B5BE6">
        <w:rPr>
          <w:rStyle w:val="FootnoteReference"/>
        </w:rPr>
        <w:footnoteReference w:id="726"/>
      </w:r>
      <w:r w:rsidR="00730219" w:rsidRPr="007B5BE6">
        <w:t xml:space="preserve"> </w:t>
      </w:r>
      <w:r w:rsidR="00BF2FDF" w:rsidRPr="007B5BE6">
        <w:t xml:space="preserve">Other jurisdictions where abuse of an older person within a family (type) relationship </w:t>
      </w:r>
      <w:r w:rsidR="00321D09" w:rsidRPr="007B5BE6">
        <w:t>i</w:t>
      </w:r>
      <w:r w:rsidR="00BF2FDF" w:rsidRPr="007B5BE6">
        <w:t>s included in the definition of family violence for the purpose of civil protections order, d</w:t>
      </w:r>
      <w:r w:rsidR="00321D09" w:rsidRPr="007B5BE6">
        <w:t>o</w:t>
      </w:r>
      <w:r w:rsidR="00BF2FDF" w:rsidRPr="007B5BE6">
        <w:t xml:space="preserve"> not </w:t>
      </w:r>
      <w:r w:rsidR="00D44B4B" w:rsidRPr="007B5BE6">
        <w:t xml:space="preserve">typically </w:t>
      </w:r>
      <w:r w:rsidR="00BF2FDF" w:rsidRPr="007B5BE6">
        <w:t xml:space="preserve">extend </w:t>
      </w:r>
      <w:r w:rsidR="00054B4E" w:rsidRPr="007B5BE6">
        <w:t xml:space="preserve">specific </w:t>
      </w:r>
      <w:r w:rsidR="00BF2FDF" w:rsidRPr="007B5BE6">
        <w:t xml:space="preserve">family violence criminal offences (other than breaches of civil protection orders) to </w:t>
      </w:r>
      <w:r w:rsidR="00CD2227" w:rsidRPr="007B5BE6">
        <w:t>relationship</w:t>
      </w:r>
      <w:r w:rsidR="00D44B4B" w:rsidRPr="007B5BE6">
        <w:t>s</w:t>
      </w:r>
      <w:r w:rsidR="004B7DA6" w:rsidRPr="007B5BE6">
        <w:t xml:space="preserve"> other than </w:t>
      </w:r>
      <w:r w:rsidR="00CD2227" w:rsidRPr="007B5BE6">
        <w:t>intimate personal relationships, spouse</w:t>
      </w:r>
      <w:r w:rsidR="00BC5FA7" w:rsidRPr="007B5BE6">
        <w:t>s</w:t>
      </w:r>
      <w:r w:rsidR="00CD2227" w:rsidRPr="007B5BE6">
        <w:t xml:space="preserve"> or partners (current or former).</w:t>
      </w:r>
    </w:p>
    <w:p w14:paraId="7537A9DF" w14:textId="5CCE4EDA" w:rsidR="006A4804" w:rsidRPr="007B5BE6" w:rsidRDefault="006A4804" w:rsidP="00D67277">
      <w:pPr>
        <w:pStyle w:val="Headingunnumbered"/>
        <w:spacing w:before="360"/>
      </w:pPr>
      <w:bookmarkStart w:id="619" w:name="_Toc212561823"/>
      <w:r w:rsidRPr="007B5BE6">
        <w:t>TLRI’s view and recommendations</w:t>
      </w:r>
      <w:bookmarkEnd w:id="619"/>
    </w:p>
    <w:p w14:paraId="2232A148" w14:textId="7F37316A" w:rsidR="00511B2F" w:rsidRPr="007B5BE6" w:rsidRDefault="00604F96" w:rsidP="00870B28">
      <w:pPr>
        <w:pStyle w:val="NormalNumberedTextTLRI"/>
      </w:pPr>
      <w:r w:rsidRPr="007B5BE6">
        <w:t>The</w:t>
      </w:r>
      <w:r w:rsidR="00092A1E" w:rsidRPr="007B5BE6">
        <w:t xml:space="preserve"> TLRI acknowledges th</w:t>
      </w:r>
      <w:r w:rsidR="007533A7" w:rsidRPr="007B5BE6">
        <w:t xml:space="preserve">at </w:t>
      </w:r>
      <w:r w:rsidR="0021465A" w:rsidRPr="007B5BE6">
        <w:t xml:space="preserve">having </w:t>
      </w:r>
      <w:r w:rsidR="00726A15" w:rsidRPr="007B5BE6">
        <w:t xml:space="preserve">a </w:t>
      </w:r>
      <w:r w:rsidRPr="007B5BE6">
        <w:t>specialised offence in general criminal law that target</w:t>
      </w:r>
      <w:r w:rsidR="00726A15" w:rsidRPr="007B5BE6">
        <w:t>s</w:t>
      </w:r>
      <w:r w:rsidRPr="007B5BE6">
        <w:t xml:space="preserve"> the circumstances and behaviours</w:t>
      </w:r>
      <w:r w:rsidR="000A40F3" w:rsidRPr="007B5BE6">
        <w:t>,</w:t>
      </w:r>
      <w:r w:rsidRPr="007B5BE6">
        <w:t xml:space="preserve"> in which abuse of older people oc</w:t>
      </w:r>
      <w:r w:rsidR="0023158A" w:rsidRPr="007B5BE6">
        <w:t>curs</w:t>
      </w:r>
      <w:r w:rsidR="000A40F3" w:rsidRPr="007B5BE6">
        <w:t>,</w:t>
      </w:r>
      <w:r w:rsidR="0023158A" w:rsidRPr="007B5BE6">
        <w:t xml:space="preserve"> </w:t>
      </w:r>
      <w:r w:rsidR="001E60F8" w:rsidRPr="007B5BE6">
        <w:t xml:space="preserve">may </w:t>
      </w:r>
      <w:r w:rsidR="0023158A" w:rsidRPr="007B5BE6">
        <w:t xml:space="preserve">serve an important function in </w:t>
      </w:r>
      <w:r w:rsidR="004E5C12" w:rsidRPr="007B5BE6">
        <w:t xml:space="preserve">expressing and maintaining </w:t>
      </w:r>
      <w:r w:rsidR="00D4253A" w:rsidRPr="007B5BE6">
        <w:t>social</w:t>
      </w:r>
      <w:r w:rsidR="00D82895" w:rsidRPr="007B5BE6">
        <w:t xml:space="preserve"> </w:t>
      </w:r>
      <w:r w:rsidR="004E5C12" w:rsidRPr="007B5BE6">
        <w:t>norms</w:t>
      </w:r>
      <w:r w:rsidR="000012A4" w:rsidRPr="007B5BE6">
        <w:t>.</w:t>
      </w:r>
      <w:r w:rsidR="008E21CB" w:rsidRPr="007B5BE6">
        <w:t xml:space="preserve"> </w:t>
      </w:r>
      <w:r w:rsidR="00AC74C0" w:rsidRPr="007B5BE6">
        <w:t>Thi</w:t>
      </w:r>
      <w:r w:rsidR="00C050B5" w:rsidRPr="007B5BE6">
        <w:t xml:space="preserve">s has been identified as a key </w:t>
      </w:r>
      <w:r w:rsidR="00F67233" w:rsidRPr="007B5BE6">
        <w:t>feature of the social</w:t>
      </w:r>
      <w:r w:rsidR="00AF1428" w:rsidRPr="007B5BE6">
        <w:t>, cultural and political force</w:t>
      </w:r>
      <w:r w:rsidR="00DC186B" w:rsidRPr="007B5BE6">
        <w:t>s</w:t>
      </w:r>
      <w:r w:rsidR="00AF1428" w:rsidRPr="007B5BE6">
        <w:t xml:space="preserve"> driving change in the emergence and making of criminal laws</w:t>
      </w:r>
      <w:r w:rsidR="00D82895" w:rsidRPr="007B5BE6">
        <w:t>.</w:t>
      </w:r>
      <w:r w:rsidR="00DF6A0C" w:rsidRPr="007B5BE6">
        <w:rPr>
          <w:rStyle w:val="FootnoteReference"/>
        </w:rPr>
        <w:footnoteReference w:id="727"/>
      </w:r>
      <w:r w:rsidR="00D82895" w:rsidRPr="007B5BE6">
        <w:t xml:space="preserve"> </w:t>
      </w:r>
      <w:r w:rsidR="00826B08" w:rsidRPr="007B5BE6">
        <w:t>T</w:t>
      </w:r>
      <w:r w:rsidR="00F66FA6" w:rsidRPr="007B5BE6">
        <w:t xml:space="preserve">he creation of </w:t>
      </w:r>
      <w:r w:rsidR="00AB6AED" w:rsidRPr="007B5BE6">
        <w:t>‘elder abuse’ offences</w:t>
      </w:r>
      <w:r w:rsidR="00F66FA6" w:rsidRPr="007B5BE6">
        <w:t xml:space="preserve"> could </w:t>
      </w:r>
      <w:r w:rsidR="00AB6AED" w:rsidRPr="007B5BE6">
        <w:t>have</w:t>
      </w:r>
      <w:r w:rsidR="00D84262" w:rsidRPr="007B5BE6">
        <w:t xml:space="preserve"> symbolic importance to both older Tasmanians and </w:t>
      </w:r>
      <w:r w:rsidR="000A40F3" w:rsidRPr="007B5BE6">
        <w:t xml:space="preserve">others </w:t>
      </w:r>
      <w:r w:rsidR="00D84262" w:rsidRPr="007B5BE6">
        <w:t xml:space="preserve">in the Tasmanian community who </w:t>
      </w:r>
      <w:r w:rsidR="00FD51D1" w:rsidRPr="007B5BE6">
        <w:t xml:space="preserve">may have personal or professional interface with </w:t>
      </w:r>
      <w:r w:rsidR="006D6356" w:rsidRPr="007B5BE6">
        <w:t>older people</w:t>
      </w:r>
      <w:r w:rsidR="00FD51D1" w:rsidRPr="007B5BE6">
        <w:t xml:space="preserve"> and may be perpetrating</w:t>
      </w:r>
      <w:r w:rsidR="006D6356" w:rsidRPr="007B5BE6">
        <w:t>,</w:t>
      </w:r>
      <w:r w:rsidR="00FD51D1" w:rsidRPr="007B5BE6">
        <w:t xml:space="preserve"> or witnessing</w:t>
      </w:r>
      <w:r w:rsidR="006D6356" w:rsidRPr="007B5BE6">
        <w:t>,</w:t>
      </w:r>
      <w:r w:rsidR="00FD51D1" w:rsidRPr="007B5BE6">
        <w:t xml:space="preserve"> abuse. </w:t>
      </w:r>
      <w:r w:rsidR="00BA4EFC" w:rsidRPr="007B5BE6">
        <w:t>It may also direct the focus of law enforcement responses by Tasmania Police to</w:t>
      </w:r>
      <w:r w:rsidR="005E754D" w:rsidRPr="007B5BE6">
        <w:t>wards recognising</w:t>
      </w:r>
      <w:r w:rsidR="00BA4EFC" w:rsidRPr="007B5BE6">
        <w:t xml:space="preserve"> the potential criminality of </w:t>
      </w:r>
      <w:r w:rsidR="006D6356" w:rsidRPr="007B5BE6">
        <w:t xml:space="preserve">the wide range of </w:t>
      </w:r>
      <w:r w:rsidR="00C57C65" w:rsidRPr="007B5BE6">
        <w:t>behaviour</w:t>
      </w:r>
      <w:r w:rsidR="006D6356" w:rsidRPr="007B5BE6">
        <w:t>s encompassing abuse of older people</w:t>
      </w:r>
      <w:r w:rsidR="004E6AFF" w:rsidRPr="007B5BE6">
        <w:t xml:space="preserve">, </w:t>
      </w:r>
      <w:r w:rsidR="006D6356" w:rsidRPr="007B5BE6">
        <w:t xml:space="preserve">where </w:t>
      </w:r>
      <w:r w:rsidR="009E3C6E" w:rsidRPr="007B5BE6">
        <w:t>they have</w:t>
      </w:r>
      <w:r w:rsidR="004E6AFF" w:rsidRPr="007B5BE6">
        <w:t xml:space="preserve"> not traditionally been viewed in this way.</w:t>
      </w:r>
    </w:p>
    <w:p w14:paraId="09CCF6CF" w14:textId="175C826D" w:rsidR="00E50D78" w:rsidRPr="007B5BE6" w:rsidRDefault="00AB6AED" w:rsidP="00E50D78">
      <w:pPr>
        <w:pStyle w:val="NormalNumberedTextTLRI"/>
      </w:pPr>
      <w:r w:rsidRPr="007B5BE6">
        <w:t xml:space="preserve">Nevertheless, the TLRI does not recommend the introduction of specific offences </w:t>
      </w:r>
      <w:r w:rsidR="00243C03" w:rsidRPr="007B5BE6">
        <w:t xml:space="preserve">within the </w:t>
      </w:r>
      <w:r w:rsidR="00EA053D" w:rsidRPr="007B5BE6">
        <w:t xml:space="preserve">general criminal law (for example, the </w:t>
      </w:r>
      <w:r w:rsidR="00243C03" w:rsidRPr="007B5BE6">
        <w:rPr>
          <w:i/>
          <w:iCs/>
        </w:rPr>
        <w:t>Cri</w:t>
      </w:r>
      <w:r w:rsidR="003C11E5" w:rsidRPr="007B5BE6">
        <w:rPr>
          <w:i/>
          <w:iCs/>
        </w:rPr>
        <w:t xml:space="preserve">minal Code </w:t>
      </w:r>
      <w:r w:rsidR="009328BB" w:rsidRPr="007B5BE6">
        <w:rPr>
          <w:i/>
          <w:iCs/>
          <w:szCs w:val="22"/>
        </w:rPr>
        <w:t>Act 1924</w:t>
      </w:r>
      <w:r w:rsidR="009328BB" w:rsidRPr="007B5BE6">
        <w:rPr>
          <w:szCs w:val="22"/>
        </w:rPr>
        <w:t xml:space="preserve"> </w:t>
      </w:r>
      <w:r w:rsidR="003C11E5" w:rsidRPr="007B5BE6">
        <w:t xml:space="preserve">(Tas) </w:t>
      </w:r>
      <w:r w:rsidR="00EA053D" w:rsidRPr="007B5BE6">
        <w:t xml:space="preserve">or the </w:t>
      </w:r>
      <w:r w:rsidR="00C15B7A" w:rsidRPr="007B5BE6">
        <w:rPr>
          <w:i/>
          <w:iCs/>
        </w:rPr>
        <w:t xml:space="preserve">Police </w:t>
      </w:r>
      <w:r w:rsidR="00BE5EC5" w:rsidRPr="007B5BE6">
        <w:rPr>
          <w:i/>
          <w:iCs/>
        </w:rPr>
        <w:t>Offences</w:t>
      </w:r>
      <w:r w:rsidR="00C15B7A" w:rsidRPr="007B5BE6">
        <w:rPr>
          <w:i/>
          <w:iCs/>
        </w:rPr>
        <w:t xml:space="preserve"> Act 1</w:t>
      </w:r>
      <w:r w:rsidR="00BE5EC5" w:rsidRPr="007B5BE6">
        <w:rPr>
          <w:i/>
          <w:iCs/>
        </w:rPr>
        <w:t>9</w:t>
      </w:r>
      <w:r w:rsidR="00C15B7A" w:rsidRPr="007B5BE6">
        <w:rPr>
          <w:i/>
          <w:iCs/>
        </w:rPr>
        <w:t xml:space="preserve">35 </w:t>
      </w:r>
      <w:r w:rsidR="00C15B7A" w:rsidRPr="007B5BE6">
        <w:t>(Tas)</w:t>
      </w:r>
      <w:r w:rsidR="00743041" w:rsidRPr="007B5BE6">
        <w:t>)</w:t>
      </w:r>
      <w:r w:rsidR="00DC0B2D" w:rsidRPr="007B5BE6">
        <w:t xml:space="preserve"> </w:t>
      </w:r>
      <w:r w:rsidRPr="007B5BE6">
        <w:t>related to the abuse of older people</w:t>
      </w:r>
      <w:r w:rsidR="00743041" w:rsidRPr="007B5BE6">
        <w:t>,</w:t>
      </w:r>
      <w:r w:rsidR="003C11E5" w:rsidRPr="007B5BE6">
        <w:t xml:space="preserve"> given </w:t>
      </w:r>
      <w:r w:rsidR="00DC0B2D" w:rsidRPr="007B5BE6">
        <w:t>the scope of the</w:t>
      </w:r>
      <w:r w:rsidR="003C11E5" w:rsidRPr="007B5BE6">
        <w:t xml:space="preserve"> </w:t>
      </w:r>
      <w:r w:rsidR="004C50D5" w:rsidRPr="007B5BE6">
        <w:t>offences that currently apply</w:t>
      </w:r>
      <w:r w:rsidRPr="007B5BE6">
        <w:t>.</w:t>
      </w:r>
      <w:r w:rsidR="00E50D78" w:rsidRPr="007B5BE6">
        <w:t xml:space="preserve"> By not recommending new criminal offences, the TLRI shares the </w:t>
      </w:r>
      <w:r w:rsidR="00250D2C" w:rsidRPr="007B5BE6">
        <w:t xml:space="preserve">ALRC’s </w:t>
      </w:r>
      <w:r w:rsidR="00E50D78" w:rsidRPr="007B5BE6">
        <w:t xml:space="preserve">views that </w:t>
      </w:r>
      <w:r w:rsidR="007B71EA" w:rsidRPr="007B5BE6">
        <w:t xml:space="preserve">it is not necessary to </w:t>
      </w:r>
      <w:r w:rsidR="00E50D78" w:rsidRPr="007B5BE6">
        <w:t>creat</w:t>
      </w:r>
      <w:r w:rsidR="007B71EA" w:rsidRPr="007B5BE6">
        <w:t>e</w:t>
      </w:r>
      <w:r w:rsidR="00E50D78" w:rsidRPr="007B5BE6">
        <w:t xml:space="preserve"> new specialised criminal offences, having regard to the range of behaviour that is currently captured under the criminal law and the risk of duplication or overlap if such an approach were taken. The TLRI’s view is that current laws are sufficiently broad to capture offending in a wide range of circumstances, including abuse of older people that meets criminal thresholds. In this regard, the issues raised by stakeholders suggest that the introduction of further criminal offences in Tasmania would not operate effectively to fill identified gaps in the current legal framework. Rather, it appears to the TLRI that more needs to be done to change the perception of when a criminal justice response is required, and to support investigative agencies to pursue criminal charges (when appropriate to do so). Factors that limit reporting to police or the ability for criminal charges to be pursued by law enforcement should also be kept in mind</w:t>
      </w:r>
      <w:r w:rsidR="00265B12" w:rsidRPr="007B5BE6">
        <w:t>. The TLRI’s view (</w:t>
      </w:r>
      <w:r w:rsidR="00663450" w:rsidRPr="007B5BE6">
        <w:t xml:space="preserve">a view also held by the ALRC) is that </w:t>
      </w:r>
      <w:r w:rsidR="00E50D78" w:rsidRPr="007B5BE6">
        <w:t xml:space="preserve">initiatives aimed at addressing these </w:t>
      </w:r>
      <w:r w:rsidR="00663450" w:rsidRPr="007B5BE6">
        <w:t xml:space="preserve">factors </w:t>
      </w:r>
      <w:r w:rsidR="00E50D78" w:rsidRPr="007B5BE6">
        <w:t xml:space="preserve">are preferable areas of focus (see </w:t>
      </w:r>
      <w:r w:rsidR="003C5326" w:rsidRPr="007B5BE6">
        <w:t xml:space="preserve">[5.6.8]–[5.6.11] </w:t>
      </w:r>
      <w:r w:rsidR="00E50D78" w:rsidRPr="007B5BE6">
        <w:t xml:space="preserve">and </w:t>
      </w:r>
      <w:r w:rsidR="00E50D78" w:rsidRPr="007B5BE6">
        <w:rPr>
          <w:b/>
          <w:bCs/>
        </w:rPr>
        <w:t xml:space="preserve">Recommendations </w:t>
      </w:r>
      <w:r w:rsidR="00442DD2" w:rsidRPr="007B5BE6">
        <w:rPr>
          <w:b/>
          <w:bCs/>
        </w:rPr>
        <w:t>28–30</w:t>
      </w:r>
      <w:r w:rsidR="00E50D78" w:rsidRPr="007B5BE6">
        <w:t>).</w:t>
      </w:r>
    </w:p>
    <w:p w14:paraId="0681118A" w14:textId="59E54117" w:rsidR="00E55101" w:rsidRPr="007B5BE6" w:rsidRDefault="00E55101" w:rsidP="00E55101">
      <w:pPr>
        <w:pStyle w:val="NormalNumberedTextTLRI"/>
      </w:pPr>
      <w:r w:rsidRPr="007B5BE6">
        <w:t xml:space="preserve">For example, </w:t>
      </w:r>
      <w:r w:rsidR="00F33871" w:rsidRPr="007B5BE6">
        <w:t xml:space="preserve">as part of research conducted jointly, the Office of the Public Advocate (Qld) and </w:t>
      </w:r>
      <w:r w:rsidRPr="007B5BE6">
        <w:t>the Queensland Law Society considered a proposal to insert examples of ‘elder abuse’ into the fraud offence under s</w:t>
      </w:r>
      <w:r w:rsidR="00663450" w:rsidRPr="007B5BE6">
        <w:t>ection</w:t>
      </w:r>
      <w:r w:rsidRPr="007B5BE6">
        <w:t xml:space="preserve"> 408C(1)(b)</w:t>
      </w:r>
      <w:r w:rsidR="00EE067C" w:rsidRPr="007B5BE6">
        <w:t xml:space="preserve"> of the </w:t>
      </w:r>
      <w:r w:rsidR="00EE067C" w:rsidRPr="007B5BE6">
        <w:rPr>
          <w:i/>
          <w:iCs/>
        </w:rPr>
        <w:t>Criminal Code</w:t>
      </w:r>
      <w:r w:rsidR="00663450" w:rsidRPr="007B5BE6">
        <w:rPr>
          <w:i/>
          <w:iCs/>
        </w:rPr>
        <w:t xml:space="preserve"> </w:t>
      </w:r>
      <w:r w:rsidR="00840412" w:rsidRPr="007B5BE6">
        <w:rPr>
          <w:i/>
          <w:iCs/>
        </w:rPr>
        <w:t xml:space="preserve">Act </w:t>
      </w:r>
      <w:r w:rsidR="00663450" w:rsidRPr="007B5BE6">
        <w:rPr>
          <w:i/>
          <w:iCs/>
        </w:rPr>
        <w:t>1899</w:t>
      </w:r>
      <w:r w:rsidR="00663450" w:rsidRPr="007B5BE6">
        <w:t xml:space="preserve"> </w:t>
      </w:r>
      <w:r w:rsidR="00EE067C" w:rsidRPr="007B5BE6">
        <w:t>(Qld)</w:t>
      </w:r>
      <w:r w:rsidRPr="007B5BE6">
        <w:t xml:space="preserve"> </w:t>
      </w:r>
      <w:r w:rsidR="00EE067C" w:rsidRPr="007B5BE6">
        <w:t xml:space="preserve">to </w:t>
      </w:r>
      <w:r w:rsidR="00626C96" w:rsidRPr="007B5BE6">
        <w:t>set out</w:t>
      </w:r>
      <w:r w:rsidRPr="007B5BE6">
        <w:t xml:space="preserve"> how</w:t>
      </w:r>
      <w:r w:rsidR="00626C96" w:rsidRPr="007B5BE6">
        <w:t xml:space="preserve"> forms of</w:t>
      </w:r>
      <w:r w:rsidRPr="007B5BE6">
        <w:t xml:space="preserve"> </w:t>
      </w:r>
      <w:r w:rsidR="00EE067C" w:rsidRPr="007B5BE6">
        <w:t xml:space="preserve">financial abuse come within </w:t>
      </w:r>
      <w:r w:rsidR="00626C96" w:rsidRPr="007B5BE6">
        <w:t>the</w:t>
      </w:r>
      <w:r w:rsidR="00EE067C" w:rsidRPr="007B5BE6">
        <w:t xml:space="preserve"> existing offence. It was </w:t>
      </w:r>
      <w:r w:rsidR="00EB7A5F" w:rsidRPr="007B5BE6">
        <w:t xml:space="preserve">suggested, for example, </w:t>
      </w:r>
      <w:r w:rsidR="00840412" w:rsidRPr="007B5BE6">
        <w:t>t</w:t>
      </w:r>
      <w:r w:rsidR="00EE067C" w:rsidRPr="007B5BE6">
        <w:t xml:space="preserve">hat </w:t>
      </w:r>
      <w:r w:rsidR="00840412" w:rsidRPr="007B5BE6">
        <w:t xml:space="preserve">there could be a ‘boxed proposal in Sch 1 to the </w:t>
      </w:r>
      <w:r w:rsidR="00840412" w:rsidRPr="007B5BE6">
        <w:rPr>
          <w:i/>
          <w:iCs/>
        </w:rPr>
        <w:t>Criminal Code Act 1899</w:t>
      </w:r>
      <w:r w:rsidR="00840412" w:rsidRPr="007B5BE6">
        <w:t xml:space="preserve"> (Qld) </w:t>
      </w:r>
      <w:r w:rsidR="00157813" w:rsidRPr="007B5BE6">
        <w:t xml:space="preserve">under s 408C(1) </w:t>
      </w:r>
      <w:r w:rsidRPr="007B5BE6">
        <w:t xml:space="preserve">the effect </w:t>
      </w:r>
      <w:r w:rsidR="00EE067C" w:rsidRPr="007B5BE6">
        <w:t>that</w:t>
      </w:r>
      <w:r w:rsidRPr="007B5BE6">
        <w:t xml:space="preserve"> a person who </w:t>
      </w:r>
      <w:r w:rsidRPr="007B5BE6">
        <w:lastRenderedPageBreak/>
        <w:t>dishonestly induces or compels an elderly person to transfer property to them without legal justification may be considered to have committed the offence of fraud’.</w:t>
      </w:r>
      <w:r w:rsidRPr="007B5BE6">
        <w:rPr>
          <w:rStyle w:val="FootnoteReference"/>
        </w:rPr>
        <w:footnoteReference w:id="728"/>
      </w:r>
      <w:r w:rsidRPr="007B5BE6">
        <w:t xml:space="preserve"> </w:t>
      </w:r>
      <w:r w:rsidR="00C77EF1" w:rsidRPr="007B5BE6">
        <w:t>T</w:t>
      </w:r>
      <w:r w:rsidR="007B0C96" w:rsidRPr="007B5BE6">
        <w:t xml:space="preserve">his suggestion highlights how </w:t>
      </w:r>
      <w:r w:rsidR="00F850AF" w:rsidRPr="007B5BE6">
        <w:t>information</w:t>
      </w:r>
      <w:r w:rsidR="007B0C96" w:rsidRPr="007B5BE6">
        <w:t xml:space="preserve"> that </w:t>
      </w:r>
      <w:r w:rsidR="00F850AF" w:rsidRPr="007B5BE6">
        <w:t>conceptualises</w:t>
      </w:r>
      <w:r w:rsidR="007B0C96" w:rsidRPr="007B5BE6">
        <w:t xml:space="preserve"> financial abuse</w:t>
      </w:r>
      <w:r w:rsidRPr="007B5BE6">
        <w:t xml:space="preserve"> </w:t>
      </w:r>
      <w:r w:rsidR="008077D5" w:rsidRPr="007B5BE6">
        <w:t>in this</w:t>
      </w:r>
      <w:r w:rsidR="00912526" w:rsidRPr="007B5BE6">
        <w:t xml:space="preserve"> way</w:t>
      </w:r>
      <w:r w:rsidR="008077D5" w:rsidRPr="007B5BE6">
        <w:t xml:space="preserve"> can </w:t>
      </w:r>
      <w:r w:rsidR="00B33A81" w:rsidRPr="007B5BE6">
        <w:t xml:space="preserve">highlight </w:t>
      </w:r>
      <w:r w:rsidR="00637DA9" w:rsidRPr="007B5BE6">
        <w:t>‘i</w:t>
      </w:r>
      <w:r w:rsidRPr="007B5BE6">
        <w:t>nstances of elder abuse to those in law enforcement and raise awareness of potential contraventions of the criminal law.’</w:t>
      </w:r>
      <w:r w:rsidRPr="007B5BE6">
        <w:rPr>
          <w:rStyle w:val="FootnoteReference"/>
        </w:rPr>
        <w:footnoteReference w:id="729"/>
      </w:r>
      <w:r w:rsidRPr="007B5BE6">
        <w:t xml:space="preserve"> It has been suggested that such an illustrative approach could be </w:t>
      </w:r>
      <w:r w:rsidR="004806AA" w:rsidRPr="007B5BE6">
        <w:t xml:space="preserve">incorporated into </w:t>
      </w:r>
      <w:r w:rsidRPr="007B5BE6">
        <w:t xml:space="preserve">existing offences in the criminal </w:t>
      </w:r>
      <w:r w:rsidR="00912526" w:rsidRPr="007B5BE6">
        <w:t xml:space="preserve">law </w:t>
      </w:r>
      <w:r w:rsidRPr="007B5BE6">
        <w:t>to demonstrate examples of how they might be committed in circumstances of abuse of an older person</w:t>
      </w:r>
      <w:r w:rsidR="004806AA" w:rsidRPr="007B5BE6">
        <w:t>. This includes, for example</w:t>
      </w:r>
      <w:r w:rsidRPr="007B5BE6">
        <w:t>:</w:t>
      </w:r>
    </w:p>
    <w:p w14:paraId="208A80D3" w14:textId="77777777" w:rsidR="00E55101" w:rsidRPr="007B5BE6" w:rsidRDefault="00E55101" w:rsidP="00E55101">
      <w:pPr>
        <w:pStyle w:val="DotPointTLRI"/>
      </w:pPr>
      <w:r w:rsidRPr="007B5BE6">
        <w:t>misappropriating monies, valuables or assets of an older person;</w:t>
      </w:r>
    </w:p>
    <w:p w14:paraId="7C7CE023" w14:textId="77777777" w:rsidR="00E55101" w:rsidRPr="007B5BE6" w:rsidRDefault="00E55101" w:rsidP="00E55101">
      <w:pPr>
        <w:pStyle w:val="DotPointTLRI"/>
      </w:pPr>
      <w:r w:rsidRPr="007B5BE6">
        <w:t>forging signatures or cheques or counselling or procuring an older person to sign documents or cheques; or</w:t>
      </w:r>
    </w:p>
    <w:p w14:paraId="4564FA33" w14:textId="0A13ABD8" w:rsidR="00E55101" w:rsidRPr="007B5BE6" w:rsidRDefault="006E666B" w:rsidP="00637DA9">
      <w:pPr>
        <w:pStyle w:val="DotPointTLRI"/>
      </w:pPr>
      <w:r w:rsidRPr="007B5BE6">
        <w:t xml:space="preserve">a </w:t>
      </w:r>
      <w:r w:rsidR="00E55101" w:rsidRPr="007B5BE6">
        <w:t>carer failing or neglecting to provide the necessities of life.</w:t>
      </w:r>
      <w:r w:rsidR="00E55101" w:rsidRPr="007B5BE6">
        <w:rPr>
          <w:rStyle w:val="FootnoteReference"/>
        </w:rPr>
        <w:footnoteReference w:id="730"/>
      </w:r>
      <w:r w:rsidR="00E55101" w:rsidRPr="007B5BE6">
        <w:t xml:space="preserve"> </w:t>
      </w:r>
    </w:p>
    <w:p w14:paraId="510AA22C" w14:textId="654624CE" w:rsidR="00383A60" w:rsidRPr="007B5BE6" w:rsidRDefault="002774EE" w:rsidP="004C50D5">
      <w:pPr>
        <w:pStyle w:val="NormalNumberedTextTLRI"/>
      </w:pPr>
      <w:r w:rsidRPr="007B5BE6">
        <w:t xml:space="preserve"> </w:t>
      </w:r>
      <w:r w:rsidR="00285F2C" w:rsidRPr="007B5BE6">
        <w:t>Regarding the other practical benefits</w:t>
      </w:r>
      <w:r w:rsidR="002618AD" w:rsidRPr="007B5BE6">
        <w:t xml:space="preserve"> (creating a pathway into the criminal justice system, recognising the increased ‘vulnerability’ of older people, and </w:t>
      </w:r>
      <w:r w:rsidR="007E3296" w:rsidRPr="007B5BE6">
        <w:t xml:space="preserve">community education and awareness raising), </w:t>
      </w:r>
      <w:r w:rsidR="00A32643" w:rsidRPr="007B5BE6">
        <w:t>the TLRI</w:t>
      </w:r>
      <w:r w:rsidR="00B6095F" w:rsidRPr="007B5BE6">
        <w:t xml:space="preserve">’s </w:t>
      </w:r>
      <w:r w:rsidR="00B97E75" w:rsidRPr="007B5BE6">
        <w:t xml:space="preserve">view </w:t>
      </w:r>
      <w:r w:rsidR="00B6095F" w:rsidRPr="007B5BE6">
        <w:t xml:space="preserve">is </w:t>
      </w:r>
      <w:r w:rsidR="00B97E75" w:rsidRPr="007B5BE6">
        <w:t xml:space="preserve">that there are </w:t>
      </w:r>
      <w:r w:rsidR="00A243C0" w:rsidRPr="007B5BE6">
        <w:t>other</w:t>
      </w:r>
      <w:r w:rsidR="00B97E75" w:rsidRPr="007B5BE6">
        <w:t xml:space="preserve"> ways of providing these benefits</w:t>
      </w:r>
      <w:r w:rsidR="006E666B" w:rsidRPr="007B5BE6">
        <w:t xml:space="preserve">. These </w:t>
      </w:r>
      <w:r w:rsidR="00C95FED" w:rsidRPr="007B5BE6">
        <w:t xml:space="preserve">are </w:t>
      </w:r>
      <w:r w:rsidR="00A243C0" w:rsidRPr="007B5BE6">
        <w:t>addressed</w:t>
      </w:r>
      <w:r w:rsidR="00C95FED" w:rsidRPr="007B5BE6">
        <w:t xml:space="preserve"> in other recommendations </w:t>
      </w:r>
      <w:r w:rsidR="00A32643" w:rsidRPr="007B5BE6">
        <w:t>in this Research Paper</w:t>
      </w:r>
      <w:r w:rsidR="00EC09BF" w:rsidRPr="007B5BE6">
        <w:t xml:space="preserve"> (se</w:t>
      </w:r>
      <w:r w:rsidR="00506C3C" w:rsidRPr="007B5BE6">
        <w:t>e</w:t>
      </w:r>
      <w:proofErr w:type="gramStart"/>
      <w:r w:rsidR="00506C3C" w:rsidRPr="007B5BE6">
        <w:t>, in particular,</w:t>
      </w:r>
      <w:r w:rsidR="00EC09BF" w:rsidRPr="007B5BE6">
        <w:t xml:space="preserve"> </w:t>
      </w:r>
      <w:r w:rsidR="00EC09BF" w:rsidRPr="007B5BE6">
        <w:rPr>
          <w:b/>
          <w:bCs/>
        </w:rPr>
        <w:t>Recommendations</w:t>
      </w:r>
      <w:proofErr w:type="gramEnd"/>
      <w:r w:rsidR="00EC09BF" w:rsidRPr="007B5BE6">
        <w:rPr>
          <w:b/>
          <w:bCs/>
        </w:rPr>
        <w:t xml:space="preserve"> </w:t>
      </w:r>
      <w:r w:rsidR="009656EB" w:rsidRPr="007B5BE6">
        <w:rPr>
          <w:b/>
          <w:bCs/>
        </w:rPr>
        <w:t xml:space="preserve">1, </w:t>
      </w:r>
      <w:r w:rsidR="00884BE0" w:rsidRPr="007B5BE6">
        <w:rPr>
          <w:b/>
          <w:bCs/>
        </w:rPr>
        <w:t>2, 7, 8, 9</w:t>
      </w:r>
      <w:r w:rsidR="00EC09BF" w:rsidRPr="007B5BE6">
        <w:rPr>
          <w:b/>
          <w:bCs/>
        </w:rPr>
        <w:t>–</w:t>
      </w:r>
      <w:r w:rsidR="00985FD8" w:rsidRPr="007B5BE6">
        <w:rPr>
          <w:b/>
          <w:bCs/>
        </w:rPr>
        <w:t xml:space="preserve">14, </w:t>
      </w:r>
      <w:r w:rsidR="00506C3C" w:rsidRPr="007B5BE6">
        <w:rPr>
          <w:b/>
          <w:bCs/>
        </w:rPr>
        <w:t>18 and 19</w:t>
      </w:r>
      <w:r w:rsidR="00EC09BF" w:rsidRPr="007B5BE6">
        <w:t>)</w:t>
      </w:r>
      <w:r w:rsidR="00A32643" w:rsidRPr="007B5BE6">
        <w:t>.</w:t>
      </w:r>
      <w:r w:rsidR="00B6218D" w:rsidRPr="007B5BE6">
        <w:t xml:space="preserve"> </w:t>
      </w:r>
      <w:r w:rsidR="004C50D5" w:rsidRPr="007B5BE6">
        <w:t>Further, t</w:t>
      </w:r>
      <w:r w:rsidR="00383A60" w:rsidRPr="007B5BE6">
        <w:t xml:space="preserve">he experience in the </w:t>
      </w:r>
      <w:r w:rsidR="006E666B" w:rsidRPr="007B5BE6">
        <w:t>ACT</w:t>
      </w:r>
      <w:r w:rsidR="00383A60" w:rsidRPr="007B5BE6">
        <w:t xml:space="preserve"> suggests that offences</w:t>
      </w:r>
      <w:r w:rsidR="00836C67" w:rsidRPr="007B5BE6">
        <w:t xml:space="preserve"> created</w:t>
      </w:r>
      <w:r w:rsidR="0049577B" w:rsidRPr="007B5BE6">
        <w:t xml:space="preserve"> to apply specifically </w:t>
      </w:r>
      <w:r w:rsidR="00D5504F" w:rsidRPr="007B5BE6">
        <w:t xml:space="preserve">to </w:t>
      </w:r>
      <w:r w:rsidR="0049577B" w:rsidRPr="007B5BE6">
        <w:t xml:space="preserve">the </w:t>
      </w:r>
      <w:r w:rsidR="004C6585" w:rsidRPr="007B5BE6">
        <w:t xml:space="preserve">broad </w:t>
      </w:r>
      <w:r w:rsidR="0049577B" w:rsidRPr="007B5BE6">
        <w:t xml:space="preserve">context of </w:t>
      </w:r>
      <w:r w:rsidR="006E666B" w:rsidRPr="007B5BE6">
        <w:t xml:space="preserve">the </w:t>
      </w:r>
      <w:r w:rsidR="005B40D2" w:rsidRPr="007B5BE6">
        <w:t>abuse of older people</w:t>
      </w:r>
      <w:r w:rsidR="00383A60" w:rsidRPr="007B5BE6">
        <w:t xml:space="preserve"> are not </w:t>
      </w:r>
      <w:r w:rsidR="00A243C0" w:rsidRPr="007B5BE6">
        <w:t>routinely</w:t>
      </w:r>
      <w:r w:rsidR="00383A60" w:rsidRPr="007B5BE6">
        <w:t xml:space="preserve"> used</w:t>
      </w:r>
      <w:r w:rsidR="005B40D2" w:rsidRPr="007B5BE6">
        <w:t xml:space="preserve">. </w:t>
      </w:r>
      <w:r w:rsidR="00A15383" w:rsidRPr="007B5BE6">
        <w:t xml:space="preserve">In addition, criminal laws are primarily a ‘tertiary response’, in that the response to abuse occurs after it has happened, rather than providing protection from abuse before it occurs or escalates. </w:t>
      </w:r>
    </w:p>
    <w:p w14:paraId="4EC0AED2" w14:textId="38179968" w:rsidR="007F3D13" w:rsidRPr="007B5BE6" w:rsidRDefault="00BC20A6" w:rsidP="004C50D5">
      <w:pPr>
        <w:pStyle w:val="NormalNumberedTextTLRI"/>
      </w:pPr>
      <w:r w:rsidRPr="007B5BE6">
        <w:t>The potential for r</w:t>
      </w:r>
      <w:r w:rsidR="000F2A1A" w:rsidRPr="007B5BE6">
        <w:t xml:space="preserve">eform to the </w:t>
      </w:r>
      <w:r w:rsidR="0053085A" w:rsidRPr="007B5BE6">
        <w:t xml:space="preserve">offences that exist under </w:t>
      </w:r>
      <w:r w:rsidR="000F2A1A" w:rsidRPr="007B5BE6">
        <w:t>specialist legislation (such as relating to powers of attorney or guardianship</w:t>
      </w:r>
      <w:r w:rsidR="00DF7A27" w:rsidRPr="007B5BE6">
        <w:t xml:space="preserve"> and administration</w:t>
      </w:r>
      <w:r w:rsidR="000F2A1A" w:rsidRPr="007B5BE6">
        <w:t xml:space="preserve">) </w:t>
      </w:r>
      <w:r w:rsidR="00A5137B" w:rsidRPr="007B5BE6">
        <w:t>is</w:t>
      </w:r>
      <w:r w:rsidRPr="007B5BE6">
        <w:t xml:space="preserve"> a separate matter, which the TLRI </w:t>
      </w:r>
      <w:r w:rsidR="000F2A1A" w:rsidRPr="007B5BE6">
        <w:t>discusse</w:t>
      </w:r>
      <w:r w:rsidRPr="007B5BE6">
        <w:t>s</w:t>
      </w:r>
      <w:r w:rsidR="000F2A1A" w:rsidRPr="007B5BE6">
        <w:t xml:space="preserve"> at </w:t>
      </w:r>
      <w:r w:rsidR="00DF7A27" w:rsidRPr="007B5BE6">
        <w:t>[5.4]</w:t>
      </w:r>
      <w:r w:rsidR="00713A42" w:rsidRPr="007B5BE6">
        <w:t xml:space="preserve">. </w:t>
      </w:r>
    </w:p>
    <w:p w14:paraId="626700ED" w14:textId="1B231BC4" w:rsidR="00DD2FF6" w:rsidRPr="007B5BE6" w:rsidRDefault="00DD2FF6" w:rsidP="00DD2FF6">
      <w:r w:rsidRPr="007B5BE6">
        <w:rPr>
          <w:noProof/>
        </w:rPr>
        <mc:AlternateContent>
          <mc:Choice Requires="wps">
            <w:drawing>
              <wp:inline distT="0" distB="0" distL="0" distR="0" wp14:anchorId="2CECE906" wp14:editId="17B45536">
                <wp:extent cx="5727065" cy="943660"/>
                <wp:effectExtent l="0" t="0" r="6985" b="8890"/>
                <wp:docPr id="1314148510"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43660"/>
                        </a:xfrm>
                        <a:prstGeom prst="rect">
                          <a:avLst/>
                        </a:prstGeom>
                        <a:solidFill>
                          <a:srgbClr val="E8E8E8"/>
                        </a:solidFill>
                      </wps:spPr>
                      <wps:txbx>
                        <w:txbxContent>
                          <w:p w14:paraId="3CBAA886" w14:textId="77777777" w:rsidR="00DD2FF6" w:rsidRPr="006F2DE6" w:rsidRDefault="00DD2FF6" w:rsidP="00DD2FF6">
                            <w:pPr>
                              <w:pStyle w:val="RecommendationBoxHeading"/>
                            </w:pPr>
                            <w:r w:rsidRPr="006F2DE6">
                              <w:t>Recommendation 22</w:t>
                            </w:r>
                          </w:p>
                          <w:p w14:paraId="5FDFEB21" w14:textId="77777777" w:rsidR="00DD2FF6" w:rsidRPr="00DD2FF6" w:rsidRDefault="00DD2FF6" w:rsidP="00DD2FF6">
                            <w:pPr>
                              <w:pStyle w:val="RecommendationBoxText"/>
                            </w:pPr>
                            <w:r w:rsidRPr="00DD2FF6">
                              <w:t xml:space="preserve">New specific offences for the abuse of older people should not be created within the general criminal law. </w:t>
                            </w:r>
                          </w:p>
                          <w:p w14:paraId="404B9B25"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2CECE906" id="_x0000_s1048" type="#_x0000_t202" style="width:450.9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" fillcolor="#e8e8e8" stroked="f">
                <v:textbox inset="0,0,0,0">
                  <w:txbxContent>
                    <w:p w14:paraId="3CBAA886" w14:textId="77777777" w:rsidR="00DD2FF6" w:rsidRPr="006F2DE6" w:rsidRDefault="00DD2FF6" w:rsidP="00DD2FF6">
                      <w:pPr>
                        <w:pStyle w:val="RecommendationBoxHeading"/>
                      </w:pPr>
                      <w:r w:rsidRPr="006F2DE6">
                        <w:t>Recommendation 22</w:t>
                      </w:r>
                    </w:p>
                    <w:p w14:paraId="5FDFEB21" w14:textId="77777777" w:rsidR="00DD2FF6" w:rsidRPr="00DD2FF6" w:rsidRDefault="00DD2FF6" w:rsidP="00DD2FF6">
                      <w:pPr>
                        <w:pStyle w:val="RecommendationBoxText"/>
                      </w:pPr>
                      <w:r w:rsidRPr="00DD2FF6">
                        <w:t xml:space="preserve">New specific offences for the abuse of older people should not be created within the general criminal law. </w:t>
                      </w:r>
                    </w:p>
                    <w:p w14:paraId="404B9B25" w14:textId="77777777" w:rsidR="00DD2FF6" w:rsidRPr="00F77824" w:rsidRDefault="00DD2FF6" w:rsidP="00DD2FF6">
                      <w:pPr>
                        <w:pStyle w:val="RecommendationBoxText"/>
                        <w:ind w:left="0"/>
                        <w:rPr>
                          <w:rFonts w:eastAsia="Times"/>
                        </w:rPr>
                      </w:pPr>
                    </w:p>
                  </w:txbxContent>
                </v:textbox>
                <w10:anchorlock/>
              </v:shape>
            </w:pict>
          </mc:Fallback>
        </mc:AlternateContent>
      </w:r>
    </w:p>
    <w:p w14:paraId="57C797E6" w14:textId="23DE8DE7" w:rsidR="00503A32" w:rsidRPr="007B5BE6" w:rsidRDefault="002102F9" w:rsidP="002C540A">
      <w:pPr>
        <w:pStyle w:val="NormalNumberedTextTLRI"/>
      </w:pPr>
      <w:r w:rsidRPr="007B5BE6">
        <w:t>A further</w:t>
      </w:r>
      <w:r w:rsidR="00B9243B" w:rsidRPr="007B5BE6">
        <w:t xml:space="preserve"> matter identified </w:t>
      </w:r>
      <w:r w:rsidR="001808A5" w:rsidRPr="007B5BE6">
        <w:t>by</w:t>
      </w:r>
      <w:r w:rsidR="0012170D" w:rsidRPr="007B5BE6">
        <w:t xml:space="preserve"> </w:t>
      </w:r>
      <w:r w:rsidR="00251B73" w:rsidRPr="007B5BE6">
        <w:t xml:space="preserve">the </w:t>
      </w:r>
      <w:r w:rsidR="0012170D" w:rsidRPr="007B5BE6">
        <w:t xml:space="preserve">TLRI, informed </w:t>
      </w:r>
      <w:r w:rsidR="005D40EA" w:rsidRPr="007B5BE6">
        <w:t>by stakeholders noting issues regarding this,</w:t>
      </w:r>
      <w:r w:rsidR="001808A5" w:rsidRPr="007B5BE6">
        <w:t xml:space="preserve"> </w:t>
      </w:r>
      <w:r w:rsidR="0012170D" w:rsidRPr="007B5BE6">
        <w:t>i</w:t>
      </w:r>
      <w:r w:rsidR="00B9243B" w:rsidRPr="007B5BE6">
        <w:t xml:space="preserve">s that </w:t>
      </w:r>
      <w:r w:rsidR="002C540A" w:rsidRPr="007B5BE6">
        <w:t xml:space="preserve">there is little publicly available data from police and court records </w:t>
      </w:r>
      <w:r w:rsidR="00C15662" w:rsidRPr="007B5BE6">
        <w:t xml:space="preserve">in Tasmania </w:t>
      </w:r>
      <w:r w:rsidR="002C540A" w:rsidRPr="007B5BE6">
        <w:t xml:space="preserve">to inform </w:t>
      </w:r>
      <w:r w:rsidR="00C15662" w:rsidRPr="007B5BE6">
        <w:t>an understanding of</w:t>
      </w:r>
      <w:r w:rsidR="002C540A" w:rsidRPr="007B5BE6">
        <w:t xml:space="preserve"> </w:t>
      </w:r>
      <w:r w:rsidR="00D71C90" w:rsidRPr="007B5BE6">
        <w:t xml:space="preserve">the </w:t>
      </w:r>
      <w:r w:rsidR="002C540A" w:rsidRPr="007B5BE6">
        <w:t xml:space="preserve">abuse of older people. </w:t>
      </w:r>
      <w:r w:rsidR="001808A5" w:rsidRPr="007B5BE6">
        <w:t>P</w:t>
      </w:r>
      <w:r w:rsidR="002C540A" w:rsidRPr="007B5BE6">
        <w:t>olice and court systems do not include</w:t>
      </w:r>
      <w:r w:rsidR="00C15662" w:rsidRPr="007B5BE6">
        <w:t>,</w:t>
      </w:r>
      <w:r w:rsidR="002C540A" w:rsidRPr="007B5BE6">
        <w:t xml:space="preserve"> in </w:t>
      </w:r>
      <w:r w:rsidR="00EA70AC" w:rsidRPr="007B5BE6">
        <w:t xml:space="preserve">available </w:t>
      </w:r>
      <w:r w:rsidR="002C540A" w:rsidRPr="007B5BE6">
        <w:t>data</w:t>
      </w:r>
      <w:r w:rsidR="00C15662" w:rsidRPr="007B5BE6">
        <w:t>,</w:t>
      </w:r>
      <w:r w:rsidR="002C540A" w:rsidRPr="007B5BE6">
        <w:t xml:space="preserve"> any record of whether an offence has been committed against an older person and/or meets circumstances within the concept of </w:t>
      </w:r>
      <w:r w:rsidR="00251B73" w:rsidRPr="007B5BE6">
        <w:t>the abuse of older people</w:t>
      </w:r>
      <w:r w:rsidR="002C540A" w:rsidRPr="007B5BE6">
        <w:t>.</w:t>
      </w:r>
      <w:r w:rsidR="00237F16" w:rsidRPr="007B5BE6">
        <w:rPr>
          <w:rStyle w:val="FootnoteReference"/>
        </w:rPr>
        <w:footnoteReference w:id="731"/>
      </w:r>
      <w:r w:rsidR="002C540A" w:rsidRPr="007B5BE6">
        <w:t xml:space="preserve"> </w:t>
      </w:r>
      <w:r w:rsidR="00FA327C" w:rsidRPr="007B5BE6">
        <w:t xml:space="preserve">However, the TLRI notes the </w:t>
      </w:r>
      <w:r w:rsidR="002A6670" w:rsidRPr="007B5BE6">
        <w:t xml:space="preserve">insights </w:t>
      </w:r>
      <w:r w:rsidR="00FB4815" w:rsidRPr="007B5BE6">
        <w:t>about the nature of the abuse of older people in the Tasmanian context</w:t>
      </w:r>
      <w:r w:rsidR="00D36025" w:rsidRPr="007B5BE6">
        <w:t xml:space="preserve">, </w:t>
      </w:r>
      <w:r w:rsidR="002A6670" w:rsidRPr="007B5BE6">
        <w:t xml:space="preserve">gleaned from </w:t>
      </w:r>
      <w:r w:rsidR="0086725B" w:rsidRPr="007B5BE6">
        <w:t>its analysis of the</w:t>
      </w:r>
      <w:r w:rsidR="002A6670" w:rsidRPr="007B5BE6">
        <w:t xml:space="preserve"> </w:t>
      </w:r>
      <w:r w:rsidR="002A6670" w:rsidRPr="007B5BE6">
        <w:lastRenderedPageBreak/>
        <w:t>Helpline and Senior</w:t>
      </w:r>
      <w:r w:rsidR="0086725B" w:rsidRPr="007B5BE6">
        <w:t xml:space="preserve"> Assist data</w:t>
      </w:r>
      <w:r w:rsidR="00D36025" w:rsidRPr="007B5BE6">
        <w:t>,</w:t>
      </w:r>
      <w:r w:rsidR="0086725B" w:rsidRPr="007B5BE6">
        <w:rPr>
          <w:rStyle w:val="FootnoteReference"/>
        </w:rPr>
        <w:footnoteReference w:id="732"/>
      </w:r>
      <w:r w:rsidR="006E42A9" w:rsidRPr="007B5BE6">
        <w:t xml:space="preserve"> </w:t>
      </w:r>
      <w:r w:rsidR="00D36025" w:rsidRPr="007B5BE6">
        <w:t xml:space="preserve">and </w:t>
      </w:r>
      <w:r w:rsidR="0086725B" w:rsidRPr="007B5BE6">
        <w:t xml:space="preserve">the </w:t>
      </w:r>
      <w:r w:rsidR="00E63229" w:rsidRPr="007B5BE6">
        <w:t xml:space="preserve">review </w:t>
      </w:r>
      <w:r w:rsidR="0086725B" w:rsidRPr="007B5BE6">
        <w:t xml:space="preserve">of criminal </w:t>
      </w:r>
      <w:r w:rsidR="004A32FE" w:rsidRPr="007B5BE6">
        <w:t xml:space="preserve">and </w:t>
      </w:r>
      <w:r w:rsidR="0086725B" w:rsidRPr="007B5BE6">
        <w:t xml:space="preserve">coronial </w:t>
      </w:r>
      <w:r w:rsidR="004A32FE" w:rsidRPr="007B5BE6">
        <w:t>cases involving deaths of older people</w:t>
      </w:r>
      <w:r w:rsidR="00C95024" w:rsidRPr="007B5BE6">
        <w:t xml:space="preserve"> a</w:t>
      </w:r>
      <w:r w:rsidR="0086725B" w:rsidRPr="007B5BE6">
        <w:t>nd</w:t>
      </w:r>
      <w:r w:rsidR="004A32FE" w:rsidRPr="007B5BE6">
        <w:t xml:space="preserve"> </w:t>
      </w:r>
      <w:r w:rsidR="00607A25" w:rsidRPr="007B5BE6">
        <w:t>Tasmanian Civil and Administrative Tribunal (‘TASCAT’)</w:t>
      </w:r>
      <w:r w:rsidR="004A32FE" w:rsidRPr="007B5BE6">
        <w:t xml:space="preserve"> case</w:t>
      </w:r>
      <w:r w:rsidR="00EF3217" w:rsidRPr="007B5BE6">
        <w:t xml:space="preserve"> examples</w:t>
      </w:r>
      <w:r w:rsidR="00BD2E13" w:rsidRPr="007B5BE6">
        <w:t xml:space="preserve"> in </w:t>
      </w:r>
      <w:r w:rsidR="00D36025" w:rsidRPr="007B5BE6">
        <w:t>the</w:t>
      </w:r>
      <w:r w:rsidR="00BD2E13" w:rsidRPr="007B5BE6">
        <w:t xml:space="preserve"> Guardianship stream</w:t>
      </w:r>
      <w:r w:rsidR="004A32FE" w:rsidRPr="007B5BE6">
        <w:t xml:space="preserve"> </w:t>
      </w:r>
      <w:r w:rsidR="00BD2E13" w:rsidRPr="007B5BE6">
        <w:t>involving</w:t>
      </w:r>
      <w:r w:rsidR="004A32FE" w:rsidRPr="007B5BE6">
        <w:t xml:space="preserve"> older</w:t>
      </w:r>
      <w:r w:rsidR="00C95024" w:rsidRPr="007B5BE6">
        <w:t xml:space="preserve"> people</w:t>
      </w:r>
      <w:r w:rsidR="00376C82" w:rsidRPr="007B5BE6">
        <w:t>.</w:t>
      </w:r>
      <w:r w:rsidR="00BD2E13" w:rsidRPr="007B5BE6">
        <w:rPr>
          <w:rStyle w:val="FootnoteReference"/>
        </w:rPr>
        <w:footnoteReference w:id="733"/>
      </w:r>
      <w:r w:rsidR="00C95024" w:rsidRPr="007B5BE6">
        <w:t xml:space="preserve"> </w:t>
      </w:r>
      <w:r w:rsidR="00376C82" w:rsidRPr="007B5BE6">
        <w:t xml:space="preserve">The TLRI also notes the concerns expressed by </w:t>
      </w:r>
      <w:r w:rsidR="0086725B" w:rsidRPr="007B5BE6">
        <w:t>stakeholder</w:t>
      </w:r>
      <w:r w:rsidR="00D36025" w:rsidRPr="007B5BE6">
        <w:t>s</w:t>
      </w:r>
      <w:r w:rsidR="0086725B" w:rsidRPr="007B5BE6">
        <w:t xml:space="preserve"> </w:t>
      </w:r>
      <w:r w:rsidR="00376C82" w:rsidRPr="007B5BE6">
        <w:t xml:space="preserve">in </w:t>
      </w:r>
      <w:r w:rsidR="0086725B" w:rsidRPr="007B5BE6">
        <w:t>interviews</w:t>
      </w:r>
      <w:r w:rsidR="00053DE9" w:rsidRPr="007B5BE6">
        <w:t xml:space="preserve"> </w:t>
      </w:r>
      <w:r w:rsidR="000A7711" w:rsidRPr="007B5BE6">
        <w:t xml:space="preserve">that </w:t>
      </w:r>
      <w:r w:rsidR="0096257C" w:rsidRPr="007B5BE6">
        <w:t>the circumstances of abuse of older people</w:t>
      </w:r>
      <w:r w:rsidR="00300670" w:rsidRPr="007B5BE6">
        <w:t xml:space="preserve">, while </w:t>
      </w:r>
      <w:r w:rsidR="0096257C" w:rsidRPr="007B5BE6">
        <w:t>wide</w:t>
      </w:r>
      <w:r w:rsidR="00D36025" w:rsidRPr="007B5BE6">
        <w:t>-</w:t>
      </w:r>
      <w:r w:rsidR="0096257C" w:rsidRPr="007B5BE6">
        <w:t xml:space="preserve">ranging and complex, can often involve criminal offending </w:t>
      </w:r>
      <w:r w:rsidR="00300670" w:rsidRPr="007B5BE6">
        <w:t>that is hidden,</w:t>
      </w:r>
      <w:r w:rsidR="00053DE9" w:rsidRPr="007B5BE6">
        <w:t xml:space="preserve"> unnoticed, or not acted on</w:t>
      </w:r>
      <w:r w:rsidR="000A7711" w:rsidRPr="007B5BE6">
        <w:t>.</w:t>
      </w:r>
      <w:r w:rsidR="00CC1D28" w:rsidRPr="007B5BE6">
        <w:rPr>
          <w:rStyle w:val="FootnoteReference"/>
        </w:rPr>
        <w:footnoteReference w:id="734"/>
      </w:r>
      <w:r w:rsidR="000A7711" w:rsidRPr="007B5BE6">
        <w:t xml:space="preserve"> Further, a common theme in some stakeholders’ comments was a </w:t>
      </w:r>
      <w:r w:rsidR="009570CE" w:rsidRPr="007B5BE6">
        <w:t>perception that what we</w:t>
      </w:r>
      <w:r w:rsidR="004B4235" w:rsidRPr="007B5BE6">
        <w:t xml:space="preserve"> know about the nature of abuse, its prevalence and who is accessing the current response</w:t>
      </w:r>
      <w:r w:rsidR="00B742EA" w:rsidRPr="007B5BE6">
        <w:t>s is just the ‘tip of the ice-berg’</w:t>
      </w:r>
      <w:r w:rsidR="000A7711" w:rsidRPr="007B5BE6">
        <w:rPr>
          <w:rStyle w:val="FootnoteReference"/>
        </w:rPr>
        <w:footnoteReference w:id="735"/>
      </w:r>
      <w:r w:rsidR="00B742EA" w:rsidRPr="007B5BE6">
        <w:t xml:space="preserve"> and that ‘we haven’t scratched the surface yet’.</w:t>
      </w:r>
      <w:r w:rsidR="005B7A41" w:rsidRPr="007B5BE6">
        <w:rPr>
          <w:rStyle w:val="FootnoteReference"/>
        </w:rPr>
        <w:footnoteReference w:id="736"/>
      </w:r>
      <w:r w:rsidR="009570CE" w:rsidRPr="007B5BE6">
        <w:t xml:space="preserve"> </w:t>
      </w:r>
      <w:r w:rsidR="00376C82" w:rsidRPr="007B5BE6">
        <w:t xml:space="preserve"> </w:t>
      </w:r>
    </w:p>
    <w:p w14:paraId="09EE7033" w14:textId="2BF6ADFC" w:rsidR="002C540A" w:rsidRPr="007B5BE6" w:rsidRDefault="00503A32" w:rsidP="002C540A">
      <w:pPr>
        <w:pStyle w:val="NormalNumberedTextTLRI"/>
      </w:pPr>
      <w:r w:rsidRPr="007B5BE6">
        <w:t>A lack of publicly available data to shed further light on th</w:t>
      </w:r>
      <w:r w:rsidR="00731C54" w:rsidRPr="007B5BE6">
        <w:t>ese matters</w:t>
      </w:r>
      <w:r w:rsidRPr="007B5BE6">
        <w:t xml:space="preserve"> </w:t>
      </w:r>
      <w:r w:rsidR="00731C54" w:rsidRPr="007B5BE6">
        <w:t xml:space="preserve">through the provision of more recorded data </w:t>
      </w:r>
      <w:r w:rsidR="002102F9" w:rsidRPr="007B5BE6">
        <w:t>could be addressed by c</w:t>
      </w:r>
      <w:r w:rsidR="002C540A" w:rsidRPr="007B5BE6">
        <w:t xml:space="preserve">hanges in record-keeping in </w:t>
      </w:r>
      <w:r w:rsidR="00A51772" w:rsidRPr="007B5BE6">
        <w:t xml:space="preserve">Tasmanian </w:t>
      </w:r>
      <w:r w:rsidR="00E106D0" w:rsidRPr="007B5BE6">
        <w:t xml:space="preserve">criminal justice system </w:t>
      </w:r>
      <w:r w:rsidR="002C540A" w:rsidRPr="007B5BE6">
        <w:t>agencies</w:t>
      </w:r>
      <w:r w:rsidR="00A51772" w:rsidRPr="007B5BE6">
        <w:t xml:space="preserve">. This </w:t>
      </w:r>
      <w:r w:rsidR="007D509C" w:rsidRPr="007B5BE6">
        <w:t>c</w:t>
      </w:r>
      <w:r w:rsidR="002102F9" w:rsidRPr="007B5BE6">
        <w:t>ould</w:t>
      </w:r>
      <w:r w:rsidR="002C540A" w:rsidRPr="007B5BE6">
        <w:t xml:space="preserve"> improve the visibility of cases involving abuse of an older person and </w:t>
      </w:r>
      <w:r w:rsidR="008F4205" w:rsidRPr="007B5BE6">
        <w:t>allow for</w:t>
      </w:r>
      <w:r w:rsidR="002C540A" w:rsidRPr="007B5BE6">
        <w:t xml:space="preserve"> a better understand</w:t>
      </w:r>
      <w:r w:rsidR="008F4205" w:rsidRPr="007B5BE6">
        <w:t>ing of</w:t>
      </w:r>
      <w:r w:rsidR="002C540A" w:rsidRPr="007B5BE6">
        <w:t xml:space="preserve"> how existing criminal offences operate. It was suggested in </w:t>
      </w:r>
      <w:r w:rsidR="00403F65" w:rsidRPr="007B5BE6">
        <w:t>stakeholder interviews</w:t>
      </w:r>
      <w:r w:rsidR="008F4205" w:rsidRPr="007B5BE6">
        <w:t xml:space="preserve"> </w:t>
      </w:r>
      <w:r w:rsidR="002C540A" w:rsidRPr="007B5BE6">
        <w:t xml:space="preserve">that it </w:t>
      </w:r>
      <w:r w:rsidR="003A63F6" w:rsidRPr="007B5BE6">
        <w:t xml:space="preserve">may </w:t>
      </w:r>
      <w:r w:rsidR="002C540A" w:rsidRPr="007B5BE6">
        <w:t xml:space="preserve">assist for police to include a </w:t>
      </w:r>
      <w:r w:rsidR="003A63F6" w:rsidRPr="007B5BE6">
        <w:t>‘</w:t>
      </w:r>
      <w:r w:rsidR="002C540A" w:rsidRPr="007B5BE6">
        <w:t>flag</w:t>
      </w:r>
      <w:r w:rsidR="003A63F6" w:rsidRPr="007B5BE6">
        <w:t>’</w:t>
      </w:r>
      <w:r w:rsidR="002C540A" w:rsidRPr="007B5BE6">
        <w:t xml:space="preserve"> in their data systems when responding to an incident, conducting a welfare check or when an offence is reporte</w:t>
      </w:r>
      <w:r w:rsidR="00625020" w:rsidRPr="007B5BE6">
        <w:t>d—where the circumstances</w:t>
      </w:r>
      <w:r w:rsidR="002C540A" w:rsidRPr="007B5BE6">
        <w:t xml:space="preserve"> involve an older person as the victim. A requirement could also be added to legislation to require courts</w:t>
      </w:r>
      <w:r w:rsidR="00625020" w:rsidRPr="007B5BE6">
        <w:t>, when sentencing,</w:t>
      </w:r>
      <w:r w:rsidR="002C540A" w:rsidRPr="007B5BE6">
        <w:t xml:space="preserve"> to record an offence</w:t>
      </w:r>
      <w:r w:rsidR="00625020" w:rsidRPr="007B5BE6">
        <w:t xml:space="preserve">, </w:t>
      </w:r>
      <w:r w:rsidR="002C540A" w:rsidRPr="007B5BE6">
        <w:t xml:space="preserve">as having been committed against an older person. This </w:t>
      </w:r>
      <w:r w:rsidR="007A4D2F" w:rsidRPr="007B5BE6">
        <w:t>c</w:t>
      </w:r>
      <w:r w:rsidR="00200F05" w:rsidRPr="007B5BE6">
        <w:t xml:space="preserve">ould </w:t>
      </w:r>
      <w:r w:rsidR="007A4D2F" w:rsidRPr="007B5BE6">
        <w:t>follow a</w:t>
      </w:r>
      <w:r w:rsidR="002C540A" w:rsidRPr="007B5BE6">
        <w:t xml:space="preserve"> similar approach taken in the legislative framework set out in the </w:t>
      </w:r>
      <w:r w:rsidR="002C540A" w:rsidRPr="007B5BE6">
        <w:rPr>
          <w:i/>
          <w:iCs/>
        </w:rPr>
        <w:t>Family Violence Act 20</w:t>
      </w:r>
      <w:r w:rsidR="008229D7" w:rsidRPr="007B5BE6">
        <w:rPr>
          <w:i/>
          <w:iCs/>
        </w:rPr>
        <w:t>0</w:t>
      </w:r>
      <w:r w:rsidR="002C540A" w:rsidRPr="007B5BE6">
        <w:rPr>
          <w:i/>
          <w:iCs/>
        </w:rPr>
        <w:t>4</w:t>
      </w:r>
      <w:r w:rsidR="002C540A" w:rsidRPr="007B5BE6">
        <w:t xml:space="preserve"> (Tas) under s</w:t>
      </w:r>
      <w:r w:rsidR="007A4D2F" w:rsidRPr="007B5BE6">
        <w:t>ection</w:t>
      </w:r>
      <w:r w:rsidR="002C540A" w:rsidRPr="007B5BE6">
        <w:t xml:space="preserve"> 13A(1)</w:t>
      </w:r>
      <w:r w:rsidR="007A4D2F" w:rsidRPr="007B5BE6">
        <w:t>:</w:t>
      </w:r>
    </w:p>
    <w:p w14:paraId="1B53175E" w14:textId="0D1B8617" w:rsidR="002C540A" w:rsidRPr="007B5BE6" w:rsidRDefault="002C540A" w:rsidP="00E96105">
      <w:pPr>
        <w:pStyle w:val="Indentedquote"/>
        <w:rPr>
          <w:sz w:val="20"/>
          <w:szCs w:val="20"/>
        </w:rPr>
      </w:pPr>
      <w:r w:rsidRPr="007B5BE6">
        <w:rPr>
          <w:sz w:val="20"/>
          <w:szCs w:val="20"/>
        </w:rPr>
        <w:t>If a person pleads guilty to an offence, or is found guilty of an offence, and the court or judge is satisfied that the offence was a family violence offence, the court or judge is to direct that the offence be recorded on the person's criminal record as a family violence offence.</w:t>
      </w:r>
      <w:r w:rsidR="004830F6" w:rsidRPr="007B5BE6">
        <w:rPr>
          <w:rStyle w:val="FootnoteReference"/>
          <w:sz w:val="20"/>
          <w:szCs w:val="20"/>
        </w:rPr>
        <w:footnoteReference w:id="737"/>
      </w:r>
    </w:p>
    <w:p w14:paraId="5DB42586" w14:textId="08FC6619" w:rsidR="002C540A" w:rsidRPr="007B5BE6" w:rsidRDefault="002C540A" w:rsidP="002C540A">
      <w:pPr>
        <w:pStyle w:val="NormalNumberedTextTLRI"/>
      </w:pPr>
      <w:r w:rsidRPr="007B5BE6">
        <w:t xml:space="preserve">  Such a requirement to record the offence on a person’s criminal record as an offence committed against an older person would contribute to building ‘a progressive record … of criminal conduct that may be taken into account in bail proceedings, sentencing and the trial of subsequent offences’.</w:t>
      </w:r>
      <w:r w:rsidR="00D45FDA" w:rsidRPr="007B5BE6">
        <w:rPr>
          <w:rStyle w:val="FootnoteReference"/>
        </w:rPr>
        <w:footnoteReference w:id="738"/>
      </w:r>
      <w:r w:rsidRPr="007B5BE6">
        <w:t xml:space="preserve"> This approach has been supported in the </w:t>
      </w:r>
      <w:r w:rsidR="00284360" w:rsidRPr="007B5BE6">
        <w:t xml:space="preserve">general </w:t>
      </w:r>
      <w:r w:rsidRPr="007B5BE6">
        <w:t>area of family violence-related conduct</w:t>
      </w:r>
      <w:r w:rsidR="00284360" w:rsidRPr="007B5BE6">
        <w:t>,</w:t>
      </w:r>
      <w:r w:rsidRPr="007B5BE6">
        <w:t xml:space="preserve"> and </w:t>
      </w:r>
      <w:r w:rsidR="004005E8" w:rsidRPr="007B5BE6">
        <w:t xml:space="preserve">in </w:t>
      </w:r>
      <w:r w:rsidRPr="007B5BE6">
        <w:t>specific areas of conduct, such as non-fatal strangulation.</w:t>
      </w:r>
      <w:r w:rsidR="00D45FDA" w:rsidRPr="007B5BE6">
        <w:rPr>
          <w:rStyle w:val="FootnoteReference"/>
        </w:rPr>
        <w:footnoteReference w:id="739"/>
      </w:r>
      <w:r w:rsidRPr="007B5BE6">
        <w:t xml:space="preserve"> </w:t>
      </w:r>
    </w:p>
    <w:p w14:paraId="4EACADC0" w14:textId="68088DBB" w:rsidR="002C540A" w:rsidRPr="007B5BE6" w:rsidRDefault="002C540A" w:rsidP="002C540A">
      <w:pPr>
        <w:pStyle w:val="NormalNumberedTextTLRI"/>
      </w:pPr>
      <w:r w:rsidRPr="007B5BE6">
        <w:t xml:space="preserve">An amendment could also be made to the </w:t>
      </w:r>
      <w:r w:rsidRPr="007B5BE6">
        <w:rPr>
          <w:i/>
          <w:iCs/>
        </w:rPr>
        <w:t>Family Violence Act</w:t>
      </w:r>
      <w:r w:rsidR="008E0FD6" w:rsidRPr="007B5BE6">
        <w:rPr>
          <w:i/>
          <w:iCs/>
        </w:rPr>
        <w:t xml:space="preserve"> 2004</w:t>
      </w:r>
      <w:r w:rsidRPr="007B5BE6">
        <w:t xml:space="preserve"> (Tas), to allow for courts to order that an offence is recorded as a </w:t>
      </w:r>
      <w:r w:rsidR="00284360" w:rsidRPr="007B5BE6">
        <w:t>‘</w:t>
      </w:r>
      <w:r w:rsidRPr="007B5BE6">
        <w:t>family violence offence</w:t>
      </w:r>
      <w:r w:rsidR="00284360" w:rsidRPr="007B5BE6">
        <w:t>’</w:t>
      </w:r>
      <w:r w:rsidRPr="007B5BE6">
        <w:t xml:space="preserve"> relating to abuse of an older person. </w:t>
      </w:r>
    </w:p>
    <w:p w14:paraId="74388867" w14:textId="69731592" w:rsidR="00BE6EBA" w:rsidRPr="007B5BE6" w:rsidRDefault="00DD2FF6">
      <w:pPr>
        <w:spacing w:after="200" w:line="276" w:lineRule="auto"/>
        <w:jc w:val="left"/>
        <w:rPr>
          <w:rFonts w:eastAsia="Times New Roman" w:cs="Times New Roman"/>
          <w:b/>
          <w:color w:val="000000"/>
          <w:sz w:val="23"/>
          <w:szCs w:val="22"/>
          <w:lang w:val="en-US"/>
        </w:rPr>
      </w:pPr>
      <w:r w:rsidRPr="007B5BE6">
        <w:rPr>
          <w:noProof/>
        </w:rPr>
        <w:lastRenderedPageBreak/>
        <mc:AlternateContent>
          <mc:Choice Requires="wps">
            <w:drawing>
              <wp:inline distT="0" distB="0" distL="0" distR="0" wp14:anchorId="7F0F6C0F" wp14:editId="6C536D64">
                <wp:extent cx="5727065" cy="2640787"/>
                <wp:effectExtent l="0" t="0" r="6985" b="7620"/>
                <wp:docPr id="840058862"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640787"/>
                        </a:xfrm>
                        <a:prstGeom prst="rect">
                          <a:avLst/>
                        </a:prstGeom>
                        <a:solidFill>
                          <a:srgbClr val="E8E8E8"/>
                        </a:solidFill>
                      </wps:spPr>
                      <wps:txbx>
                        <w:txbxContent>
                          <w:p w14:paraId="60C81576" w14:textId="77777777" w:rsidR="00DD2FF6" w:rsidRPr="006F2DE6" w:rsidRDefault="00DD2FF6" w:rsidP="00DD2FF6">
                            <w:pPr>
                              <w:pStyle w:val="RecommendationBoxHeading"/>
                            </w:pPr>
                            <w:r w:rsidRPr="00DD2FF6">
                              <w:t>Recommendation</w:t>
                            </w:r>
                            <w:r w:rsidRPr="006F2DE6">
                              <w:t xml:space="preserve"> 23</w:t>
                            </w:r>
                          </w:p>
                          <w:p w14:paraId="76EC2C8D" w14:textId="77777777" w:rsidR="00DD2FF6" w:rsidRPr="00DD2FF6" w:rsidRDefault="00DD2FF6" w:rsidP="00DD2FF6">
                            <w:pPr>
                              <w:pStyle w:val="RecommendationBoxText"/>
                            </w:pPr>
                            <w:r w:rsidRPr="00DD2FF6">
                              <w:t>Changes should be made to improve record-keeping regarding the occurrence of criminal offences in circumstances that involve the abuse of an older person.  This could include:</w:t>
                            </w:r>
                          </w:p>
                          <w:p w14:paraId="5D761183" w14:textId="316E631F" w:rsidR="00DD2FF6" w:rsidRPr="00DD2FF6" w:rsidRDefault="00DD2FF6" w:rsidP="005A71B7">
                            <w:pPr>
                              <w:pStyle w:val="RecommendationBoxText"/>
                              <w:numPr>
                                <w:ilvl w:val="0"/>
                                <w:numId w:val="30"/>
                              </w:numPr>
                            </w:pPr>
                            <w:r w:rsidRPr="00DD2FF6">
                              <w:t xml:space="preserve">Tasmania Police adding a flag to the records made of incident responses, welfare checks and reported offences, in circumstances where this relates to an older person; </w:t>
                            </w:r>
                          </w:p>
                          <w:p w14:paraId="158AA4D6" w14:textId="638A4DAD" w:rsidR="00DD2FF6" w:rsidRPr="00DD2FF6" w:rsidRDefault="00DD2FF6" w:rsidP="005A71B7">
                            <w:pPr>
                              <w:pStyle w:val="RecommendationBoxText"/>
                              <w:numPr>
                                <w:ilvl w:val="0"/>
                                <w:numId w:val="30"/>
                              </w:numPr>
                            </w:pPr>
                            <w:r w:rsidRPr="00DD2FF6">
                              <w:t xml:space="preserve">amending the </w:t>
                            </w:r>
                            <w:r w:rsidRPr="00DD2FF6">
                              <w:rPr>
                                <w:i/>
                                <w:iCs/>
                              </w:rPr>
                              <w:t>Sentencing Act</w:t>
                            </w:r>
                            <w:r w:rsidRPr="00DD2FF6">
                              <w:t xml:space="preserve"> 1997 (Tas) to facilitate the recording of the victim being an older person as a particular of any offence to appear on a person’s criminal record where the circumstances meet the definition of abuse of an ‘older person’; and</w:t>
                            </w:r>
                          </w:p>
                          <w:p w14:paraId="02E25BD8" w14:textId="07F0AC4D" w:rsidR="00DD2FF6" w:rsidRPr="00DD2FF6" w:rsidRDefault="00DD2FF6" w:rsidP="005A71B7">
                            <w:pPr>
                              <w:pStyle w:val="RecommendationBoxText"/>
                              <w:numPr>
                                <w:ilvl w:val="0"/>
                                <w:numId w:val="30"/>
                              </w:numPr>
                            </w:pPr>
                            <w:r w:rsidRPr="00DD2FF6">
                              <w:t xml:space="preserve">amending section 13A of the </w:t>
                            </w:r>
                            <w:r w:rsidRPr="00DD2FF6">
                              <w:rPr>
                                <w:i/>
                                <w:iCs/>
                              </w:rPr>
                              <w:t>Family Violence Act 2004</w:t>
                            </w:r>
                            <w:r w:rsidRPr="00DD2FF6">
                              <w:t xml:space="preserve"> (Tas) to provide for recording that the victim was an older person as a particular of a ‘family violence offence’ on a person’s criminal record.</w:t>
                            </w:r>
                          </w:p>
                          <w:p w14:paraId="044CB67C"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7F0F6C0F" id="_x0000_s1049" type="#_x0000_t202" style="width:450.95pt;height:20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" fillcolor="#e8e8e8" stroked="f">
                <v:textbox inset="0,0,0,0">
                  <w:txbxContent>
                    <w:p w14:paraId="60C81576" w14:textId="77777777" w:rsidR="00DD2FF6" w:rsidRPr="006F2DE6" w:rsidRDefault="00DD2FF6" w:rsidP="00DD2FF6">
                      <w:pPr>
                        <w:pStyle w:val="RecommendationBoxHeading"/>
                      </w:pPr>
                      <w:r w:rsidRPr="00DD2FF6">
                        <w:t>Recommendation</w:t>
                      </w:r>
                      <w:r w:rsidRPr="006F2DE6">
                        <w:t xml:space="preserve"> 23</w:t>
                      </w:r>
                    </w:p>
                    <w:p w14:paraId="76EC2C8D" w14:textId="77777777" w:rsidR="00DD2FF6" w:rsidRPr="00DD2FF6" w:rsidRDefault="00DD2FF6" w:rsidP="00DD2FF6">
                      <w:pPr>
                        <w:pStyle w:val="RecommendationBoxText"/>
                      </w:pPr>
                      <w:r w:rsidRPr="00DD2FF6">
                        <w:t>Changes should be made to improve record-keeping regarding the occurrence of criminal offences in circumstances that involve the abuse of an older person.  This could include:</w:t>
                      </w:r>
                    </w:p>
                    <w:p w14:paraId="5D761183" w14:textId="316E631F" w:rsidR="00DD2FF6" w:rsidRPr="00DD2FF6" w:rsidRDefault="00DD2FF6" w:rsidP="005A71B7">
                      <w:pPr>
                        <w:pStyle w:val="RecommendationBoxText"/>
                        <w:numPr>
                          <w:ilvl w:val="0"/>
                          <w:numId w:val="30"/>
                        </w:numPr>
                      </w:pPr>
                      <w:r w:rsidRPr="00DD2FF6">
                        <w:t xml:space="preserve">Tasmania Police adding a flag to the records made of incident responses, welfare checks and reported offences, in circumstances where this relates to an older person; </w:t>
                      </w:r>
                    </w:p>
                    <w:p w14:paraId="158AA4D6" w14:textId="638A4DAD" w:rsidR="00DD2FF6" w:rsidRPr="00DD2FF6" w:rsidRDefault="00DD2FF6" w:rsidP="005A71B7">
                      <w:pPr>
                        <w:pStyle w:val="RecommendationBoxText"/>
                        <w:numPr>
                          <w:ilvl w:val="0"/>
                          <w:numId w:val="30"/>
                        </w:numPr>
                      </w:pPr>
                      <w:r w:rsidRPr="00DD2FF6">
                        <w:t xml:space="preserve">amending the </w:t>
                      </w:r>
                      <w:r w:rsidRPr="00DD2FF6">
                        <w:rPr>
                          <w:i/>
                          <w:iCs/>
                        </w:rPr>
                        <w:t>Sentencing Act</w:t>
                      </w:r>
                      <w:r w:rsidRPr="00DD2FF6">
                        <w:t xml:space="preserve"> 1997 (Tas) to facilitate the recording of the victim being an older person as a particular of any offence to appear on a person’s criminal record where the circumstances meet the definition of abuse of an ‘older person’; and</w:t>
                      </w:r>
                    </w:p>
                    <w:p w14:paraId="02E25BD8" w14:textId="07F0AC4D" w:rsidR="00DD2FF6" w:rsidRPr="00DD2FF6" w:rsidRDefault="00DD2FF6" w:rsidP="005A71B7">
                      <w:pPr>
                        <w:pStyle w:val="RecommendationBoxText"/>
                        <w:numPr>
                          <w:ilvl w:val="0"/>
                          <w:numId w:val="30"/>
                        </w:numPr>
                      </w:pPr>
                      <w:r w:rsidRPr="00DD2FF6">
                        <w:t xml:space="preserve">amending section 13A of the </w:t>
                      </w:r>
                      <w:r w:rsidRPr="00DD2FF6">
                        <w:rPr>
                          <w:i/>
                          <w:iCs/>
                        </w:rPr>
                        <w:t>Family Violence Act 2004</w:t>
                      </w:r>
                      <w:r w:rsidRPr="00DD2FF6">
                        <w:t xml:space="preserve"> (Tas) to provide for recording that the victim was an older person as a particular of a ‘family violence offence’ on a person’s criminal record.</w:t>
                      </w:r>
                    </w:p>
                    <w:p w14:paraId="044CB67C" w14:textId="77777777" w:rsidR="00DD2FF6" w:rsidRPr="00F77824" w:rsidRDefault="00DD2FF6" w:rsidP="00DD2FF6">
                      <w:pPr>
                        <w:pStyle w:val="RecommendationBoxText"/>
                        <w:ind w:left="0"/>
                        <w:rPr>
                          <w:rFonts w:eastAsia="Times"/>
                        </w:rPr>
                      </w:pPr>
                    </w:p>
                  </w:txbxContent>
                </v:textbox>
                <w10:anchorlock/>
              </v:shape>
            </w:pict>
          </mc:Fallback>
        </mc:AlternateContent>
      </w:r>
    </w:p>
    <w:p w14:paraId="1AF8A374" w14:textId="4ED40156" w:rsidR="00585752" w:rsidRPr="007B5BE6" w:rsidRDefault="00585752" w:rsidP="00744D17">
      <w:pPr>
        <w:pStyle w:val="NumberedHeadingTLRI"/>
      </w:pPr>
      <w:bookmarkStart w:id="620" w:name="_Toc161586531"/>
      <w:bookmarkStart w:id="621" w:name="_Toc161586949"/>
      <w:bookmarkStart w:id="622" w:name="_Toc212561824"/>
      <w:bookmarkEnd w:id="620"/>
      <w:bookmarkEnd w:id="621"/>
      <w:r w:rsidRPr="007B5BE6">
        <w:t>Legislative frameworks for decision</w:t>
      </w:r>
      <w:r w:rsidR="00183AE1" w:rsidRPr="007B5BE6">
        <w:t xml:space="preserve"> </w:t>
      </w:r>
      <w:r w:rsidRPr="007B5BE6">
        <w:t>making</w:t>
      </w:r>
      <w:bookmarkEnd w:id="622"/>
    </w:p>
    <w:p w14:paraId="378886BA" w14:textId="5D8A7911" w:rsidR="0076058D" w:rsidRPr="007B5BE6" w:rsidRDefault="0076058D" w:rsidP="00D67277">
      <w:pPr>
        <w:pStyle w:val="Headingunnumbered"/>
        <w:spacing w:before="360"/>
      </w:pPr>
      <w:bookmarkStart w:id="623" w:name="_Toc212561825"/>
      <w:r w:rsidRPr="007B5BE6">
        <w:t>Powers of attorney</w:t>
      </w:r>
      <w:bookmarkEnd w:id="623"/>
    </w:p>
    <w:p w14:paraId="31090A80" w14:textId="317D78EF" w:rsidR="0091195E" w:rsidRPr="007B5BE6" w:rsidRDefault="00C1380B" w:rsidP="0091195E">
      <w:pPr>
        <w:pStyle w:val="NormalNumberedTextTLRI"/>
      </w:pPr>
      <w:r w:rsidRPr="007B5BE6">
        <w:t xml:space="preserve">Enduring </w:t>
      </w:r>
      <w:r w:rsidR="0076058D" w:rsidRPr="007B5BE6">
        <w:t>p</w:t>
      </w:r>
      <w:r w:rsidR="00525819" w:rsidRPr="007B5BE6">
        <w:t xml:space="preserve">owers of </w:t>
      </w:r>
      <w:r w:rsidR="0076058D" w:rsidRPr="007B5BE6">
        <w:t>a</w:t>
      </w:r>
      <w:r w:rsidR="00525819" w:rsidRPr="007B5BE6">
        <w:t>tto</w:t>
      </w:r>
      <w:r w:rsidR="005B6218" w:rsidRPr="007B5BE6">
        <w:t xml:space="preserve">rney </w:t>
      </w:r>
      <w:r w:rsidRPr="007B5BE6">
        <w:t>have an important role to play in Tasmania i</w:t>
      </w:r>
      <w:r w:rsidR="000517C9" w:rsidRPr="007B5BE6">
        <w:t>n</w:t>
      </w:r>
      <w:r w:rsidRPr="007B5BE6">
        <w:t xml:space="preserve"> supporting older p</w:t>
      </w:r>
      <w:r w:rsidR="00C5712D" w:rsidRPr="007B5BE6">
        <w:t>eople with financial matters</w:t>
      </w:r>
      <w:r w:rsidR="00EA2854" w:rsidRPr="007B5BE6">
        <w:t xml:space="preserve">. </w:t>
      </w:r>
      <w:r w:rsidR="00DE493F" w:rsidRPr="007B5BE6">
        <w:t xml:space="preserve">However, there is also potential for these instruments to be used </w:t>
      </w:r>
      <w:r w:rsidR="003206FB" w:rsidRPr="007B5BE6">
        <w:t xml:space="preserve">to facilitate abuse. </w:t>
      </w:r>
      <w:r w:rsidR="00750810" w:rsidRPr="007B5BE6">
        <w:t>Accordingly</w:t>
      </w:r>
      <w:r w:rsidR="00E01238" w:rsidRPr="007B5BE6">
        <w:t>, t</w:t>
      </w:r>
      <w:r w:rsidR="0091195E" w:rsidRPr="007B5BE6">
        <w:t>he TLRI has considered options for reform</w:t>
      </w:r>
      <w:r w:rsidR="00E01238" w:rsidRPr="007B5BE6">
        <w:t xml:space="preserve">, including the </w:t>
      </w:r>
      <w:r w:rsidR="0091195E" w:rsidRPr="007B5BE6">
        <w:t xml:space="preserve">creation of: </w:t>
      </w:r>
    </w:p>
    <w:p w14:paraId="42E4A565" w14:textId="2BFFC301" w:rsidR="0091195E" w:rsidRPr="007B5BE6" w:rsidRDefault="0091195E" w:rsidP="008360BE">
      <w:pPr>
        <w:pStyle w:val="DotPointTLRI"/>
      </w:pPr>
      <w:r w:rsidRPr="007B5BE6">
        <w:t xml:space="preserve">additional criminal offences in the </w:t>
      </w:r>
      <w:r w:rsidRPr="007B5BE6">
        <w:rPr>
          <w:i/>
          <w:iCs/>
        </w:rPr>
        <w:t>Powers of Attorney Act 2000</w:t>
      </w:r>
      <w:r w:rsidRPr="007B5BE6">
        <w:t xml:space="preserve"> (Tas); and </w:t>
      </w:r>
    </w:p>
    <w:p w14:paraId="58A9E5D0" w14:textId="3595413E" w:rsidR="0091195E" w:rsidRPr="007B5BE6" w:rsidRDefault="0091195E" w:rsidP="008360BE">
      <w:pPr>
        <w:pStyle w:val="DotPointTLRI"/>
      </w:pPr>
      <w:r w:rsidRPr="007B5BE6">
        <w:t xml:space="preserve">additional powers under civil legislative frameworks </w:t>
      </w:r>
      <w:r w:rsidR="00750810" w:rsidRPr="007B5BE6">
        <w:t xml:space="preserve">to </w:t>
      </w:r>
      <w:r w:rsidR="00E01238" w:rsidRPr="007B5BE6">
        <w:t>assist with the</w:t>
      </w:r>
      <w:r w:rsidRPr="007B5BE6">
        <w:t xml:space="preserve"> recovery of assets or property that has been lost when a person has been acting under an invalid power of attorney or otherwise misusing </w:t>
      </w:r>
      <w:r w:rsidR="000517C9" w:rsidRPr="007B5BE6">
        <w:t xml:space="preserve">a </w:t>
      </w:r>
      <w:r w:rsidRPr="007B5BE6">
        <w:t>power of attorney.</w:t>
      </w:r>
    </w:p>
    <w:p w14:paraId="4C2E723C" w14:textId="6C9D132A" w:rsidR="00130CCF" w:rsidRPr="007B5BE6" w:rsidRDefault="00403F65" w:rsidP="00D67277">
      <w:pPr>
        <w:pStyle w:val="Sub-HeadingTLRI"/>
        <w:spacing w:before="360"/>
      </w:pPr>
      <w:bookmarkStart w:id="624" w:name="_Toc212561826"/>
      <w:r w:rsidRPr="007B5BE6">
        <w:t>Interviews with stakeholders</w:t>
      </w:r>
      <w:bookmarkEnd w:id="624"/>
    </w:p>
    <w:p w14:paraId="09E761AD" w14:textId="71021E54" w:rsidR="00130CCF" w:rsidRPr="007B5BE6" w:rsidRDefault="00B010AE" w:rsidP="00BC7E2B">
      <w:pPr>
        <w:pStyle w:val="NormalNumberedTextTLRI"/>
      </w:pPr>
      <w:r w:rsidRPr="007B5BE6">
        <w:t xml:space="preserve">A dominant </w:t>
      </w:r>
      <w:r w:rsidR="006E7B39" w:rsidRPr="007B5BE6">
        <w:t>issue</w:t>
      </w:r>
      <w:r w:rsidR="00130CCF" w:rsidRPr="007B5BE6">
        <w:t xml:space="preserve"> raised by stakeholders regarding powers of attorney was that there are little to no consequences for the misuse or abuse</w:t>
      </w:r>
      <w:r w:rsidR="006E7B39" w:rsidRPr="007B5BE6">
        <w:t xml:space="preserve"> of</w:t>
      </w:r>
      <w:r w:rsidR="00130CCF" w:rsidRPr="007B5BE6">
        <w:t xml:space="preserve"> enduring powers of attorney.</w:t>
      </w:r>
      <w:r w:rsidR="00D07D99" w:rsidRPr="007B5BE6">
        <w:rPr>
          <w:rStyle w:val="FootnoteReference"/>
        </w:rPr>
        <w:footnoteReference w:id="740"/>
      </w:r>
      <w:r w:rsidR="003644EE" w:rsidRPr="007B5BE6">
        <w:t xml:space="preserve"> </w:t>
      </w:r>
      <w:r w:rsidR="00130CCF" w:rsidRPr="007B5BE6">
        <w:t xml:space="preserve"> </w:t>
      </w:r>
      <w:r w:rsidR="006E7B39" w:rsidRPr="007B5BE6">
        <w:t>As noted, there are</w:t>
      </w:r>
      <w:r w:rsidR="00742C1B" w:rsidRPr="007B5BE6">
        <w:t xml:space="preserve"> </w:t>
      </w:r>
      <w:r w:rsidR="00B15655" w:rsidRPr="007B5BE6">
        <w:t xml:space="preserve">some </w:t>
      </w:r>
      <w:r w:rsidR="00742C1B" w:rsidRPr="007B5BE6">
        <w:t xml:space="preserve">offences under the </w:t>
      </w:r>
      <w:r w:rsidR="00742C1B" w:rsidRPr="007B5BE6">
        <w:rPr>
          <w:i/>
          <w:iCs/>
        </w:rPr>
        <w:t xml:space="preserve">Powers of Attorney Act 2000 </w:t>
      </w:r>
      <w:r w:rsidR="00742C1B" w:rsidRPr="007B5BE6">
        <w:t xml:space="preserve">(Tas) </w:t>
      </w:r>
      <w:r w:rsidR="006E7B39" w:rsidRPr="007B5BE6">
        <w:t>relating</w:t>
      </w:r>
      <w:r w:rsidR="00742C1B" w:rsidRPr="007B5BE6">
        <w:t xml:space="preserve"> to </w:t>
      </w:r>
      <w:r w:rsidR="00E758A4" w:rsidRPr="007B5BE6">
        <w:t>keeping property separate and failing to keep records</w:t>
      </w:r>
      <w:r w:rsidR="00B15655" w:rsidRPr="007B5BE6">
        <w:t xml:space="preserve">, but these do not address misuse </w:t>
      </w:r>
      <w:r w:rsidR="00DB1F6E" w:rsidRPr="007B5BE6">
        <w:t xml:space="preserve">of powers </w:t>
      </w:r>
      <w:r w:rsidR="00B15655" w:rsidRPr="007B5BE6">
        <w:t>more generally</w:t>
      </w:r>
      <w:r w:rsidR="00742C1B" w:rsidRPr="007B5BE6">
        <w:t>.</w:t>
      </w:r>
      <w:r w:rsidR="00D07D99" w:rsidRPr="007B5BE6">
        <w:rPr>
          <w:rStyle w:val="FootnoteReference"/>
        </w:rPr>
        <w:footnoteReference w:id="741"/>
      </w:r>
      <w:r w:rsidR="00EA5984" w:rsidRPr="007B5BE6">
        <w:t xml:space="preserve"> </w:t>
      </w:r>
      <w:r w:rsidR="006F31D1" w:rsidRPr="007B5BE6">
        <w:t>Although it was acknowledged that th</w:t>
      </w:r>
      <w:r w:rsidR="00AB1B14" w:rsidRPr="007B5BE6">
        <w:t>e existing offences</w:t>
      </w:r>
      <w:r w:rsidR="006F31D1" w:rsidRPr="007B5BE6">
        <w:t xml:space="preserve"> </w:t>
      </w:r>
      <w:r w:rsidR="00751818" w:rsidRPr="007B5BE6">
        <w:t>provide</w:t>
      </w:r>
      <w:r w:rsidR="006F31D1" w:rsidRPr="007B5BE6">
        <w:t xml:space="preserve"> some forms of response, these were largely ineffectual, as the current legislation ‘just has no teeth’.</w:t>
      </w:r>
      <w:r w:rsidR="00D07D99" w:rsidRPr="007B5BE6">
        <w:rPr>
          <w:rStyle w:val="FootnoteReference"/>
        </w:rPr>
        <w:footnoteReference w:id="742"/>
      </w:r>
      <w:r w:rsidR="006F31D1" w:rsidRPr="007B5BE6">
        <w:t xml:space="preserve"> </w:t>
      </w:r>
      <w:r w:rsidR="00B15655" w:rsidRPr="007B5BE6">
        <w:t xml:space="preserve">In addition, these do not appear to have be used (based on available sentencing data). </w:t>
      </w:r>
      <w:r w:rsidR="00AB1B14" w:rsidRPr="007B5BE6">
        <w:t>Further</w:t>
      </w:r>
      <w:r w:rsidR="00B15655" w:rsidRPr="007B5BE6">
        <w:t xml:space="preserve">, </w:t>
      </w:r>
      <w:r w:rsidR="004E223E" w:rsidRPr="007B5BE6">
        <w:t xml:space="preserve">as has been noted, </w:t>
      </w:r>
      <w:r w:rsidR="007B39CC" w:rsidRPr="007B5BE6">
        <w:t xml:space="preserve">although </w:t>
      </w:r>
      <w:r w:rsidR="00B15655" w:rsidRPr="007B5BE6">
        <w:t>there are offences under the general criminal law in relation to theft and fr</w:t>
      </w:r>
      <w:r w:rsidR="00F20596" w:rsidRPr="007B5BE6">
        <w:t>aud</w:t>
      </w:r>
      <w:r w:rsidR="007B39CC" w:rsidRPr="007B5BE6">
        <w:t xml:space="preserve">, </w:t>
      </w:r>
      <w:r w:rsidR="00130CCF" w:rsidRPr="007B5BE6">
        <w:t>stakeholders suggested that th</w:t>
      </w:r>
      <w:r w:rsidR="006E7B39" w:rsidRPr="007B5BE6">
        <w:t>ese</w:t>
      </w:r>
      <w:r w:rsidR="00130CCF" w:rsidRPr="007B5BE6">
        <w:t xml:space="preserve"> </w:t>
      </w:r>
      <w:r w:rsidR="00EE6919" w:rsidRPr="007B5BE6">
        <w:t>are</w:t>
      </w:r>
      <w:r w:rsidR="00130CCF" w:rsidRPr="007B5BE6">
        <w:t xml:space="preserve"> unlikely to be pursued for a range of reasons.</w:t>
      </w:r>
      <w:r w:rsidR="00BF7C98" w:rsidRPr="007B5BE6">
        <w:rPr>
          <w:rStyle w:val="FootnoteReference"/>
        </w:rPr>
        <w:footnoteReference w:id="743"/>
      </w:r>
      <w:r w:rsidR="00130CCF" w:rsidRPr="007B5BE6">
        <w:t xml:space="preserve"> </w:t>
      </w:r>
      <w:r w:rsidR="00751818" w:rsidRPr="007B5BE6">
        <w:t xml:space="preserve">Tasmania Police could potentially investigate </w:t>
      </w:r>
      <w:r w:rsidR="009646D6" w:rsidRPr="007B5BE6">
        <w:t xml:space="preserve">potentially abusive conduct </w:t>
      </w:r>
      <w:r w:rsidR="005B5805" w:rsidRPr="007B5BE6">
        <w:t xml:space="preserve">by a person who has </w:t>
      </w:r>
      <w:r w:rsidR="00751818" w:rsidRPr="007B5BE6">
        <w:t>power of attorney</w:t>
      </w:r>
      <w:r w:rsidR="005B5805" w:rsidRPr="007B5BE6">
        <w:t>,</w:t>
      </w:r>
      <w:r w:rsidR="00751818" w:rsidRPr="007B5BE6">
        <w:t xml:space="preserve"> if it was reported to them and it comprised the basis of a criminal offence, such as theft. However, there was a sense that this may be beyond the remit of </w:t>
      </w:r>
      <w:r w:rsidR="005B5805" w:rsidRPr="007B5BE6">
        <w:t xml:space="preserve">the </w:t>
      </w:r>
      <w:r w:rsidR="00751818" w:rsidRPr="007B5BE6">
        <w:t xml:space="preserve">expertise and resources of a law enforcement agency. This reflects the traditionally held view that abuse of a power of attorney does not generally give rise to criminal charges related to ‘stealing’ or ‘fraud’. </w:t>
      </w:r>
      <w:r w:rsidR="00130CCF" w:rsidRPr="007B5BE6">
        <w:t xml:space="preserve">Further, if a person has impaired </w:t>
      </w:r>
      <w:r w:rsidR="00E4275D" w:rsidRPr="007B5BE6">
        <w:t>decision-making</w:t>
      </w:r>
      <w:r w:rsidR="00130CCF" w:rsidRPr="007B5BE6">
        <w:t xml:space="preserve"> ability and an enduring power of attorney is in the </w:t>
      </w:r>
      <w:r w:rsidR="00130CCF" w:rsidRPr="007B5BE6">
        <w:lastRenderedPageBreak/>
        <w:t>enduring phase, they may not have capacity or the necessary support to participate in the processes required to gather sufficient evidence to support a criminal charge.</w:t>
      </w:r>
    </w:p>
    <w:p w14:paraId="298A0FFA" w14:textId="58F2E50E" w:rsidR="00394096" w:rsidRPr="007B5BE6" w:rsidRDefault="00E26F2F" w:rsidP="00394096">
      <w:pPr>
        <w:pStyle w:val="NormalNumberedTextTLRI"/>
      </w:pPr>
      <w:r w:rsidRPr="007B5BE6">
        <w:t>The main issues raised by</w:t>
      </w:r>
      <w:r w:rsidR="00EE6919" w:rsidRPr="007B5BE6">
        <w:t xml:space="preserve"> </w:t>
      </w:r>
      <w:r w:rsidR="00403F65" w:rsidRPr="007B5BE6">
        <w:t>stakeholder</w:t>
      </w:r>
      <w:r w:rsidRPr="007B5BE6">
        <w:t>s in</w:t>
      </w:r>
      <w:r w:rsidR="00403F65" w:rsidRPr="007B5BE6">
        <w:t xml:space="preserve"> interviews</w:t>
      </w:r>
      <w:r w:rsidR="00EE6919" w:rsidRPr="007B5BE6">
        <w:t xml:space="preserve"> related to</w:t>
      </w:r>
      <w:r w:rsidR="00394096" w:rsidRPr="007B5BE6">
        <w:t xml:space="preserve"> a </w:t>
      </w:r>
      <w:r w:rsidR="00866CDC" w:rsidRPr="007B5BE6">
        <w:t xml:space="preserve">person who has power of attorney (the appointee) </w:t>
      </w:r>
      <w:r w:rsidR="00394096" w:rsidRPr="007B5BE6">
        <w:t>acting inappropriately or outside of the bounds of an enduring power of attorney</w:t>
      </w:r>
      <w:r w:rsidR="00EE6919" w:rsidRPr="007B5BE6">
        <w:t xml:space="preserve"> and there being</w:t>
      </w:r>
      <w:r w:rsidR="00394096" w:rsidRPr="007B5BE6">
        <w:t>:</w:t>
      </w:r>
    </w:p>
    <w:p w14:paraId="3093A53D" w14:textId="794A41E5" w:rsidR="00394096" w:rsidRPr="007B5BE6" w:rsidRDefault="00394096" w:rsidP="008360BE">
      <w:pPr>
        <w:pStyle w:val="DotPointTLRI"/>
      </w:pPr>
      <w:r w:rsidRPr="007B5BE6">
        <w:t>little oversight of the making, registration and valid use of powers of attorney;</w:t>
      </w:r>
    </w:p>
    <w:p w14:paraId="2B36F093" w14:textId="30CED90A" w:rsidR="00394096" w:rsidRPr="007B5BE6" w:rsidRDefault="00394096" w:rsidP="008360BE">
      <w:pPr>
        <w:pStyle w:val="DotPointTLRI"/>
      </w:pPr>
      <w:r w:rsidRPr="007B5BE6">
        <w:t xml:space="preserve">no independent unit or body to investigate reports or concerns around such behaviour; and </w:t>
      </w:r>
    </w:p>
    <w:p w14:paraId="1FA1D55A" w14:textId="78DFE353" w:rsidR="00FA4C2D" w:rsidRPr="007B5BE6" w:rsidRDefault="00394096" w:rsidP="00751818">
      <w:pPr>
        <w:pStyle w:val="DotPointTLRI"/>
      </w:pPr>
      <w:r w:rsidRPr="007B5BE6">
        <w:t xml:space="preserve">no </w:t>
      </w:r>
      <w:r w:rsidR="00E758A4" w:rsidRPr="007B5BE6">
        <w:t xml:space="preserve">effective </w:t>
      </w:r>
      <w:r w:rsidRPr="007B5BE6">
        <w:t>criminal offences or penalties under the current law by way of response.</w:t>
      </w:r>
      <w:r w:rsidR="00EB771A" w:rsidRPr="007B5BE6">
        <w:rPr>
          <w:rStyle w:val="FootnoteReference"/>
        </w:rPr>
        <w:footnoteReference w:id="744"/>
      </w:r>
      <w:r w:rsidRPr="007B5BE6">
        <w:t xml:space="preserve"> </w:t>
      </w:r>
    </w:p>
    <w:p w14:paraId="2F2FE394" w14:textId="79D98A6D" w:rsidR="00394096" w:rsidRPr="007B5BE6" w:rsidRDefault="00FA4C2D" w:rsidP="00394096">
      <w:pPr>
        <w:pStyle w:val="NormalNumberedTextTLRI"/>
      </w:pPr>
      <w:r w:rsidRPr="007B5BE6">
        <w:t>S</w:t>
      </w:r>
      <w:r w:rsidR="00BE13B9" w:rsidRPr="007B5BE6">
        <w:t>ome s</w:t>
      </w:r>
      <w:r w:rsidRPr="007B5BE6">
        <w:t xml:space="preserve">takeholders </w:t>
      </w:r>
      <w:r w:rsidR="00101E1D" w:rsidRPr="007B5BE6">
        <w:t xml:space="preserve">identified </w:t>
      </w:r>
      <w:r w:rsidR="00F54A64" w:rsidRPr="007B5BE6">
        <w:t>a lack of</w:t>
      </w:r>
      <w:r w:rsidR="00394096" w:rsidRPr="007B5BE6">
        <w:t xml:space="preserve"> </w:t>
      </w:r>
      <w:r w:rsidR="00751818" w:rsidRPr="007B5BE6">
        <w:t xml:space="preserve">adequate </w:t>
      </w:r>
      <w:r w:rsidR="00394096" w:rsidRPr="007B5BE6">
        <w:t>criminal offences regarding use of enduring powers of attorney</w:t>
      </w:r>
      <w:r w:rsidR="0044428C" w:rsidRPr="007B5BE6">
        <w:t xml:space="preserve">, meaning that </w:t>
      </w:r>
      <w:r w:rsidR="00325EB7" w:rsidRPr="007B5BE6">
        <w:t>police hav</w:t>
      </w:r>
      <w:r w:rsidR="0044428C" w:rsidRPr="007B5BE6">
        <w:t>e</w:t>
      </w:r>
      <w:r w:rsidR="00325EB7" w:rsidRPr="007B5BE6">
        <w:t xml:space="preserve"> </w:t>
      </w:r>
      <w:r w:rsidR="00394096" w:rsidRPr="007B5BE6">
        <w:t>little capacity to investigate matters</w:t>
      </w:r>
      <w:r w:rsidR="0044428C" w:rsidRPr="007B5BE6">
        <w:t>. Further,</w:t>
      </w:r>
      <w:r w:rsidR="00745B16" w:rsidRPr="007B5BE6">
        <w:t xml:space="preserve"> </w:t>
      </w:r>
      <w:r w:rsidR="0044428C" w:rsidRPr="007B5BE6">
        <w:t xml:space="preserve">it </w:t>
      </w:r>
      <w:r w:rsidR="006C08F1" w:rsidRPr="007B5BE6">
        <w:t xml:space="preserve">was suggested that, </w:t>
      </w:r>
      <w:r w:rsidR="00394096" w:rsidRPr="007B5BE6">
        <w:t xml:space="preserve">anecdotally, </w:t>
      </w:r>
      <w:r w:rsidR="00FA5AFB" w:rsidRPr="007B5BE6">
        <w:t>older people who are experiencing abuse in this context</w:t>
      </w:r>
      <w:r w:rsidR="00C31BB3" w:rsidRPr="007B5BE6">
        <w:t xml:space="preserve"> </w:t>
      </w:r>
      <w:r w:rsidR="00394096" w:rsidRPr="007B5BE6">
        <w:t xml:space="preserve">do not always favour this sort of approach in </w:t>
      </w:r>
      <w:r w:rsidR="00751818" w:rsidRPr="007B5BE6">
        <w:t>any event</w:t>
      </w:r>
      <w:r w:rsidR="00394096" w:rsidRPr="007B5BE6">
        <w:t>.</w:t>
      </w:r>
      <w:r w:rsidR="00EB771A" w:rsidRPr="007B5BE6">
        <w:rPr>
          <w:rStyle w:val="FootnoteReference"/>
        </w:rPr>
        <w:footnoteReference w:id="745"/>
      </w:r>
      <w:r w:rsidR="00394096" w:rsidRPr="007B5BE6">
        <w:t xml:space="preserve"> Further, although TASCAT ha</w:t>
      </w:r>
      <w:r w:rsidR="00101E1D" w:rsidRPr="007B5BE6">
        <w:t>s</w:t>
      </w:r>
      <w:r w:rsidR="00394096" w:rsidRPr="007B5BE6">
        <w:t xml:space="preserve"> some powers to act to remove an enduring power of attorney when concerns are raised, there are </w:t>
      </w:r>
      <w:r w:rsidR="00751818" w:rsidRPr="007B5BE6">
        <w:t xml:space="preserve">also </w:t>
      </w:r>
      <w:r w:rsidR="00394096" w:rsidRPr="007B5BE6">
        <w:t xml:space="preserve">limits on </w:t>
      </w:r>
      <w:r w:rsidR="00751818" w:rsidRPr="007B5BE6">
        <w:t xml:space="preserve">the effectiveness of this option. </w:t>
      </w:r>
      <w:r w:rsidR="00325EB7" w:rsidRPr="007B5BE6">
        <w:t xml:space="preserve">Examples </w:t>
      </w:r>
      <w:r w:rsidR="00751818" w:rsidRPr="007B5BE6">
        <w:t xml:space="preserve">included </w:t>
      </w:r>
      <w:r w:rsidR="007A04A7" w:rsidRPr="007B5BE6">
        <w:t xml:space="preserve">a lack of certainty around whether </w:t>
      </w:r>
      <w:r w:rsidR="00394096" w:rsidRPr="007B5BE6">
        <w:t xml:space="preserve">agencies </w:t>
      </w:r>
      <w:r w:rsidR="005D4659" w:rsidRPr="007B5BE6">
        <w:t>that form part of the</w:t>
      </w:r>
      <w:r w:rsidR="00394096" w:rsidRPr="007B5BE6">
        <w:t xml:space="preserve"> specialist service response </w:t>
      </w:r>
      <w:r w:rsidR="005D4659" w:rsidRPr="007B5BE6">
        <w:t xml:space="preserve">(for example, Senior Assist) </w:t>
      </w:r>
      <w:r w:rsidR="00394096" w:rsidRPr="007B5BE6">
        <w:t>can refer matters to TASCAT</w:t>
      </w:r>
      <w:r w:rsidR="00325EB7" w:rsidRPr="007B5BE6">
        <w:t>,</w:t>
      </w:r>
      <w:r w:rsidR="00394096" w:rsidRPr="007B5BE6">
        <w:t xml:space="preserve"> and a</w:t>
      </w:r>
      <w:r w:rsidR="00325EB7" w:rsidRPr="007B5BE6">
        <w:t xml:space="preserve"> possible</w:t>
      </w:r>
      <w:r w:rsidR="00394096" w:rsidRPr="007B5BE6">
        <w:t xml:space="preserve"> reluctance of people, such as other family members or support persons for an older person who is under an enduring instrument, to refer matters to TASCAT.</w:t>
      </w:r>
      <w:r w:rsidR="00EB771A" w:rsidRPr="007B5BE6">
        <w:rPr>
          <w:rStyle w:val="FootnoteReference"/>
        </w:rPr>
        <w:footnoteReference w:id="746"/>
      </w:r>
      <w:r w:rsidR="00394096" w:rsidRPr="007B5BE6">
        <w:t xml:space="preserve"> </w:t>
      </w:r>
    </w:p>
    <w:p w14:paraId="5B3A7B02" w14:textId="576EC0B7" w:rsidR="00394096" w:rsidRPr="007B5BE6" w:rsidRDefault="005D4659" w:rsidP="00394096">
      <w:pPr>
        <w:pStyle w:val="NormalNumberedTextTLRI"/>
      </w:pPr>
      <w:r w:rsidRPr="007B5BE6">
        <w:t>Stakeholders also</w:t>
      </w:r>
      <w:r w:rsidR="00394096" w:rsidRPr="007B5BE6">
        <w:t xml:space="preserve"> identified</w:t>
      </w:r>
      <w:r w:rsidR="009109E1" w:rsidRPr="007B5BE6">
        <w:t xml:space="preserve">, as a key issue, </w:t>
      </w:r>
      <w:r w:rsidR="00394096" w:rsidRPr="007B5BE6">
        <w:t xml:space="preserve">a lack of oversight in </w:t>
      </w:r>
      <w:r w:rsidR="0030270C" w:rsidRPr="007B5BE6">
        <w:t xml:space="preserve">relation to </w:t>
      </w:r>
      <w:r w:rsidR="00394096" w:rsidRPr="007B5BE6">
        <w:t>the making</w:t>
      </w:r>
      <w:r w:rsidR="003B0BF2" w:rsidRPr="007B5BE6">
        <w:t xml:space="preserve">, </w:t>
      </w:r>
      <w:r w:rsidR="00394096" w:rsidRPr="007B5BE6">
        <w:t xml:space="preserve">registration </w:t>
      </w:r>
      <w:r w:rsidR="003B0BF2" w:rsidRPr="007B5BE6">
        <w:t xml:space="preserve">and use </w:t>
      </w:r>
      <w:r w:rsidR="00394096" w:rsidRPr="007B5BE6">
        <w:t xml:space="preserve">of </w:t>
      </w:r>
      <w:r w:rsidR="00FF095C" w:rsidRPr="007B5BE6">
        <w:t>enduring</w:t>
      </w:r>
      <w:r w:rsidR="00394096" w:rsidRPr="007B5BE6">
        <w:t xml:space="preserve"> powers of attorney</w:t>
      </w:r>
      <w:r w:rsidR="00343DDB" w:rsidRPr="007B5BE6">
        <w:t xml:space="preserve">. </w:t>
      </w:r>
      <w:r w:rsidR="00361200" w:rsidRPr="007B5BE6">
        <w:t>This limited</w:t>
      </w:r>
      <w:r w:rsidR="00394096" w:rsidRPr="007B5BE6">
        <w:t xml:space="preserve"> </w:t>
      </w:r>
      <w:r w:rsidR="0015287C" w:rsidRPr="007B5BE6">
        <w:t>capacity for</w:t>
      </w:r>
      <w:r w:rsidR="00361200" w:rsidRPr="007B5BE6">
        <w:t xml:space="preserve"> </w:t>
      </w:r>
      <w:r w:rsidR="00394096" w:rsidRPr="007B5BE6">
        <w:t xml:space="preserve">monitoring </w:t>
      </w:r>
      <w:r w:rsidR="00EC7BF8" w:rsidRPr="007B5BE6">
        <w:t xml:space="preserve">and </w:t>
      </w:r>
      <w:r w:rsidR="00974B6D" w:rsidRPr="007B5BE6">
        <w:t>safeguarding</w:t>
      </w:r>
      <w:r w:rsidR="00EC7BF8" w:rsidRPr="007B5BE6">
        <w:t xml:space="preserve"> </w:t>
      </w:r>
      <w:r w:rsidR="00974B6D" w:rsidRPr="007B5BE6">
        <w:t xml:space="preserve">directed to whether </w:t>
      </w:r>
      <w:r w:rsidR="00361200" w:rsidRPr="007B5BE6">
        <w:t xml:space="preserve">the </w:t>
      </w:r>
      <w:r w:rsidR="00146BF2" w:rsidRPr="007B5BE6">
        <w:t>donor (</w:t>
      </w:r>
      <w:r w:rsidR="0015287C" w:rsidRPr="007B5BE6">
        <w:t xml:space="preserve">the </w:t>
      </w:r>
      <w:r w:rsidR="00146BF2" w:rsidRPr="007B5BE6">
        <w:t>person</w:t>
      </w:r>
      <w:r w:rsidR="00AB1D24" w:rsidRPr="007B5BE6">
        <w:t xml:space="preserve"> </w:t>
      </w:r>
      <w:r w:rsidR="0015287C" w:rsidRPr="007B5BE6">
        <w:t>who gives power of attorney</w:t>
      </w:r>
      <w:r w:rsidR="00AB1D24" w:rsidRPr="007B5BE6">
        <w:t xml:space="preserve">) </w:t>
      </w:r>
      <w:r w:rsidR="00FF095C" w:rsidRPr="007B5BE6">
        <w:t xml:space="preserve">actually </w:t>
      </w:r>
      <w:r w:rsidR="00AB1D24" w:rsidRPr="007B5BE6">
        <w:t xml:space="preserve">does </w:t>
      </w:r>
      <w:r w:rsidR="00FF095C" w:rsidRPr="007B5BE6">
        <w:t xml:space="preserve">lack </w:t>
      </w:r>
      <w:r w:rsidR="00AB1D24" w:rsidRPr="007B5BE6">
        <w:t xml:space="preserve">decision-making ability </w:t>
      </w:r>
      <w:r w:rsidR="00FF095C" w:rsidRPr="007B5BE6">
        <w:t>and/</w:t>
      </w:r>
      <w:r w:rsidR="00394096" w:rsidRPr="007B5BE6">
        <w:t xml:space="preserve">or whether </w:t>
      </w:r>
      <w:r w:rsidR="00760BC3" w:rsidRPr="007B5BE6">
        <w:t xml:space="preserve">powers </w:t>
      </w:r>
      <w:r w:rsidR="0015287C" w:rsidRPr="007B5BE6">
        <w:t xml:space="preserve">are </w:t>
      </w:r>
      <w:r w:rsidR="00760BC3" w:rsidRPr="007B5BE6">
        <w:t>being</w:t>
      </w:r>
      <w:r w:rsidR="00394096" w:rsidRPr="007B5BE6">
        <w:t xml:space="preserve"> exercise</w:t>
      </w:r>
      <w:r w:rsidR="00760BC3" w:rsidRPr="007B5BE6">
        <w:t>d</w:t>
      </w:r>
      <w:r w:rsidR="00394096" w:rsidRPr="007B5BE6">
        <w:t xml:space="preserve"> inappropriately </w:t>
      </w:r>
      <w:r w:rsidR="00760BC3" w:rsidRPr="007B5BE6">
        <w:t>in an</w:t>
      </w:r>
      <w:r w:rsidR="00394096" w:rsidRPr="007B5BE6">
        <w:t xml:space="preserve"> abusive</w:t>
      </w:r>
      <w:r w:rsidR="00760BC3" w:rsidRPr="007B5BE6">
        <w:t xml:space="preserve"> way</w:t>
      </w:r>
      <w:r w:rsidR="00394096" w:rsidRPr="007B5BE6">
        <w:t>.</w:t>
      </w:r>
      <w:r w:rsidR="001244E1" w:rsidRPr="007B5BE6">
        <w:rPr>
          <w:rStyle w:val="FootnoteReference"/>
        </w:rPr>
        <w:footnoteReference w:id="747"/>
      </w:r>
      <w:r w:rsidR="00394096" w:rsidRPr="007B5BE6">
        <w:t xml:space="preserve"> </w:t>
      </w:r>
      <w:r w:rsidR="0015287C" w:rsidRPr="007B5BE6">
        <w:t>Stakeholders observed that, f</w:t>
      </w:r>
      <w:r w:rsidR="00394096" w:rsidRPr="007B5BE6">
        <w:t xml:space="preserve">ollowing registration, </w:t>
      </w:r>
      <w:r w:rsidR="00760BC3" w:rsidRPr="007B5BE6">
        <w:t xml:space="preserve">that </w:t>
      </w:r>
      <w:r w:rsidR="00394096" w:rsidRPr="007B5BE6">
        <w:t>there can be fluctuation</w:t>
      </w:r>
      <w:r w:rsidR="00760BC3" w:rsidRPr="007B5BE6">
        <w:t>s</w:t>
      </w:r>
      <w:r w:rsidR="00394096" w:rsidRPr="007B5BE6">
        <w:t xml:space="preserve"> </w:t>
      </w:r>
      <w:r w:rsidR="00760BC3" w:rsidRPr="007B5BE6">
        <w:t>in</w:t>
      </w:r>
      <w:r w:rsidR="00394096" w:rsidRPr="007B5BE6">
        <w:t xml:space="preserve"> a person’s capacity and there was no oversight of the status of the power of attorney with regard to that</w:t>
      </w:r>
      <w:r w:rsidR="00EF710B">
        <w:t>.</w:t>
      </w:r>
      <w:r w:rsidR="00725B2D" w:rsidRPr="007B5BE6">
        <w:rPr>
          <w:rStyle w:val="FootnoteReference"/>
        </w:rPr>
        <w:footnoteReference w:id="748"/>
      </w:r>
      <w:r w:rsidR="00EF710B">
        <w:t xml:space="preserve"> For example, one stakeholder </w:t>
      </w:r>
      <w:r w:rsidR="008F564F">
        <w:t>identified as</w:t>
      </w:r>
      <w:r w:rsidR="002C3A83">
        <w:t xml:space="preserve"> glaring issue</w:t>
      </w:r>
      <w:r w:rsidR="008F564F">
        <w:t>s</w:t>
      </w:r>
      <w:r w:rsidR="002C3A83">
        <w:t xml:space="preserve"> that a power of attorney only needs to be registered in order to be valid </w:t>
      </w:r>
      <w:r w:rsidR="008F564F">
        <w:t xml:space="preserve">and that there appeared to be little onus on banks or other relevant entities to verify </w:t>
      </w:r>
      <w:r w:rsidR="001E7089">
        <w:t xml:space="preserve">the </w:t>
      </w:r>
      <w:r w:rsidR="008F564F">
        <w:t>capacity of a person under such an arrangement</w:t>
      </w:r>
      <w:r w:rsidR="001E7089">
        <w:t xml:space="preserve">, including </w:t>
      </w:r>
      <w:r w:rsidR="008F564F">
        <w:t xml:space="preserve">whether </w:t>
      </w:r>
      <w:r w:rsidR="001E7089">
        <w:t xml:space="preserve">an appointed attorney was </w:t>
      </w:r>
      <w:r w:rsidR="008F564F">
        <w:t xml:space="preserve">acting under a general </w:t>
      </w:r>
      <w:r w:rsidR="006B639C">
        <w:t xml:space="preserve">power of attorney </w:t>
      </w:r>
      <w:r w:rsidR="008F564F">
        <w:t xml:space="preserve">or </w:t>
      </w:r>
      <w:r w:rsidR="006B639C">
        <w:t xml:space="preserve">in an </w:t>
      </w:r>
      <w:r w:rsidR="008F564F">
        <w:t xml:space="preserve">enduring </w:t>
      </w:r>
      <w:r w:rsidR="00230B1E">
        <w:t>phase of a</w:t>
      </w:r>
      <w:r w:rsidR="006B639C">
        <w:t xml:space="preserve"> power of attorney</w:t>
      </w:r>
      <w:r w:rsidR="00230B1E">
        <w:t xml:space="preserve">. </w:t>
      </w:r>
      <w:r w:rsidR="00A355B0">
        <w:t>Th</w:t>
      </w:r>
      <w:r w:rsidR="00884650">
        <w:t xml:space="preserve">is was seen to have significant implications for the protection of people who have granted a power of attorney </w:t>
      </w:r>
      <w:r w:rsidR="001E7089">
        <w:t>to another person</w:t>
      </w:r>
      <w:r w:rsidR="00816415">
        <w:t>,</w:t>
      </w:r>
      <w:r w:rsidR="001E7089">
        <w:t xml:space="preserve"> because </w:t>
      </w:r>
      <w:r w:rsidR="007317ED">
        <w:t xml:space="preserve">decision-making powers </w:t>
      </w:r>
      <w:r w:rsidR="00884650">
        <w:t xml:space="preserve">could effectively be </w:t>
      </w:r>
      <w:r w:rsidR="007317ED">
        <w:t xml:space="preserve">exercised </w:t>
      </w:r>
      <w:r w:rsidR="001E7089">
        <w:t xml:space="preserve">once the instrument </w:t>
      </w:r>
      <w:r w:rsidR="007317ED">
        <w:t xml:space="preserve">had been </w:t>
      </w:r>
      <w:r w:rsidR="00884650">
        <w:t>registered</w:t>
      </w:r>
      <w:r w:rsidR="001E7089">
        <w:t>,</w:t>
      </w:r>
      <w:r w:rsidR="00884650">
        <w:t xml:space="preserve"> with little oversight </w:t>
      </w:r>
      <w:r w:rsidR="005856A5">
        <w:t>over</w:t>
      </w:r>
      <w:r w:rsidR="00884650">
        <w:t xml:space="preserve"> th</w:t>
      </w:r>
      <w:r w:rsidR="007317ED">
        <w:t xml:space="preserve">e validity of </w:t>
      </w:r>
      <w:r w:rsidR="00794CCD">
        <w:t>any subsequent</w:t>
      </w:r>
      <w:r w:rsidR="007317ED">
        <w:t xml:space="preserve"> use.</w:t>
      </w:r>
      <w:r w:rsidR="007317ED">
        <w:rPr>
          <w:rStyle w:val="FootnoteReference"/>
        </w:rPr>
        <w:footnoteReference w:id="749"/>
      </w:r>
      <w:r w:rsidR="008F564F">
        <w:t xml:space="preserve"> </w:t>
      </w:r>
    </w:p>
    <w:p w14:paraId="50ACC2F8" w14:textId="5E03C988" w:rsidR="00394096" w:rsidRPr="007B5BE6" w:rsidRDefault="00394096" w:rsidP="005F7BEF">
      <w:pPr>
        <w:pStyle w:val="NormalNumberedTextTLRI"/>
      </w:pPr>
      <w:r w:rsidRPr="007B5BE6">
        <w:t xml:space="preserve">Family dynamics were </w:t>
      </w:r>
      <w:r w:rsidR="00725B2D" w:rsidRPr="007B5BE6">
        <w:t xml:space="preserve">identified </w:t>
      </w:r>
      <w:r w:rsidR="00A16E12" w:rsidRPr="007B5BE6">
        <w:t xml:space="preserve">by stakeholders </w:t>
      </w:r>
      <w:r w:rsidR="00725B2D" w:rsidRPr="007B5BE6">
        <w:t>as presenting</w:t>
      </w:r>
      <w:r w:rsidRPr="007B5BE6">
        <w:t xml:space="preserve"> challenges under such decision-making instruments, where the situation can become very complex, ‘fraught’ and a ‘minefield’. A stakeholder gave an example where one family member may have concerns about how another family member was acting under an enduring power of attorney; however, the donor was not willing to challenge</w:t>
      </w:r>
      <w:r w:rsidR="006B18D9" w:rsidRPr="007B5BE6">
        <w:t>,</w:t>
      </w:r>
      <w:r w:rsidRPr="007B5BE6">
        <w:t xml:space="preserve"> or raise a concern about</w:t>
      </w:r>
      <w:r w:rsidR="00AF4977" w:rsidRPr="007B5BE6">
        <w:t>,</w:t>
      </w:r>
      <w:r w:rsidRPr="007B5BE6">
        <w:t xml:space="preserve"> the behaviour.</w:t>
      </w:r>
      <w:r w:rsidR="001244E1" w:rsidRPr="007B5BE6">
        <w:rPr>
          <w:rStyle w:val="FootnoteReference"/>
        </w:rPr>
        <w:footnoteReference w:id="750"/>
      </w:r>
      <w:r w:rsidRPr="007B5BE6">
        <w:t xml:space="preserve"> </w:t>
      </w:r>
    </w:p>
    <w:p w14:paraId="7A4B2061" w14:textId="29A06512" w:rsidR="00394096" w:rsidRPr="007B5BE6" w:rsidRDefault="00A16E12" w:rsidP="00394096">
      <w:pPr>
        <w:pStyle w:val="NormalNumberedTextTLRI"/>
      </w:pPr>
      <w:r w:rsidRPr="007B5BE6">
        <w:t>Stakeholders also raised c</w:t>
      </w:r>
      <w:r w:rsidR="004B2614" w:rsidRPr="007B5BE6">
        <w:t>oncerns about</w:t>
      </w:r>
      <w:r w:rsidR="00394096" w:rsidRPr="007B5BE6">
        <w:t xml:space="preserve"> the level of knowledge and understanding in the community of people who are granted powers of attorney around the role</w:t>
      </w:r>
      <w:r w:rsidR="00AF4977" w:rsidRPr="007B5BE6">
        <w:t>,</w:t>
      </w:r>
      <w:r w:rsidRPr="007B5BE6">
        <w:t xml:space="preserve"> including its </w:t>
      </w:r>
      <w:r w:rsidR="00394096" w:rsidRPr="007B5BE6">
        <w:t xml:space="preserve">responsibilities and powers. </w:t>
      </w:r>
      <w:r w:rsidR="00FC49F4" w:rsidRPr="007B5BE6">
        <w:t xml:space="preserve">Education was </w:t>
      </w:r>
      <w:r w:rsidRPr="007B5BE6">
        <w:t xml:space="preserve">therefore </w:t>
      </w:r>
      <w:r w:rsidR="00FC49F4" w:rsidRPr="007B5BE6">
        <w:t xml:space="preserve">viewed as being </w:t>
      </w:r>
      <w:r w:rsidR="00C91E46" w:rsidRPr="007B5BE6">
        <w:t>important</w:t>
      </w:r>
      <w:r w:rsidR="001328D1" w:rsidRPr="007B5BE6">
        <w:t>, particular</w:t>
      </w:r>
      <w:r w:rsidRPr="007B5BE6">
        <w:t>ly</w:t>
      </w:r>
      <w:r w:rsidR="001328D1" w:rsidRPr="007B5BE6">
        <w:t xml:space="preserve"> in light of challenges that exist in accessing appropriate legal avenues for redress</w:t>
      </w:r>
      <w:r w:rsidR="00C91E46" w:rsidRPr="007B5BE6">
        <w:t>.</w:t>
      </w:r>
      <w:r w:rsidR="001328D1" w:rsidRPr="007B5BE6">
        <w:rPr>
          <w:rStyle w:val="FootnoteReference"/>
        </w:rPr>
        <w:footnoteReference w:id="751"/>
      </w:r>
      <w:r w:rsidR="00C91E46" w:rsidRPr="007B5BE6">
        <w:t xml:space="preserve"> </w:t>
      </w:r>
      <w:r w:rsidR="00394096" w:rsidRPr="007B5BE6">
        <w:t>It was noted that</w:t>
      </w:r>
      <w:r w:rsidR="00CA3949" w:rsidRPr="007B5BE6">
        <w:t xml:space="preserve">, in Tasmania, </w:t>
      </w:r>
      <w:r w:rsidR="00394096" w:rsidRPr="007B5BE6">
        <w:t xml:space="preserve">work is </w:t>
      </w:r>
      <w:r w:rsidR="00394096" w:rsidRPr="007B5BE6">
        <w:lastRenderedPageBreak/>
        <w:t xml:space="preserve">already being </w:t>
      </w:r>
      <w:r w:rsidR="004B2614" w:rsidRPr="007B5BE6">
        <w:t>undertaken</w:t>
      </w:r>
      <w:r w:rsidR="00394096" w:rsidRPr="007B5BE6">
        <w:t xml:space="preserve"> by </w:t>
      </w:r>
      <w:r w:rsidR="004B2614" w:rsidRPr="007B5BE6">
        <w:t>those</w:t>
      </w:r>
      <w:r w:rsidR="00394096" w:rsidRPr="007B5BE6">
        <w:t xml:space="preserve"> involved in specialist service response</w:t>
      </w:r>
      <w:r w:rsidRPr="007B5BE6">
        <w:t>s</w:t>
      </w:r>
      <w:r w:rsidR="00394096" w:rsidRPr="007B5BE6">
        <w:t xml:space="preserve"> </w:t>
      </w:r>
      <w:r w:rsidR="00CA3949" w:rsidRPr="007B5BE6">
        <w:t xml:space="preserve">focused on addressing abuse </w:t>
      </w:r>
      <w:r w:rsidR="00394096" w:rsidRPr="007B5BE6">
        <w:t>to educate older people regarding these issues</w:t>
      </w:r>
      <w:r w:rsidR="007A499F" w:rsidRPr="007B5BE6">
        <w:t>,</w:t>
      </w:r>
      <w:r w:rsidR="00394096" w:rsidRPr="007B5BE6">
        <w:t xml:space="preserve"> and also </w:t>
      </w:r>
      <w:r w:rsidR="004B2614" w:rsidRPr="007B5BE6">
        <w:t xml:space="preserve">to provide education </w:t>
      </w:r>
      <w:r w:rsidR="00394096" w:rsidRPr="007B5BE6">
        <w:t>for people who may have enduring powers of attorney.</w:t>
      </w:r>
      <w:r w:rsidR="001056F2" w:rsidRPr="007B5BE6">
        <w:rPr>
          <w:rStyle w:val="FootnoteReference"/>
        </w:rPr>
        <w:footnoteReference w:id="752"/>
      </w:r>
      <w:r w:rsidR="00394096" w:rsidRPr="007B5BE6">
        <w:t xml:space="preserve"> However, some stakeholders noted that the current approach to education</w:t>
      </w:r>
      <w:r w:rsidR="00A9746C" w:rsidRPr="007B5BE6">
        <w:t xml:space="preserve"> for older people</w:t>
      </w:r>
      <w:r w:rsidR="007A499F" w:rsidRPr="007B5BE6">
        <w:t xml:space="preserve">, through </w:t>
      </w:r>
      <w:r w:rsidR="00394096" w:rsidRPr="007B5BE6">
        <w:t>community education sessions</w:t>
      </w:r>
      <w:r w:rsidR="007A499F" w:rsidRPr="007B5BE6">
        <w:t>,</w:t>
      </w:r>
      <w:r w:rsidR="00394096" w:rsidRPr="007B5BE6">
        <w:t xml:space="preserve"> had limited reach</w:t>
      </w:r>
      <w:r w:rsidR="00A9746C" w:rsidRPr="007B5BE6">
        <w:t xml:space="preserve">; suggesting that there was a need for </w:t>
      </w:r>
      <w:r w:rsidR="00394096" w:rsidRPr="007B5BE6">
        <w:t xml:space="preserve">more education targeted to people appointed </w:t>
      </w:r>
      <w:r w:rsidR="002412A4" w:rsidRPr="007B5BE6">
        <w:t>under</w:t>
      </w:r>
      <w:r w:rsidR="00394096" w:rsidRPr="007B5BE6">
        <w:t xml:space="preserve"> power</w:t>
      </w:r>
      <w:r w:rsidR="002412A4" w:rsidRPr="007B5BE6">
        <w:t>s</w:t>
      </w:r>
      <w:r w:rsidR="00394096" w:rsidRPr="007B5BE6">
        <w:t xml:space="preserve"> of attorney.</w:t>
      </w:r>
      <w:r w:rsidR="001056F2" w:rsidRPr="007B5BE6">
        <w:rPr>
          <w:rStyle w:val="FootnoteReference"/>
        </w:rPr>
        <w:footnoteReference w:id="753"/>
      </w:r>
      <w:r w:rsidR="00394096" w:rsidRPr="007B5BE6">
        <w:t xml:space="preserve"> </w:t>
      </w:r>
      <w:r w:rsidR="006673EF" w:rsidRPr="007B5BE6">
        <w:t>For</w:t>
      </w:r>
      <w:r w:rsidR="00394096" w:rsidRPr="007B5BE6">
        <w:t xml:space="preserve"> example, </w:t>
      </w:r>
      <w:r w:rsidR="00D56BC6" w:rsidRPr="007B5BE6">
        <w:t xml:space="preserve">one stakeholder noted that, </w:t>
      </w:r>
      <w:r w:rsidR="00394096" w:rsidRPr="007B5BE6">
        <w:t xml:space="preserve">in circumstances </w:t>
      </w:r>
      <w:r w:rsidR="006673EF" w:rsidRPr="007B5BE6">
        <w:t>where a</w:t>
      </w:r>
      <w:r w:rsidR="00702FE4" w:rsidRPr="007B5BE6">
        <w:t xml:space="preserve">n appointee </w:t>
      </w:r>
      <w:r w:rsidR="006673EF" w:rsidRPr="007B5BE6">
        <w:t xml:space="preserve">is </w:t>
      </w:r>
      <w:r w:rsidR="003265CB" w:rsidRPr="007B5BE6">
        <w:t>acting inappropriately</w:t>
      </w:r>
      <w:r w:rsidR="00702FE4" w:rsidRPr="007B5BE6">
        <w:t xml:space="preserve"> under a power of attorney</w:t>
      </w:r>
      <w:r w:rsidR="00B51FFD" w:rsidRPr="007B5BE6">
        <w:t xml:space="preserve">, </w:t>
      </w:r>
      <w:r w:rsidR="00394096" w:rsidRPr="007B5BE6">
        <w:t xml:space="preserve">all that can really be done is to refer </w:t>
      </w:r>
      <w:r w:rsidR="00D56BC6" w:rsidRPr="007B5BE6">
        <w:t xml:space="preserve">them </w:t>
      </w:r>
      <w:r w:rsidR="00394096" w:rsidRPr="007B5BE6">
        <w:t xml:space="preserve">to the </w:t>
      </w:r>
      <w:r w:rsidR="00394096" w:rsidRPr="007B5BE6">
        <w:rPr>
          <w:i/>
          <w:iCs/>
        </w:rPr>
        <w:t>Powers of Attorney Act 2000</w:t>
      </w:r>
      <w:r w:rsidR="00394096" w:rsidRPr="007B5BE6">
        <w:t xml:space="preserve"> (Tas)</w:t>
      </w:r>
      <w:r w:rsidR="002412A4" w:rsidRPr="007B5BE6">
        <w:t>, with the aim of explaining</w:t>
      </w:r>
      <w:r w:rsidR="00394096" w:rsidRPr="007B5BE6">
        <w:t xml:space="preserve"> what they </w:t>
      </w:r>
      <w:r w:rsidR="00DF622A" w:rsidRPr="007B5BE6">
        <w:t xml:space="preserve">are </w:t>
      </w:r>
      <w:r w:rsidR="0033531F" w:rsidRPr="007B5BE6">
        <w:t>not allowed to</w:t>
      </w:r>
      <w:r w:rsidR="00394096" w:rsidRPr="007B5BE6">
        <w:t xml:space="preserve"> do</w:t>
      </w:r>
      <w:r w:rsidR="002412A4" w:rsidRPr="007B5BE6">
        <w:t>,</w:t>
      </w:r>
      <w:r w:rsidR="00394096" w:rsidRPr="007B5BE6">
        <w:t xml:space="preserve"> </w:t>
      </w:r>
      <w:r w:rsidR="006F132D" w:rsidRPr="007B5BE6">
        <w:t xml:space="preserve">and </w:t>
      </w:r>
      <w:r w:rsidR="002412A4" w:rsidRPr="007B5BE6">
        <w:t xml:space="preserve">to </w:t>
      </w:r>
      <w:r w:rsidR="00394096" w:rsidRPr="007B5BE6">
        <w:t xml:space="preserve">send </w:t>
      </w:r>
      <w:r w:rsidR="0033531F" w:rsidRPr="007B5BE6">
        <w:t xml:space="preserve">them </w:t>
      </w:r>
      <w:r w:rsidR="00394096" w:rsidRPr="007B5BE6">
        <w:t xml:space="preserve">an information brochure. </w:t>
      </w:r>
    </w:p>
    <w:p w14:paraId="40F88695" w14:textId="0952258E" w:rsidR="00EB7410" w:rsidRPr="007B5BE6" w:rsidRDefault="00EB7410" w:rsidP="00EB7410">
      <w:pPr>
        <w:pStyle w:val="NormalNumberedTextTLRI"/>
      </w:pPr>
      <w:r w:rsidRPr="007B5BE6">
        <w:t>Another theme raised by stakeholders</w:t>
      </w:r>
      <w:r w:rsidR="008775AD" w:rsidRPr="007B5BE6">
        <w:t>,</w:t>
      </w:r>
      <w:r w:rsidRPr="007B5BE6">
        <w:t xml:space="preserve"> regarding powers of attorney</w:t>
      </w:r>
      <w:r w:rsidR="008775AD" w:rsidRPr="007B5BE6">
        <w:t>,</w:t>
      </w:r>
      <w:r w:rsidRPr="007B5BE6">
        <w:t xml:space="preserve"> was that there is little that can be done under current legislative frameworks to recover assets or property. There are safeguards currently available through TASCAT’s powers to remove and replace an enduring power of attorney. However, TASCAT has no powers to make orders to assist in recovering money or property that has been lost </w:t>
      </w:r>
      <w:r w:rsidR="002412A4" w:rsidRPr="007B5BE6">
        <w:t>due to</w:t>
      </w:r>
      <w:r w:rsidRPr="007B5BE6">
        <w:t xml:space="preserve"> misuse of </w:t>
      </w:r>
      <w:r w:rsidR="002412A4" w:rsidRPr="007B5BE6">
        <w:t xml:space="preserve">a </w:t>
      </w:r>
      <w:r w:rsidRPr="007B5BE6">
        <w:t>power of attorney or where a person is acting under a</w:t>
      </w:r>
      <w:r w:rsidR="002412A4" w:rsidRPr="007B5BE6">
        <w:t>n invalid</w:t>
      </w:r>
      <w:r w:rsidRPr="007B5BE6">
        <w:t xml:space="preserve"> power of attorney. Insights from the </w:t>
      </w:r>
      <w:r w:rsidR="002412A4" w:rsidRPr="007B5BE6">
        <w:t xml:space="preserve">TLRI’s </w:t>
      </w:r>
      <w:r w:rsidRPr="007B5BE6">
        <w:t xml:space="preserve">analysis of guardianship </w:t>
      </w:r>
      <w:r w:rsidR="00376AAE" w:rsidRPr="007B5BE6">
        <w:t xml:space="preserve">and administration </w:t>
      </w:r>
      <w:r w:rsidRPr="007B5BE6">
        <w:t xml:space="preserve">cases also demonstrate the </w:t>
      </w:r>
      <w:r w:rsidR="00B721A3" w:rsidRPr="007B5BE6">
        <w:t xml:space="preserve">limits on action that can be taken </w:t>
      </w:r>
      <w:r w:rsidR="00A233A9" w:rsidRPr="007B5BE6">
        <w:t>to pursue other</w:t>
      </w:r>
      <w:r w:rsidRPr="007B5BE6">
        <w:t xml:space="preserve"> legal remedies</w:t>
      </w:r>
      <w:r w:rsidR="00413688" w:rsidRPr="007B5BE6">
        <w:t>, for example</w:t>
      </w:r>
      <w:r w:rsidRPr="007B5BE6">
        <w:t xml:space="preserve"> </w:t>
      </w:r>
      <w:r w:rsidR="0076485E" w:rsidRPr="007B5BE6">
        <w:t>through</w:t>
      </w:r>
      <w:r w:rsidR="00911113" w:rsidRPr="007B5BE6">
        <w:t xml:space="preserve"> </w:t>
      </w:r>
      <w:r w:rsidR="009C4E0F" w:rsidRPr="007B5BE6">
        <w:t xml:space="preserve">a </w:t>
      </w:r>
      <w:r w:rsidR="00CD3A8E" w:rsidRPr="007B5BE6">
        <w:t>TASCAT</w:t>
      </w:r>
      <w:r w:rsidR="002412A4" w:rsidRPr="007B5BE6">
        <w:t>-</w:t>
      </w:r>
      <w:r w:rsidR="00376AAE" w:rsidRPr="007B5BE6">
        <w:t>appointed</w:t>
      </w:r>
      <w:r w:rsidR="00CD3A8E" w:rsidRPr="007B5BE6">
        <w:t xml:space="preserve"> </w:t>
      </w:r>
      <w:r w:rsidR="00376AAE" w:rsidRPr="007B5BE6">
        <w:t>administrator</w:t>
      </w:r>
      <w:r w:rsidRPr="007B5BE6">
        <w:t xml:space="preserve"> </w:t>
      </w:r>
      <w:r w:rsidR="00376AAE" w:rsidRPr="007B5BE6">
        <w:t xml:space="preserve">to </w:t>
      </w:r>
      <w:r w:rsidRPr="007B5BE6">
        <w:t>assist in recovering property or money under existing civil laws.</w:t>
      </w:r>
      <w:r w:rsidR="001056F2" w:rsidRPr="007B5BE6">
        <w:rPr>
          <w:rStyle w:val="FootnoteReference"/>
        </w:rPr>
        <w:footnoteReference w:id="754"/>
      </w:r>
      <w:r w:rsidRPr="007B5BE6">
        <w:t xml:space="preserve"> </w:t>
      </w:r>
    </w:p>
    <w:p w14:paraId="3668D0A0" w14:textId="3A8E65B6" w:rsidR="00394096" w:rsidRPr="007B5BE6" w:rsidRDefault="007E5623" w:rsidP="005F7BEF">
      <w:pPr>
        <w:pStyle w:val="NormalNumberedTextTLRI"/>
      </w:pPr>
      <w:r w:rsidRPr="007B5BE6">
        <w:t>Stakeholders also raised t</w:t>
      </w:r>
      <w:r w:rsidR="00ED30A0" w:rsidRPr="007B5BE6">
        <w:t>he</w:t>
      </w:r>
      <w:r w:rsidR="00394096" w:rsidRPr="007B5BE6">
        <w:t xml:space="preserve"> lack of consistency between enduring powers of attorney laws </w:t>
      </w:r>
      <w:r w:rsidRPr="007B5BE6">
        <w:t xml:space="preserve">in </w:t>
      </w:r>
      <w:r w:rsidR="00394096" w:rsidRPr="007B5BE6">
        <w:t xml:space="preserve">Australian jurisdictions. </w:t>
      </w:r>
      <w:proofErr w:type="gramStart"/>
      <w:r w:rsidR="00F16425" w:rsidRPr="007B5BE6">
        <w:t>As a consequence</w:t>
      </w:r>
      <w:proofErr w:type="gramEnd"/>
      <w:r w:rsidR="00F16425" w:rsidRPr="007B5BE6">
        <w:t>, i</w:t>
      </w:r>
      <w:r w:rsidR="00394096" w:rsidRPr="007B5BE6">
        <w:t xml:space="preserve">ssues can arise when an enduring power of attorney </w:t>
      </w:r>
      <w:r w:rsidR="00A83C69" w:rsidRPr="007B5BE6">
        <w:t xml:space="preserve">has </w:t>
      </w:r>
      <w:r w:rsidR="00394096" w:rsidRPr="007B5BE6">
        <w:t>originated in another Australian state or territory but is not registered in Tasmania</w:t>
      </w:r>
      <w:r w:rsidR="00A83C69" w:rsidRPr="007B5BE6">
        <w:t xml:space="preserve">. In these circumstances, the power of attorney </w:t>
      </w:r>
      <w:r w:rsidR="00F16425" w:rsidRPr="007B5BE6">
        <w:t xml:space="preserve">may </w:t>
      </w:r>
      <w:r w:rsidR="00D55CA9" w:rsidRPr="007B5BE6">
        <w:t>be</w:t>
      </w:r>
      <w:r w:rsidR="00A83C69" w:rsidRPr="007B5BE6">
        <w:t xml:space="preserve"> </w:t>
      </w:r>
      <w:r w:rsidR="00394096" w:rsidRPr="007B5BE6">
        <w:t>control</w:t>
      </w:r>
      <w:r w:rsidR="00A83C69" w:rsidRPr="007B5BE6">
        <w:t xml:space="preserve">ling </w:t>
      </w:r>
      <w:r w:rsidR="00394096" w:rsidRPr="007B5BE6">
        <w:t xml:space="preserve">an older person’s finances from interstate, </w:t>
      </w:r>
      <w:r w:rsidR="00FA5056" w:rsidRPr="007B5BE6">
        <w:t xml:space="preserve">meaning </w:t>
      </w:r>
      <w:r w:rsidR="00394096" w:rsidRPr="007B5BE6">
        <w:t>there are little options for recourse or actions that Tasmanian services can take who may be assisting the older person</w:t>
      </w:r>
      <w:r w:rsidR="00FA5056" w:rsidRPr="007B5BE6">
        <w:t xml:space="preserve"> (if</w:t>
      </w:r>
      <w:r w:rsidR="00F42127" w:rsidRPr="007B5BE6">
        <w:t xml:space="preserve">, for example, </w:t>
      </w:r>
      <w:r w:rsidR="00FA5056" w:rsidRPr="007B5BE6">
        <w:t>th</w:t>
      </w:r>
      <w:r w:rsidR="00F42127" w:rsidRPr="007B5BE6">
        <w:t>e appointee is misusing the power of attorney)</w:t>
      </w:r>
      <w:r w:rsidR="00394096" w:rsidRPr="007B5BE6">
        <w:t>.</w:t>
      </w:r>
      <w:r w:rsidR="001056F2" w:rsidRPr="007B5BE6">
        <w:rPr>
          <w:rStyle w:val="FootnoteReference"/>
        </w:rPr>
        <w:footnoteReference w:id="755"/>
      </w:r>
      <w:r w:rsidR="00394096" w:rsidRPr="007B5BE6">
        <w:t xml:space="preserve"> </w:t>
      </w:r>
      <w:r w:rsidR="0076243A" w:rsidRPr="007B5BE6">
        <w:t xml:space="preserve">As noted at </w:t>
      </w:r>
      <w:r w:rsidR="00DD1734" w:rsidRPr="007B5BE6">
        <w:t>[5.4.19]</w:t>
      </w:r>
      <w:r w:rsidR="0076243A" w:rsidRPr="007B5BE6">
        <w:t>, th</w:t>
      </w:r>
      <w:r w:rsidR="00A83C69" w:rsidRPr="007B5BE6">
        <w:t xml:space="preserve">e </w:t>
      </w:r>
      <w:r w:rsidR="0076243A" w:rsidRPr="007B5BE6">
        <w:t>matter</w:t>
      </w:r>
      <w:r w:rsidR="00A83C69" w:rsidRPr="007B5BE6">
        <w:t xml:space="preserve"> of lack of inter-jurisdictional consistency</w:t>
      </w:r>
      <w:r w:rsidR="0076243A" w:rsidRPr="007B5BE6">
        <w:t xml:space="preserve"> is currently under </w:t>
      </w:r>
      <w:r w:rsidR="00CA017A" w:rsidRPr="007B5BE6">
        <w:t xml:space="preserve">consideration. </w:t>
      </w:r>
    </w:p>
    <w:p w14:paraId="26721535" w14:textId="176146D7" w:rsidR="00585752" w:rsidRPr="007B5BE6" w:rsidRDefault="00585752" w:rsidP="00D67277">
      <w:pPr>
        <w:pStyle w:val="Sub-HeadingTLRI"/>
        <w:spacing w:before="360"/>
      </w:pPr>
      <w:bookmarkStart w:id="625" w:name="_Toc212561827"/>
      <w:r w:rsidRPr="007B5BE6">
        <w:t>Previous research</w:t>
      </w:r>
      <w:bookmarkEnd w:id="625"/>
      <w:r w:rsidRPr="007B5BE6">
        <w:t xml:space="preserve"> </w:t>
      </w:r>
    </w:p>
    <w:p w14:paraId="54DD9370" w14:textId="567D338A" w:rsidR="008B0C4B" w:rsidRDefault="000F4A6C" w:rsidP="00183A2A">
      <w:pPr>
        <w:pStyle w:val="NormalNumberedTextTLRI"/>
      </w:pPr>
      <w:r w:rsidRPr="007B5BE6">
        <w:t>An</w:t>
      </w:r>
      <w:r w:rsidR="00585752" w:rsidRPr="007B5BE6">
        <w:t xml:space="preserve"> Australian Human Rights Commission report </w:t>
      </w:r>
      <w:r w:rsidRPr="007B5BE6">
        <w:t xml:space="preserve">examining powers of attorney </w:t>
      </w:r>
      <w:r w:rsidR="00225D39" w:rsidRPr="007B5BE6">
        <w:t xml:space="preserve">found </w:t>
      </w:r>
      <w:r w:rsidR="00585752" w:rsidRPr="007B5BE6">
        <w:t>that two in five people (37%) ‘had granted an enduring power of attorney to someone who showed characteristics identified as risk for perpetrating elder abuse’.</w:t>
      </w:r>
      <w:r w:rsidR="00E80167" w:rsidRPr="007B5BE6">
        <w:rPr>
          <w:rStyle w:val="FootnoteReference"/>
        </w:rPr>
        <w:footnoteReference w:id="756"/>
      </w:r>
      <w:r w:rsidR="00585752" w:rsidRPr="007B5BE6">
        <w:t xml:space="preserve"> </w:t>
      </w:r>
      <w:r w:rsidRPr="007B5BE6">
        <w:t>The report</w:t>
      </w:r>
      <w:r w:rsidR="00585752" w:rsidRPr="007B5BE6">
        <w:t xml:space="preserve"> also identified that a critical issue regarding misuse of powers of attorney was a lack of education, including for </w:t>
      </w:r>
      <w:r w:rsidR="006826D7" w:rsidRPr="007B5BE6">
        <w:t xml:space="preserve">people </w:t>
      </w:r>
      <w:r w:rsidR="00585752" w:rsidRPr="007B5BE6">
        <w:t>granted powers of attorney</w:t>
      </w:r>
      <w:r w:rsidR="006826D7" w:rsidRPr="007B5BE6">
        <w:t>, with a n</w:t>
      </w:r>
      <w:r w:rsidR="00585752" w:rsidRPr="007B5BE6">
        <w:t xml:space="preserve">eed for </w:t>
      </w:r>
      <w:r w:rsidR="006826D7" w:rsidRPr="007B5BE6">
        <w:t xml:space="preserve">a </w:t>
      </w:r>
      <w:r w:rsidR="00585752" w:rsidRPr="007B5BE6">
        <w:t>standardised approach to delivering this education.</w:t>
      </w:r>
      <w:r w:rsidR="005E494E" w:rsidRPr="007B5BE6">
        <w:rPr>
          <w:rStyle w:val="FootnoteReference"/>
        </w:rPr>
        <w:footnoteReference w:id="757"/>
      </w:r>
      <w:r w:rsidR="00585752" w:rsidRPr="007B5BE6">
        <w:t xml:space="preserve"> </w:t>
      </w:r>
      <w:r w:rsidR="00F67BD4" w:rsidRPr="007B5BE6">
        <w:t>As noted, t</w:t>
      </w:r>
      <w:r w:rsidR="00585752" w:rsidRPr="007B5BE6">
        <w:t xml:space="preserve">his was also a strong theme in the TLRI’s stakeholder interviews. </w:t>
      </w:r>
    </w:p>
    <w:p w14:paraId="1C2F0815" w14:textId="77777777" w:rsidR="008B0C4B" w:rsidRDefault="008B0C4B">
      <w:pPr>
        <w:spacing w:after="200" w:line="276" w:lineRule="auto"/>
        <w:jc w:val="left"/>
        <w:rPr>
          <w:rFonts w:eastAsia="Times" w:cs="Times New Roman"/>
          <w:szCs w:val="20"/>
        </w:rPr>
      </w:pPr>
      <w:r>
        <w:br w:type="page"/>
      </w:r>
    </w:p>
    <w:p w14:paraId="08CF6E11" w14:textId="2F776D09" w:rsidR="00BB6CF9" w:rsidRPr="007B5BE6" w:rsidRDefault="00BB6CF9" w:rsidP="00BB6CF9">
      <w:pPr>
        <w:pStyle w:val="NormalNumberedTextTLRI"/>
      </w:pPr>
      <w:r w:rsidRPr="007B5BE6">
        <w:lastRenderedPageBreak/>
        <w:t>The NSW Ageing and Disability Commission</w:t>
      </w:r>
      <w:r w:rsidR="006826D7" w:rsidRPr="007B5BE6">
        <w:t xml:space="preserve"> (‘ADC’)</w:t>
      </w:r>
      <w:r w:rsidRPr="007B5BE6">
        <w:t xml:space="preserve"> has identified that alleged financial abuse involving misuse of an adult’s </w:t>
      </w:r>
      <w:r w:rsidR="008C45C1" w:rsidRPr="007B5BE6">
        <w:t xml:space="preserve">enduring power of attorney </w:t>
      </w:r>
      <w:r w:rsidRPr="007B5BE6">
        <w:t xml:space="preserve">are common in reports </w:t>
      </w:r>
      <w:r w:rsidR="00EB3996" w:rsidRPr="007B5BE6">
        <w:t>to</w:t>
      </w:r>
      <w:r w:rsidRPr="007B5BE6">
        <w:t xml:space="preserve"> the </w:t>
      </w:r>
      <w:r w:rsidR="00645712" w:rsidRPr="007B5BE6">
        <w:t xml:space="preserve">NSW </w:t>
      </w:r>
      <w:r w:rsidRPr="007B5BE6">
        <w:t>Ageing and Disability Commissioner. It is noted that often the misuse occurs ‘because the attorney has not understood their responsibilities and what they can and cannot do in the attorney role.’</w:t>
      </w:r>
      <w:r w:rsidR="00EB3996" w:rsidRPr="007B5BE6">
        <w:rPr>
          <w:rStyle w:val="FootnoteReference"/>
        </w:rPr>
        <w:footnoteReference w:id="758"/>
      </w:r>
      <w:r w:rsidRPr="007B5BE6">
        <w:t xml:space="preserve"> However, </w:t>
      </w:r>
      <w:r w:rsidR="0011713B" w:rsidRPr="007B5BE6">
        <w:t xml:space="preserve">the ADC also gave </w:t>
      </w:r>
      <w:r w:rsidR="00242D28" w:rsidRPr="007B5BE6">
        <w:t xml:space="preserve">other </w:t>
      </w:r>
      <w:r w:rsidRPr="007B5BE6">
        <w:t xml:space="preserve">examples </w:t>
      </w:r>
      <w:r w:rsidR="0011713B" w:rsidRPr="007B5BE6">
        <w:t xml:space="preserve">of conduct </w:t>
      </w:r>
      <w:r w:rsidR="00242D28" w:rsidRPr="007B5BE6">
        <w:t>involved in such reports, which included</w:t>
      </w:r>
      <w:r w:rsidRPr="007B5BE6">
        <w:t xml:space="preserve"> ‘the appointed attorney using the funds for their own benefit, and merging the adult’s bank account with their own’.</w:t>
      </w:r>
      <w:r w:rsidR="00242D28" w:rsidRPr="007B5BE6">
        <w:rPr>
          <w:rStyle w:val="FootnoteReference"/>
        </w:rPr>
        <w:footnoteReference w:id="759"/>
      </w:r>
      <w:r w:rsidRPr="007B5BE6">
        <w:t xml:space="preserve"> </w:t>
      </w:r>
      <w:r w:rsidR="00242D28" w:rsidRPr="007B5BE6">
        <w:t>The ADC identified that</w:t>
      </w:r>
      <w:r w:rsidR="00645712" w:rsidRPr="007B5BE6">
        <w:t xml:space="preserve"> </w:t>
      </w:r>
      <w:r w:rsidRPr="007B5BE6">
        <w:t>key areas that need to be addressed</w:t>
      </w:r>
      <w:r w:rsidR="00645712" w:rsidRPr="007B5BE6">
        <w:t>,</w:t>
      </w:r>
      <w:r w:rsidRPr="007B5BE6">
        <w:t xml:space="preserve"> </w:t>
      </w:r>
      <w:r w:rsidR="00645712" w:rsidRPr="007B5BE6">
        <w:t xml:space="preserve">through the role of the NSW Ageing and Disability Commissioner, </w:t>
      </w:r>
      <w:r w:rsidRPr="007B5BE6">
        <w:t>to reduce and better address financial abuse, are:</w:t>
      </w:r>
    </w:p>
    <w:p w14:paraId="18BE3BCD" w14:textId="334CBE8F" w:rsidR="00BB6CF9" w:rsidRPr="007B5BE6" w:rsidRDefault="00BB6CF9" w:rsidP="00BB6CF9">
      <w:pPr>
        <w:pStyle w:val="DotPointTLRI"/>
      </w:pPr>
      <w:r w:rsidRPr="007B5BE6">
        <w:t xml:space="preserve">ensuring that inappropriate use of an </w:t>
      </w:r>
      <w:r w:rsidR="00645712" w:rsidRPr="007B5BE6">
        <w:t xml:space="preserve">enduring power of attorney </w:t>
      </w:r>
      <w:r w:rsidRPr="007B5BE6">
        <w:t>is an offence;</w:t>
      </w:r>
    </w:p>
    <w:p w14:paraId="5508E5BA" w14:textId="22373EA8" w:rsidR="00BB6CF9" w:rsidRPr="007B5BE6" w:rsidRDefault="00BB6CF9" w:rsidP="00BB6CF9">
      <w:pPr>
        <w:pStyle w:val="DotPointTLRI"/>
      </w:pPr>
      <w:r w:rsidRPr="007B5BE6">
        <w:t xml:space="preserve">providing an accessible and affordable pathway to gain compensation for funds that are lost through misuse of an </w:t>
      </w:r>
      <w:r w:rsidR="00645712" w:rsidRPr="007B5BE6">
        <w:t>enduring power of attorney;</w:t>
      </w:r>
      <w:r w:rsidR="0006589A" w:rsidRPr="007B5BE6">
        <w:t xml:space="preserve"> and</w:t>
      </w:r>
      <w:r w:rsidR="00645712" w:rsidRPr="007B5BE6">
        <w:t xml:space="preserve"> </w:t>
      </w:r>
      <w:r w:rsidRPr="007B5BE6">
        <w:t xml:space="preserve"> </w:t>
      </w:r>
    </w:p>
    <w:p w14:paraId="5161FF5A" w14:textId="498A555F" w:rsidR="00BB6CF9" w:rsidRPr="007B5BE6" w:rsidRDefault="00BB6CF9" w:rsidP="00BB6CF9">
      <w:pPr>
        <w:pStyle w:val="DotPointTLRI"/>
      </w:pPr>
      <w:r w:rsidRPr="007B5BE6">
        <w:t xml:space="preserve">putting in place arrangements to ensure that </w:t>
      </w:r>
      <w:r w:rsidR="0006589A" w:rsidRPr="007B5BE6">
        <w:t xml:space="preserve">appointed </w:t>
      </w:r>
      <w:r w:rsidRPr="007B5BE6">
        <w:t>attorneys understand their responsibilities before taking on the role.</w:t>
      </w:r>
      <w:r w:rsidRPr="007B5BE6">
        <w:rPr>
          <w:rStyle w:val="FootnoteReference"/>
        </w:rPr>
        <w:footnoteReference w:id="760"/>
      </w:r>
      <w:r w:rsidRPr="007B5BE6">
        <w:t xml:space="preserve"> </w:t>
      </w:r>
    </w:p>
    <w:p w14:paraId="19F00AA1" w14:textId="7D504143" w:rsidR="00BB6CF9" w:rsidRPr="007B5BE6" w:rsidRDefault="00BB6CF9" w:rsidP="00952A65">
      <w:r w:rsidRPr="007B5BE6">
        <w:t>These suggestions are relevant to inform the TLRI’s considerations</w:t>
      </w:r>
      <w:r w:rsidR="0006589A" w:rsidRPr="007B5BE6">
        <w:t xml:space="preserve"> regarding these issues. However, they also </w:t>
      </w:r>
      <w:r w:rsidRPr="007B5BE6">
        <w:t xml:space="preserve">demonstrate </w:t>
      </w:r>
      <w:r w:rsidR="00EA73CC" w:rsidRPr="007B5BE6">
        <w:t>the</w:t>
      </w:r>
      <w:r w:rsidRPr="007B5BE6">
        <w:t xml:space="preserve"> </w:t>
      </w:r>
      <w:r w:rsidR="00033568" w:rsidRPr="007B5BE6">
        <w:t xml:space="preserve">benefits </w:t>
      </w:r>
      <w:r w:rsidR="00E15B38" w:rsidRPr="007B5BE6">
        <w:t xml:space="preserve">of </w:t>
      </w:r>
      <w:r w:rsidR="00033568" w:rsidRPr="007B5BE6">
        <w:t xml:space="preserve">having </w:t>
      </w:r>
      <w:r w:rsidRPr="007B5BE6">
        <w:t>a dedicated entity oversighting and responding to reports of abuse of older people</w:t>
      </w:r>
      <w:r w:rsidR="00033568" w:rsidRPr="007B5BE6">
        <w:t xml:space="preserve">, in terms of </w:t>
      </w:r>
      <w:r w:rsidR="003C5C49" w:rsidRPr="007B5BE6">
        <w:t>analysis,</w:t>
      </w:r>
      <w:r w:rsidR="00033568" w:rsidRPr="007B5BE6">
        <w:t xml:space="preserve"> insights and work on system issues</w:t>
      </w:r>
      <w:r w:rsidRPr="007B5BE6">
        <w:t xml:space="preserve">. </w:t>
      </w:r>
    </w:p>
    <w:p w14:paraId="4055C403" w14:textId="640AA479" w:rsidR="000F1483" w:rsidRPr="007B5BE6" w:rsidRDefault="007E3754" w:rsidP="000F1483">
      <w:pPr>
        <w:pStyle w:val="NormalNumberedTextTLRI"/>
      </w:pPr>
      <w:r w:rsidRPr="007B5BE6">
        <w:t>Reviews in other jurisdictions have also recommended the creation of new offences</w:t>
      </w:r>
      <w:r w:rsidR="003C5C49" w:rsidRPr="007B5BE6">
        <w:t xml:space="preserve"> in this context</w:t>
      </w:r>
      <w:r w:rsidRPr="007B5BE6">
        <w:t xml:space="preserve">. </w:t>
      </w:r>
      <w:r w:rsidR="007F5A8A" w:rsidRPr="007B5BE6">
        <w:t>Recommendations by the Queensland Law Reform Commission (</w:t>
      </w:r>
      <w:r w:rsidR="00F3137C" w:rsidRPr="007B5BE6">
        <w:t>‘</w:t>
      </w:r>
      <w:r w:rsidR="007F5A8A" w:rsidRPr="007B5BE6">
        <w:t>QLRC</w:t>
      </w:r>
      <w:r w:rsidR="00F3137C" w:rsidRPr="007B5BE6">
        <w:t>’</w:t>
      </w:r>
      <w:r w:rsidR="007F5A8A" w:rsidRPr="007B5BE6">
        <w:t xml:space="preserve">) in </w:t>
      </w:r>
      <w:r w:rsidR="00CB36D8" w:rsidRPr="007B5BE6">
        <w:t>a 2010</w:t>
      </w:r>
      <w:r w:rsidR="007F5A8A" w:rsidRPr="007B5BE6">
        <w:t xml:space="preserve"> review of </w:t>
      </w:r>
      <w:r w:rsidR="00B16BDA" w:rsidRPr="007B5BE6">
        <w:t xml:space="preserve">Queensland </w:t>
      </w:r>
      <w:r w:rsidR="007F5A8A" w:rsidRPr="007B5BE6">
        <w:t xml:space="preserve">guardianship and administration legislation </w:t>
      </w:r>
      <w:r w:rsidR="00CB36D8" w:rsidRPr="007B5BE6">
        <w:t xml:space="preserve">included both civil and criminal responses to </w:t>
      </w:r>
      <w:r w:rsidR="002507C9" w:rsidRPr="007B5BE6">
        <w:t xml:space="preserve">the </w:t>
      </w:r>
      <w:r w:rsidR="00CB36D8" w:rsidRPr="007B5BE6">
        <w:t xml:space="preserve">misuse </w:t>
      </w:r>
      <w:r w:rsidR="00B16BDA" w:rsidRPr="007B5BE6">
        <w:t>and</w:t>
      </w:r>
      <w:r w:rsidR="00CB36D8" w:rsidRPr="007B5BE6">
        <w:t xml:space="preserve"> abuse of enduring powers of attorney (as well as administrat</w:t>
      </w:r>
      <w:r w:rsidR="00B16BDA" w:rsidRPr="007B5BE6">
        <w:t>ion orders</w:t>
      </w:r>
      <w:r w:rsidR="00CB36D8" w:rsidRPr="007B5BE6">
        <w:t xml:space="preserve">). </w:t>
      </w:r>
      <w:r w:rsidR="00244EC2" w:rsidRPr="007B5BE6">
        <w:t>I</w:t>
      </w:r>
      <w:r w:rsidR="00CB36D8" w:rsidRPr="007B5BE6">
        <w:t xml:space="preserve">t recommended that </w:t>
      </w:r>
      <w:r w:rsidR="00AD259A" w:rsidRPr="007B5BE6">
        <w:t xml:space="preserve">the general criminal law provisions be amended by adding to the list of aggravating circumstances </w:t>
      </w:r>
      <w:r w:rsidR="00D4696D" w:rsidRPr="007B5BE6">
        <w:t>in</w:t>
      </w:r>
      <w:r w:rsidR="000346F2" w:rsidRPr="007B5BE6">
        <w:t xml:space="preserve"> the offence of fraud in</w:t>
      </w:r>
      <w:r w:rsidR="00D4696D" w:rsidRPr="007B5BE6">
        <w:t xml:space="preserve"> s</w:t>
      </w:r>
      <w:r w:rsidR="00244EC2" w:rsidRPr="007B5BE6">
        <w:t>ection</w:t>
      </w:r>
      <w:r w:rsidR="00D4696D" w:rsidRPr="007B5BE6">
        <w:t xml:space="preserve"> 408C of the </w:t>
      </w:r>
      <w:r w:rsidR="000346F2" w:rsidRPr="007B5BE6">
        <w:rPr>
          <w:i/>
          <w:iCs/>
        </w:rPr>
        <w:t>Cri</w:t>
      </w:r>
      <w:r w:rsidR="007978C6" w:rsidRPr="007B5BE6">
        <w:rPr>
          <w:i/>
          <w:iCs/>
        </w:rPr>
        <w:t>m</w:t>
      </w:r>
      <w:r w:rsidR="000346F2" w:rsidRPr="007B5BE6">
        <w:rPr>
          <w:i/>
          <w:iCs/>
        </w:rPr>
        <w:t>inal Code 1899</w:t>
      </w:r>
      <w:r w:rsidR="000346F2" w:rsidRPr="007B5BE6">
        <w:t xml:space="preserve"> (Qld) </w:t>
      </w:r>
      <w:r w:rsidR="00502D4F" w:rsidRPr="007B5BE6">
        <w:t xml:space="preserve">to cover behaviour </w:t>
      </w:r>
      <w:r w:rsidR="00EC177C" w:rsidRPr="007B5BE6">
        <w:t xml:space="preserve">by </w:t>
      </w:r>
      <w:r w:rsidR="00502D4F" w:rsidRPr="007B5BE6">
        <w:t>appoint</w:t>
      </w:r>
      <w:r w:rsidR="00A6463F" w:rsidRPr="007B5BE6">
        <w:t>ees</w:t>
      </w:r>
      <w:r w:rsidR="00502D4F" w:rsidRPr="007B5BE6">
        <w:t xml:space="preserve"> under enduring powers of attorney </w:t>
      </w:r>
      <w:r w:rsidR="0023050D" w:rsidRPr="007B5BE6">
        <w:t>(</w:t>
      </w:r>
      <w:r w:rsidR="00502D4F" w:rsidRPr="007B5BE6">
        <w:t>where the victim is the principal</w:t>
      </w:r>
      <w:r w:rsidR="00A6463F" w:rsidRPr="007B5BE6">
        <w:t xml:space="preserve"> or donor</w:t>
      </w:r>
      <w:r w:rsidR="0023050D" w:rsidRPr="007B5BE6">
        <w:t>)</w:t>
      </w:r>
      <w:r w:rsidR="001B478C" w:rsidRPr="007B5BE6">
        <w:t xml:space="preserve">, and </w:t>
      </w:r>
      <w:r w:rsidR="00A6463F" w:rsidRPr="007B5BE6">
        <w:t xml:space="preserve">behaviour by an </w:t>
      </w:r>
      <w:r w:rsidR="001B478C" w:rsidRPr="007B5BE6">
        <w:t>administrator</w:t>
      </w:r>
      <w:r w:rsidR="0023050D" w:rsidRPr="007B5BE6">
        <w:t xml:space="preserve"> (where the victim is the adult).</w:t>
      </w:r>
      <w:r w:rsidR="00494DC7" w:rsidRPr="007B5BE6">
        <w:rPr>
          <w:rStyle w:val="FootnoteReference"/>
        </w:rPr>
        <w:footnoteReference w:id="761"/>
      </w:r>
      <w:r w:rsidR="000F1483" w:rsidRPr="007B5BE6">
        <w:t xml:space="preserve"> </w:t>
      </w:r>
      <w:r w:rsidR="00D0780B" w:rsidRPr="007B5BE6">
        <w:t xml:space="preserve">In </w:t>
      </w:r>
      <w:r w:rsidR="00A6463F" w:rsidRPr="007B5BE6">
        <w:t>NSW</w:t>
      </w:r>
      <w:r w:rsidR="00D0780B" w:rsidRPr="007B5BE6">
        <w:t xml:space="preserve">, </w:t>
      </w:r>
      <w:r w:rsidR="0034788E" w:rsidRPr="007B5BE6">
        <w:t xml:space="preserve">in a 2016 report on abuse of older people, </w:t>
      </w:r>
      <w:r w:rsidR="00D0780B" w:rsidRPr="007B5BE6">
        <w:t>a Legislative Council General Purpose Rev</w:t>
      </w:r>
      <w:r w:rsidR="0034788E" w:rsidRPr="007B5BE6">
        <w:t xml:space="preserve">iew </w:t>
      </w:r>
      <w:r w:rsidR="00DF0671" w:rsidRPr="007B5BE6">
        <w:t>recommend</w:t>
      </w:r>
      <w:r w:rsidR="00016C34" w:rsidRPr="007B5BE6">
        <w:t>ed</w:t>
      </w:r>
      <w:r w:rsidR="0034788E" w:rsidRPr="007B5BE6">
        <w:t xml:space="preserve"> the introduction of </w:t>
      </w:r>
      <w:r w:rsidR="00DF0671" w:rsidRPr="007B5BE6">
        <w:t xml:space="preserve">criminal offences for dishonestly obtaining or using an enduring power of </w:t>
      </w:r>
      <w:r w:rsidR="00771595" w:rsidRPr="007B5BE6">
        <w:t>attorney</w:t>
      </w:r>
      <w:r w:rsidR="00F57942" w:rsidRPr="007B5BE6">
        <w:t>,</w:t>
      </w:r>
      <w:r w:rsidR="00DF0671" w:rsidRPr="007B5BE6">
        <w:t xml:space="preserve"> as a </w:t>
      </w:r>
      <w:r w:rsidR="00771595" w:rsidRPr="007B5BE6">
        <w:t xml:space="preserve">response to a lack of safeguards in </w:t>
      </w:r>
      <w:r w:rsidR="00F57942" w:rsidRPr="007B5BE6">
        <w:t xml:space="preserve">NSW </w:t>
      </w:r>
      <w:r w:rsidR="00771595" w:rsidRPr="007B5BE6">
        <w:t>law</w:t>
      </w:r>
      <w:r w:rsidR="00F57942" w:rsidRPr="007B5BE6">
        <w:t xml:space="preserve">s </w:t>
      </w:r>
      <w:r w:rsidR="00771595" w:rsidRPr="007B5BE6">
        <w:t>to prevent financial abuse.</w:t>
      </w:r>
      <w:r w:rsidR="00771595" w:rsidRPr="007B5BE6">
        <w:rPr>
          <w:rStyle w:val="FootnoteReference"/>
        </w:rPr>
        <w:footnoteReference w:id="762"/>
      </w:r>
      <w:r w:rsidR="00771595" w:rsidRPr="007B5BE6">
        <w:t xml:space="preserve"> </w:t>
      </w:r>
    </w:p>
    <w:p w14:paraId="61135A23" w14:textId="7FAD1B52" w:rsidR="00016E25" w:rsidRDefault="007E3754" w:rsidP="000E4DCD">
      <w:pPr>
        <w:pStyle w:val="NormalNumberedTextTLRI"/>
      </w:pPr>
      <w:r w:rsidRPr="007B5BE6">
        <w:t>In contrast</w:t>
      </w:r>
      <w:r w:rsidR="00B733A3" w:rsidRPr="007B5BE6">
        <w:t xml:space="preserve">, </w:t>
      </w:r>
      <w:r w:rsidR="00214ABF" w:rsidRPr="007B5BE6">
        <w:t>the</w:t>
      </w:r>
      <w:r w:rsidR="009076BE" w:rsidRPr="007B5BE6">
        <w:t xml:space="preserve"> ALRC</w:t>
      </w:r>
      <w:r w:rsidR="00B305DD" w:rsidRPr="007B5BE6">
        <w:t xml:space="preserve">’s </w:t>
      </w:r>
      <w:r w:rsidR="00DD10E6" w:rsidRPr="007B5BE6">
        <w:t xml:space="preserve">view was that </w:t>
      </w:r>
      <w:r w:rsidR="009F0794" w:rsidRPr="007B5BE6">
        <w:t xml:space="preserve">the introduction of </w:t>
      </w:r>
      <w:r w:rsidR="00DD10E6" w:rsidRPr="007B5BE6">
        <w:t xml:space="preserve">new offences </w:t>
      </w:r>
      <w:r w:rsidR="009F0794" w:rsidRPr="007B5BE6">
        <w:t>would</w:t>
      </w:r>
      <w:r w:rsidR="00DD10E6" w:rsidRPr="007B5BE6">
        <w:t xml:space="preserve"> create a risk of duplication of existing offences and increased complexity, without necessarily ensuring increased prosecution.</w:t>
      </w:r>
      <w:r w:rsidR="00DD10E6" w:rsidRPr="007B5BE6">
        <w:rPr>
          <w:rStyle w:val="FootnoteReference"/>
        </w:rPr>
        <w:footnoteReference w:id="763"/>
      </w:r>
      <w:r w:rsidR="00DD10E6" w:rsidRPr="007B5BE6">
        <w:t xml:space="preserve"> In consider</w:t>
      </w:r>
      <w:r w:rsidR="009F0794" w:rsidRPr="007B5BE6">
        <w:t xml:space="preserve">ing </w:t>
      </w:r>
      <w:r w:rsidR="00214ABF" w:rsidRPr="007B5BE6">
        <w:t xml:space="preserve">the creation of </w:t>
      </w:r>
      <w:r w:rsidR="001C2785" w:rsidRPr="007B5BE6">
        <w:t>specific offences for misusing powers of attorney</w:t>
      </w:r>
      <w:r w:rsidR="00DD10E6" w:rsidRPr="007B5BE6">
        <w:t xml:space="preserve">, </w:t>
      </w:r>
      <w:r w:rsidR="009F0794" w:rsidRPr="007B5BE6">
        <w:t xml:space="preserve">the ALRC </w:t>
      </w:r>
      <w:r w:rsidR="001C2785" w:rsidRPr="007B5BE6">
        <w:t xml:space="preserve">was </w:t>
      </w:r>
      <w:r w:rsidR="004D0D36" w:rsidRPr="007B5BE6">
        <w:t xml:space="preserve">not </w:t>
      </w:r>
      <w:r w:rsidR="00C76460" w:rsidRPr="007B5BE6">
        <w:t>convinced</w:t>
      </w:r>
      <w:r w:rsidR="004D0D36" w:rsidRPr="007B5BE6">
        <w:t xml:space="preserve"> that there was a need</w:t>
      </w:r>
      <w:r w:rsidR="00795B20" w:rsidRPr="007B5BE6">
        <w:t xml:space="preserve"> for new offences</w:t>
      </w:r>
      <w:r w:rsidR="00592D93" w:rsidRPr="007B5BE6">
        <w:t>,</w:t>
      </w:r>
      <w:r w:rsidR="00C64D14" w:rsidRPr="007B5BE6">
        <w:t xml:space="preserve"> given</w:t>
      </w:r>
      <w:r w:rsidR="004D0D36" w:rsidRPr="007B5BE6">
        <w:t xml:space="preserve"> existing offences </w:t>
      </w:r>
      <w:r w:rsidR="00C64D14" w:rsidRPr="007B5BE6">
        <w:t xml:space="preserve">such as </w:t>
      </w:r>
      <w:r w:rsidR="00E70C51" w:rsidRPr="007B5BE6">
        <w:t xml:space="preserve">fraud, </w:t>
      </w:r>
      <w:r w:rsidR="00E37497" w:rsidRPr="007B5BE6">
        <w:t>deceptive conduct, stealing and other property offences</w:t>
      </w:r>
      <w:r w:rsidR="00592D93" w:rsidRPr="007B5BE6">
        <w:t xml:space="preserve">, which </w:t>
      </w:r>
      <w:r w:rsidR="00E37497" w:rsidRPr="007B5BE6">
        <w:t>would apply to</w:t>
      </w:r>
      <w:r w:rsidR="004D0D36" w:rsidRPr="007B5BE6">
        <w:t xml:space="preserve"> the relevant conduct</w:t>
      </w:r>
      <w:r w:rsidR="00E37497" w:rsidRPr="007B5BE6">
        <w:t xml:space="preserve">. The ALRC’s </w:t>
      </w:r>
      <w:r w:rsidR="00C33241" w:rsidRPr="007B5BE6">
        <w:t>research</w:t>
      </w:r>
      <w:r w:rsidR="00E37497" w:rsidRPr="007B5BE6">
        <w:t xml:space="preserve"> </w:t>
      </w:r>
      <w:r w:rsidR="00DD10E6" w:rsidRPr="007B5BE6">
        <w:t>also</w:t>
      </w:r>
      <w:r w:rsidR="00E37497" w:rsidRPr="007B5BE6">
        <w:t xml:space="preserve"> </w:t>
      </w:r>
      <w:r w:rsidR="00C22DB7" w:rsidRPr="007B5BE6">
        <w:t xml:space="preserve">suggested </w:t>
      </w:r>
      <w:r w:rsidR="00E37497" w:rsidRPr="007B5BE6">
        <w:t xml:space="preserve">that </w:t>
      </w:r>
      <w:r w:rsidR="00C22DB7" w:rsidRPr="007B5BE6">
        <w:t>in jurisdictions with</w:t>
      </w:r>
      <w:r w:rsidR="00E37497" w:rsidRPr="007B5BE6">
        <w:t xml:space="preserve"> specific offences </w:t>
      </w:r>
      <w:r w:rsidR="00C22DB7" w:rsidRPr="007B5BE6">
        <w:t xml:space="preserve">regarding </w:t>
      </w:r>
      <w:r w:rsidR="00E37497" w:rsidRPr="007B5BE6">
        <w:t xml:space="preserve">powers of </w:t>
      </w:r>
      <w:r w:rsidR="005129FD" w:rsidRPr="007B5BE6">
        <w:t xml:space="preserve">attorney, </w:t>
      </w:r>
      <w:r w:rsidR="00C22DB7" w:rsidRPr="007B5BE6">
        <w:t>such offences</w:t>
      </w:r>
      <w:r w:rsidR="005129FD" w:rsidRPr="007B5BE6">
        <w:t xml:space="preserve"> </w:t>
      </w:r>
      <w:r w:rsidR="00310CC6" w:rsidRPr="007B5BE6">
        <w:t xml:space="preserve">tended </w:t>
      </w:r>
      <w:r w:rsidR="005129FD" w:rsidRPr="007B5BE6">
        <w:t xml:space="preserve">not </w:t>
      </w:r>
      <w:r w:rsidR="00310CC6" w:rsidRPr="007B5BE6">
        <w:t xml:space="preserve">be </w:t>
      </w:r>
      <w:r w:rsidR="005129FD" w:rsidRPr="007B5BE6">
        <w:t xml:space="preserve">used. </w:t>
      </w:r>
    </w:p>
    <w:p w14:paraId="190C7E60" w14:textId="568FBDED" w:rsidR="00076885" w:rsidRPr="007B5BE6" w:rsidRDefault="003F2E41" w:rsidP="000E4DCD">
      <w:pPr>
        <w:pStyle w:val="NormalNumberedTextTLRI"/>
      </w:pPr>
      <w:r w:rsidRPr="007B5BE6">
        <w:t>Instead, the ALRC and</w:t>
      </w:r>
      <w:r w:rsidR="00DD10E6" w:rsidRPr="007B5BE6">
        <w:t>,</w:t>
      </w:r>
      <w:r w:rsidRPr="007B5BE6">
        <w:t xml:space="preserve"> also</w:t>
      </w:r>
      <w:r w:rsidR="005C0B9D" w:rsidRPr="007B5BE6">
        <w:t xml:space="preserve"> the</w:t>
      </w:r>
      <w:r w:rsidRPr="007B5BE6">
        <w:t xml:space="preserve"> </w:t>
      </w:r>
      <w:r w:rsidR="009512CB" w:rsidRPr="007B5BE6">
        <w:t>South Australian Law Reform Institute (‘SALRI’)</w:t>
      </w:r>
      <w:r w:rsidR="00310CC6" w:rsidRPr="007B5BE6">
        <w:t xml:space="preserve"> in its</w:t>
      </w:r>
      <w:r w:rsidR="00B1284D" w:rsidRPr="007B5BE6">
        <w:t xml:space="preserve"> review </w:t>
      </w:r>
      <w:r w:rsidR="00283B6B" w:rsidRPr="007B5BE6">
        <w:t xml:space="preserve">of </w:t>
      </w:r>
      <w:r w:rsidR="00F45F9A" w:rsidRPr="007B5BE6">
        <w:t xml:space="preserve">enduring powers of attorney in </w:t>
      </w:r>
      <w:r w:rsidR="00283B6B" w:rsidRPr="007B5BE6">
        <w:t>South Australia</w:t>
      </w:r>
      <w:r w:rsidR="009512CB" w:rsidRPr="007B5BE6">
        <w:t xml:space="preserve"> (‘SA’)</w:t>
      </w:r>
      <w:r w:rsidR="00076885" w:rsidRPr="007B5BE6">
        <w:t>, highlighted the importance of accessible, tribunal-based compensation schemes</w:t>
      </w:r>
      <w:r w:rsidRPr="007B5BE6">
        <w:t xml:space="preserve"> </w:t>
      </w:r>
      <w:r w:rsidR="007B1FB1" w:rsidRPr="007B5BE6">
        <w:t>to provide a legal remedy</w:t>
      </w:r>
      <w:r w:rsidR="00F45F9A" w:rsidRPr="007B5BE6">
        <w:t xml:space="preserve"> where the </w:t>
      </w:r>
      <w:r w:rsidR="00310CC6" w:rsidRPr="007B5BE6">
        <w:t xml:space="preserve">appointed </w:t>
      </w:r>
      <w:r w:rsidR="00F45F9A" w:rsidRPr="007B5BE6">
        <w:t>attorney</w:t>
      </w:r>
      <w:r w:rsidR="00E3689E" w:rsidRPr="007B5BE6">
        <w:t xml:space="preserve"> breaches their statutory duties, including for financial loss to the principal or their estate. This has been emphasise</w:t>
      </w:r>
      <w:r w:rsidR="00FA160C" w:rsidRPr="007B5BE6">
        <w:t>d</w:t>
      </w:r>
      <w:r w:rsidR="00E3689E" w:rsidRPr="007B5BE6">
        <w:t xml:space="preserve"> as particularly important </w:t>
      </w:r>
      <w:r w:rsidR="007B1FB1" w:rsidRPr="007B5BE6">
        <w:t>to</w:t>
      </w:r>
      <w:r w:rsidR="00E3689E" w:rsidRPr="007B5BE6">
        <w:t xml:space="preserve"> provide </w:t>
      </w:r>
      <w:r w:rsidR="007B1FB1" w:rsidRPr="007B5BE6">
        <w:t>a</w:t>
      </w:r>
      <w:r w:rsidR="00EF3A6D" w:rsidRPr="007B5BE6">
        <w:t>n accessible</w:t>
      </w:r>
      <w:r w:rsidR="00343301" w:rsidRPr="007B5BE6">
        <w:t xml:space="preserve"> </w:t>
      </w:r>
      <w:r w:rsidR="00F43498" w:rsidRPr="007B5BE6">
        <w:t xml:space="preserve">remedy, </w:t>
      </w:r>
      <w:r w:rsidR="00343301" w:rsidRPr="007B5BE6">
        <w:t xml:space="preserve">as an alternative to </w:t>
      </w:r>
      <w:r w:rsidR="00292BFA" w:rsidRPr="007B5BE6">
        <w:t xml:space="preserve">civil equitable </w:t>
      </w:r>
      <w:r w:rsidR="00AD0DEE" w:rsidRPr="007B5BE6">
        <w:lastRenderedPageBreak/>
        <w:t>remedies through legal action in a Supreme Court</w:t>
      </w:r>
      <w:r w:rsidR="003973C9" w:rsidRPr="007B5BE6">
        <w:t>.</w:t>
      </w:r>
      <w:r w:rsidR="00E3689E" w:rsidRPr="007B5BE6">
        <w:rPr>
          <w:rStyle w:val="FootnoteReference"/>
        </w:rPr>
        <w:footnoteReference w:id="764"/>
      </w:r>
      <w:r w:rsidR="003973C9" w:rsidRPr="007B5BE6">
        <w:t xml:space="preserve"> </w:t>
      </w:r>
      <w:r w:rsidR="007564CD" w:rsidRPr="007B5BE6">
        <w:t>The AL</w:t>
      </w:r>
      <w:r w:rsidR="005057B3" w:rsidRPr="007B5BE6">
        <w:t>RC</w:t>
      </w:r>
      <w:r w:rsidR="007564CD" w:rsidRPr="007B5BE6">
        <w:t xml:space="preserve"> recommended that</w:t>
      </w:r>
      <w:r w:rsidR="003E20D6" w:rsidRPr="007B5BE6">
        <w:t xml:space="preserve"> </w:t>
      </w:r>
      <w:r w:rsidR="003D7D54" w:rsidRPr="007B5BE6">
        <w:t>civil and administrative tribunals should have ‘jurisdiction in relation to any cause of action, or claim for equitable relief, that is available against a substitute decision maker in the Supreme Court for abuse, or misuse of power, or failure to perform their duties … [and] the power to order any remedy available to the Supreme Court.’</w:t>
      </w:r>
      <w:r w:rsidR="003D7D54" w:rsidRPr="007B5BE6">
        <w:rPr>
          <w:rStyle w:val="FootnoteReference"/>
        </w:rPr>
        <w:footnoteReference w:id="765"/>
      </w:r>
      <w:r w:rsidR="003D7D54" w:rsidRPr="007B5BE6">
        <w:t xml:space="preserve"> </w:t>
      </w:r>
      <w:r w:rsidR="007564CD" w:rsidRPr="007B5BE6">
        <w:t xml:space="preserve">Further, the ALRC recommended </w:t>
      </w:r>
      <w:r w:rsidR="009512CB" w:rsidRPr="007B5BE6">
        <w:t xml:space="preserve">that legislation in each state and territory should include </w:t>
      </w:r>
      <w:r w:rsidR="007564CD" w:rsidRPr="007B5BE6">
        <w:t>additional safeguards against the misuse of an e</w:t>
      </w:r>
      <w:r w:rsidR="003E20D6" w:rsidRPr="007B5BE6">
        <w:t>nduring document.</w:t>
      </w:r>
      <w:r w:rsidR="00F439B6" w:rsidRPr="007B5BE6">
        <w:rPr>
          <w:rStyle w:val="FootnoteReference"/>
        </w:rPr>
        <w:footnoteReference w:id="766"/>
      </w:r>
      <w:r w:rsidR="007E3754" w:rsidRPr="007B5BE6">
        <w:t xml:space="preserve"> </w:t>
      </w:r>
      <w:r w:rsidR="00684B25" w:rsidRPr="007B5BE6">
        <w:t xml:space="preserve">A similar approach was recommended by the QLRC (in addition to reforms </w:t>
      </w:r>
      <w:r w:rsidR="009512CB" w:rsidRPr="007B5BE6">
        <w:t xml:space="preserve">recommended </w:t>
      </w:r>
      <w:r w:rsidR="00684B25" w:rsidRPr="007B5BE6">
        <w:t>to the criminal law)</w:t>
      </w:r>
      <w:r w:rsidR="00A35CD5" w:rsidRPr="007B5BE6">
        <w:t xml:space="preserve">. </w:t>
      </w:r>
      <w:r w:rsidR="007E3754" w:rsidRPr="007B5BE6">
        <w:t>The QLRC recommended that the Supreme Court or a tribunal be provided with power</w:t>
      </w:r>
      <w:r w:rsidR="00343ED0" w:rsidRPr="007B5BE6">
        <w:t>s</w:t>
      </w:r>
      <w:r w:rsidR="007E3754" w:rsidRPr="007B5BE6">
        <w:t xml:space="preserve"> to order an attorney</w:t>
      </w:r>
      <w:r w:rsidR="009512CB" w:rsidRPr="007B5BE6">
        <w:t>,</w:t>
      </w:r>
      <w:r w:rsidR="007E3754" w:rsidRPr="007B5BE6">
        <w:t xml:space="preserve"> who has made a profit </w:t>
      </w:r>
      <w:r w:rsidR="009512CB" w:rsidRPr="007B5BE6">
        <w:t>because of</w:t>
      </w:r>
      <w:r w:rsidR="007E3754" w:rsidRPr="007B5BE6">
        <w:t xml:space="preserve"> failure to comply with</w:t>
      </w:r>
      <w:r w:rsidR="009512CB" w:rsidRPr="007B5BE6">
        <w:t xml:space="preserve"> relevant legislation </w:t>
      </w:r>
      <w:r w:rsidR="007E3754" w:rsidRPr="007B5BE6">
        <w:t>in the exercise of power for a financial matter</w:t>
      </w:r>
      <w:r w:rsidR="009512CB" w:rsidRPr="007B5BE6">
        <w:t>,</w:t>
      </w:r>
      <w:r w:rsidR="007E3754" w:rsidRPr="007B5BE6">
        <w:t xml:space="preserve"> to ‘disgorge that profit in favour of the adult’ (with </w:t>
      </w:r>
      <w:r w:rsidR="00343ED0" w:rsidRPr="007B5BE6">
        <w:t xml:space="preserve">a </w:t>
      </w:r>
      <w:r w:rsidR="007E3754" w:rsidRPr="007B5BE6">
        <w:t>similar recommendation made in relation to administrators).</w:t>
      </w:r>
      <w:r w:rsidR="007E3754" w:rsidRPr="007B5BE6">
        <w:rPr>
          <w:rStyle w:val="FootnoteReference"/>
        </w:rPr>
        <w:footnoteReference w:id="767"/>
      </w:r>
      <w:r w:rsidR="007E3754" w:rsidRPr="007B5BE6">
        <w:t xml:space="preserve"> </w:t>
      </w:r>
    </w:p>
    <w:p w14:paraId="0B4E68BD" w14:textId="36A9AC8D" w:rsidR="00585752" w:rsidRPr="007B5BE6" w:rsidRDefault="00585752" w:rsidP="005C0B9D">
      <w:pPr>
        <w:pStyle w:val="Sub-HeadingTLRI"/>
        <w:spacing w:before="360"/>
      </w:pPr>
      <w:bookmarkStart w:id="626" w:name="_Toc212561828"/>
      <w:r w:rsidRPr="007B5BE6">
        <w:t>Approaches in other jurisdictions</w:t>
      </w:r>
      <w:bookmarkEnd w:id="626"/>
    </w:p>
    <w:p w14:paraId="31192447" w14:textId="139ED1CE" w:rsidR="00982EC6" w:rsidRPr="007B5BE6" w:rsidRDefault="00982EC6" w:rsidP="00982EC6">
      <w:pPr>
        <w:pStyle w:val="NormalNumberedTextTLRI"/>
      </w:pPr>
      <w:r w:rsidRPr="007B5BE6">
        <w:t>Currently, some other Australian jurisdictions have provision for civil compensation under equivalent legislation governing powers of attorney (as well as guardianship and administration orders) where a person appointed as a decision maker fail</w:t>
      </w:r>
      <w:r w:rsidR="002153DB" w:rsidRPr="007B5BE6">
        <w:t>s</w:t>
      </w:r>
      <w:r w:rsidRPr="007B5BE6">
        <w:t xml:space="preserve"> to comply with their duties or with relevant legislation, including compensation for financial loss. A comparison of provisions is shown in Table 5.2.</w:t>
      </w:r>
    </w:p>
    <w:p w14:paraId="48C65384" w14:textId="56132AF9" w:rsidR="002A1DD0" w:rsidRPr="007B5BE6" w:rsidRDefault="002A1DD0" w:rsidP="00D55E3C">
      <w:pPr>
        <w:spacing w:before="240" w:after="240"/>
        <w:rPr>
          <w:rFonts w:eastAsia="Aptos" w:cs="Arial"/>
          <w:b/>
        </w:rPr>
      </w:pPr>
      <w:r w:rsidRPr="007B5BE6">
        <w:rPr>
          <w:rFonts w:eastAsia="Aptos" w:cs="Arial"/>
          <w:b/>
        </w:rPr>
        <w:t xml:space="preserve">Table </w:t>
      </w:r>
      <w:r w:rsidR="00EF443A" w:rsidRPr="007B5BE6">
        <w:rPr>
          <w:rFonts w:eastAsia="Aptos" w:cs="Arial"/>
          <w:b/>
        </w:rPr>
        <w:t>5.2:</w:t>
      </w:r>
      <w:r w:rsidRPr="007B5BE6">
        <w:rPr>
          <w:rFonts w:eastAsia="Aptos" w:cs="Arial"/>
          <w:b/>
        </w:rPr>
        <w:t xml:space="preserve"> Comparison of Australian jurisdictions regarding civil compensation: enduring powers of attorney</w:t>
      </w:r>
      <w:r w:rsidR="007D1669" w:rsidRPr="007B5BE6">
        <w:rPr>
          <w:rStyle w:val="FootnoteReference"/>
          <w:rFonts w:eastAsia="Aptos" w:cs="Arial"/>
          <w:b/>
        </w:rPr>
        <w:footnoteReference w:id="768"/>
      </w:r>
      <w:r w:rsidRPr="007B5BE6">
        <w:rPr>
          <w:rFonts w:eastAsia="Aptos" w:cs="Arial"/>
          <w:b/>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97"/>
        <w:gridCol w:w="689"/>
        <w:gridCol w:w="1042"/>
        <w:gridCol w:w="993"/>
        <w:gridCol w:w="1005"/>
        <w:gridCol w:w="867"/>
        <w:gridCol w:w="667"/>
        <w:gridCol w:w="756"/>
        <w:gridCol w:w="910"/>
      </w:tblGrid>
      <w:tr w:rsidR="002A1DD0" w:rsidRPr="007B5BE6" w14:paraId="4638E0ED" w14:textId="77777777" w:rsidTr="009C3970">
        <w:tc>
          <w:tcPr>
            <w:tcW w:w="1162" w:type="pct"/>
            <w:tcBorders>
              <w:top w:val="single" w:sz="8" w:space="0" w:color="auto"/>
              <w:bottom w:val="single" w:sz="8" w:space="0" w:color="auto"/>
            </w:tcBorders>
            <w:shd w:val="clear" w:color="auto" w:fill="FFFFFF" w:themeFill="background1"/>
          </w:tcPr>
          <w:p w14:paraId="7B7ED048" w14:textId="78D3CFAF" w:rsidR="002A1DD0" w:rsidRPr="007B5BE6" w:rsidRDefault="002A1DD0">
            <w:pPr>
              <w:rPr>
                <w:rFonts w:eastAsia="Aptos" w:cs="Arial"/>
                <w:b/>
                <w:bCs/>
                <w:sz w:val="20"/>
                <w:szCs w:val="20"/>
              </w:rPr>
            </w:pPr>
            <w:r w:rsidRPr="007B5BE6">
              <w:rPr>
                <w:rFonts w:eastAsia="Aptos" w:cs="Arial"/>
                <w:b/>
                <w:bCs/>
                <w:sz w:val="20"/>
                <w:szCs w:val="20"/>
              </w:rPr>
              <w:t xml:space="preserve">Civil </w:t>
            </w:r>
            <w:r w:rsidR="00982EC6" w:rsidRPr="007B5BE6">
              <w:rPr>
                <w:rFonts w:eastAsia="Aptos" w:cs="Arial"/>
                <w:b/>
                <w:bCs/>
                <w:sz w:val="20"/>
                <w:szCs w:val="20"/>
              </w:rPr>
              <w:t>compensation</w:t>
            </w:r>
            <w:r w:rsidRPr="007B5BE6">
              <w:rPr>
                <w:rFonts w:eastAsia="Aptos" w:cs="Arial"/>
                <w:b/>
                <w:bCs/>
                <w:sz w:val="20"/>
                <w:szCs w:val="20"/>
              </w:rPr>
              <w:t xml:space="preserve"> </w:t>
            </w:r>
          </w:p>
        </w:tc>
        <w:tc>
          <w:tcPr>
            <w:tcW w:w="382" w:type="pct"/>
            <w:tcBorders>
              <w:top w:val="single" w:sz="8" w:space="0" w:color="auto"/>
              <w:bottom w:val="single" w:sz="8" w:space="0" w:color="auto"/>
            </w:tcBorders>
            <w:shd w:val="clear" w:color="auto" w:fill="FFFFFF" w:themeFill="background1"/>
          </w:tcPr>
          <w:p w14:paraId="4B09587C" w14:textId="3062B8E2" w:rsidR="002A1DD0" w:rsidRPr="007B5BE6" w:rsidRDefault="002A1DD0">
            <w:pPr>
              <w:rPr>
                <w:rFonts w:eastAsia="Aptos" w:cs="Arial"/>
                <w:b/>
                <w:bCs/>
                <w:sz w:val="20"/>
                <w:szCs w:val="20"/>
              </w:rPr>
            </w:pPr>
            <w:r w:rsidRPr="007B5BE6">
              <w:rPr>
                <w:rFonts w:eastAsia="Aptos" w:cs="Arial"/>
                <w:b/>
                <w:bCs/>
                <w:sz w:val="20"/>
                <w:szCs w:val="20"/>
              </w:rPr>
              <w:t>NT</w:t>
            </w:r>
            <w:r w:rsidR="007D1669" w:rsidRPr="007B5BE6">
              <w:rPr>
                <w:rStyle w:val="FootnoteReference"/>
                <w:rFonts w:eastAsia="Aptos" w:cs="Arial"/>
                <w:b/>
                <w:bCs/>
                <w:sz w:val="20"/>
                <w:szCs w:val="20"/>
              </w:rPr>
              <w:footnoteReference w:id="769"/>
            </w:r>
          </w:p>
        </w:tc>
        <w:tc>
          <w:tcPr>
            <w:tcW w:w="577" w:type="pct"/>
            <w:tcBorders>
              <w:top w:val="single" w:sz="8" w:space="0" w:color="auto"/>
              <w:bottom w:val="single" w:sz="8" w:space="0" w:color="auto"/>
            </w:tcBorders>
            <w:shd w:val="clear" w:color="auto" w:fill="FFFFFF" w:themeFill="background1"/>
          </w:tcPr>
          <w:p w14:paraId="4094707A" w14:textId="2312CADD" w:rsidR="002A1DD0" w:rsidRPr="007B5BE6" w:rsidRDefault="002A1DD0">
            <w:pPr>
              <w:rPr>
                <w:rFonts w:eastAsia="Aptos" w:cs="Arial"/>
                <w:b/>
                <w:bCs/>
                <w:sz w:val="20"/>
                <w:szCs w:val="20"/>
              </w:rPr>
            </w:pPr>
            <w:r w:rsidRPr="007B5BE6">
              <w:rPr>
                <w:rFonts w:eastAsia="Aptos" w:cs="Arial"/>
                <w:b/>
                <w:bCs/>
                <w:sz w:val="20"/>
                <w:szCs w:val="20"/>
              </w:rPr>
              <w:t>VIC</w:t>
            </w:r>
            <w:r w:rsidR="007D1669" w:rsidRPr="007B5BE6">
              <w:rPr>
                <w:rStyle w:val="FootnoteReference"/>
                <w:rFonts w:eastAsia="Aptos" w:cs="Arial"/>
                <w:b/>
                <w:bCs/>
                <w:sz w:val="20"/>
                <w:szCs w:val="20"/>
              </w:rPr>
              <w:footnoteReference w:id="770"/>
            </w:r>
          </w:p>
        </w:tc>
        <w:tc>
          <w:tcPr>
            <w:tcW w:w="550" w:type="pct"/>
            <w:tcBorders>
              <w:top w:val="single" w:sz="8" w:space="0" w:color="auto"/>
              <w:bottom w:val="single" w:sz="8" w:space="0" w:color="auto"/>
            </w:tcBorders>
            <w:shd w:val="clear" w:color="auto" w:fill="FFFFFF" w:themeFill="background1"/>
          </w:tcPr>
          <w:p w14:paraId="19ABD396" w14:textId="446B1245" w:rsidR="002A1DD0" w:rsidRPr="007B5BE6" w:rsidRDefault="002A1DD0">
            <w:pPr>
              <w:rPr>
                <w:rFonts w:eastAsia="Aptos" w:cs="Arial"/>
                <w:b/>
                <w:bCs/>
                <w:sz w:val="20"/>
                <w:szCs w:val="20"/>
              </w:rPr>
            </w:pPr>
            <w:r w:rsidRPr="007B5BE6">
              <w:rPr>
                <w:rFonts w:eastAsia="Aptos" w:cs="Arial"/>
                <w:b/>
                <w:bCs/>
                <w:sz w:val="20"/>
                <w:szCs w:val="20"/>
              </w:rPr>
              <w:t>QLD</w:t>
            </w:r>
            <w:r w:rsidR="00536B17" w:rsidRPr="007B5BE6">
              <w:rPr>
                <w:rStyle w:val="FootnoteReference"/>
                <w:rFonts w:eastAsia="Aptos" w:cs="Arial"/>
                <w:b/>
                <w:bCs/>
                <w:sz w:val="20"/>
                <w:szCs w:val="20"/>
              </w:rPr>
              <w:footnoteReference w:id="771"/>
            </w:r>
          </w:p>
        </w:tc>
        <w:tc>
          <w:tcPr>
            <w:tcW w:w="557" w:type="pct"/>
            <w:tcBorders>
              <w:top w:val="single" w:sz="8" w:space="0" w:color="auto"/>
              <w:bottom w:val="single" w:sz="8" w:space="0" w:color="auto"/>
            </w:tcBorders>
            <w:shd w:val="clear" w:color="auto" w:fill="FFFFFF" w:themeFill="background1"/>
          </w:tcPr>
          <w:p w14:paraId="6FE0DE1B" w14:textId="7FCC2AFD" w:rsidR="002A1DD0" w:rsidRPr="007B5BE6" w:rsidRDefault="002A1DD0">
            <w:pPr>
              <w:rPr>
                <w:rFonts w:eastAsia="Aptos" w:cs="Arial"/>
                <w:b/>
                <w:bCs/>
                <w:sz w:val="20"/>
                <w:szCs w:val="20"/>
              </w:rPr>
            </w:pPr>
            <w:r w:rsidRPr="007B5BE6">
              <w:rPr>
                <w:rFonts w:eastAsia="Aptos" w:cs="Arial"/>
                <w:b/>
                <w:bCs/>
                <w:sz w:val="20"/>
                <w:szCs w:val="20"/>
              </w:rPr>
              <w:t>ACT</w:t>
            </w:r>
            <w:r w:rsidR="00536B17" w:rsidRPr="007B5BE6">
              <w:rPr>
                <w:rStyle w:val="FootnoteReference"/>
                <w:rFonts w:eastAsia="Aptos" w:cs="Arial"/>
                <w:b/>
                <w:bCs/>
                <w:sz w:val="20"/>
                <w:szCs w:val="20"/>
              </w:rPr>
              <w:footnoteReference w:id="772"/>
            </w:r>
          </w:p>
        </w:tc>
        <w:tc>
          <w:tcPr>
            <w:tcW w:w="480" w:type="pct"/>
            <w:tcBorders>
              <w:top w:val="single" w:sz="8" w:space="0" w:color="auto"/>
              <w:bottom w:val="single" w:sz="8" w:space="0" w:color="auto"/>
            </w:tcBorders>
            <w:shd w:val="clear" w:color="auto" w:fill="FFFFFF" w:themeFill="background1"/>
          </w:tcPr>
          <w:p w14:paraId="20B5AFFD" w14:textId="3548DFD5" w:rsidR="002A1DD0" w:rsidRPr="007B5BE6" w:rsidRDefault="002A1DD0">
            <w:pPr>
              <w:rPr>
                <w:rFonts w:eastAsia="Aptos" w:cs="Arial"/>
                <w:b/>
                <w:bCs/>
                <w:sz w:val="20"/>
                <w:szCs w:val="20"/>
              </w:rPr>
            </w:pPr>
            <w:r w:rsidRPr="007B5BE6">
              <w:rPr>
                <w:rFonts w:eastAsia="Aptos" w:cs="Arial"/>
                <w:b/>
                <w:bCs/>
                <w:sz w:val="20"/>
                <w:szCs w:val="20"/>
              </w:rPr>
              <w:t>NSW</w:t>
            </w:r>
            <w:r w:rsidR="00536B17" w:rsidRPr="007B5BE6">
              <w:rPr>
                <w:rStyle w:val="FootnoteReference"/>
                <w:rFonts w:eastAsia="Aptos" w:cs="Arial"/>
                <w:b/>
                <w:bCs/>
                <w:sz w:val="20"/>
                <w:szCs w:val="20"/>
              </w:rPr>
              <w:footnoteReference w:id="773"/>
            </w:r>
          </w:p>
        </w:tc>
        <w:tc>
          <w:tcPr>
            <w:tcW w:w="369" w:type="pct"/>
            <w:tcBorders>
              <w:top w:val="single" w:sz="8" w:space="0" w:color="auto"/>
              <w:bottom w:val="single" w:sz="8" w:space="0" w:color="auto"/>
            </w:tcBorders>
            <w:shd w:val="clear" w:color="auto" w:fill="FFFFFF" w:themeFill="background1"/>
          </w:tcPr>
          <w:p w14:paraId="752D5240" w14:textId="21325CAA" w:rsidR="002A1DD0" w:rsidRPr="007B5BE6" w:rsidRDefault="002A1DD0">
            <w:pPr>
              <w:rPr>
                <w:rFonts w:eastAsia="Aptos" w:cs="Arial"/>
                <w:b/>
                <w:bCs/>
                <w:sz w:val="20"/>
                <w:szCs w:val="20"/>
              </w:rPr>
            </w:pPr>
            <w:r w:rsidRPr="007B5BE6">
              <w:rPr>
                <w:rFonts w:eastAsia="Aptos" w:cs="Arial"/>
                <w:b/>
                <w:bCs/>
                <w:sz w:val="20"/>
                <w:szCs w:val="20"/>
              </w:rPr>
              <w:t>SA</w:t>
            </w:r>
            <w:r w:rsidR="00536B17" w:rsidRPr="007B5BE6">
              <w:rPr>
                <w:rStyle w:val="FootnoteReference"/>
                <w:rFonts w:eastAsia="Aptos" w:cs="Arial"/>
                <w:b/>
                <w:bCs/>
                <w:sz w:val="20"/>
                <w:szCs w:val="20"/>
              </w:rPr>
              <w:footnoteReference w:id="774"/>
            </w:r>
          </w:p>
        </w:tc>
        <w:tc>
          <w:tcPr>
            <w:tcW w:w="419" w:type="pct"/>
            <w:tcBorders>
              <w:top w:val="single" w:sz="8" w:space="0" w:color="auto"/>
              <w:bottom w:val="single" w:sz="8" w:space="0" w:color="auto"/>
            </w:tcBorders>
            <w:shd w:val="clear" w:color="auto" w:fill="FFFFFF" w:themeFill="background1"/>
          </w:tcPr>
          <w:p w14:paraId="66B95D2E" w14:textId="77777777" w:rsidR="002A1DD0" w:rsidRPr="007B5BE6" w:rsidRDefault="002A1DD0">
            <w:pPr>
              <w:rPr>
                <w:rFonts w:eastAsia="Aptos" w:cs="Arial"/>
                <w:b/>
                <w:bCs/>
                <w:sz w:val="20"/>
                <w:szCs w:val="20"/>
              </w:rPr>
            </w:pPr>
            <w:r w:rsidRPr="007B5BE6">
              <w:rPr>
                <w:rFonts w:eastAsia="Aptos" w:cs="Arial"/>
                <w:b/>
                <w:bCs/>
                <w:sz w:val="20"/>
                <w:szCs w:val="20"/>
              </w:rPr>
              <w:t>WA</w:t>
            </w:r>
            <w:r w:rsidRPr="007B5BE6">
              <w:rPr>
                <w:rFonts w:eastAsia="Aptos" w:cs="Arial"/>
                <w:b/>
                <w:bCs/>
                <w:sz w:val="20"/>
                <w:vertAlign w:val="superscript"/>
              </w:rPr>
              <w:footnoteReference w:id="775"/>
            </w:r>
          </w:p>
        </w:tc>
        <w:tc>
          <w:tcPr>
            <w:tcW w:w="504" w:type="pct"/>
            <w:tcBorders>
              <w:top w:val="single" w:sz="8" w:space="0" w:color="auto"/>
              <w:bottom w:val="single" w:sz="8" w:space="0" w:color="auto"/>
            </w:tcBorders>
            <w:shd w:val="clear" w:color="auto" w:fill="FFFFFF" w:themeFill="background1"/>
          </w:tcPr>
          <w:p w14:paraId="70389855" w14:textId="77777777" w:rsidR="002A1DD0" w:rsidRPr="007B5BE6" w:rsidRDefault="002A1DD0">
            <w:pPr>
              <w:rPr>
                <w:rFonts w:eastAsia="Aptos" w:cs="Arial"/>
                <w:b/>
                <w:bCs/>
                <w:sz w:val="20"/>
                <w:szCs w:val="20"/>
              </w:rPr>
            </w:pPr>
            <w:r w:rsidRPr="007B5BE6">
              <w:rPr>
                <w:rFonts w:eastAsia="Aptos" w:cs="Arial"/>
                <w:b/>
                <w:bCs/>
                <w:sz w:val="20"/>
                <w:szCs w:val="20"/>
              </w:rPr>
              <w:t>TAS</w:t>
            </w:r>
            <w:r w:rsidRPr="007B5BE6">
              <w:rPr>
                <w:rFonts w:eastAsia="Aptos" w:cs="Arial"/>
                <w:b/>
                <w:bCs/>
                <w:sz w:val="20"/>
                <w:vertAlign w:val="superscript"/>
              </w:rPr>
              <w:footnoteReference w:id="776"/>
            </w:r>
            <w:r w:rsidRPr="007B5BE6">
              <w:rPr>
                <w:rFonts w:eastAsia="Aptos" w:cs="Arial"/>
                <w:b/>
                <w:bCs/>
                <w:sz w:val="20"/>
                <w:szCs w:val="20"/>
              </w:rPr>
              <w:t xml:space="preserve"> </w:t>
            </w:r>
          </w:p>
        </w:tc>
      </w:tr>
      <w:tr w:rsidR="002A1DD0" w:rsidRPr="007B5BE6" w14:paraId="58DDD1BF" w14:textId="77777777" w:rsidTr="009C3970">
        <w:tc>
          <w:tcPr>
            <w:tcW w:w="1162" w:type="pct"/>
            <w:tcBorders>
              <w:top w:val="single" w:sz="8" w:space="0" w:color="auto"/>
            </w:tcBorders>
          </w:tcPr>
          <w:p w14:paraId="0F19BB3E" w14:textId="183CE647" w:rsidR="002A1DD0" w:rsidRPr="007B5BE6" w:rsidRDefault="002A1DD0" w:rsidP="00C36293">
            <w:pPr>
              <w:jc w:val="left"/>
              <w:rPr>
                <w:rFonts w:eastAsia="Aptos" w:cs="Arial"/>
                <w:sz w:val="20"/>
                <w:szCs w:val="20"/>
              </w:rPr>
            </w:pPr>
            <w:r w:rsidRPr="007B5BE6">
              <w:rPr>
                <w:rFonts w:eastAsia="Aptos" w:cs="Arial"/>
                <w:sz w:val="20"/>
                <w:szCs w:val="20"/>
              </w:rPr>
              <w:t>Compensation</w:t>
            </w:r>
            <w:r w:rsidR="0004609F" w:rsidRPr="007B5BE6">
              <w:rPr>
                <w:rFonts w:eastAsia="Aptos" w:cs="Arial"/>
                <w:sz w:val="20"/>
                <w:szCs w:val="20"/>
              </w:rPr>
              <w:t>:</w:t>
            </w:r>
            <w:r w:rsidRPr="007B5BE6">
              <w:rPr>
                <w:rFonts w:eastAsia="Aptos" w:cs="Arial"/>
                <w:sz w:val="20"/>
                <w:szCs w:val="20"/>
              </w:rPr>
              <w:t xml:space="preserve"> failure of </w:t>
            </w:r>
            <w:r w:rsidR="0069052A" w:rsidRPr="007B5BE6">
              <w:rPr>
                <w:rFonts w:eastAsia="Aptos" w:cs="Arial"/>
                <w:sz w:val="20"/>
                <w:szCs w:val="20"/>
              </w:rPr>
              <w:t xml:space="preserve">person appointed as </w:t>
            </w:r>
            <w:r w:rsidR="00FA0753" w:rsidRPr="007B5BE6">
              <w:rPr>
                <w:rFonts w:eastAsia="Aptos" w:cs="Arial"/>
                <w:sz w:val="20"/>
                <w:szCs w:val="20"/>
              </w:rPr>
              <w:t>power of attorney</w:t>
            </w:r>
            <w:r w:rsidRPr="007B5BE6">
              <w:rPr>
                <w:rFonts w:eastAsia="Aptos" w:cs="Arial"/>
                <w:sz w:val="20"/>
                <w:szCs w:val="20"/>
              </w:rPr>
              <w:t xml:space="preserve"> to comply with the Act in exercise of powers</w:t>
            </w:r>
          </w:p>
        </w:tc>
        <w:tc>
          <w:tcPr>
            <w:tcW w:w="382" w:type="pct"/>
            <w:tcBorders>
              <w:top w:val="single" w:sz="8" w:space="0" w:color="auto"/>
            </w:tcBorders>
          </w:tcPr>
          <w:p w14:paraId="6930F683" w14:textId="77777777" w:rsidR="002A1DD0" w:rsidRPr="007B5BE6" w:rsidRDefault="002A1DD0" w:rsidP="00C36293">
            <w:pPr>
              <w:jc w:val="left"/>
              <w:rPr>
                <w:rFonts w:eastAsia="Aptos" w:cs="Arial"/>
                <w:sz w:val="20"/>
                <w:szCs w:val="20"/>
              </w:rPr>
            </w:pPr>
            <w:r w:rsidRPr="007B5BE6">
              <w:rPr>
                <w:rFonts w:eastAsia="Aptos" w:cs="Arial"/>
                <w:sz w:val="20"/>
                <w:szCs w:val="20"/>
              </w:rPr>
              <w:t xml:space="preserve">Yes </w:t>
            </w:r>
          </w:p>
        </w:tc>
        <w:tc>
          <w:tcPr>
            <w:tcW w:w="577" w:type="pct"/>
            <w:tcBorders>
              <w:top w:val="single" w:sz="8" w:space="0" w:color="auto"/>
            </w:tcBorders>
          </w:tcPr>
          <w:p w14:paraId="166DFA40" w14:textId="77777777" w:rsidR="002A1DD0" w:rsidRPr="007B5BE6" w:rsidRDefault="002A1DD0" w:rsidP="00C36293">
            <w:pPr>
              <w:jc w:val="left"/>
              <w:rPr>
                <w:rFonts w:eastAsia="Aptos" w:cs="Arial"/>
                <w:sz w:val="20"/>
                <w:szCs w:val="20"/>
              </w:rPr>
            </w:pPr>
            <w:r w:rsidRPr="007B5BE6">
              <w:rPr>
                <w:rFonts w:eastAsia="Aptos" w:cs="Arial"/>
                <w:sz w:val="20"/>
                <w:szCs w:val="20"/>
              </w:rPr>
              <w:t>Yes</w:t>
            </w:r>
          </w:p>
        </w:tc>
        <w:tc>
          <w:tcPr>
            <w:tcW w:w="550" w:type="pct"/>
            <w:tcBorders>
              <w:top w:val="single" w:sz="8" w:space="0" w:color="auto"/>
            </w:tcBorders>
          </w:tcPr>
          <w:p w14:paraId="142629FE" w14:textId="77777777" w:rsidR="002A1DD0" w:rsidRPr="007B5BE6" w:rsidRDefault="002A1DD0" w:rsidP="00C36293">
            <w:pPr>
              <w:jc w:val="left"/>
              <w:rPr>
                <w:rFonts w:eastAsia="Aptos" w:cs="Arial"/>
                <w:sz w:val="20"/>
                <w:szCs w:val="20"/>
              </w:rPr>
            </w:pPr>
            <w:r w:rsidRPr="007B5BE6">
              <w:rPr>
                <w:rFonts w:eastAsia="Aptos" w:cs="Arial"/>
                <w:sz w:val="20"/>
                <w:szCs w:val="20"/>
              </w:rPr>
              <w:t>Yes</w:t>
            </w:r>
          </w:p>
        </w:tc>
        <w:tc>
          <w:tcPr>
            <w:tcW w:w="557" w:type="pct"/>
            <w:tcBorders>
              <w:top w:val="single" w:sz="8" w:space="0" w:color="auto"/>
            </w:tcBorders>
          </w:tcPr>
          <w:p w14:paraId="1725A65B" w14:textId="77777777" w:rsidR="002A1DD0" w:rsidRPr="007B5BE6" w:rsidRDefault="002A1DD0" w:rsidP="00C36293">
            <w:pPr>
              <w:jc w:val="left"/>
              <w:rPr>
                <w:rFonts w:eastAsia="Aptos" w:cs="Arial"/>
                <w:sz w:val="20"/>
                <w:szCs w:val="20"/>
              </w:rPr>
            </w:pPr>
            <w:r w:rsidRPr="007B5BE6">
              <w:rPr>
                <w:rFonts w:eastAsia="Aptos" w:cs="Arial"/>
                <w:sz w:val="20"/>
                <w:szCs w:val="20"/>
              </w:rPr>
              <w:t>Yes</w:t>
            </w:r>
          </w:p>
        </w:tc>
        <w:tc>
          <w:tcPr>
            <w:tcW w:w="480" w:type="pct"/>
            <w:tcBorders>
              <w:top w:val="single" w:sz="8" w:space="0" w:color="auto"/>
            </w:tcBorders>
          </w:tcPr>
          <w:p w14:paraId="1A6BA390" w14:textId="77777777" w:rsidR="002A1DD0" w:rsidRPr="007B5BE6" w:rsidRDefault="002A1DD0" w:rsidP="00C36293">
            <w:pPr>
              <w:jc w:val="left"/>
              <w:rPr>
                <w:rFonts w:eastAsia="Aptos" w:cs="Arial"/>
                <w:sz w:val="20"/>
                <w:szCs w:val="20"/>
              </w:rPr>
            </w:pPr>
            <w:r w:rsidRPr="007B5BE6">
              <w:rPr>
                <w:rFonts w:eastAsia="Aptos" w:cs="Arial"/>
                <w:sz w:val="20"/>
                <w:szCs w:val="20"/>
              </w:rPr>
              <w:t xml:space="preserve">No </w:t>
            </w:r>
          </w:p>
        </w:tc>
        <w:tc>
          <w:tcPr>
            <w:tcW w:w="369" w:type="pct"/>
            <w:tcBorders>
              <w:top w:val="single" w:sz="8" w:space="0" w:color="auto"/>
            </w:tcBorders>
          </w:tcPr>
          <w:p w14:paraId="2E6E8F20" w14:textId="2BDD400A" w:rsidR="002A1DD0" w:rsidRPr="007B5BE6" w:rsidRDefault="00015230" w:rsidP="00C36293">
            <w:pPr>
              <w:jc w:val="left"/>
              <w:rPr>
                <w:rFonts w:eastAsia="Aptos" w:cs="Arial"/>
                <w:sz w:val="20"/>
                <w:szCs w:val="20"/>
              </w:rPr>
            </w:pPr>
            <w:r w:rsidRPr="007B5BE6">
              <w:rPr>
                <w:rFonts w:eastAsia="Aptos" w:cs="Arial"/>
                <w:sz w:val="20"/>
                <w:szCs w:val="20"/>
              </w:rPr>
              <w:t>Yes</w:t>
            </w:r>
            <w:r w:rsidR="002A1DD0" w:rsidRPr="007B5BE6">
              <w:rPr>
                <w:rFonts w:eastAsia="Aptos" w:cs="Arial"/>
                <w:sz w:val="20"/>
                <w:szCs w:val="20"/>
              </w:rPr>
              <w:t xml:space="preserve"> </w:t>
            </w:r>
          </w:p>
        </w:tc>
        <w:tc>
          <w:tcPr>
            <w:tcW w:w="419" w:type="pct"/>
            <w:tcBorders>
              <w:top w:val="single" w:sz="8" w:space="0" w:color="auto"/>
            </w:tcBorders>
          </w:tcPr>
          <w:p w14:paraId="627580DC" w14:textId="77777777" w:rsidR="002A1DD0" w:rsidRPr="007B5BE6" w:rsidRDefault="002A1DD0" w:rsidP="00C36293">
            <w:pPr>
              <w:jc w:val="left"/>
              <w:rPr>
                <w:rFonts w:eastAsia="Aptos" w:cs="Arial"/>
                <w:sz w:val="20"/>
                <w:szCs w:val="20"/>
              </w:rPr>
            </w:pPr>
            <w:r w:rsidRPr="007B5BE6">
              <w:rPr>
                <w:rFonts w:eastAsia="Aptos" w:cs="Arial"/>
                <w:sz w:val="20"/>
                <w:szCs w:val="20"/>
              </w:rPr>
              <w:t xml:space="preserve">No </w:t>
            </w:r>
          </w:p>
        </w:tc>
        <w:tc>
          <w:tcPr>
            <w:tcW w:w="504" w:type="pct"/>
            <w:tcBorders>
              <w:top w:val="single" w:sz="8" w:space="0" w:color="auto"/>
            </w:tcBorders>
          </w:tcPr>
          <w:p w14:paraId="50DD67A4" w14:textId="77777777" w:rsidR="002A1DD0" w:rsidRPr="007B5BE6" w:rsidRDefault="002A1DD0" w:rsidP="00C36293">
            <w:pPr>
              <w:jc w:val="left"/>
              <w:rPr>
                <w:rFonts w:eastAsia="Aptos" w:cs="Arial"/>
                <w:sz w:val="20"/>
                <w:szCs w:val="20"/>
              </w:rPr>
            </w:pPr>
            <w:r w:rsidRPr="007B5BE6">
              <w:rPr>
                <w:rFonts w:eastAsia="Aptos" w:cs="Arial"/>
                <w:sz w:val="20"/>
                <w:szCs w:val="20"/>
              </w:rPr>
              <w:t xml:space="preserve">No </w:t>
            </w:r>
          </w:p>
        </w:tc>
      </w:tr>
    </w:tbl>
    <w:p w14:paraId="5C187ADC" w14:textId="1E6D99BF" w:rsidR="00982EC6" w:rsidRPr="007B5BE6" w:rsidRDefault="00982EC6" w:rsidP="00982EC6">
      <w:pPr>
        <w:pStyle w:val="NormalNumberedTextTLRI"/>
      </w:pPr>
      <w:r w:rsidRPr="007B5BE6">
        <w:lastRenderedPageBreak/>
        <w:t xml:space="preserve">In Victoria, Queensland, the ACT, the Northern Territory and SA, there is power for the Supreme Court and/or a tribunal to make an order for compensation, or to account for profits, if an attorney has failed to comply with legislative duties. This is separate from any criminal conviction. Under these models, there is potential for relief from liability if the attorney acted honestly and </w:t>
      </w:r>
      <w:proofErr w:type="gramStart"/>
      <w:r w:rsidRPr="007B5BE6">
        <w:t>reasonably, and</w:t>
      </w:r>
      <w:proofErr w:type="gramEnd"/>
      <w:r w:rsidRPr="007B5BE6">
        <w:t xml:space="preserve"> ought fairly to be excused from the contravention.</w:t>
      </w:r>
      <w:r w:rsidRPr="007B5BE6">
        <w:rPr>
          <w:rStyle w:val="FootnoteReference"/>
        </w:rPr>
        <w:footnoteReference w:id="777"/>
      </w:r>
    </w:p>
    <w:p w14:paraId="63750D4C" w14:textId="677B08F4" w:rsidR="00585752" w:rsidRPr="007B5BE6" w:rsidRDefault="00EE5009" w:rsidP="00585752">
      <w:pPr>
        <w:pStyle w:val="NormalNumberedTextTLRI"/>
      </w:pPr>
      <w:r w:rsidRPr="007B5BE6">
        <w:t xml:space="preserve">In addition, </w:t>
      </w:r>
      <w:r w:rsidR="00585752" w:rsidRPr="007B5BE6">
        <w:t xml:space="preserve">other Australian jurisdictions </w:t>
      </w:r>
      <w:r w:rsidR="003349E1" w:rsidRPr="007B5BE6">
        <w:t xml:space="preserve">currently </w:t>
      </w:r>
      <w:r w:rsidR="00585752" w:rsidRPr="007B5BE6">
        <w:t xml:space="preserve">have criminal penalties in equivalent legislation governing powers of attorney, relating to misrepresentations, dishonest use and dishonest inducement. A comparison of offence provisions is shown in Table </w:t>
      </w:r>
      <w:r w:rsidR="00EF443A" w:rsidRPr="007B5BE6">
        <w:t>5.3</w:t>
      </w:r>
      <w:r w:rsidR="00585752" w:rsidRPr="007B5BE6">
        <w:t>.</w:t>
      </w:r>
    </w:p>
    <w:p w14:paraId="1C8BFFD1" w14:textId="7C85144E" w:rsidR="00585752" w:rsidRPr="007B5BE6" w:rsidRDefault="00585752" w:rsidP="00D55E3C">
      <w:pPr>
        <w:spacing w:before="240" w:after="240"/>
        <w:rPr>
          <w:b/>
          <w:bCs/>
        </w:rPr>
      </w:pPr>
      <w:r w:rsidRPr="007B5BE6">
        <w:rPr>
          <w:b/>
          <w:bCs/>
        </w:rPr>
        <w:t xml:space="preserve">Table </w:t>
      </w:r>
      <w:r w:rsidR="00EF443A" w:rsidRPr="007B5BE6">
        <w:rPr>
          <w:b/>
          <w:bCs/>
        </w:rPr>
        <w:t>5.3:</w:t>
      </w:r>
      <w:r w:rsidRPr="007B5BE6">
        <w:rPr>
          <w:b/>
          <w:bCs/>
        </w:rPr>
        <w:t xml:space="preserve"> Comparison of Australian jurisdictions regarding criminal penalties</w:t>
      </w:r>
      <w:r w:rsidR="003F5778" w:rsidRPr="007B5BE6">
        <w:rPr>
          <w:b/>
          <w:bCs/>
        </w:rPr>
        <w:t>:</w:t>
      </w:r>
      <w:r w:rsidRPr="007B5BE6">
        <w:rPr>
          <w:b/>
          <w:bCs/>
        </w:rPr>
        <w:t xml:space="preserve"> enduring powers of attorney</w:t>
      </w:r>
      <w:r w:rsidR="00A06822" w:rsidRPr="007B5BE6">
        <w:rPr>
          <w:rStyle w:val="FootnoteReference"/>
          <w:b/>
          <w:bCs/>
        </w:rPr>
        <w:footnoteReference w:id="778"/>
      </w:r>
      <w:r w:rsidRPr="007B5BE6">
        <w:rPr>
          <w:b/>
          <w:bCs/>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202"/>
        <w:gridCol w:w="689"/>
        <w:gridCol w:w="936"/>
        <w:gridCol w:w="936"/>
        <w:gridCol w:w="937"/>
        <w:gridCol w:w="965"/>
        <w:gridCol w:w="667"/>
        <w:gridCol w:w="756"/>
        <w:gridCol w:w="938"/>
      </w:tblGrid>
      <w:tr w:rsidR="005F7BEF" w:rsidRPr="007B5BE6" w14:paraId="089B68AB" w14:textId="77777777" w:rsidTr="0092637E">
        <w:trPr>
          <w:tblHeader/>
        </w:trPr>
        <w:tc>
          <w:tcPr>
            <w:tcW w:w="1256" w:type="pct"/>
            <w:tcBorders>
              <w:top w:val="single" w:sz="8" w:space="0" w:color="auto"/>
              <w:bottom w:val="single" w:sz="8" w:space="0" w:color="auto"/>
            </w:tcBorders>
            <w:shd w:val="clear" w:color="auto" w:fill="FFFFFF" w:themeFill="background1"/>
          </w:tcPr>
          <w:p w14:paraId="41E1BB49" w14:textId="77777777" w:rsidR="00585752" w:rsidRPr="007B5BE6" w:rsidRDefault="00585752" w:rsidP="00E37E26">
            <w:pPr>
              <w:rPr>
                <w:b/>
                <w:bCs/>
                <w:sz w:val="20"/>
                <w:szCs w:val="20"/>
              </w:rPr>
            </w:pPr>
            <w:r w:rsidRPr="007B5BE6">
              <w:rPr>
                <w:b/>
                <w:bCs/>
                <w:sz w:val="20"/>
                <w:szCs w:val="20"/>
              </w:rPr>
              <w:t xml:space="preserve">Criminal penalties </w:t>
            </w:r>
          </w:p>
        </w:tc>
        <w:tc>
          <w:tcPr>
            <w:tcW w:w="151" w:type="pct"/>
            <w:tcBorders>
              <w:top w:val="single" w:sz="8" w:space="0" w:color="auto"/>
              <w:bottom w:val="single" w:sz="8" w:space="0" w:color="auto"/>
            </w:tcBorders>
            <w:shd w:val="clear" w:color="auto" w:fill="FFFFFF" w:themeFill="background1"/>
          </w:tcPr>
          <w:p w14:paraId="0BDAA881" w14:textId="5A13713E" w:rsidR="00585752" w:rsidRPr="007B5BE6" w:rsidRDefault="00585752" w:rsidP="00E37E26">
            <w:pPr>
              <w:rPr>
                <w:b/>
                <w:bCs/>
                <w:sz w:val="20"/>
                <w:szCs w:val="20"/>
              </w:rPr>
            </w:pPr>
            <w:r w:rsidRPr="007B5BE6">
              <w:rPr>
                <w:b/>
                <w:bCs/>
                <w:sz w:val="20"/>
                <w:szCs w:val="20"/>
              </w:rPr>
              <w:t>NT</w:t>
            </w:r>
            <w:r w:rsidR="00A06822" w:rsidRPr="007B5BE6">
              <w:rPr>
                <w:rStyle w:val="FootnoteReference"/>
                <w:b/>
                <w:bCs/>
                <w:sz w:val="20"/>
                <w:szCs w:val="20"/>
              </w:rPr>
              <w:footnoteReference w:id="779"/>
            </w:r>
          </w:p>
        </w:tc>
        <w:tc>
          <w:tcPr>
            <w:tcW w:w="554" w:type="pct"/>
            <w:tcBorders>
              <w:top w:val="single" w:sz="8" w:space="0" w:color="auto"/>
              <w:bottom w:val="single" w:sz="8" w:space="0" w:color="auto"/>
            </w:tcBorders>
            <w:shd w:val="clear" w:color="auto" w:fill="FFFFFF" w:themeFill="background1"/>
          </w:tcPr>
          <w:p w14:paraId="5E7F0D31" w14:textId="649A905D" w:rsidR="00585752" w:rsidRPr="007B5BE6" w:rsidRDefault="00585752" w:rsidP="00E37E26">
            <w:pPr>
              <w:rPr>
                <w:b/>
                <w:bCs/>
                <w:sz w:val="20"/>
                <w:szCs w:val="20"/>
              </w:rPr>
            </w:pPr>
            <w:r w:rsidRPr="007B5BE6">
              <w:rPr>
                <w:b/>
                <w:bCs/>
                <w:sz w:val="20"/>
                <w:szCs w:val="20"/>
              </w:rPr>
              <w:t>VIC</w:t>
            </w:r>
            <w:r w:rsidR="00A06822" w:rsidRPr="007B5BE6">
              <w:rPr>
                <w:rStyle w:val="FootnoteReference"/>
                <w:b/>
                <w:bCs/>
                <w:sz w:val="20"/>
                <w:szCs w:val="20"/>
              </w:rPr>
              <w:footnoteReference w:id="780"/>
            </w:r>
          </w:p>
        </w:tc>
        <w:tc>
          <w:tcPr>
            <w:tcW w:w="554" w:type="pct"/>
            <w:tcBorders>
              <w:top w:val="single" w:sz="8" w:space="0" w:color="auto"/>
              <w:bottom w:val="single" w:sz="8" w:space="0" w:color="auto"/>
            </w:tcBorders>
            <w:shd w:val="clear" w:color="auto" w:fill="FFFFFF" w:themeFill="background1"/>
          </w:tcPr>
          <w:p w14:paraId="4B29F0B5" w14:textId="6B7B635C" w:rsidR="00585752" w:rsidRPr="007B5BE6" w:rsidRDefault="00585752" w:rsidP="00E37E26">
            <w:pPr>
              <w:rPr>
                <w:b/>
                <w:bCs/>
                <w:sz w:val="20"/>
                <w:szCs w:val="20"/>
              </w:rPr>
            </w:pPr>
            <w:r w:rsidRPr="007B5BE6">
              <w:rPr>
                <w:b/>
                <w:bCs/>
                <w:sz w:val="20"/>
                <w:szCs w:val="20"/>
              </w:rPr>
              <w:t>QLD</w:t>
            </w:r>
            <w:r w:rsidR="00A06822" w:rsidRPr="007B5BE6">
              <w:rPr>
                <w:rStyle w:val="FootnoteReference"/>
                <w:b/>
                <w:bCs/>
                <w:sz w:val="20"/>
                <w:szCs w:val="20"/>
              </w:rPr>
              <w:footnoteReference w:id="781"/>
            </w:r>
          </w:p>
        </w:tc>
        <w:tc>
          <w:tcPr>
            <w:tcW w:w="554" w:type="pct"/>
            <w:tcBorders>
              <w:top w:val="single" w:sz="8" w:space="0" w:color="auto"/>
              <w:bottom w:val="single" w:sz="8" w:space="0" w:color="auto"/>
            </w:tcBorders>
            <w:shd w:val="clear" w:color="auto" w:fill="FFFFFF" w:themeFill="background1"/>
          </w:tcPr>
          <w:p w14:paraId="23043CC7" w14:textId="36D74123" w:rsidR="00585752" w:rsidRPr="007B5BE6" w:rsidRDefault="00585752" w:rsidP="00E37E26">
            <w:pPr>
              <w:rPr>
                <w:b/>
                <w:bCs/>
                <w:sz w:val="20"/>
                <w:szCs w:val="20"/>
              </w:rPr>
            </w:pPr>
            <w:r w:rsidRPr="007B5BE6">
              <w:rPr>
                <w:b/>
                <w:bCs/>
                <w:sz w:val="20"/>
                <w:szCs w:val="20"/>
              </w:rPr>
              <w:t>ACT</w:t>
            </w:r>
            <w:r w:rsidR="00A06822" w:rsidRPr="007B5BE6">
              <w:rPr>
                <w:rStyle w:val="FootnoteReference"/>
                <w:b/>
                <w:bCs/>
                <w:sz w:val="20"/>
                <w:szCs w:val="20"/>
              </w:rPr>
              <w:footnoteReference w:id="782"/>
            </w:r>
          </w:p>
        </w:tc>
        <w:tc>
          <w:tcPr>
            <w:tcW w:w="569" w:type="pct"/>
            <w:tcBorders>
              <w:top w:val="single" w:sz="8" w:space="0" w:color="auto"/>
              <w:bottom w:val="single" w:sz="8" w:space="0" w:color="auto"/>
            </w:tcBorders>
            <w:shd w:val="clear" w:color="auto" w:fill="FFFFFF" w:themeFill="background1"/>
          </w:tcPr>
          <w:p w14:paraId="749C5CC8" w14:textId="5ADA899C" w:rsidR="00585752" w:rsidRPr="007B5BE6" w:rsidRDefault="00585752" w:rsidP="00E37E26">
            <w:pPr>
              <w:rPr>
                <w:b/>
                <w:bCs/>
                <w:sz w:val="20"/>
                <w:szCs w:val="20"/>
              </w:rPr>
            </w:pPr>
            <w:r w:rsidRPr="007B5BE6">
              <w:rPr>
                <w:b/>
                <w:bCs/>
                <w:sz w:val="20"/>
                <w:szCs w:val="20"/>
              </w:rPr>
              <w:t>NSW</w:t>
            </w:r>
            <w:r w:rsidR="00A06822" w:rsidRPr="007B5BE6">
              <w:rPr>
                <w:rStyle w:val="FootnoteReference"/>
                <w:b/>
                <w:bCs/>
                <w:sz w:val="20"/>
                <w:szCs w:val="20"/>
              </w:rPr>
              <w:footnoteReference w:id="783"/>
            </w:r>
          </w:p>
        </w:tc>
        <w:tc>
          <w:tcPr>
            <w:tcW w:w="402" w:type="pct"/>
            <w:tcBorders>
              <w:top w:val="single" w:sz="8" w:space="0" w:color="auto"/>
              <w:bottom w:val="single" w:sz="8" w:space="0" w:color="auto"/>
            </w:tcBorders>
            <w:shd w:val="clear" w:color="auto" w:fill="FFFFFF" w:themeFill="background1"/>
          </w:tcPr>
          <w:p w14:paraId="2DA0513B" w14:textId="59D2AE8A" w:rsidR="00585752" w:rsidRPr="007B5BE6" w:rsidRDefault="00585752" w:rsidP="00E37E26">
            <w:pPr>
              <w:rPr>
                <w:b/>
                <w:bCs/>
                <w:sz w:val="20"/>
                <w:szCs w:val="20"/>
              </w:rPr>
            </w:pPr>
            <w:r w:rsidRPr="007B5BE6">
              <w:rPr>
                <w:b/>
                <w:bCs/>
                <w:sz w:val="20"/>
                <w:szCs w:val="20"/>
              </w:rPr>
              <w:t>SA</w:t>
            </w:r>
            <w:r w:rsidR="00D049D4" w:rsidRPr="007B5BE6">
              <w:rPr>
                <w:rStyle w:val="FootnoteReference"/>
                <w:b/>
                <w:bCs/>
                <w:sz w:val="20"/>
                <w:szCs w:val="20"/>
              </w:rPr>
              <w:footnoteReference w:id="784"/>
            </w:r>
          </w:p>
        </w:tc>
        <w:tc>
          <w:tcPr>
            <w:tcW w:w="441" w:type="pct"/>
            <w:tcBorders>
              <w:top w:val="single" w:sz="8" w:space="0" w:color="auto"/>
              <w:bottom w:val="single" w:sz="8" w:space="0" w:color="auto"/>
            </w:tcBorders>
            <w:shd w:val="clear" w:color="auto" w:fill="FFFFFF" w:themeFill="background1"/>
          </w:tcPr>
          <w:p w14:paraId="7A58FF8C" w14:textId="31085D3D" w:rsidR="00585752" w:rsidRPr="007B5BE6" w:rsidRDefault="00585752" w:rsidP="00E37E26">
            <w:pPr>
              <w:rPr>
                <w:b/>
                <w:bCs/>
                <w:sz w:val="20"/>
                <w:szCs w:val="20"/>
              </w:rPr>
            </w:pPr>
            <w:r w:rsidRPr="007B5BE6">
              <w:rPr>
                <w:b/>
                <w:bCs/>
                <w:sz w:val="20"/>
                <w:szCs w:val="20"/>
              </w:rPr>
              <w:t>WA</w:t>
            </w:r>
            <w:r w:rsidR="00FB54B3" w:rsidRPr="007B5BE6">
              <w:rPr>
                <w:rStyle w:val="FootnoteReference"/>
                <w:b/>
                <w:bCs/>
                <w:sz w:val="20"/>
                <w:szCs w:val="20"/>
              </w:rPr>
              <w:footnoteReference w:id="785"/>
            </w:r>
          </w:p>
        </w:tc>
        <w:tc>
          <w:tcPr>
            <w:tcW w:w="520" w:type="pct"/>
            <w:tcBorders>
              <w:top w:val="single" w:sz="8" w:space="0" w:color="auto"/>
              <w:bottom w:val="single" w:sz="8" w:space="0" w:color="auto"/>
            </w:tcBorders>
            <w:shd w:val="clear" w:color="auto" w:fill="FFFFFF" w:themeFill="background1"/>
          </w:tcPr>
          <w:p w14:paraId="4350AA20" w14:textId="5FF63F37" w:rsidR="00585752" w:rsidRPr="007B5BE6" w:rsidRDefault="00585752" w:rsidP="00E37E26">
            <w:pPr>
              <w:rPr>
                <w:b/>
                <w:bCs/>
                <w:sz w:val="20"/>
                <w:szCs w:val="20"/>
              </w:rPr>
            </w:pPr>
            <w:r w:rsidRPr="007B5BE6">
              <w:rPr>
                <w:b/>
                <w:bCs/>
                <w:sz w:val="20"/>
                <w:szCs w:val="20"/>
              </w:rPr>
              <w:t>TAS</w:t>
            </w:r>
            <w:r w:rsidR="00EB45A2" w:rsidRPr="007B5BE6">
              <w:rPr>
                <w:rStyle w:val="FootnoteReference"/>
                <w:b/>
                <w:bCs/>
                <w:sz w:val="20"/>
                <w:szCs w:val="20"/>
              </w:rPr>
              <w:footnoteReference w:id="786"/>
            </w:r>
            <w:r w:rsidRPr="007B5BE6">
              <w:rPr>
                <w:b/>
                <w:bCs/>
                <w:sz w:val="20"/>
                <w:szCs w:val="20"/>
              </w:rPr>
              <w:t xml:space="preserve"> </w:t>
            </w:r>
          </w:p>
        </w:tc>
      </w:tr>
      <w:tr w:rsidR="00585752" w:rsidRPr="007B5BE6" w14:paraId="22DA82A7" w14:textId="77777777" w:rsidTr="0092637E">
        <w:tc>
          <w:tcPr>
            <w:tcW w:w="1256" w:type="pct"/>
            <w:tcBorders>
              <w:top w:val="single" w:sz="8" w:space="0" w:color="auto"/>
            </w:tcBorders>
          </w:tcPr>
          <w:p w14:paraId="4D0B0FD5" w14:textId="32A9402B" w:rsidR="00585752" w:rsidRPr="007B5BE6" w:rsidRDefault="00585752" w:rsidP="00C36293">
            <w:pPr>
              <w:jc w:val="left"/>
              <w:rPr>
                <w:sz w:val="20"/>
                <w:szCs w:val="20"/>
              </w:rPr>
            </w:pPr>
            <w:r w:rsidRPr="007B5BE6">
              <w:rPr>
                <w:sz w:val="20"/>
                <w:szCs w:val="20"/>
              </w:rPr>
              <w:t>Relating to misrepresentation (</w:t>
            </w:r>
            <w:r w:rsidR="00241FB4" w:rsidRPr="007B5BE6">
              <w:rPr>
                <w:sz w:val="20"/>
                <w:szCs w:val="20"/>
              </w:rPr>
              <w:t>that is,</w:t>
            </w:r>
            <w:r w:rsidRPr="007B5BE6">
              <w:rPr>
                <w:sz w:val="20"/>
                <w:szCs w:val="20"/>
              </w:rPr>
              <w:t xml:space="preserve"> wrongly representing oneself as </w:t>
            </w:r>
            <w:r w:rsidR="004F72CB" w:rsidRPr="007B5BE6">
              <w:rPr>
                <w:sz w:val="20"/>
                <w:szCs w:val="20"/>
              </w:rPr>
              <w:t xml:space="preserve">having </w:t>
            </w:r>
            <w:r w:rsidRPr="007B5BE6">
              <w:rPr>
                <w:sz w:val="20"/>
                <w:szCs w:val="20"/>
              </w:rPr>
              <w:t xml:space="preserve">an </w:t>
            </w:r>
            <w:r w:rsidR="00F2006C" w:rsidRPr="007B5BE6">
              <w:rPr>
                <w:sz w:val="20"/>
                <w:szCs w:val="20"/>
              </w:rPr>
              <w:t xml:space="preserve">enduring power of </w:t>
            </w:r>
            <w:r w:rsidR="004F72CB" w:rsidRPr="007B5BE6">
              <w:rPr>
                <w:sz w:val="20"/>
                <w:szCs w:val="20"/>
              </w:rPr>
              <w:t>attorney</w:t>
            </w:r>
            <w:r w:rsidRPr="007B5BE6">
              <w:rPr>
                <w:sz w:val="20"/>
                <w:szCs w:val="20"/>
              </w:rPr>
              <w:t>)</w:t>
            </w:r>
          </w:p>
        </w:tc>
        <w:tc>
          <w:tcPr>
            <w:tcW w:w="151" w:type="pct"/>
            <w:tcBorders>
              <w:top w:val="single" w:sz="8" w:space="0" w:color="auto"/>
            </w:tcBorders>
          </w:tcPr>
          <w:p w14:paraId="3C6B428F" w14:textId="77777777" w:rsidR="00585752" w:rsidRPr="007B5BE6" w:rsidRDefault="00585752" w:rsidP="00C36293">
            <w:pPr>
              <w:jc w:val="left"/>
              <w:rPr>
                <w:sz w:val="20"/>
                <w:szCs w:val="20"/>
              </w:rPr>
            </w:pPr>
            <w:r w:rsidRPr="007B5BE6">
              <w:rPr>
                <w:sz w:val="20"/>
                <w:szCs w:val="20"/>
              </w:rPr>
              <w:t>Yes</w:t>
            </w:r>
          </w:p>
        </w:tc>
        <w:tc>
          <w:tcPr>
            <w:tcW w:w="554" w:type="pct"/>
            <w:tcBorders>
              <w:top w:val="single" w:sz="8" w:space="0" w:color="auto"/>
            </w:tcBorders>
          </w:tcPr>
          <w:p w14:paraId="79E53C2A" w14:textId="77777777" w:rsidR="00585752" w:rsidRPr="007B5BE6" w:rsidRDefault="00585752" w:rsidP="00C36293">
            <w:pPr>
              <w:jc w:val="left"/>
              <w:rPr>
                <w:sz w:val="20"/>
                <w:szCs w:val="20"/>
              </w:rPr>
            </w:pPr>
            <w:r w:rsidRPr="007B5BE6">
              <w:rPr>
                <w:sz w:val="20"/>
                <w:szCs w:val="20"/>
              </w:rPr>
              <w:t>No</w:t>
            </w:r>
          </w:p>
        </w:tc>
        <w:tc>
          <w:tcPr>
            <w:tcW w:w="554" w:type="pct"/>
            <w:tcBorders>
              <w:top w:val="single" w:sz="8" w:space="0" w:color="auto"/>
            </w:tcBorders>
          </w:tcPr>
          <w:p w14:paraId="6A421DC0" w14:textId="77777777" w:rsidR="00585752" w:rsidRPr="007B5BE6" w:rsidRDefault="00585752" w:rsidP="00C36293">
            <w:pPr>
              <w:jc w:val="left"/>
              <w:rPr>
                <w:sz w:val="20"/>
                <w:szCs w:val="20"/>
              </w:rPr>
            </w:pPr>
            <w:r w:rsidRPr="007B5BE6">
              <w:rPr>
                <w:sz w:val="20"/>
                <w:szCs w:val="20"/>
              </w:rPr>
              <w:t>No</w:t>
            </w:r>
          </w:p>
        </w:tc>
        <w:tc>
          <w:tcPr>
            <w:tcW w:w="554" w:type="pct"/>
            <w:tcBorders>
              <w:top w:val="single" w:sz="8" w:space="0" w:color="auto"/>
            </w:tcBorders>
          </w:tcPr>
          <w:p w14:paraId="057C50C1" w14:textId="77777777" w:rsidR="00585752" w:rsidRPr="007B5BE6" w:rsidRDefault="00585752" w:rsidP="00C36293">
            <w:pPr>
              <w:jc w:val="left"/>
              <w:rPr>
                <w:sz w:val="20"/>
                <w:szCs w:val="20"/>
              </w:rPr>
            </w:pPr>
            <w:r w:rsidRPr="007B5BE6">
              <w:rPr>
                <w:sz w:val="20"/>
                <w:szCs w:val="20"/>
              </w:rPr>
              <w:t xml:space="preserve">No </w:t>
            </w:r>
          </w:p>
        </w:tc>
        <w:tc>
          <w:tcPr>
            <w:tcW w:w="569" w:type="pct"/>
            <w:tcBorders>
              <w:top w:val="single" w:sz="8" w:space="0" w:color="auto"/>
            </w:tcBorders>
          </w:tcPr>
          <w:p w14:paraId="0D32B536" w14:textId="77777777" w:rsidR="00585752" w:rsidRPr="007B5BE6" w:rsidRDefault="00585752" w:rsidP="00C36293">
            <w:pPr>
              <w:jc w:val="left"/>
              <w:rPr>
                <w:sz w:val="20"/>
                <w:szCs w:val="20"/>
              </w:rPr>
            </w:pPr>
            <w:r w:rsidRPr="007B5BE6">
              <w:rPr>
                <w:sz w:val="20"/>
                <w:szCs w:val="20"/>
              </w:rPr>
              <w:t>Yes</w:t>
            </w:r>
          </w:p>
        </w:tc>
        <w:tc>
          <w:tcPr>
            <w:tcW w:w="402" w:type="pct"/>
            <w:tcBorders>
              <w:top w:val="single" w:sz="8" w:space="0" w:color="auto"/>
            </w:tcBorders>
          </w:tcPr>
          <w:p w14:paraId="6D5E9BD3" w14:textId="77777777" w:rsidR="00585752" w:rsidRPr="007B5BE6" w:rsidRDefault="00585752" w:rsidP="00C36293">
            <w:pPr>
              <w:jc w:val="left"/>
              <w:rPr>
                <w:sz w:val="20"/>
                <w:szCs w:val="20"/>
              </w:rPr>
            </w:pPr>
            <w:r w:rsidRPr="007B5BE6">
              <w:rPr>
                <w:sz w:val="20"/>
                <w:szCs w:val="20"/>
              </w:rPr>
              <w:t>No</w:t>
            </w:r>
          </w:p>
        </w:tc>
        <w:tc>
          <w:tcPr>
            <w:tcW w:w="441" w:type="pct"/>
            <w:tcBorders>
              <w:top w:val="single" w:sz="8" w:space="0" w:color="auto"/>
            </w:tcBorders>
          </w:tcPr>
          <w:p w14:paraId="618CEB3B" w14:textId="77777777" w:rsidR="00585752" w:rsidRPr="007B5BE6" w:rsidRDefault="00585752" w:rsidP="00C36293">
            <w:pPr>
              <w:jc w:val="left"/>
              <w:rPr>
                <w:sz w:val="20"/>
                <w:szCs w:val="20"/>
              </w:rPr>
            </w:pPr>
            <w:r w:rsidRPr="007B5BE6">
              <w:rPr>
                <w:sz w:val="20"/>
                <w:szCs w:val="20"/>
              </w:rPr>
              <w:t>No</w:t>
            </w:r>
          </w:p>
        </w:tc>
        <w:tc>
          <w:tcPr>
            <w:tcW w:w="520" w:type="pct"/>
            <w:tcBorders>
              <w:top w:val="single" w:sz="8" w:space="0" w:color="auto"/>
            </w:tcBorders>
          </w:tcPr>
          <w:p w14:paraId="762920C1" w14:textId="77777777" w:rsidR="00585752" w:rsidRPr="007B5BE6" w:rsidRDefault="00585752" w:rsidP="00C36293">
            <w:pPr>
              <w:jc w:val="left"/>
              <w:rPr>
                <w:sz w:val="20"/>
                <w:szCs w:val="20"/>
              </w:rPr>
            </w:pPr>
            <w:r w:rsidRPr="007B5BE6">
              <w:rPr>
                <w:sz w:val="20"/>
                <w:szCs w:val="20"/>
              </w:rPr>
              <w:t>No</w:t>
            </w:r>
          </w:p>
        </w:tc>
      </w:tr>
      <w:tr w:rsidR="00585752" w:rsidRPr="007B5BE6" w14:paraId="600B3175" w14:textId="77777777" w:rsidTr="00C36293">
        <w:tc>
          <w:tcPr>
            <w:tcW w:w="1256" w:type="pct"/>
          </w:tcPr>
          <w:p w14:paraId="33D301EE" w14:textId="220F8A57" w:rsidR="00585752" w:rsidRPr="007B5BE6" w:rsidDel="002E309C" w:rsidRDefault="00585752" w:rsidP="00C36293">
            <w:pPr>
              <w:jc w:val="left"/>
              <w:rPr>
                <w:sz w:val="20"/>
                <w:szCs w:val="20"/>
              </w:rPr>
            </w:pPr>
            <w:r w:rsidRPr="007B5BE6">
              <w:rPr>
                <w:sz w:val="20"/>
                <w:szCs w:val="20"/>
              </w:rPr>
              <w:t xml:space="preserve">Dishonest use of </w:t>
            </w:r>
            <w:r w:rsidR="002D0066" w:rsidRPr="007B5BE6">
              <w:rPr>
                <w:sz w:val="20"/>
                <w:szCs w:val="20"/>
              </w:rPr>
              <w:t xml:space="preserve">an </w:t>
            </w:r>
            <w:r w:rsidR="004F72CB" w:rsidRPr="007B5BE6">
              <w:rPr>
                <w:sz w:val="20"/>
                <w:szCs w:val="20"/>
              </w:rPr>
              <w:t>enduring power of attorney</w:t>
            </w:r>
          </w:p>
        </w:tc>
        <w:tc>
          <w:tcPr>
            <w:tcW w:w="151" w:type="pct"/>
          </w:tcPr>
          <w:p w14:paraId="40FDE951" w14:textId="77777777" w:rsidR="00585752" w:rsidRPr="007B5BE6" w:rsidRDefault="00585752" w:rsidP="00C36293">
            <w:pPr>
              <w:jc w:val="left"/>
              <w:rPr>
                <w:sz w:val="20"/>
                <w:szCs w:val="20"/>
              </w:rPr>
            </w:pPr>
            <w:r w:rsidRPr="007B5BE6">
              <w:rPr>
                <w:sz w:val="20"/>
                <w:szCs w:val="20"/>
              </w:rPr>
              <w:t>Yes</w:t>
            </w:r>
          </w:p>
        </w:tc>
        <w:tc>
          <w:tcPr>
            <w:tcW w:w="554" w:type="pct"/>
          </w:tcPr>
          <w:p w14:paraId="67ECAACE" w14:textId="77777777" w:rsidR="00585752" w:rsidRPr="007B5BE6" w:rsidRDefault="00585752" w:rsidP="00C36293">
            <w:pPr>
              <w:jc w:val="left"/>
              <w:rPr>
                <w:sz w:val="20"/>
                <w:szCs w:val="20"/>
              </w:rPr>
            </w:pPr>
            <w:r w:rsidRPr="007B5BE6">
              <w:rPr>
                <w:sz w:val="20"/>
                <w:szCs w:val="20"/>
              </w:rPr>
              <w:t>Yes</w:t>
            </w:r>
          </w:p>
        </w:tc>
        <w:tc>
          <w:tcPr>
            <w:tcW w:w="554" w:type="pct"/>
          </w:tcPr>
          <w:p w14:paraId="7D618DA1" w14:textId="77777777" w:rsidR="00585752" w:rsidRPr="007B5BE6" w:rsidRDefault="00585752" w:rsidP="00C36293">
            <w:pPr>
              <w:jc w:val="left"/>
              <w:rPr>
                <w:sz w:val="20"/>
                <w:szCs w:val="20"/>
              </w:rPr>
            </w:pPr>
            <w:r w:rsidRPr="007B5BE6">
              <w:rPr>
                <w:sz w:val="20"/>
                <w:szCs w:val="20"/>
              </w:rPr>
              <w:t>Yes</w:t>
            </w:r>
          </w:p>
        </w:tc>
        <w:tc>
          <w:tcPr>
            <w:tcW w:w="554" w:type="pct"/>
          </w:tcPr>
          <w:p w14:paraId="22834FCD" w14:textId="77777777" w:rsidR="00585752" w:rsidRPr="007B5BE6" w:rsidRDefault="00585752" w:rsidP="00C36293">
            <w:pPr>
              <w:jc w:val="left"/>
              <w:rPr>
                <w:sz w:val="20"/>
                <w:szCs w:val="20"/>
              </w:rPr>
            </w:pPr>
            <w:r w:rsidRPr="007B5BE6">
              <w:rPr>
                <w:sz w:val="20"/>
                <w:szCs w:val="20"/>
              </w:rPr>
              <w:t>No</w:t>
            </w:r>
          </w:p>
        </w:tc>
        <w:tc>
          <w:tcPr>
            <w:tcW w:w="569" w:type="pct"/>
          </w:tcPr>
          <w:p w14:paraId="22993E1F" w14:textId="77777777" w:rsidR="00585752" w:rsidRPr="007B5BE6" w:rsidRDefault="00585752" w:rsidP="00C36293">
            <w:pPr>
              <w:jc w:val="left"/>
              <w:rPr>
                <w:sz w:val="20"/>
                <w:szCs w:val="20"/>
              </w:rPr>
            </w:pPr>
            <w:r w:rsidRPr="007B5BE6">
              <w:rPr>
                <w:sz w:val="20"/>
                <w:szCs w:val="20"/>
              </w:rPr>
              <w:t>No</w:t>
            </w:r>
          </w:p>
        </w:tc>
        <w:tc>
          <w:tcPr>
            <w:tcW w:w="402" w:type="pct"/>
          </w:tcPr>
          <w:p w14:paraId="6BF0EC26" w14:textId="77777777" w:rsidR="00585752" w:rsidRPr="007B5BE6" w:rsidRDefault="00585752" w:rsidP="00C36293">
            <w:pPr>
              <w:jc w:val="left"/>
              <w:rPr>
                <w:sz w:val="20"/>
                <w:szCs w:val="20"/>
              </w:rPr>
            </w:pPr>
            <w:r w:rsidRPr="007B5BE6">
              <w:rPr>
                <w:sz w:val="20"/>
                <w:szCs w:val="20"/>
              </w:rPr>
              <w:t>No</w:t>
            </w:r>
          </w:p>
        </w:tc>
        <w:tc>
          <w:tcPr>
            <w:tcW w:w="441" w:type="pct"/>
          </w:tcPr>
          <w:p w14:paraId="14A05330" w14:textId="77777777" w:rsidR="00585752" w:rsidRPr="007B5BE6" w:rsidRDefault="00585752" w:rsidP="00C36293">
            <w:pPr>
              <w:jc w:val="left"/>
              <w:rPr>
                <w:sz w:val="20"/>
                <w:szCs w:val="20"/>
              </w:rPr>
            </w:pPr>
            <w:r w:rsidRPr="007B5BE6">
              <w:rPr>
                <w:sz w:val="20"/>
                <w:szCs w:val="20"/>
              </w:rPr>
              <w:t>No</w:t>
            </w:r>
          </w:p>
        </w:tc>
        <w:tc>
          <w:tcPr>
            <w:tcW w:w="520" w:type="pct"/>
          </w:tcPr>
          <w:p w14:paraId="65A402C5" w14:textId="3F742E53" w:rsidR="00585752" w:rsidRPr="007B5BE6" w:rsidRDefault="00585752" w:rsidP="00C36293">
            <w:pPr>
              <w:jc w:val="left"/>
              <w:rPr>
                <w:sz w:val="20"/>
                <w:szCs w:val="20"/>
              </w:rPr>
            </w:pPr>
            <w:r w:rsidRPr="007B5BE6">
              <w:rPr>
                <w:sz w:val="20"/>
                <w:szCs w:val="20"/>
              </w:rPr>
              <w:t>No</w:t>
            </w:r>
            <w:r w:rsidR="007A1345" w:rsidRPr="007B5BE6">
              <w:rPr>
                <w:sz w:val="20"/>
                <w:szCs w:val="20"/>
              </w:rPr>
              <w:t xml:space="preserve"> (other than not keeping property separate)</w:t>
            </w:r>
          </w:p>
        </w:tc>
      </w:tr>
      <w:tr w:rsidR="00585752" w:rsidRPr="007B5BE6" w14:paraId="429EB49D" w14:textId="77777777" w:rsidTr="00C36293">
        <w:tc>
          <w:tcPr>
            <w:tcW w:w="1256" w:type="pct"/>
          </w:tcPr>
          <w:p w14:paraId="287532F1" w14:textId="31D74352" w:rsidR="00585752" w:rsidRPr="007B5BE6" w:rsidDel="002E309C" w:rsidRDefault="00585752" w:rsidP="00C36293">
            <w:pPr>
              <w:jc w:val="left"/>
              <w:rPr>
                <w:sz w:val="20"/>
                <w:szCs w:val="20"/>
              </w:rPr>
            </w:pPr>
            <w:r w:rsidRPr="007B5BE6">
              <w:rPr>
                <w:sz w:val="20"/>
                <w:szCs w:val="20"/>
              </w:rPr>
              <w:t xml:space="preserve">Dishonest inducement of another to make, amend or revoke </w:t>
            </w:r>
            <w:r w:rsidR="002D0066" w:rsidRPr="007B5BE6">
              <w:rPr>
                <w:sz w:val="20"/>
                <w:szCs w:val="20"/>
              </w:rPr>
              <w:t xml:space="preserve">an enduring power of attorney </w:t>
            </w:r>
            <w:r w:rsidRPr="007B5BE6">
              <w:rPr>
                <w:sz w:val="20"/>
                <w:szCs w:val="20"/>
              </w:rPr>
              <w:t>and/or to exercise authority as an attorney contrary to an enduring document</w:t>
            </w:r>
          </w:p>
        </w:tc>
        <w:tc>
          <w:tcPr>
            <w:tcW w:w="151" w:type="pct"/>
          </w:tcPr>
          <w:p w14:paraId="33300E6F" w14:textId="77777777" w:rsidR="00585752" w:rsidRPr="007B5BE6" w:rsidRDefault="00585752" w:rsidP="00C36293">
            <w:pPr>
              <w:jc w:val="left"/>
              <w:rPr>
                <w:sz w:val="20"/>
                <w:szCs w:val="20"/>
              </w:rPr>
            </w:pPr>
            <w:r w:rsidRPr="007B5BE6">
              <w:rPr>
                <w:sz w:val="20"/>
                <w:szCs w:val="20"/>
              </w:rPr>
              <w:t>Yes</w:t>
            </w:r>
          </w:p>
        </w:tc>
        <w:tc>
          <w:tcPr>
            <w:tcW w:w="554" w:type="pct"/>
          </w:tcPr>
          <w:p w14:paraId="55A68BB8" w14:textId="77777777" w:rsidR="00585752" w:rsidRPr="007B5BE6" w:rsidRDefault="00585752" w:rsidP="00C36293">
            <w:pPr>
              <w:jc w:val="left"/>
              <w:rPr>
                <w:sz w:val="20"/>
                <w:szCs w:val="20"/>
              </w:rPr>
            </w:pPr>
            <w:r w:rsidRPr="007B5BE6">
              <w:rPr>
                <w:sz w:val="20"/>
                <w:szCs w:val="20"/>
              </w:rPr>
              <w:t>Yes</w:t>
            </w:r>
          </w:p>
        </w:tc>
        <w:tc>
          <w:tcPr>
            <w:tcW w:w="554" w:type="pct"/>
          </w:tcPr>
          <w:p w14:paraId="714AF20D" w14:textId="77777777" w:rsidR="00585752" w:rsidRPr="007B5BE6" w:rsidRDefault="00585752" w:rsidP="00C36293">
            <w:pPr>
              <w:jc w:val="left"/>
              <w:rPr>
                <w:sz w:val="20"/>
                <w:szCs w:val="20"/>
              </w:rPr>
            </w:pPr>
            <w:r w:rsidRPr="007B5BE6">
              <w:rPr>
                <w:sz w:val="20"/>
                <w:szCs w:val="20"/>
              </w:rPr>
              <w:t>Yes</w:t>
            </w:r>
          </w:p>
        </w:tc>
        <w:tc>
          <w:tcPr>
            <w:tcW w:w="554" w:type="pct"/>
          </w:tcPr>
          <w:p w14:paraId="6334BF40" w14:textId="77777777" w:rsidR="00585752" w:rsidRPr="007B5BE6" w:rsidRDefault="00585752" w:rsidP="00C36293">
            <w:pPr>
              <w:jc w:val="left"/>
              <w:rPr>
                <w:sz w:val="20"/>
                <w:szCs w:val="20"/>
              </w:rPr>
            </w:pPr>
            <w:r w:rsidRPr="007B5BE6">
              <w:rPr>
                <w:sz w:val="20"/>
                <w:szCs w:val="20"/>
              </w:rPr>
              <w:t>Yes</w:t>
            </w:r>
          </w:p>
        </w:tc>
        <w:tc>
          <w:tcPr>
            <w:tcW w:w="569" w:type="pct"/>
          </w:tcPr>
          <w:p w14:paraId="7999F50E" w14:textId="77777777" w:rsidR="00585752" w:rsidRPr="007B5BE6" w:rsidRDefault="00585752" w:rsidP="00C36293">
            <w:pPr>
              <w:jc w:val="left"/>
              <w:rPr>
                <w:sz w:val="20"/>
                <w:szCs w:val="20"/>
              </w:rPr>
            </w:pPr>
            <w:r w:rsidRPr="007B5BE6">
              <w:rPr>
                <w:sz w:val="20"/>
                <w:szCs w:val="20"/>
              </w:rPr>
              <w:t>No</w:t>
            </w:r>
          </w:p>
        </w:tc>
        <w:tc>
          <w:tcPr>
            <w:tcW w:w="402" w:type="pct"/>
          </w:tcPr>
          <w:p w14:paraId="225B0F20" w14:textId="77777777" w:rsidR="00585752" w:rsidRPr="007B5BE6" w:rsidRDefault="00585752" w:rsidP="00C36293">
            <w:pPr>
              <w:jc w:val="left"/>
              <w:rPr>
                <w:sz w:val="20"/>
                <w:szCs w:val="20"/>
              </w:rPr>
            </w:pPr>
            <w:r w:rsidRPr="007B5BE6">
              <w:rPr>
                <w:sz w:val="20"/>
                <w:szCs w:val="20"/>
              </w:rPr>
              <w:t>No</w:t>
            </w:r>
          </w:p>
        </w:tc>
        <w:tc>
          <w:tcPr>
            <w:tcW w:w="441" w:type="pct"/>
          </w:tcPr>
          <w:p w14:paraId="1A600DFA" w14:textId="77777777" w:rsidR="00585752" w:rsidRPr="007B5BE6" w:rsidRDefault="00585752" w:rsidP="00C36293">
            <w:pPr>
              <w:jc w:val="left"/>
              <w:rPr>
                <w:sz w:val="20"/>
                <w:szCs w:val="20"/>
              </w:rPr>
            </w:pPr>
            <w:r w:rsidRPr="007B5BE6">
              <w:rPr>
                <w:sz w:val="20"/>
                <w:szCs w:val="20"/>
              </w:rPr>
              <w:t>No</w:t>
            </w:r>
          </w:p>
        </w:tc>
        <w:tc>
          <w:tcPr>
            <w:tcW w:w="520" w:type="pct"/>
          </w:tcPr>
          <w:p w14:paraId="7204F101" w14:textId="77777777" w:rsidR="00585752" w:rsidRPr="007B5BE6" w:rsidRDefault="00585752" w:rsidP="00C36293">
            <w:pPr>
              <w:jc w:val="left"/>
              <w:rPr>
                <w:sz w:val="20"/>
                <w:szCs w:val="20"/>
              </w:rPr>
            </w:pPr>
            <w:r w:rsidRPr="007B5BE6">
              <w:rPr>
                <w:sz w:val="20"/>
                <w:szCs w:val="20"/>
              </w:rPr>
              <w:t>No</w:t>
            </w:r>
          </w:p>
        </w:tc>
      </w:tr>
    </w:tbl>
    <w:p w14:paraId="1A69A36C" w14:textId="6CFECA6D" w:rsidR="00BD0FD6" w:rsidRDefault="00585752" w:rsidP="00585752">
      <w:pPr>
        <w:pStyle w:val="NormalNumberedTextTLRI"/>
      </w:pPr>
      <w:r w:rsidRPr="007B5BE6">
        <w:t xml:space="preserve">In the Northern Territory, decision-makers </w:t>
      </w:r>
      <w:r w:rsidR="003F5778" w:rsidRPr="007B5BE6">
        <w:t xml:space="preserve">are guilty of an offence </w:t>
      </w:r>
      <w:r w:rsidR="00D95215" w:rsidRPr="007B5BE6">
        <w:t>if</w:t>
      </w:r>
      <w:r w:rsidR="003F5778" w:rsidRPr="007B5BE6">
        <w:t xml:space="preserve"> they </w:t>
      </w:r>
      <w:r w:rsidRPr="007B5BE6">
        <w:t xml:space="preserve">intentionally engage in conduct that fails to comply with their </w:t>
      </w:r>
      <w:r w:rsidR="00D95215" w:rsidRPr="007B5BE6">
        <w:t>duties or</w:t>
      </w:r>
      <w:r w:rsidRPr="007B5BE6">
        <w:t xml:space="preserve"> is not in accordance with the legislative guiding principles, and who are reckless in relation to the adult</w:t>
      </w:r>
      <w:r w:rsidR="003F5778" w:rsidRPr="007B5BE6">
        <w:t xml:space="preserve">. </w:t>
      </w:r>
      <w:r w:rsidR="00D95215" w:rsidRPr="007B5BE6">
        <w:t>T</w:t>
      </w:r>
      <w:r w:rsidR="00C43AC7" w:rsidRPr="007B5BE6">
        <w:t>h</w:t>
      </w:r>
      <w:r w:rsidR="00D95215" w:rsidRPr="007B5BE6">
        <w:t>is</w:t>
      </w:r>
      <w:r w:rsidR="00C43AC7" w:rsidRPr="007B5BE6">
        <w:t xml:space="preserve"> relate to enduring and non-enduring powers of attorney and guardianship.</w:t>
      </w:r>
      <w:r w:rsidR="00A06822" w:rsidRPr="007B5BE6">
        <w:rPr>
          <w:rStyle w:val="FootnoteReference"/>
        </w:rPr>
        <w:footnoteReference w:id="787"/>
      </w:r>
      <w:r w:rsidRPr="007B5BE6">
        <w:t xml:space="preserve"> </w:t>
      </w:r>
      <w:r w:rsidR="00DC6E10" w:rsidRPr="007B5BE6">
        <w:t xml:space="preserve">Further, </w:t>
      </w:r>
      <w:r w:rsidR="00D95215" w:rsidRPr="007B5BE6">
        <w:t xml:space="preserve">relating to enduring powers of attorney or guardianship, </w:t>
      </w:r>
      <w:r w:rsidR="00DC6E10" w:rsidRPr="007B5BE6">
        <w:lastRenderedPageBreak/>
        <w:t xml:space="preserve">decision-makers </w:t>
      </w:r>
      <w:r w:rsidR="00D95215" w:rsidRPr="007B5BE6">
        <w:t>are guilty of an offence if they</w:t>
      </w:r>
      <w:r w:rsidR="00DC6E10" w:rsidRPr="007B5BE6">
        <w:t xml:space="preserve"> intentionally exercise authority  as  a  decision  maker where the represented person does not have impaired decision-making ability.</w:t>
      </w:r>
      <w:r w:rsidR="00C43AC7" w:rsidRPr="007B5BE6">
        <w:rPr>
          <w:rStyle w:val="FootnoteReference"/>
        </w:rPr>
        <w:footnoteReference w:id="788"/>
      </w:r>
      <w:r w:rsidR="00DC6E10" w:rsidRPr="007B5BE6">
        <w:t xml:space="preserve"> </w:t>
      </w:r>
      <w:r w:rsidR="003421F3" w:rsidRPr="007B5BE6">
        <w:t>Higher</w:t>
      </w:r>
      <w:r w:rsidRPr="007B5BE6">
        <w:t xml:space="preserve"> penalt</w:t>
      </w:r>
      <w:r w:rsidR="003421F3" w:rsidRPr="007B5BE6">
        <w:t xml:space="preserve">ies are </w:t>
      </w:r>
      <w:r w:rsidRPr="007B5BE6">
        <w:t xml:space="preserve">imposed </w:t>
      </w:r>
      <w:r w:rsidR="003421F3" w:rsidRPr="007B5BE6">
        <w:t xml:space="preserve">for these offences </w:t>
      </w:r>
      <w:r w:rsidRPr="007B5BE6">
        <w:t xml:space="preserve">where the decision-maker </w:t>
      </w:r>
      <w:r w:rsidR="00D95215" w:rsidRPr="007B5BE6">
        <w:t>engages in the relevant conduct</w:t>
      </w:r>
      <w:r w:rsidRPr="007B5BE6">
        <w:t xml:space="preserve"> with the intention of obtaining a benefit for themselves or another person.</w:t>
      </w:r>
      <w:r w:rsidR="00A06822" w:rsidRPr="007B5BE6">
        <w:rPr>
          <w:rStyle w:val="FootnoteReference"/>
        </w:rPr>
        <w:footnoteReference w:id="789"/>
      </w:r>
      <w:r w:rsidRPr="007B5BE6">
        <w:t xml:space="preserve"> </w:t>
      </w:r>
    </w:p>
    <w:p w14:paraId="55156564" w14:textId="7CCD6B94" w:rsidR="001F4B79" w:rsidRPr="007B5BE6" w:rsidRDefault="00616D8B" w:rsidP="00585752">
      <w:pPr>
        <w:pStyle w:val="NormalNumberedTextTLRI"/>
      </w:pPr>
      <w:r w:rsidRPr="007B5BE6">
        <w:t xml:space="preserve">It is noted that </w:t>
      </w:r>
      <w:r w:rsidR="00093914" w:rsidRPr="007B5BE6">
        <w:t xml:space="preserve">the </w:t>
      </w:r>
      <w:r w:rsidR="00400902" w:rsidRPr="007B5BE6">
        <w:t xml:space="preserve">Standing Council of Attorneys-General are reviewing state and territory laws on financial enduring powers of attorney with the aim of achieving greater consistency across Australia and addressing financial abuse of older people. </w:t>
      </w:r>
      <w:r w:rsidR="00643038" w:rsidRPr="007B5BE6">
        <w:t>Jurisdictional issues, compensation and offences relating to justice responses for misuse of powers of attorney are key areas for potential reform proposals</w:t>
      </w:r>
      <w:r w:rsidR="009449B5" w:rsidRPr="007B5BE6">
        <w:t>.</w:t>
      </w:r>
      <w:r w:rsidR="00A06822" w:rsidRPr="007B5BE6">
        <w:rPr>
          <w:rStyle w:val="FootnoteReference"/>
        </w:rPr>
        <w:footnoteReference w:id="790"/>
      </w:r>
      <w:r w:rsidR="00643038" w:rsidRPr="007B5BE6">
        <w:t xml:space="preserve"> </w:t>
      </w:r>
      <w:r w:rsidR="00BB6CF9" w:rsidRPr="007B5BE6">
        <w:t>Accordingly,</w:t>
      </w:r>
      <w:r w:rsidR="00A66241" w:rsidRPr="007B5BE6">
        <w:t xml:space="preserve"> </w:t>
      </w:r>
      <w:r w:rsidR="002B6D22" w:rsidRPr="007B5BE6">
        <w:t>any</w:t>
      </w:r>
      <w:r w:rsidR="00A66241" w:rsidRPr="007B5BE6">
        <w:t xml:space="preserve"> f</w:t>
      </w:r>
      <w:r w:rsidR="00643038" w:rsidRPr="007B5BE6">
        <w:t>indings and recommendations</w:t>
      </w:r>
      <w:r w:rsidR="00BB6CF9" w:rsidRPr="007B5BE6">
        <w:t xml:space="preserve"> </w:t>
      </w:r>
      <w:r w:rsidR="002B6D22" w:rsidRPr="007B5BE6">
        <w:t xml:space="preserve">made in </w:t>
      </w:r>
      <w:r w:rsidR="00D43A0C" w:rsidRPr="007B5BE6">
        <w:t xml:space="preserve">Standing Council of Attorneys-General </w:t>
      </w:r>
      <w:r w:rsidR="00BB6CF9" w:rsidRPr="007B5BE6">
        <w:t>review</w:t>
      </w:r>
      <w:r w:rsidR="002B6D22" w:rsidRPr="007B5BE6">
        <w:t>,</w:t>
      </w:r>
      <w:r w:rsidR="00643038" w:rsidRPr="007B5BE6">
        <w:t xml:space="preserve"> may include proposals for reform </w:t>
      </w:r>
      <w:r w:rsidR="00A66241" w:rsidRPr="007B5BE6">
        <w:t xml:space="preserve">relevant </w:t>
      </w:r>
      <w:r w:rsidR="00643038" w:rsidRPr="007B5BE6">
        <w:t>to current Tasmanian law.</w:t>
      </w:r>
      <w:r w:rsidR="00FE3BC8" w:rsidRPr="007B5BE6">
        <w:t xml:space="preserve"> </w:t>
      </w:r>
      <w:r w:rsidR="00585CF1" w:rsidRPr="007B5BE6">
        <w:t>P</w:t>
      </w:r>
      <w:r w:rsidR="001F52CA" w:rsidRPr="007B5BE6">
        <w:t xml:space="preserve">roposals </w:t>
      </w:r>
      <w:r w:rsidR="00585CF1" w:rsidRPr="007B5BE6">
        <w:t xml:space="preserve">set out </w:t>
      </w:r>
      <w:r w:rsidR="001F52CA" w:rsidRPr="007B5BE6">
        <w:t xml:space="preserve">in the </w:t>
      </w:r>
      <w:r w:rsidR="00585CF1" w:rsidRPr="007B5BE6">
        <w:t xml:space="preserve">Standing Council’s </w:t>
      </w:r>
      <w:r w:rsidR="001F52CA" w:rsidRPr="007B5BE6">
        <w:t xml:space="preserve">consultation paper </w:t>
      </w:r>
      <w:r w:rsidR="00E83686" w:rsidRPr="007B5BE6">
        <w:t>include</w:t>
      </w:r>
      <w:r w:rsidR="00585CF1" w:rsidRPr="007B5BE6">
        <w:t>d</w:t>
      </w:r>
      <w:r w:rsidR="00E83686" w:rsidRPr="007B5BE6">
        <w:t xml:space="preserve"> </w:t>
      </w:r>
      <w:r w:rsidR="00540574" w:rsidRPr="007B5BE6">
        <w:t xml:space="preserve">civil options </w:t>
      </w:r>
      <w:r w:rsidR="00527EDB" w:rsidRPr="007B5BE6">
        <w:t>for</w:t>
      </w:r>
      <w:r w:rsidR="00162097" w:rsidRPr="007B5BE6">
        <w:t xml:space="preserve"> compensation</w:t>
      </w:r>
      <w:r w:rsidR="00585CF1" w:rsidRPr="007B5BE6">
        <w:t>. Th</w:t>
      </w:r>
      <w:r w:rsidR="002B6D22" w:rsidRPr="007B5BE6">
        <w:t xml:space="preserve">ese proposals are summarised </w:t>
      </w:r>
      <w:r w:rsidR="001F4B79" w:rsidRPr="007B5BE6">
        <w:t xml:space="preserve">in Table </w:t>
      </w:r>
      <w:r w:rsidR="0074721E" w:rsidRPr="007B5BE6">
        <w:t>5.</w:t>
      </w:r>
      <w:r w:rsidR="002646D8" w:rsidRPr="007B5BE6">
        <w:t>4</w:t>
      </w:r>
      <w:r w:rsidR="001F4B79" w:rsidRPr="007B5BE6">
        <w:t xml:space="preserve">. </w:t>
      </w:r>
    </w:p>
    <w:p w14:paraId="6DCC9BB0" w14:textId="0D550074" w:rsidR="001F4B79" w:rsidRPr="007B5BE6" w:rsidRDefault="001F4B79" w:rsidP="00D55E3C">
      <w:pPr>
        <w:spacing w:before="240" w:after="240"/>
        <w:rPr>
          <w:b/>
          <w:bCs/>
        </w:rPr>
      </w:pPr>
      <w:r w:rsidRPr="007B5BE6">
        <w:rPr>
          <w:b/>
          <w:bCs/>
        </w:rPr>
        <w:t xml:space="preserve">Table </w:t>
      </w:r>
      <w:r w:rsidR="0074721E" w:rsidRPr="007B5BE6">
        <w:rPr>
          <w:b/>
          <w:bCs/>
        </w:rPr>
        <w:t>5.</w:t>
      </w:r>
      <w:r w:rsidR="002646D8" w:rsidRPr="007B5BE6">
        <w:rPr>
          <w:b/>
          <w:bCs/>
        </w:rPr>
        <w:t>4</w:t>
      </w:r>
      <w:r w:rsidR="0074721E" w:rsidRPr="007B5BE6">
        <w:rPr>
          <w:b/>
          <w:bCs/>
        </w:rPr>
        <w:t>:</w:t>
      </w:r>
      <w:r w:rsidRPr="007B5BE6">
        <w:rPr>
          <w:b/>
          <w:bCs/>
        </w:rPr>
        <w:t xml:space="preserve"> </w:t>
      </w:r>
      <w:r w:rsidR="00DB3313" w:rsidRPr="007B5BE6">
        <w:rPr>
          <w:b/>
          <w:bCs/>
        </w:rPr>
        <w:t>Standing Council of Attorneys-General</w:t>
      </w:r>
      <w:r w:rsidR="002B6D22" w:rsidRPr="007B5BE6">
        <w:rPr>
          <w:b/>
          <w:bCs/>
        </w:rPr>
        <w:t>:</w:t>
      </w:r>
      <w:r w:rsidR="00585CF1" w:rsidRPr="007B5BE6">
        <w:rPr>
          <w:b/>
          <w:bCs/>
        </w:rPr>
        <w:t xml:space="preserve"> </w:t>
      </w:r>
      <w:r w:rsidR="002B6D22" w:rsidRPr="007B5BE6">
        <w:rPr>
          <w:b/>
          <w:bCs/>
        </w:rPr>
        <w:t>p</w:t>
      </w:r>
      <w:r w:rsidR="00585CF1" w:rsidRPr="007B5BE6">
        <w:rPr>
          <w:b/>
          <w:bCs/>
        </w:rPr>
        <w:t>roposals relating to</w:t>
      </w:r>
      <w:r w:rsidR="00D450C8" w:rsidRPr="007B5BE6">
        <w:rPr>
          <w:b/>
          <w:bCs/>
        </w:rPr>
        <w:t xml:space="preserve"> actions </w:t>
      </w:r>
      <w:r w:rsidR="00B64029" w:rsidRPr="007B5BE6">
        <w:rPr>
          <w:b/>
          <w:bCs/>
        </w:rPr>
        <w:t>under</w:t>
      </w:r>
      <w:r w:rsidR="00D450C8" w:rsidRPr="007B5BE6">
        <w:rPr>
          <w:b/>
          <w:bCs/>
        </w:rPr>
        <w:t xml:space="preserve"> </w:t>
      </w:r>
      <w:r w:rsidR="00B64029" w:rsidRPr="007B5BE6">
        <w:rPr>
          <w:b/>
          <w:bCs/>
        </w:rPr>
        <w:t>enduring powers of attorney</w:t>
      </w:r>
      <w:r w:rsidR="00266F46" w:rsidRPr="007B5BE6">
        <w:rPr>
          <w:rStyle w:val="FootnoteReference"/>
          <w:b/>
          <w:bCs/>
        </w:rPr>
        <w:footnoteReference w:id="791"/>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1701"/>
        <w:gridCol w:w="7315"/>
      </w:tblGrid>
      <w:tr w:rsidR="0003041C" w:rsidRPr="007B5BE6" w14:paraId="5A926EA1" w14:textId="77777777" w:rsidTr="0092637E">
        <w:tc>
          <w:tcPr>
            <w:tcW w:w="1701" w:type="dxa"/>
            <w:tcBorders>
              <w:top w:val="single" w:sz="8" w:space="0" w:color="auto"/>
              <w:bottom w:val="single" w:sz="8" w:space="0" w:color="auto"/>
              <w:right w:val="nil"/>
            </w:tcBorders>
            <w:shd w:val="clear" w:color="auto" w:fill="FFFFFF" w:themeFill="background1"/>
          </w:tcPr>
          <w:p w14:paraId="4D132A17" w14:textId="106E1A55" w:rsidR="0003041C" w:rsidRPr="007B5BE6" w:rsidRDefault="00E83686" w:rsidP="001F4B79">
            <w:pPr>
              <w:rPr>
                <w:b/>
                <w:bCs/>
                <w:sz w:val="20"/>
                <w:szCs w:val="20"/>
              </w:rPr>
            </w:pPr>
            <w:r w:rsidRPr="007B5BE6">
              <w:rPr>
                <w:b/>
                <w:bCs/>
                <w:sz w:val="20"/>
                <w:szCs w:val="20"/>
              </w:rPr>
              <w:t>Type of response</w:t>
            </w:r>
            <w:r w:rsidR="0003041C" w:rsidRPr="007B5BE6">
              <w:rPr>
                <w:b/>
                <w:bCs/>
                <w:sz w:val="20"/>
                <w:szCs w:val="20"/>
              </w:rPr>
              <w:t xml:space="preserve"> </w:t>
            </w:r>
          </w:p>
        </w:tc>
        <w:tc>
          <w:tcPr>
            <w:tcW w:w="7315" w:type="dxa"/>
            <w:tcBorders>
              <w:top w:val="single" w:sz="8" w:space="0" w:color="auto"/>
              <w:left w:val="nil"/>
              <w:bottom w:val="single" w:sz="8" w:space="0" w:color="auto"/>
            </w:tcBorders>
            <w:shd w:val="clear" w:color="auto" w:fill="FFFFFF" w:themeFill="background1"/>
          </w:tcPr>
          <w:p w14:paraId="73428919" w14:textId="705DFA2B" w:rsidR="0003041C" w:rsidRPr="007B5BE6" w:rsidRDefault="0003041C" w:rsidP="001F4B79">
            <w:pPr>
              <w:rPr>
                <w:b/>
                <w:bCs/>
                <w:sz w:val="20"/>
                <w:szCs w:val="20"/>
              </w:rPr>
            </w:pPr>
            <w:r w:rsidRPr="007B5BE6">
              <w:rPr>
                <w:b/>
                <w:bCs/>
                <w:sz w:val="20"/>
                <w:szCs w:val="20"/>
              </w:rPr>
              <w:t xml:space="preserve">Proposal </w:t>
            </w:r>
          </w:p>
        </w:tc>
      </w:tr>
      <w:tr w:rsidR="0003041C" w:rsidRPr="007B5BE6" w14:paraId="29F42236" w14:textId="77777777" w:rsidTr="0092637E">
        <w:tc>
          <w:tcPr>
            <w:tcW w:w="1701" w:type="dxa"/>
            <w:tcBorders>
              <w:top w:val="single" w:sz="8" w:space="0" w:color="auto"/>
              <w:bottom w:val="single" w:sz="4" w:space="0" w:color="auto"/>
              <w:right w:val="nil"/>
            </w:tcBorders>
          </w:tcPr>
          <w:p w14:paraId="3EAAFBB8" w14:textId="27DE6B5C" w:rsidR="0003041C" w:rsidRPr="007B5BE6" w:rsidRDefault="0003041C" w:rsidP="00C36293">
            <w:pPr>
              <w:jc w:val="left"/>
              <w:rPr>
                <w:sz w:val="20"/>
                <w:szCs w:val="20"/>
              </w:rPr>
            </w:pPr>
            <w:r w:rsidRPr="007B5BE6">
              <w:rPr>
                <w:sz w:val="20"/>
                <w:szCs w:val="20"/>
              </w:rPr>
              <w:t xml:space="preserve">Jurisdiction and compensation </w:t>
            </w:r>
          </w:p>
        </w:tc>
        <w:tc>
          <w:tcPr>
            <w:tcW w:w="7315" w:type="dxa"/>
            <w:tcBorders>
              <w:top w:val="single" w:sz="8" w:space="0" w:color="auto"/>
              <w:left w:val="nil"/>
              <w:bottom w:val="single" w:sz="4" w:space="0" w:color="auto"/>
            </w:tcBorders>
          </w:tcPr>
          <w:p w14:paraId="40878488" w14:textId="2833BA2E" w:rsidR="0003041C" w:rsidRPr="007B5BE6" w:rsidRDefault="00AE2B7F" w:rsidP="00C36293">
            <w:pPr>
              <w:jc w:val="left"/>
              <w:rPr>
                <w:sz w:val="20"/>
                <w:szCs w:val="20"/>
              </w:rPr>
            </w:pPr>
            <w:r w:rsidRPr="007B5BE6">
              <w:rPr>
                <w:sz w:val="20"/>
                <w:szCs w:val="20"/>
              </w:rPr>
              <w:t xml:space="preserve">Order an attorney acting under a financial </w:t>
            </w:r>
            <w:r w:rsidR="00C21D5E" w:rsidRPr="007B5BE6">
              <w:rPr>
                <w:sz w:val="20"/>
                <w:szCs w:val="20"/>
              </w:rPr>
              <w:t xml:space="preserve">enduring power of attorney </w:t>
            </w:r>
            <w:r w:rsidRPr="007B5BE6">
              <w:rPr>
                <w:sz w:val="20"/>
                <w:szCs w:val="20"/>
              </w:rPr>
              <w:t xml:space="preserve">to pay compensation for a loss caused by the attorney’s failure to comply with the relevant </w:t>
            </w:r>
            <w:r w:rsidR="00C21D5E" w:rsidRPr="007B5BE6">
              <w:rPr>
                <w:sz w:val="20"/>
                <w:szCs w:val="20"/>
              </w:rPr>
              <w:t>s</w:t>
            </w:r>
            <w:r w:rsidRPr="007B5BE6">
              <w:rPr>
                <w:sz w:val="20"/>
                <w:szCs w:val="20"/>
              </w:rPr>
              <w:t xml:space="preserve">tate or </w:t>
            </w:r>
            <w:r w:rsidR="00C21D5E" w:rsidRPr="007B5BE6">
              <w:rPr>
                <w:sz w:val="20"/>
                <w:szCs w:val="20"/>
              </w:rPr>
              <w:t>t</w:t>
            </w:r>
            <w:r w:rsidRPr="007B5BE6">
              <w:rPr>
                <w:sz w:val="20"/>
                <w:szCs w:val="20"/>
              </w:rPr>
              <w:t xml:space="preserve">erritory Act when acting as an attorney, or to account for any profits the attorney has gained </w:t>
            </w:r>
            <w:proofErr w:type="gramStart"/>
            <w:r w:rsidRPr="007B5BE6">
              <w:rPr>
                <w:sz w:val="20"/>
                <w:szCs w:val="20"/>
              </w:rPr>
              <w:t>as a result of</w:t>
            </w:r>
            <w:proofErr w:type="gramEnd"/>
            <w:r w:rsidRPr="007B5BE6">
              <w:rPr>
                <w:sz w:val="20"/>
                <w:szCs w:val="20"/>
              </w:rPr>
              <w:t xml:space="preserve"> the attorney’s failure to comply with the relevant </w:t>
            </w:r>
            <w:r w:rsidR="00C21D5E" w:rsidRPr="007B5BE6">
              <w:rPr>
                <w:sz w:val="20"/>
                <w:szCs w:val="20"/>
              </w:rPr>
              <w:t>s</w:t>
            </w:r>
            <w:r w:rsidRPr="007B5BE6">
              <w:rPr>
                <w:sz w:val="20"/>
                <w:szCs w:val="20"/>
              </w:rPr>
              <w:t xml:space="preserve">tate or </w:t>
            </w:r>
            <w:r w:rsidR="00C21D5E" w:rsidRPr="007B5BE6">
              <w:rPr>
                <w:sz w:val="20"/>
                <w:szCs w:val="20"/>
              </w:rPr>
              <w:t>t</w:t>
            </w:r>
            <w:r w:rsidRPr="007B5BE6">
              <w:rPr>
                <w:sz w:val="20"/>
                <w:szCs w:val="20"/>
              </w:rPr>
              <w:t>erritory Act. Compensation or an account of profits would be payable to a principal or the principal’s estate</w:t>
            </w:r>
            <w:r w:rsidR="00C21D5E" w:rsidRPr="007B5BE6">
              <w:rPr>
                <w:sz w:val="20"/>
                <w:szCs w:val="20"/>
              </w:rPr>
              <w:t xml:space="preserve"> (</w:t>
            </w:r>
            <w:r w:rsidRPr="007B5BE6">
              <w:rPr>
                <w:sz w:val="20"/>
                <w:szCs w:val="20"/>
              </w:rPr>
              <w:t>if the principal has died</w:t>
            </w:r>
            <w:r w:rsidR="00C21D5E" w:rsidRPr="007B5BE6">
              <w:rPr>
                <w:sz w:val="20"/>
                <w:szCs w:val="20"/>
              </w:rPr>
              <w:t>)</w:t>
            </w:r>
            <w:r w:rsidRPr="007B5BE6">
              <w:rPr>
                <w:sz w:val="20"/>
                <w:szCs w:val="20"/>
              </w:rPr>
              <w:t>.</w:t>
            </w:r>
          </w:p>
        </w:tc>
      </w:tr>
      <w:tr w:rsidR="0047092C" w:rsidRPr="007B5BE6" w14:paraId="13E9DC8D" w14:textId="77777777" w:rsidTr="0092637E">
        <w:tc>
          <w:tcPr>
            <w:tcW w:w="1701" w:type="dxa"/>
            <w:vMerge w:val="restart"/>
            <w:tcBorders>
              <w:top w:val="single" w:sz="4" w:space="0" w:color="auto"/>
              <w:bottom w:val="nil"/>
              <w:right w:val="nil"/>
            </w:tcBorders>
          </w:tcPr>
          <w:p w14:paraId="15D12C10" w14:textId="6377DD11" w:rsidR="0047092C" w:rsidRPr="007B5BE6" w:rsidRDefault="0047092C" w:rsidP="00C36293">
            <w:pPr>
              <w:jc w:val="left"/>
              <w:rPr>
                <w:sz w:val="20"/>
                <w:szCs w:val="20"/>
              </w:rPr>
            </w:pPr>
            <w:r w:rsidRPr="007B5BE6">
              <w:rPr>
                <w:sz w:val="20"/>
                <w:szCs w:val="20"/>
              </w:rPr>
              <w:t xml:space="preserve">Offences </w:t>
            </w:r>
          </w:p>
        </w:tc>
        <w:tc>
          <w:tcPr>
            <w:tcW w:w="7315" w:type="dxa"/>
            <w:tcBorders>
              <w:top w:val="single" w:sz="4" w:space="0" w:color="auto"/>
              <w:left w:val="nil"/>
              <w:bottom w:val="nil"/>
            </w:tcBorders>
          </w:tcPr>
          <w:p w14:paraId="14942F5E" w14:textId="637A4981" w:rsidR="0047092C" w:rsidRPr="007B5BE6" w:rsidRDefault="00C21D5E" w:rsidP="00C36293">
            <w:pPr>
              <w:jc w:val="left"/>
              <w:rPr>
                <w:sz w:val="20"/>
                <w:szCs w:val="20"/>
              </w:rPr>
            </w:pPr>
            <w:r w:rsidRPr="007B5BE6">
              <w:rPr>
                <w:sz w:val="20"/>
                <w:szCs w:val="20"/>
              </w:rPr>
              <w:t>Enduring power of attorney</w:t>
            </w:r>
            <w:r w:rsidR="0047092C" w:rsidRPr="007B5BE6">
              <w:rPr>
                <w:sz w:val="20"/>
                <w:szCs w:val="20"/>
              </w:rPr>
              <w:t xml:space="preserve"> specific offences should remain in jurisdictions where they currently exist</w:t>
            </w:r>
            <w:r w:rsidR="00E11DDA" w:rsidRPr="007B5BE6">
              <w:rPr>
                <w:sz w:val="20"/>
                <w:szCs w:val="20"/>
              </w:rPr>
              <w:t>.</w:t>
            </w:r>
          </w:p>
        </w:tc>
      </w:tr>
      <w:tr w:rsidR="0047092C" w:rsidRPr="007B5BE6" w14:paraId="42AF3A86" w14:textId="77777777" w:rsidTr="0092637E">
        <w:tc>
          <w:tcPr>
            <w:tcW w:w="1701" w:type="dxa"/>
            <w:vMerge/>
            <w:tcBorders>
              <w:top w:val="nil"/>
              <w:bottom w:val="single" w:sz="4" w:space="0" w:color="auto"/>
              <w:right w:val="nil"/>
            </w:tcBorders>
          </w:tcPr>
          <w:p w14:paraId="0DBED7EE" w14:textId="77777777" w:rsidR="0047092C" w:rsidRPr="007B5BE6" w:rsidRDefault="0047092C" w:rsidP="00C36293">
            <w:pPr>
              <w:jc w:val="left"/>
              <w:rPr>
                <w:sz w:val="20"/>
                <w:szCs w:val="20"/>
              </w:rPr>
            </w:pPr>
          </w:p>
        </w:tc>
        <w:tc>
          <w:tcPr>
            <w:tcW w:w="7315" w:type="dxa"/>
            <w:tcBorders>
              <w:top w:val="nil"/>
              <w:left w:val="nil"/>
              <w:bottom w:val="single" w:sz="4" w:space="0" w:color="auto"/>
            </w:tcBorders>
          </w:tcPr>
          <w:p w14:paraId="34766A6A" w14:textId="1AAE02DC" w:rsidR="0047092C" w:rsidRPr="007B5BE6" w:rsidRDefault="0047092C" w:rsidP="00C36293">
            <w:pPr>
              <w:jc w:val="left"/>
              <w:rPr>
                <w:sz w:val="20"/>
                <w:szCs w:val="20"/>
              </w:rPr>
            </w:pPr>
            <w:r w:rsidRPr="007B5BE6">
              <w:rPr>
                <w:sz w:val="20"/>
                <w:szCs w:val="20"/>
              </w:rPr>
              <w:t xml:space="preserve">To ensure adequate coverage and consequences for attorneys who have misused their powers, the following should be penalised (either through specific </w:t>
            </w:r>
            <w:r w:rsidR="00E11DDA" w:rsidRPr="007B5BE6">
              <w:rPr>
                <w:sz w:val="20"/>
                <w:szCs w:val="20"/>
              </w:rPr>
              <w:t>enduring power of attorney-</w:t>
            </w:r>
            <w:r w:rsidRPr="007B5BE6">
              <w:rPr>
                <w:sz w:val="20"/>
                <w:szCs w:val="20"/>
              </w:rPr>
              <w:t>related offences, broader general</w:t>
            </w:r>
            <w:r w:rsidR="001E49E0" w:rsidRPr="007B5BE6">
              <w:rPr>
                <w:sz w:val="20"/>
                <w:szCs w:val="20"/>
              </w:rPr>
              <w:t xml:space="preserve"> </w:t>
            </w:r>
            <w:r w:rsidRPr="007B5BE6">
              <w:rPr>
                <w:sz w:val="20"/>
                <w:szCs w:val="20"/>
              </w:rPr>
              <w:t>offences or civil penalty regimes, which encapsulate the relevant conduct):</w:t>
            </w:r>
          </w:p>
          <w:p w14:paraId="3DDD37D4" w14:textId="20B0834C" w:rsidR="0047092C" w:rsidRPr="007B5BE6" w:rsidRDefault="0047092C" w:rsidP="00C36293">
            <w:pPr>
              <w:pStyle w:val="DotPointTLRI"/>
              <w:jc w:val="left"/>
              <w:rPr>
                <w:sz w:val="20"/>
                <w:szCs w:val="20"/>
              </w:rPr>
            </w:pPr>
            <w:r w:rsidRPr="007B5BE6">
              <w:rPr>
                <w:sz w:val="20"/>
                <w:szCs w:val="20"/>
              </w:rPr>
              <w:t xml:space="preserve">dishonest inducement to execute or revoke an </w:t>
            </w:r>
            <w:r w:rsidR="00E11DDA" w:rsidRPr="007B5BE6">
              <w:rPr>
                <w:sz w:val="20"/>
                <w:szCs w:val="20"/>
              </w:rPr>
              <w:t>enduring power of attorney;</w:t>
            </w:r>
          </w:p>
          <w:p w14:paraId="070B3945" w14:textId="40098256" w:rsidR="0047092C" w:rsidRPr="007B5BE6" w:rsidRDefault="0047092C" w:rsidP="00C36293">
            <w:pPr>
              <w:pStyle w:val="DotPointTLRI"/>
              <w:jc w:val="left"/>
              <w:rPr>
                <w:sz w:val="20"/>
                <w:szCs w:val="20"/>
              </w:rPr>
            </w:pPr>
            <w:r w:rsidRPr="007B5BE6">
              <w:rPr>
                <w:sz w:val="20"/>
                <w:szCs w:val="20"/>
              </w:rPr>
              <w:t xml:space="preserve">dishonest use of an </w:t>
            </w:r>
            <w:r w:rsidR="00E11DDA" w:rsidRPr="007B5BE6">
              <w:rPr>
                <w:sz w:val="20"/>
                <w:szCs w:val="20"/>
              </w:rPr>
              <w:t>enduring power of attorney</w:t>
            </w:r>
            <w:r w:rsidRPr="007B5BE6">
              <w:rPr>
                <w:sz w:val="20"/>
                <w:szCs w:val="20"/>
              </w:rPr>
              <w:t xml:space="preserve"> to obtain financial advantage for the attorney or another person</w:t>
            </w:r>
            <w:r w:rsidR="00E11DDA" w:rsidRPr="007B5BE6">
              <w:rPr>
                <w:sz w:val="20"/>
                <w:szCs w:val="20"/>
              </w:rPr>
              <w:t>,</w:t>
            </w:r>
            <w:r w:rsidRPr="007B5BE6">
              <w:rPr>
                <w:sz w:val="20"/>
                <w:szCs w:val="20"/>
              </w:rPr>
              <w:t xml:space="preserve"> or to cause loss to the principal or another person</w:t>
            </w:r>
            <w:r w:rsidR="00E11DDA" w:rsidRPr="007B5BE6">
              <w:rPr>
                <w:sz w:val="20"/>
                <w:szCs w:val="20"/>
              </w:rPr>
              <w:t xml:space="preserve">; </w:t>
            </w:r>
            <w:r w:rsidR="00A42FE8" w:rsidRPr="007B5BE6">
              <w:rPr>
                <w:sz w:val="20"/>
                <w:szCs w:val="20"/>
              </w:rPr>
              <w:t>and</w:t>
            </w:r>
          </w:p>
          <w:p w14:paraId="6D6E7C9B" w14:textId="0D92CD34" w:rsidR="0047092C" w:rsidRPr="007B5BE6" w:rsidRDefault="0047092C" w:rsidP="00C36293">
            <w:pPr>
              <w:pStyle w:val="DotPointTLRI"/>
              <w:jc w:val="left"/>
              <w:rPr>
                <w:sz w:val="20"/>
                <w:szCs w:val="20"/>
              </w:rPr>
            </w:pPr>
            <w:r w:rsidRPr="007B5BE6">
              <w:rPr>
                <w:sz w:val="20"/>
                <w:szCs w:val="20"/>
              </w:rPr>
              <w:t xml:space="preserve">misrepresentation in relation to an </w:t>
            </w:r>
            <w:r w:rsidR="00A42FE8" w:rsidRPr="007B5BE6">
              <w:rPr>
                <w:sz w:val="20"/>
                <w:szCs w:val="20"/>
              </w:rPr>
              <w:t>enduring power of attorney</w:t>
            </w:r>
            <w:r w:rsidRPr="007B5BE6">
              <w:rPr>
                <w:sz w:val="20"/>
                <w:szCs w:val="20"/>
              </w:rPr>
              <w:t xml:space="preserve"> (includes </w:t>
            </w:r>
            <w:r w:rsidR="00A42FE8" w:rsidRPr="007B5BE6">
              <w:rPr>
                <w:sz w:val="20"/>
                <w:szCs w:val="20"/>
              </w:rPr>
              <w:t xml:space="preserve">wrongly </w:t>
            </w:r>
            <w:r w:rsidRPr="007B5BE6">
              <w:rPr>
                <w:sz w:val="20"/>
                <w:szCs w:val="20"/>
              </w:rPr>
              <w:t>holding oneself out to be an attorney).</w:t>
            </w:r>
          </w:p>
        </w:tc>
      </w:tr>
    </w:tbl>
    <w:p w14:paraId="250D4110" w14:textId="605096CF" w:rsidR="00585752" w:rsidRPr="007B5BE6" w:rsidRDefault="00585752" w:rsidP="00D802F3">
      <w:pPr>
        <w:pStyle w:val="Sub-HeadingTLRI"/>
        <w:spacing w:before="360"/>
      </w:pPr>
      <w:bookmarkStart w:id="627" w:name="_Toc212561829"/>
      <w:r w:rsidRPr="007B5BE6">
        <w:lastRenderedPageBreak/>
        <w:t>TLRI’s views and recommendations</w:t>
      </w:r>
      <w:bookmarkEnd w:id="627"/>
    </w:p>
    <w:p w14:paraId="2DE2ECD8" w14:textId="0BFEEA8D" w:rsidR="00E13BE0" w:rsidRPr="007B5BE6" w:rsidRDefault="005B2271" w:rsidP="00E13BE0">
      <w:pPr>
        <w:pStyle w:val="NormalNumberedTextTLRI"/>
      </w:pPr>
      <w:r w:rsidRPr="007B5BE6">
        <w:t xml:space="preserve">Drawing </w:t>
      </w:r>
      <w:r w:rsidR="009561A0" w:rsidRPr="007B5BE6">
        <w:t xml:space="preserve">on </w:t>
      </w:r>
      <w:r w:rsidR="004B099E" w:rsidRPr="007B5BE6">
        <w:t xml:space="preserve">previous </w:t>
      </w:r>
      <w:r w:rsidR="009561A0" w:rsidRPr="007B5BE6">
        <w:t xml:space="preserve">research </w:t>
      </w:r>
      <w:r w:rsidR="00A42FE8" w:rsidRPr="007B5BE6">
        <w:t xml:space="preserve">in this area, </w:t>
      </w:r>
      <w:r w:rsidR="003F4475" w:rsidRPr="007B5BE6">
        <w:t xml:space="preserve">and stakeholder </w:t>
      </w:r>
      <w:r w:rsidR="009449B5" w:rsidRPr="007B5BE6">
        <w:t>feedback</w:t>
      </w:r>
      <w:r w:rsidR="004B099E" w:rsidRPr="007B5BE6">
        <w:t xml:space="preserve"> </w:t>
      </w:r>
      <w:r w:rsidR="009449B5" w:rsidRPr="007B5BE6">
        <w:t xml:space="preserve">in </w:t>
      </w:r>
      <w:r w:rsidR="004B099E" w:rsidRPr="007B5BE6">
        <w:t>the TLRI’s interviews</w:t>
      </w:r>
      <w:r w:rsidR="009449B5" w:rsidRPr="007B5BE6">
        <w:t xml:space="preserve">, </w:t>
      </w:r>
      <w:r w:rsidRPr="007B5BE6">
        <w:t>the TLRI considers that there is evidence to suggest</w:t>
      </w:r>
      <w:r w:rsidR="00E13BE0" w:rsidRPr="007B5BE6">
        <w:t xml:space="preserve"> tha</w:t>
      </w:r>
      <w:r w:rsidRPr="007B5BE6">
        <w:t>t—d</w:t>
      </w:r>
      <w:r w:rsidR="00E13BE0" w:rsidRPr="007B5BE6">
        <w:t>espite the intention that enduring powers of attorney will have a protective benefit for older peopl</w:t>
      </w:r>
      <w:r w:rsidRPr="007B5BE6">
        <w:t>e—a</w:t>
      </w:r>
      <w:r w:rsidR="00E13BE0" w:rsidRPr="007B5BE6">
        <w:t>buse of financial enduring powers of attorney is ‘most clearly associated with elder abuse’.</w:t>
      </w:r>
      <w:r w:rsidR="00C760D8" w:rsidRPr="007B5BE6">
        <w:rPr>
          <w:rStyle w:val="FootnoteReference"/>
        </w:rPr>
        <w:footnoteReference w:id="792"/>
      </w:r>
      <w:r w:rsidR="00E13BE0" w:rsidRPr="007B5BE6">
        <w:t xml:space="preserve"> As the ALRC has identified</w:t>
      </w:r>
      <w:r w:rsidRPr="007B5BE6">
        <w:t>,</w:t>
      </w:r>
      <w:r w:rsidR="00E13BE0" w:rsidRPr="007B5BE6">
        <w:t xml:space="preserve"> these instruments, when misused or misapplied, may ‘facilitate abuse by the very person appointed by the older person’.</w:t>
      </w:r>
      <w:r w:rsidR="00B115B9" w:rsidRPr="007B5BE6">
        <w:rPr>
          <w:rStyle w:val="FootnoteReference"/>
        </w:rPr>
        <w:footnoteReference w:id="793"/>
      </w:r>
      <w:r w:rsidR="001939CA" w:rsidRPr="007B5BE6">
        <w:t xml:space="preserve"> </w:t>
      </w:r>
      <w:r w:rsidR="00587A56" w:rsidRPr="007B5BE6">
        <w:t xml:space="preserve">While the </w:t>
      </w:r>
      <w:r w:rsidR="00731441" w:rsidRPr="007B5BE6">
        <w:t>A</w:t>
      </w:r>
      <w:r w:rsidR="00587A56" w:rsidRPr="007B5BE6">
        <w:t xml:space="preserve">LRC did not recommend the creation of new offences relating to the misuse of enduring powers of attorney, the TLRI takes a different view. </w:t>
      </w:r>
      <w:r w:rsidR="00505561" w:rsidRPr="007B5BE6">
        <w:t>Reflecting reform proposals</w:t>
      </w:r>
      <w:r w:rsidR="000404C8" w:rsidRPr="007B5BE6">
        <w:t xml:space="preserve"> in</w:t>
      </w:r>
      <w:r w:rsidR="00962897" w:rsidRPr="007B5BE6">
        <w:t xml:space="preserve"> NSW </w:t>
      </w:r>
      <w:r w:rsidR="00505561" w:rsidRPr="007B5BE6">
        <w:t xml:space="preserve">(by the Legislative Council General Purpose Review) </w:t>
      </w:r>
      <w:r w:rsidR="00962897" w:rsidRPr="007B5BE6">
        <w:t xml:space="preserve">and </w:t>
      </w:r>
      <w:r w:rsidR="00505561" w:rsidRPr="007B5BE6">
        <w:t xml:space="preserve">in Queensland (by </w:t>
      </w:r>
      <w:r w:rsidR="007B4DB0" w:rsidRPr="007B5BE6">
        <w:t>the QLRC</w:t>
      </w:r>
      <w:r w:rsidR="00505561" w:rsidRPr="007B5BE6">
        <w:t>)</w:t>
      </w:r>
      <w:r w:rsidR="007B4DB0" w:rsidRPr="007B5BE6">
        <w:t>, t</w:t>
      </w:r>
      <w:r w:rsidR="00587A56" w:rsidRPr="007B5BE6">
        <w:t xml:space="preserve">he TLRI’s view is that new offences are warranted, accompanied </w:t>
      </w:r>
      <w:r w:rsidR="0072373A" w:rsidRPr="007B5BE6">
        <w:t xml:space="preserve">by the introduction of </w:t>
      </w:r>
      <w:r w:rsidR="003B47A9" w:rsidRPr="007B5BE6">
        <w:t>provisions that would allow for</w:t>
      </w:r>
      <w:r w:rsidR="005B4C45" w:rsidRPr="007B5BE6">
        <w:t xml:space="preserve"> </w:t>
      </w:r>
      <w:r w:rsidR="003B47A9" w:rsidRPr="007B5BE6">
        <w:t>compensation orders to be made</w:t>
      </w:r>
      <w:r w:rsidR="0072373A" w:rsidRPr="007B5BE6">
        <w:t xml:space="preserve"> (</w:t>
      </w:r>
      <w:r w:rsidR="00CC76DC" w:rsidRPr="007B5BE6">
        <w:t xml:space="preserve">also accompanied by the TRLI’s </w:t>
      </w:r>
      <w:r w:rsidR="0072373A" w:rsidRPr="007B5BE6">
        <w:t xml:space="preserve">recommendations </w:t>
      </w:r>
      <w:r w:rsidR="00CC76DC" w:rsidRPr="007B5BE6">
        <w:t xml:space="preserve">in </w:t>
      </w:r>
      <w:r w:rsidR="00CC76DC" w:rsidRPr="007B5BE6">
        <w:rPr>
          <w:b/>
          <w:bCs/>
        </w:rPr>
        <w:t>Part 4</w:t>
      </w:r>
      <w:r w:rsidR="00CC76DC" w:rsidRPr="007B5BE6">
        <w:t xml:space="preserve"> regarding reforms</w:t>
      </w:r>
      <w:r w:rsidR="0072373A" w:rsidRPr="007B5BE6">
        <w:t xml:space="preserve"> to introduce an overarching adult safeguarding entity and framework</w:t>
      </w:r>
      <w:r w:rsidR="00C2659D" w:rsidRPr="007B5BE6">
        <w:t>)</w:t>
      </w:r>
      <w:r w:rsidR="001F086B" w:rsidRPr="007B5BE6">
        <w:t>.</w:t>
      </w:r>
    </w:p>
    <w:p w14:paraId="61CEDC60" w14:textId="5D3ADF52" w:rsidR="00585752" w:rsidRPr="007B5BE6" w:rsidRDefault="00E03B9B" w:rsidP="00585752">
      <w:pPr>
        <w:pStyle w:val="NormalNumberedTextTLRI"/>
      </w:pPr>
      <w:r w:rsidRPr="007B5BE6">
        <w:t>In Tasmania, t</w:t>
      </w:r>
      <w:r w:rsidR="00585752" w:rsidRPr="007B5BE6">
        <w:t xml:space="preserve">here are clear gaps in the current legal framework for safeguarding against financial abuse of older people </w:t>
      </w:r>
      <w:r w:rsidR="00B71BB4" w:rsidRPr="007B5BE6">
        <w:t>relating</w:t>
      </w:r>
      <w:r w:rsidR="00585752" w:rsidRPr="007B5BE6">
        <w:t xml:space="preserve"> to power</w:t>
      </w:r>
      <w:r w:rsidR="00236B11" w:rsidRPr="007B5BE6">
        <w:t>s</w:t>
      </w:r>
      <w:r w:rsidR="00585752" w:rsidRPr="007B5BE6">
        <w:t xml:space="preserve"> of attorney. </w:t>
      </w:r>
      <w:r w:rsidR="002F47C8" w:rsidRPr="007B5BE6">
        <w:t>The</w:t>
      </w:r>
      <w:r w:rsidR="00585752" w:rsidRPr="007B5BE6">
        <w:t xml:space="preserve"> </w:t>
      </w:r>
      <w:r w:rsidR="00585752" w:rsidRPr="007B5BE6">
        <w:rPr>
          <w:i/>
        </w:rPr>
        <w:t>Powers of Attorney Act 2000</w:t>
      </w:r>
      <w:r w:rsidR="00585752" w:rsidRPr="007B5BE6">
        <w:t xml:space="preserve"> (Tas) and </w:t>
      </w:r>
      <w:r w:rsidR="00585752" w:rsidRPr="007B5BE6">
        <w:rPr>
          <w:i/>
        </w:rPr>
        <w:t>Guardianship and Administration Act 1995</w:t>
      </w:r>
      <w:r w:rsidR="00585752" w:rsidRPr="007B5BE6">
        <w:t xml:space="preserve"> (Tas) aim to uphold the rights of older people who have appointed </w:t>
      </w:r>
      <w:r w:rsidR="002F47C8" w:rsidRPr="007B5BE6">
        <w:t xml:space="preserve">a person with </w:t>
      </w:r>
      <w:r w:rsidR="00585752" w:rsidRPr="007B5BE6">
        <w:t>enduring powers of attorney</w:t>
      </w:r>
      <w:r w:rsidR="002F47C8" w:rsidRPr="007B5BE6">
        <w:t xml:space="preserve"> (including older people </w:t>
      </w:r>
      <w:r w:rsidR="00585752" w:rsidRPr="007B5BE6">
        <w:t>who have</w:t>
      </w:r>
      <w:r w:rsidR="002F47C8" w:rsidRPr="007B5BE6">
        <w:t xml:space="preserve"> decision-making ability</w:t>
      </w:r>
      <w:r w:rsidR="00585752" w:rsidRPr="007B5BE6">
        <w:t xml:space="preserve"> </w:t>
      </w:r>
      <w:r w:rsidR="00310A7C" w:rsidRPr="007B5BE6">
        <w:t xml:space="preserve">and those who </w:t>
      </w:r>
      <w:r w:rsidR="002F47C8" w:rsidRPr="007B5BE6">
        <w:t xml:space="preserve">have </w:t>
      </w:r>
      <w:r w:rsidR="00585752" w:rsidRPr="007B5BE6">
        <w:t>impaired decision-making ability</w:t>
      </w:r>
      <w:r w:rsidR="002F47C8" w:rsidRPr="007B5BE6">
        <w:t>). However,</w:t>
      </w:r>
      <w:r w:rsidR="00460B81" w:rsidRPr="007B5BE6">
        <w:t xml:space="preserve"> </w:t>
      </w:r>
      <w:r w:rsidR="002F47C8" w:rsidRPr="007B5BE6">
        <w:t xml:space="preserve">it is apparent that </w:t>
      </w:r>
      <w:r w:rsidR="00460B81" w:rsidRPr="007B5BE6">
        <w:t>th</w:t>
      </w:r>
      <w:r w:rsidR="002F47C8" w:rsidRPr="007B5BE6">
        <w:t>e current provisions are not a</w:t>
      </w:r>
      <w:r w:rsidR="00460B81" w:rsidRPr="007B5BE6">
        <w:t xml:space="preserve"> sufficiently effective legal response. Accordingly, </w:t>
      </w:r>
      <w:r w:rsidR="00585752" w:rsidRPr="007B5BE6">
        <w:t>the TLRI’s view</w:t>
      </w:r>
      <w:r w:rsidR="002F47C8" w:rsidRPr="007B5BE6">
        <w:t xml:space="preserve"> is</w:t>
      </w:r>
      <w:r w:rsidR="00585752" w:rsidRPr="007B5BE6">
        <w:t xml:space="preserve"> that </w:t>
      </w:r>
      <w:r w:rsidR="00E97107" w:rsidRPr="007B5BE6">
        <w:t xml:space="preserve">additional </w:t>
      </w:r>
      <w:r w:rsidR="00585752" w:rsidRPr="007B5BE6">
        <w:t xml:space="preserve">specific </w:t>
      </w:r>
      <w:r w:rsidR="00460B81" w:rsidRPr="007B5BE6">
        <w:t xml:space="preserve">criminal </w:t>
      </w:r>
      <w:r w:rsidR="00585752" w:rsidRPr="007B5BE6">
        <w:t xml:space="preserve">offences should be created </w:t>
      </w:r>
      <w:r w:rsidR="002F47C8" w:rsidRPr="007B5BE6">
        <w:t xml:space="preserve">in the </w:t>
      </w:r>
      <w:r w:rsidR="002F47C8" w:rsidRPr="007B5BE6">
        <w:rPr>
          <w:i/>
          <w:iCs/>
        </w:rPr>
        <w:t>Powers of Attorney Act 2000</w:t>
      </w:r>
      <w:r w:rsidR="002F47C8" w:rsidRPr="007B5BE6">
        <w:t xml:space="preserve"> (Tas) regarding </w:t>
      </w:r>
      <w:r w:rsidR="00585752" w:rsidRPr="007B5BE6">
        <w:t>abuse or misuse of powers by a power of attorney</w:t>
      </w:r>
      <w:r w:rsidR="002F47C8" w:rsidRPr="007B5BE6">
        <w:t>.</w:t>
      </w:r>
      <w:r w:rsidR="00460B81" w:rsidRPr="007B5BE6">
        <w:t xml:space="preserve"> </w:t>
      </w:r>
      <w:r w:rsidR="00585752" w:rsidRPr="007B5BE6">
        <w:t xml:space="preserve">This has the potential to strengthen safeguards against the abuse of older people in circumstances where </w:t>
      </w:r>
      <w:r w:rsidR="00B75C0C" w:rsidRPr="007B5BE6">
        <w:t xml:space="preserve">an </w:t>
      </w:r>
      <w:r w:rsidR="00585752" w:rsidRPr="007B5BE6">
        <w:t xml:space="preserve">attorney </w:t>
      </w:r>
      <w:r w:rsidR="00B75C0C" w:rsidRPr="007B5BE6">
        <w:t>acts</w:t>
      </w:r>
      <w:r w:rsidR="00585752" w:rsidRPr="007B5BE6">
        <w:t xml:space="preserve"> in a way that cause</w:t>
      </w:r>
      <w:r w:rsidR="00734CDC" w:rsidRPr="007B5BE6">
        <w:t>s</w:t>
      </w:r>
      <w:r w:rsidR="00585752" w:rsidRPr="007B5BE6">
        <w:t xml:space="preserve"> </w:t>
      </w:r>
      <w:r w:rsidR="00460B81" w:rsidRPr="007B5BE6">
        <w:t xml:space="preserve">financial </w:t>
      </w:r>
      <w:r w:rsidR="00585752" w:rsidRPr="007B5BE6">
        <w:t>harm to a donor</w:t>
      </w:r>
      <w:r w:rsidR="00890FC9" w:rsidRPr="007B5BE6">
        <w:t xml:space="preserve"> who is an older person</w:t>
      </w:r>
      <w:r w:rsidR="00585752" w:rsidRPr="007B5BE6">
        <w:t xml:space="preserve">. </w:t>
      </w:r>
      <w:r w:rsidR="00460B81" w:rsidRPr="007B5BE6">
        <w:t>In developing such</w:t>
      </w:r>
      <w:r w:rsidR="002C7612" w:rsidRPr="007B5BE6">
        <w:t xml:space="preserve"> </w:t>
      </w:r>
      <w:r w:rsidR="00460B81" w:rsidRPr="007B5BE6">
        <w:t xml:space="preserve">offences, </w:t>
      </w:r>
      <w:r w:rsidR="002C7612" w:rsidRPr="007B5BE6">
        <w:t xml:space="preserve">the TLRI notes that care needs to be taken to define the scope of </w:t>
      </w:r>
      <w:r w:rsidR="00890FC9" w:rsidRPr="007B5BE6">
        <w:t xml:space="preserve">included </w:t>
      </w:r>
      <w:r w:rsidR="00594E38" w:rsidRPr="007B5BE6">
        <w:t>conduct</w:t>
      </w:r>
      <w:r w:rsidR="002C7612" w:rsidRPr="007B5BE6">
        <w:t xml:space="preserve"> </w:t>
      </w:r>
      <w:r w:rsidR="00A33699" w:rsidRPr="007B5BE6">
        <w:t xml:space="preserve">to avoid criminalising </w:t>
      </w:r>
      <w:r w:rsidR="00594E38" w:rsidRPr="007B5BE6">
        <w:t>conduct</w:t>
      </w:r>
      <w:r w:rsidR="00A33699" w:rsidRPr="007B5BE6">
        <w:t xml:space="preserve"> where a </w:t>
      </w:r>
      <w:r w:rsidR="00594E38" w:rsidRPr="007B5BE6">
        <w:t>person is doing their bes</w:t>
      </w:r>
      <w:r w:rsidR="00AF5BF9" w:rsidRPr="007B5BE6">
        <w:t>t—a</w:t>
      </w:r>
      <w:r w:rsidR="00594E38" w:rsidRPr="007B5BE6">
        <w:t>lbeit not appropriately</w:t>
      </w:r>
      <w:r w:rsidR="00AF5BF9" w:rsidRPr="007B5BE6">
        <w:t>,</w:t>
      </w:r>
      <w:r w:rsidR="00594E38" w:rsidRPr="007B5BE6">
        <w:t xml:space="preserve"> due to lack of </w:t>
      </w:r>
      <w:r w:rsidR="00460B81" w:rsidRPr="007B5BE6">
        <w:t xml:space="preserve">guidance </w:t>
      </w:r>
      <w:r w:rsidR="00594E38" w:rsidRPr="007B5BE6">
        <w:t>or understanding</w:t>
      </w:r>
      <w:r w:rsidR="00AF5BF9" w:rsidRPr="007B5BE6">
        <w:t>. I</w:t>
      </w:r>
      <w:r w:rsidR="00594E38" w:rsidRPr="007B5BE6">
        <w:t xml:space="preserve">n this regard, there are models </w:t>
      </w:r>
      <w:r w:rsidR="00460B81" w:rsidRPr="007B5BE6">
        <w:t xml:space="preserve">available </w:t>
      </w:r>
      <w:r w:rsidR="00594E38" w:rsidRPr="007B5BE6">
        <w:t>in</w:t>
      </w:r>
      <w:r w:rsidR="00460B81" w:rsidRPr="007B5BE6">
        <w:t xml:space="preserve"> other jurisdictions </w:t>
      </w:r>
      <w:r w:rsidR="00594E38" w:rsidRPr="007B5BE6">
        <w:t xml:space="preserve">(see </w:t>
      </w:r>
      <w:r w:rsidR="00A73855" w:rsidRPr="007B5BE6">
        <w:t>Table 5.3 and [5.4.17])</w:t>
      </w:r>
      <w:r w:rsidR="00AF5BF9" w:rsidRPr="007B5BE6">
        <w:t xml:space="preserve">, which only </w:t>
      </w:r>
      <w:r w:rsidR="00C0671B" w:rsidRPr="007B5BE6">
        <w:t>criminalise intentional and/or dishonest conduct.</w:t>
      </w:r>
    </w:p>
    <w:p w14:paraId="422201A1" w14:textId="36560456" w:rsidR="00923156" w:rsidRPr="007B5BE6" w:rsidRDefault="00923156" w:rsidP="001F4F12">
      <w:pPr>
        <w:pStyle w:val="NormalNumberedTextTLRI"/>
      </w:pPr>
      <w:r w:rsidRPr="007B5BE6">
        <w:t xml:space="preserve">In </w:t>
      </w:r>
      <w:r w:rsidR="002D553A" w:rsidRPr="007B5BE6">
        <w:t>recommending the creation of new offences as a strengthened s</w:t>
      </w:r>
      <w:r w:rsidRPr="007B5BE6">
        <w:t xml:space="preserve">afeguarding mechanism relating to powers of attorney, the TLRI also </w:t>
      </w:r>
      <w:r w:rsidR="007B7531" w:rsidRPr="007B5BE6">
        <w:t xml:space="preserve">emphasises the </w:t>
      </w:r>
      <w:r w:rsidR="004E542A" w:rsidRPr="007B5BE6">
        <w:t xml:space="preserve">importance of </w:t>
      </w:r>
      <w:r w:rsidRPr="007B5BE6">
        <w:t>strengthen</w:t>
      </w:r>
      <w:r w:rsidR="00255FD3" w:rsidRPr="007B5BE6">
        <w:t xml:space="preserve">ing </w:t>
      </w:r>
      <w:r w:rsidR="007B7531" w:rsidRPr="007B5BE6">
        <w:t xml:space="preserve">relevant agencies’ </w:t>
      </w:r>
      <w:r w:rsidRPr="007B5BE6">
        <w:t xml:space="preserve">capacity </w:t>
      </w:r>
      <w:r w:rsidR="00255FD3" w:rsidRPr="007B5BE6">
        <w:t xml:space="preserve">to </w:t>
      </w:r>
      <w:r w:rsidR="007B7531" w:rsidRPr="007B5BE6">
        <w:t xml:space="preserve">detect, </w:t>
      </w:r>
      <w:r w:rsidR="00255FD3" w:rsidRPr="007B5BE6">
        <w:t>inquir</w:t>
      </w:r>
      <w:r w:rsidR="007B7531" w:rsidRPr="007B5BE6">
        <w:t>e</w:t>
      </w:r>
      <w:r w:rsidR="00255FD3" w:rsidRPr="007B5BE6">
        <w:t xml:space="preserve"> and investigate</w:t>
      </w:r>
      <w:r w:rsidR="00D269B6" w:rsidRPr="007B5BE6">
        <w:t xml:space="preserve"> conduct that would be criminalised</w:t>
      </w:r>
      <w:r w:rsidR="00EF2C64" w:rsidRPr="007B5BE6">
        <w:t>,</w:t>
      </w:r>
      <w:r w:rsidR="004E542A" w:rsidRPr="007B5BE6">
        <w:t xml:space="preserve"> </w:t>
      </w:r>
      <w:r w:rsidR="00EF2C64" w:rsidRPr="007B5BE6">
        <w:t>if such reforms were implemented</w:t>
      </w:r>
      <w:r w:rsidR="005566C0" w:rsidRPr="007B5BE6">
        <w:t xml:space="preserve">. </w:t>
      </w:r>
      <w:r w:rsidR="00734CDC" w:rsidRPr="007B5BE6">
        <w:t xml:space="preserve">This addresses one of the </w:t>
      </w:r>
      <w:r w:rsidR="000E2884" w:rsidRPr="007B5BE6">
        <w:t xml:space="preserve">ALRC’s </w:t>
      </w:r>
      <w:r w:rsidR="00734CDC" w:rsidRPr="007B5BE6">
        <w:t xml:space="preserve">concerns </w:t>
      </w:r>
      <w:r w:rsidR="000E2884" w:rsidRPr="007B5BE6">
        <w:t xml:space="preserve">regarding the lack of enforcement of </w:t>
      </w:r>
      <w:r w:rsidR="00734CDC" w:rsidRPr="007B5BE6">
        <w:t xml:space="preserve">specific offences </w:t>
      </w:r>
      <w:r w:rsidR="000E2884" w:rsidRPr="007B5BE6">
        <w:t>regarding</w:t>
      </w:r>
      <w:r w:rsidR="00734CDC" w:rsidRPr="007B5BE6">
        <w:t xml:space="preserve"> powers of attorney. </w:t>
      </w:r>
      <w:r w:rsidR="005566C0" w:rsidRPr="007B5BE6">
        <w:t>The TLRI</w:t>
      </w:r>
      <w:r w:rsidR="00D41D2D" w:rsidRPr="007B5BE6">
        <w:t xml:space="preserve"> shares these concerns </w:t>
      </w:r>
      <w:r w:rsidR="00EF2C64" w:rsidRPr="007B5BE6">
        <w:t>and</w:t>
      </w:r>
      <w:r w:rsidR="00927117" w:rsidRPr="007B5BE6">
        <w:t>,</w:t>
      </w:r>
      <w:r w:rsidR="00EF2C64" w:rsidRPr="007B5BE6">
        <w:t xml:space="preserve"> </w:t>
      </w:r>
      <w:r w:rsidR="00927117" w:rsidRPr="007B5BE6">
        <w:t xml:space="preserve">further, </w:t>
      </w:r>
      <w:r w:rsidR="00EF2C64" w:rsidRPr="007B5BE6">
        <w:t>considers that they</w:t>
      </w:r>
      <w:r w:rsidR="00D41D2D" w:rsidRPr="007B5BE6">
        <w:t xml:space="preserve"> </w:t>
      </w:r>
      <w:r w:rsidR="001F4F12" w:rsidRPr="007B5BE6">
        <w:t xml:space="preserve">illustrate the importance of </w:t>
      </w:r>
      <w:r w:rsidR="00D41D2D" w:rsidRPr="007B5BE6">
        <w:t>an</w:t>
      </w:r>
      <w:r w:rsidR="008E1F5B" w:rsidRPr="007B5BE6">
        <w:t xml:space="preserve"> overarching </w:t>
      </w:r>
      <w:r w:rsidR="005566C0" w:rsidRPr="007B5BE6">
        <w:t>safeguarding</w:t>
      </w:r>
      <w:r w:rsidR="008E1F5B" w:rsidRPr="007B5BE6">
        <w:t xml:space="preserve"> </w:t>
      </w:r>
      <w:r w:rsidR="005566C0" w:rsidRPr="007B5BE6">
        <w:t>mechanism</w:t>
      </w:r>
      <w:r w:rsidR="008E1F5B" w:rsidRPr="007B5BE6">
        <w:t xml:space="preserve"> provided by </w:t>
      </w:r>
      <w:r w:rsidR="00D41D2D" w:rsidRPr="007B5BE6">
        <w:t xml:space="preserve">the creation of the role of the </w:t>
      </w:r>
      <w:r w:rsidR="001335E8" w:rsidRPr="007B5BE6">
        <w:t>Commissioner for Older People</w:t>
      </w:r>
      <w:r w:rsidR="001335E8" w:rsidRPr="007B5BE6" w:rsidDel="001335E8">
        <w:t xml:space="preserve"> </w:t>
      </w:r>
      <w:r w:rsidR="005566C0" w:rsidRPr="007B5BE6">
        <w:t>(</w:t>
      </w:r>
      <w:r w:rsidR="005566C0" w:rsidRPr="007B5BE6">
        <w:rPr>
          <w:b/>
          <w:bCs/>
        </w:rPr>
        <w:t>Recommendation</w:t>
      </w:r>
      <w:r w:rsidR="00DD7CFC" w:rsidRPr="007B5BE6">
        <w:rPr>
          <w:b/>
          <w:bCs/>
        </w:rPr>
        <w:t>s</w:t>
      </w:r>
      <w:r w:rsidR="005566C0" w:rsidRPr="007B5BE6">
        <w:rPr>
          <w:b/>
          <w:bCs/>
        </w:rPr>
        <w:t xml:space="preserve"> </w:t>
      </w:r>
      <w:r w:rsidR="00DD7CFC" w:rsidRPr="007B5BE6">
        <w:rPr>
          <w:b/>
          <w:bCs/>
        </w:rPr>
        <w:t>1–17</w:t>
      </w:r>
      <w:r w:rsidR="005566C0" w:rsidRPr="007B5BE6">
        <w:t xml:space="preserve">) </w:t>
      </w:r>
      <w:r w:rsidR="001F4F12" w:rsidRPr="007B5BE6">
        <w:t>with the</w:t>
      </w:r>
      <w:r w:rsidR="005566C0" w:rsidRPr="007B5BE6">
        <w:t xml:space="preserve"> power for </w:t>
      </w:r>
      <w:r w:rsidR="001F4F12" w:rsidRPr="007B5BE6">
        <w:t xml:space="preserve">the </w:t>
      </w:r>
      <w:r w:rsidR="00D41D2D" w:rsidRPr="007B5BE6">
        <w:t xml:space="preserve">Commissioner to </w:t>
      </w:r>
      <w:r w:rsidR="00A65053" w:rsidRPr="007B5BE6">
        <w:t xml:space="preserve">make preliminary inquiries, </w:t>
      </w:r>
      <w:r w:rsidR="001F4F12" w:rsidRPr="007B5BE6">
        <w:t xml:space="preserve">investigate </w:t>
      </w:r>
      <w:r w:rsidR="00D41D2D" w:rsidRPr="007B5BE6">
        <w:t xml:space="preserve">reported matters, </w:t>
      </w:r>
      <w:r w:rsidR="001F4F12" w:rsidRPr="007B5BE6">
        <w:t xml:space="preserve">require the production of </w:t>
      </w:r>
      <w:r w:rsidR="004043CB" w:rsidRPr="007B5BE6">
        <w:t xml:space="preserve">information and </w:t>
      </w:r>
      <w:r w:rsidR="00A65053" w:rsidRPr="007B5BE6">
        <w:t xml:space="preserve">have the power to </w:t>
      </w:r>
      <w:r w:rsidR="004043CB" w:rsidRPr="007B5BE6">
        <w:t>refer matter</w:t>
      </w:r>
      <w:r w:rsidR="00A65053" w:rsidRPr="007B5BE6">
        <w:t>s</w:t>
      </w:r>
      <w:r w:rsidR="004043CB" w:rsidRPr="007B5BE6">
        <w:t xml:space="preserve"> to Tasmania Police (if appropriate</w:t>
      </w:r>
      <w:r w:rsidR="00E730EA" w:rsidRPr="007B5BE6">
        <w:t xml:space="preserve"> under the referral criteria</w:t>
      </w:r>
      <w:r w:rsidR="004043CB" w:rsidRPr="007B5BE6">
        <w:t>)</w:t>
      </w:r>
      <w:r w:rsidRPr="007B5BE6">
        <w:t>.</w:t>
      </w:r>
      <w:r w:rsidRPr="007B5BE6">
        <w:rPr>
          <w:rStyle w:val="FootnoteReference"/>
        </w:rPr>
        <w:footnoteReference w:id="794"/>
      </w:r>
      <w:r w:rsidR="00467577" w:rsidRPr="007B5BE6">
        <w:t xml:space="preserve"> </w:t>
      </w:r>
      <w:r w:rsidR="00424BBE" w:rsidRPr="007B5BE6">
        <w:t xml:space="preserve">This complements the </w:t>
      </w:r>
      <w:r w:rsidR="00E730EA" w:rsidRPr="007B5BE6">
        <w:t>P</w:t>
      </w:r>
      <w:r w:rsidR="00424BBE" w:rsidRPr="007B5BE6">
        <w:t>ublic</w:t>
      </w:r>
      <w:r w:rsidR="00137B02" w:rsidRPr="007B5BE6">
        <w:t xml:space="preserve"> </w:t>
      </w:r>
      <w:r w:rsidR="00E730EA" w:rsidRPr="007B5BE6">
        <w:t>G</w:t>
      </w:r>
      <w:r w:rsidR="00137B02" w:rsidRPr="007B5BE6">
        <w:t>uardian</w:t>
      </w:r>
      <w:r w:rsidR="00E730EA" w:rsidRPr="007B5BE6">
        <w:t>’s</w:t>
      </w:r>
      <w:r w:rsidR="00137B02" w:rsidRPr="007B5BE6">
        <w:t xml:space="preserve"> power to </w:t>
      </w:r>
      <w:r w:rsidR="00424BBE" w:rsidRPr="007B5BE6">
        <w:t xml:space="preserve">investigate under </w:t>
      </w:r>
      <w:r w:rsidR="00E730EA" w:rsidRPr="007B5BE6">
        <w:t xml:space="preserve">section 17 of the </w:t>
      </w:r>
      <w:r w:rsidR="00662222" w:rsidRPr="007B5BE6">
        <w:rPr>
          <w:i/>
          <w:iCs/>
        </w:rPr>
        <w:t>Guardianship and Administration Act 1995</w:t>
      </w:r>
      <w:r w:rsidR="00662222" w:rsidRPr="007B5BE6">
        <w:t xml:space="preserve"> (Tas), where </w:t>
      </w:r>
      <w:r w:rsidR="005D6202" w:rsidRPr="007B5BE6">
        <w:t>complaints</w:t>
      </w:r>
      <w:r w:rsidR="006D16B8" w:rsidRPr="007B5BE6">
        <w:t xml:space="preserve"> </w:t>
      </w:r>
      <w:r w:rsidR="005D6202" w:rsidRPr="007B5BE6">
        <w:t>o</w:t>
      </w:r>
      <w:r w:rsidR="006D16B8" w:rsidRPr="007B5BE6">
        <w:t xml:space="preserve">r </w:t>
      </w:r>
      <w:r w:rsidR="005D6202" w:rsidRPr="007B5BE6">
        <w:t>allegations</w:t>
      </w:r>
      <w:r w:rsidR="006D16B8" w:rsidRPr="007B5BE6">
        <w:t xml:space="preserve"> are </w:t>
      </w:r>
      <w:r w:rsidR="005D6202" w:rsidRPr="007B5BE6">
        <w:t>made</w:t>
      </w:r>
      <w:r w:rsidR="006D16B8" w:rsidRPr="007B5BE6">
        <w:t xml:space="preserve"> </w:t>
      </w:r>
      <w:r w:rsidR="005D6202" w:rsidRPr="007B5BE6">
        <w:t>concerning</w:t>
      </w:r>
      <w:r w:rsidR="006D16B8" w:rsidRPr="007B5BE6">
        <w:t xml:space="preserve"> </w:t>
      </w:r>
      <w:r w:rsidR="0032360A" w:rsidRPr="007B5BE6">
        <w:t>a</w:t>
      </w:r>
      <w:r w:rsidR="005D6202" w:rsidRPr="007B5BE6">
        <w:t xml:space="preserve"> person</w:t>
      </w:r>
      <w:r w:rsidR="0032360A" w:rsidRPr="007B5BE6">
        <w:t>’s behaviour when</w:t>
      </w:r>
      <w:r w:rsidR="005D6202" w:rsidRPr="007B5BE6">
        <w:t xml:space="preserve"> acting (or purporting to act) under an endu</w:t>
      </w:r>
      <w:r w:rsidR="00CA0877" w:rsidRPr="007B5BE6">
        <w:t>r</w:t>
      </w:r>
      <w:r w:rsidR="005D6202" w:rsidRPr="007B5BE6">
        <w:t>ing power of attorney.</w:t>
      </w:r>
    </w:p>
    <w:p w14:paraId="74A8456D" w14:textId="4D1484C9" w:rsidR="00DD2FF6" w:rsidRPr="007B5BE6" w:rsidRDefault="00DD2FF6" w:rsidP="00F6100F">
      <w:pPr>
        <w:pStyle w:val="RecommendationBoxHeading"/>
        <w:ind w:left="0"/>
      </w:pPr>
      <w:r w:rsidRPr="007B5BE6">
        <w:rPr>
          <w:noProof/>
        </w:rPr>
        <mc:AlternateContent>
          <mc:Choice Requires="wps">
            <w:drawing>
              <wp:inline distT="0" distB="0" distL="0" distR="0" wp14:anchorId="2736E9CA" wp14:editId="058C10A9">
                <wp:extent cx="5727065" cy="1060704"/>
                <wp:effectExtent l="0" t="0" r="6985" b="6350"/>
                <wp:docPr id="47360892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60704"/>
                        </a:xfrm>
                        <a:prstGeom prst="rect">
                          <a:avLst/>
                        </a:prstGeom>
                        <a:solidFill>
                          <a:srgbClr val="E8E8E8"/>
                        </a:solidFill>
                      </wps:spPr>
                      <wps:txbx>
                        <w:txbxContent>
                          <w:p w14:paraId="7726C7CB" w14:textId="77777777" w:rsidR="00DD2FF6" w:rsidRPr="006F2DE6" w:rsidRDefault="00DD2FF6" w:rsidP="00DD2FF6">
                            <w:pPr>
                              <w:pStyle w:val="RecommendationBoxHeading"/>
                            </w:pPr>
                            <w:r w:rsidRPr="00DD2FF6">
                              <w:t>Recommendation</w:t>
                            </w:r>
                            <w:r w:rsidRPr="006F2DE6">
                              <w:t xml:space="preserve"> 24</w:t>
                            </w:r>
                          </w:p>
                          <w:p w14:paraId="25CB9E73" w14:textId="77777777" w:rsidR="00DD2FF6" w:rsidRPr="00DD2FF6" w:rsidRDefault="00DD2FF6" w:rsidP="00DD2FF6">
                            <w:pPr>
                              <w:pStyle w:val="RecommendationBoxText"/>
                            </w:pPr>
                            <w:r w:rsidRPr="00DD2FF6">
                              <w:t xml:space="preserve">The </w:t>
                            </w:r>
                            <w:r w:rsidRPr="00DD2FF6">
                              <w:rPr>
                                <w:i/>
                                <w:iCs/>
                              </w:rPr>
                              <w:t>Powers of Attorney Act 2000</w:t>
                            </w:r>
                            <w:r w:rsidRPr="00DD2FF6">
                              <w:t xml:space="preserve"> (Tas) should be amended to create additional criminal offences in relation to the abuse or misuse of powers of attorney, including offences that cover dishonestly inducing the making of a power of attorney. </w:t>
                            </w:r>
                          </w:p>
                          <w:p w14:paraId="7EC5F7C7"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2736E9CA" id="_x0000_s1050" type="#_x0000_t202" style="width:450.95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" fillcolor="#e8e8e8" stroked="f">
                <v:textbox inset="0,0,0,0">
                  <w:txbxContent>
                    <w:p w14:paraId="7726C7CB" w14:textId="77777777" w:rsidR="00DD2FF6" w:rsidRPr="006F2DE6" w:rsidRDefault="00DD2FF6" w:rsidP="00DD2FF6">
                      <w:pPr>
                        <w:pStyle w:val="RecommendationBoxHeading"/>
                      </w:pPr>
                      <w:r w:rsidRPr="00DD2FF6">
                        <w:t>Recommendation</w:t>
                      </w:r>
                      <w:r w:rsidRPr="006F2DE6">
                        <w:t xml:space="preserve"> 24</w:t>
                      </w:r>
                    </w:p>
                    <w:p w14:paraId="25CB9E73" w14:textId="77777777" w:rsidR="00DD2FF6" w:rsidRPr="00DD2FF6" w:rsidRDefault="00DD2FF6" w:rsidP="00DD2FF6">
                      <w:pPr>
                        <w:pStyle w:val="RecommendationBoxText"/>
                      </w:pPr>
                      <w:r w:rsidRPr="00DD2FF6">
                        <w:t xml:space="preserve">The </w:t>
                      </w:r>
                      <w:r w:rsidRPr="00DD2FF6">
                        <w:rPr>
                          <w:i/>
                          <w:iCs/>
                        </w:rPr>
                        <w:t>Powers of Attorney Act 2000</w:t>
                      </w:r>
                      <w:r w:rsidRPr="00DD2FF6">
                        <w:t xml:space="preserve"> (Tas) should be amended to create additional criminal offences in relation to the abuse or misuse of powers of attorney, including offences that cover dishonestly inducing the making of a power of attorney. </w:t>
                      </w:r>
                    </w:p>
                    <w:p w14:paraId="7EC5F7C7" w14:textId="77777777" w:rsidR="00DD2FF6" w:rsidRPr="00F77824" w:rsidRDefault="00DD2FF6" w:rsidP="00DD2FF6">
                      <w:pPr>
                        <w:pStyle w:val="RecommendationBoxText"/>
                        <w:ind w:left="0"/>
                        <w:rPr>
                          <w:rFonts w:eastAsia="Times"/>
                        </w:rPr>
                      </w:pPr>
                    </w:p>
                  </w:txbxContent>
                </v:textbox>
                <w10:anchorlock/>
              </v:shape>
            </w:pict>
          </mc:Fallback>
        </mc:AlternateContent>
      </w:r>
    </w:p>
    <w:p w14:paraId="5036A8C3" w14:textId="4DE89CCC" w:rsidR="00585752" w:rsidRPr="007B5BE6" w:rsidRDefault="004043CB" w:rsidP="00585752">
      <w:pPr>
        <w:pStyle w:val="NormalNumberedTextTLRI"/>
      </w:pPr>
      <w:r w:rsidRPr="007B5BE6">
        <w:lastRenderedPageBreak/>
        <w:t>In addition</w:t>
      </w:r>
      <w:r w:rsidR="00585752" w:rsidRPr="007B5BE6">
        <w:t xml:space="preserve">, consistent with the </w:t>
      </w:r>
      <w:r w:rsidRPr="007B5BE6">
        <w:t>TLRI’s</w:t>
      </w:r>
      <w:r w:rsidR="00585752" w:rsidRPr="007B5BE6">
        <w:t xml:space="preserve"> previous </w:t>
      </w:r>
      <w:r w:rsidRPr="007B5BE6">
        <w:t xml:space="preserve">recommendations </w:t>
      </w:r>
      <w:r w:rsidR="00225ABD" w:rsidRPr="007B5BE6">
        <w:t xml:space="preserve">in its 2018 review of the </w:t>
      </w:r>
      <w:r w:rsidR="00585752" w:rsidRPr="007B5BE6">
        <w:rPr>
          <w:i/>
        </w:rPr>
        <w:t>Guardianship and Administration Act 1995</w:t>
      </w:r>
      <w:r w:rsidR="00585752" w:rsidRPr="007B5BE6">
        <w:t xml:space="preserve"> (Tas),</w:t>
      </w:r>
      <w:r w:rsidR="00DE272B" w:rsidRPr="007B5BE6">
        <w:rPr>
          <w:rStyle w:val="FootnoteReference"/>
        </w:rPr>
        <w:footnoteReference w:id="795"/>
      </w:r>
      <w:r w:rsidR="00585752" w:rsidRPr="007B5BE6">
        <w:t xml:space="preserve"> the TLRI’s view is that </w:t>
      </w:r>
      <w:r w:rsidR="008768DE" w:rsidRPr="007B5BE6">
        <w:t xml:space="preserve">reform is required to </w:t>
      </w:r>
      <w:r w:rsidR="00886305" w:rsidRPr="007B5BE6">
        <w:t xml:space="preserve">section 33 </w:t>
      </w:r>
      <w:r w:rsidR="00585752" w:rsidRPr="007B5BE6">
        <w:t xml:space="preserve">of the </w:t>
      </w:r>
      <w:r w:rsidR="00585752" w:rsidRPr="007B5BE6">
        <w:rPr>
          <w:i/>
        </w:rPr>
        <w:t>Powers of Attorney Act 2000</w:t>
      </w:r>
      <w:r w:rsidR="00585752" w:rsidRPr="007B5BE6">
        <w:t xml:space="preserve"> (Tas</w:t>
      </w:r>
      <w:r w:rsidR="008768DE" w:rsidRPr="007B5BE6">
        <w:t xml:space="preserve">) that </w:t>
      </w:r>
      <w:r w:rsidR="007C483F" w:rsidRPr="007B5BE6">
        <w:t xml:space="preserve">provides TASCAT with </w:t>
      </w:r>
      <w:r w:rsidR="00C3038B" w:rsidRPr="007B5BE6">
        <w:t xml:space="preserve">a </w:t>
      </w:r>
      <w:r w:rsidR="007C483F" w:rsidRPr="007B5BE6">
        <w:t xml:space="preserve">power to make </w:t>
      </w:r>
      <w:r w:rsidR="00EF0E34" w:rsidRPr="007B5BE6">
        <w:t>orders</w:t>
      </w:r>
      <w:r w:rsidR="007C483F" w:rsidRPr="007B5BE6">
        <w:t xml:space="preserve"> </w:t>
      </w:r>
      <w:r w:rsidR="00886305" w:rsidRPr="007B5BE6">
        <w:t xml:space="preserve">with </w:t>
      </w:r>
      <w:r w:rsidR="007C483F" w:rsidRPr="007B5BE6">
        <w:t xml:space="preserve">respect </w:t>
      </w:r>
      <w:r w:rsidR="00886305" w:rsidRPr="007B5BE6">
        <w:t xml:space="preserve">to </w:t>
      </w:r>
      <w:r w:rsidR="00CB29CE" w:rsidRPr="007B5BE6">
        <w:t xml:space="preserve">enduring powers of </w:t>
      </w:r>
      <w:r w:rsidR="00EF0E34" w:rsidRPr="007B5BE6">
        <w:t>attorney, including</w:t>
      </w:r>
      <w:r w:rsidR="00585752" w:rsidRPr="007B5BE6">
        <w:t xml:space="preserve"> an order that an enduring power of attorney is invalid on the basis that the ‘donor was induced to make it by dishonesty or undue influence’.</w:t>
      </w:r>
      <w:r w:rsidR="00EF0E34" w:rsidRPr="007B5BE6">
        <w:rPr>
          <w:rStyle w:val="FootnoteReference"/>
        </w:rPr>
        <w:footnoteReference w:id="796"/>
      </w:r>
      <w:r w:rsidR="00EF0E34" w:rsidRPr="007B5BE6">
        <w:t xml:space="preserve"> </w:t>
      </w:r>
      <w:r w:rsidR="008768DE" w:rsidRPr="007B5BE6">
        <w:t xml:space="preserve"> </w:t>
      </w:r>
      <w:r w:rsidR="000E56BB" w:rsidRPr="007B5BE6">
        <w:t>TASCAT should be provided with a</w:t>
      </w:r>
      <w:r w:rsidR="002B4C49" w:rsidRPr="007B5BE6">
        <w:t xml:space="preserve">n additional </w:t>
      </w:r>
      <w:r w:rsidR="00585752" w:rsidRPr="007B5BE6">
        <w:t>power</w:t>
      </w:r>
      <w:r w:rsidR="000E56BB" w:rsidRPr="007B5BE6">
        <w:t>, in such circumstances,</w:t>
      </w:r>
      <w:r w:rsidR="00585752" w:rsidRPr="007B5BE6">
        <w:t xml:space="preserve"> to </w:t>
      </w:r>
      <w:r w:rsidR="000E56BB" w:rsidRPr="007B5BE6">
        <w:t xml:space="preserve">make an </w:t>
      </w:r>
      <w:r w:rsidR="00F25D6A" w:rsidRPr="007B5BE6">
        <w:t xml:space="preserve">order </w:t>
      </w:r>
      <w:r w:rsidR="000E56BB" w:rsidRPr="007B5BE6">
        <w:t>as to</w:t>
      </w:r>
      <w:r w:rsidR="00585752" w:rsidRPr="007B5BE6">
        <w:t xml:space="preserve"> remedy or restitution</w:t>
      </w:r>
      <w:r w:rsidR="00F25D6A" w:rsidRPr="007B5BE6">
        <w:t>.</w:t>
      </w:r>
      <w:r w:rsidR="007258AD" w:rsidRPr="007B5BE6">
        <w:rPr>
          <w:rStyle w:val="FootnoteReference"/>
        </w:rPr>
        <w:footnoteReference w:id="797"/>
      </w:r>
      <w:r w:rsidR="00DF25C3" w:rsidRPr="007B5BE6">
        <w:t xml:space="preserve"> </w:t>
      </w:r>
    </w:p>
    <w:p w14:paraId="2BBD911D" w14:textId="77777777" w:rsidR="00DD2FF6" w:rsidRPr="007B5BE6" w:rsidRDefault="00DD2FF6" w:rsidP="00047E13">
      <w:pPr>
        <w:pStyle w:val="RecommendationBoxHeading"/>
        <w:ind w:left="0"/>
      </w:pPr>
      <w:r w:rsidRPr="007B5BE6">
        <w:rPr>
          <w:noProof/>
        </w:rPr>
        <mc:AlternateContent>
          <mc:Choice Requires="wps">
            <w:drawing>
              <wp:inline distT="0" distB="0" distL="0" distR="0" wp14:anchorId="396A6D23" wp14:editId="42E99E5F">
                <wp:extent cx="5727065" cy="1060704"/>
                <wp:effectExtent l="0" t="0" r="6985" b="6350"/>
                <wp:docPr id="187042594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60704"/>
                        </a:xfrm>
                        <a:prstGeom prst="rect">
                          <a:avLst/>
                        </a:prstGeom>
                        <a:solidFill>
                          <a:srgbClr val="E8E8E8"/>
                        </a:solidFill>
                      </wps:spPr>
                      <wps:txbx>
                        <w:txbxContent>
                          <w:p w14:paraId="35FF6376" w14:textId="77777777" w:rsidR="00DD2FF6" w:rsidRPr="006F2DE6" w:rsidRDefault="00DD2FF6" w:rsidP="00DD2FF6">
                            <w:pPr>
                              <w:pStyle w:val="RecommendationBoxHeading"/>
                            </w:pPr>
                            <w:r w:rsidRPr="00DD2FF6">
                              <w:t>Recommendation</w:t>
                            </w:r>
                            <w:r w:rsidRPr="006F2DE6">
                              <w:t xml:space="preserve"> 25</w:t>
                            </w:r>
                          </w:p>
                          <w:p w14:paraId="21978075" w14:textId="77777777" w:rsidR="00DD2FF6" w:rsidRPr="006F2DE6" w:rsidRDefault="00DD2FF6" w:rsidP="00DD2FF6">
                            <w:pPr>
                              <w:pStyle w:val="RecommendationBoxText"/>
                            </w:pPr>
                            <w:r w:rsidRPr="006F2DE6">
                              <w:t>The powers of the Tasmanian Civil and Administrative Tribunal (</w:t>
                            </w:r>
                            <w:r>
                              <w:t>‘</w:t>
                            </w:r>
                            <w:r w:rsidRPr="006F2DE6">
                              <w:t>TASCAT</w:t>
                            </w:r>
                            <w:r>
                              <w:t>’</w:t>
                            </w:r>
                            <w:r w:rsidRPr="006F2DE6">
                              <w:t xml:space="preserve">) </w:t>
                            </w:r>
                            <w:r w:rsidRPr="006F2DE6">
                              <w:rPr>
                                <w:bCs/>
                              </w:rPr>
                              <w:t>in s</w:t>
                            </w:r>
                            <w:r>
                              <w:rPr>
                                <w:bCs/>
                              </w:rPr>
                              <w:t>ection</w:t>
                            </w:r>
                            <w:r w:rsidRPr="006F2DE6">
                              <w:rPr>
                                <w:bCs/>
                              </w:rPr>
                              <w:t xml:space="preserve"> 33 of the </w:t>
                            </w:r>
                            <w:r w:rsidRPr="006F2DE6">
                              <w:rPr>
                                <w:bCs/>
                                <w:i/>
                                <w:iCs/>
                              </w:rPr>
                              <w:t>Powers of Attorney Act 2000</w:t>
                            </w:r>
                            <w:r w:rsidRPr="006F2DE6">
                              <w:rPr>
                                <w:bCs/>
                              </w:rPr>
                              <w:t xml:space="preserve"> (Tas) </w:t>
                            </w:r>
                            <w:r w:rsidRPr="006F2DE6">
                              <w:t>should be expanded to allow it to make orders as to remedy or restitution when reviewing an enduring power of attorney</w:t>
                            </w:r>
                            <w:r w:rsidRPr="006F2DE6">
                              <w:rPr>
                                <w:bCs/>
                              </w:rPr>
                              <w:t>.</w:t>
                            </w:r>
                          </w:p>
                          <w:p w14:paraId="329990CD"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396A6D23" id="_x0000_s1051" type="#_x0000_t202" style="width:450.95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" fillcolor="#e8e8e8" stroked="f">
                <v:textbox inset="0,0,0,0">
                  <w:txbxContent>
                    <w:p w14:paraId="35FF6376" w14:textId="77777777" w:rsidR="00DD2FF6" w:rsidRPr="006F2DE6" w:rsidRDefault="00DD2FF6" w:rsidP="00DD2FF6">
                      <w:pPr>
                        <w:pStyle w:val="RecommendationBoxHeading"/>
                      </w:pPr>
                      <w:r w:rsidRPr="00DD2FF6">
                        <w:t>Recommendation</w:t>
                      </w:r>
                      <w:r w:rsidRPr="006F2DE6">
                        <w:t xml:space="preserve"> 25</w:t>
                      </w:r>
                    </w:p>
                    <w:p w14:paraId="21978075" w14:textId="77777777" w:rsidR="00DD2FF6" w:rsidRPr="006F2DE6" w:rsidRDefault="00DD2FF6" w:rsidP="00DD2FF6">
                      <w:pPr>
                        <w:pStyle w:val="RecommendationBoxText"/>
                      </w:pPr>
                      <w:r w:rsidRPr="006F2DE6">
                        <w:t>The powers of the Tasmanian Civil and Administrative Tribunal (</w:t>
                      </w:r>
                      <w:r>
                        <w:t>‘</w:t>
                      </w:r>
                      <w:r w:rsidRPr="006F2DE6">
                        <w:t>TASCAT</w:t>
                      </w:r>
                      <w:r>
                        <w:t>’</w:t>
                      </w:r>
                      <w:r w:rsidRPr="006F2DE6">
                        <w:t xml:space="preserve">) </w:t>
                      </w:r>
                      <w:r w:rsidRPr="006F2DE6">
                        <w:rPr>
                          <w:bCs/>
                        </w:rPr>
                        <w:t>in s</w:t>
                      </w:r>
                      <w:r>
                        <w:rPr>
                          <w:bCs/>
                        </w:rPr>
                        <w:t>ection</w:t>
                      </w:r>
                      <w:r w:rsidRPr="006F2DE6">
                        <w:rPr>
                          <w:bCs/>
                        </w:rPr>
                        <w:t xml:space="preserve"> 33 of the </w:t>
                      </w:r>
                      <w:r w:rsidRPr="006F2DE6">
                        <w:rPr>
                          <w:bCs/>
                          <w:i/>
                          <w:iCs/>
                        </w:rPr>
                        <w:t>Powers of Attorney Act 2000</w:t>
                      </w:r>
                      <w:r w:rsidRPr="006F2DE6">
                        <w:rPr>
                          <w:bCs/>
                        </w:rPr>
                        <w:t xml:space="preserve"> (Tas) </w:t>
                      </w:r>
                      <w:r w:rsidRPr="006F2DE6">
                        <w:t>should be expanded to allow it to make orders as to remedy or restitution when reviewing an enduring power of attorney</w:t>
                      </w:r>
                      <w:r w:rsidRPr="006F2DE6">
                        <w:rPr>
                          <w:bCs/>
                        </w:rPr>
                        <w:t>.</w:t>
                      </w:r>
                    </w:p>
                    <w:p w14:paraId="329990CD" w14:textId="77777777" w:rsidR="00DD2FF6" w:rsidRPr="00F77824" w:rsidRDefault="00DD2FF6" w:rsidP="00DD2FF6">
                      <w:pPr>
                        <w:pStyle w:val="RecommendationBoxText"/>
                        <w:ind w:left="0"/>
                        <w:rPr>
                          <w:rFonts w:eastAsia="Times"/>
                        </w:rPr>
                      </w:pPr>
                    </w:p>
                  </w:txbxContent>
                </v:textbox>
                <w10:anchorlock/>
              </v:shape>
            </w:pict>
          </mc:Fallback>
        </mc:AlternateContent>
      </w:r>
    </w:p>
    <w:p w14:paraId="64583F07" w14:textId="78993015" w:rsidR="00585752" w:rsidRPr="007B5BE6" w:rsidRDefault="00585752" w:rsidP="00585752">
      <w:pPr>
        <w:pStyle w:val="NormalNumberedTextTLRI"/>
      </w:pPr>
      <w:r w:rsidRPr="007B5BE6">
        <w:t xml:space="preserve">In </w:t>
      </w:r>
      <w:r w:rsidR="00495AF4" w:rsidRPr="007B5BE6">
        <w:t>addition</w:t>
      </w:r>
      <w:r w:rsidRPr="007B5BE6">
        <w:t xml:space="preserve">, there should be a focus on the national policy work directed at education and </w:t>
      </w:r>
      <w:r w:rsidR="0081088A" w:rsidRPr="007B5BE6">
        <w:t xml:space="preserve">raising </w:t>
      </w:r>
      <w:r w:rsidRPr="007B5BE6">
        <w:t xml:space="preserve">awareness </w:t>
      </w:r>
      <w:r w:rsidR="003869AA" w:rsidRPr="007B5BE6">
        <w:t>around the</w:t>
      </w:r>
      <w:r w:rsidRPr="007B5BE6">
        <w:t xml:space="preserve"> legal duties of </w:t>
      </w:r>
      <w:r w:rsidR="003869AA" w:rsidRPr="007B5BE6">
        <w:t xml:space="preserve">people given </w:t>
      </w:r>
      <w:r w:rsidRPr="007B5BE6">
        <w:t>powers of attorney</w:t>
      </w:r>
      <w:r w:rsidR="00351B93" w:rsidRPr="007B5BE6">
        <w:t xml:space="preserve">. This </w:t>
      </w:r>
      <w:r w:rsidR="00D37D0D" w:rsidRPr="007B5BE6">
        <w:t>reflects</w:t>
      </w:r>
      <w:r w:rsidR="00351B93" w:rsidRPr="007B5BE6">
        <w:t xml:space="preserve"> the importance placed on </w:t>
      </w:r>
      <w:r w:rsidR="00D37D0D" w:rsidRPr="007B5BE6">
        <w:t xml:space="preserve">this work </w:t>
      </w:r>
      <w:r w:rsidR="00A7795F" w:rsidRPr="007B5BE6">
        <w:t>by the</w:t>
      </w:r>
      <w:r w:rsidR="00351B93" w:rsidRPr="007B5BE6">
        <w:t xml:space="preserve"> Standing Council of Attorneys-General </w:t>
      </w:r>
      <w:r w:rsidR="002D614E" w:rsidRPr="007B5BE6">
        <w:t>in its</w:t>
      </w:r>
      <w:r w:rsidR="00A7795F" w:rsidRPr="007B5BE6">
        <w:t xml:space="preserve"> </w:t>
      </w:r>
      <w:r w:rsidR="00351B93" w:rsidRPr="007B5BE6">
        <w:t>review</w:t>
      </w:r>
      <w:r w:rsidR="002D614E" w:rsidRPr="007B5BE6">
        <w:t xml:space="preserve"> of</w:t>
      </w:r>
      <w:r w:rsidR="00A7795F" w:rsidRPr="007B5BE6">
        <w:t xml:space="preserve"> </w:t>
      </w:r>
      <w:r w:rsidR="00351B93" w:rsidRPr="007B5BE6">
        <w:t>enduring powers of attorney</w:t>
      </w:r>
      <w:r w:rsidR="00E300C6" w:rsidRPr="007B5BE6">
        <w:t xml:space="preserve">. </w:t>
      </w:r>
      <w:r w:rsidR="00303CF8" w:rsidRPr="007B5BE6">
        <w:t>Further,</w:t>
      </w:r>
      <w:r w:rsidR="00E300C6" w:rsidRPr="007B5BE6">
        <w:t xml:space="preserve"> su</w:t>
      </w:r>
      <w:r w:rsidR="00303CF8" w:rsidRPr="007B5BE6">
        <w:t>ch</w:t>
      </w:r>
      <w:r w:rsidR="00E300C6" w:rsidRPr="007B5BE6">
        <w:t xml:space="preserve"> work</w:t>
      </w:r>
      <w:r w:rsidR="00351B93" w:rsidRPr="007B5BE6">
        <w:t xml:space="preserve"> could be informed by </w:t>
      </w:r>
      <w:r w:rsidR="00A7795F" w:rsidRPr="007B5BE6">
        <w:t xml:space="preserve">any </w:t>
      </w:r>
      <w:r w:rsidR="00422E0A" w:rsidRPr="007B5BE6">
        <w:t xml:space="preserve">recommended approaches </w:t>
      </w:r>
      <w:r w:rsidR="00CA101A" w:rsidRPr="007B5BE6">
        <w:t>upon</w:t>
      </w:r>
      <w:r w:rsidR="000763E9" w:rsidRPr="007B5BE6">
        <w:t xml:space="preserve"> completion of the Standing Council of Attorneys-General</w:t>
      </w:r>
      <w:r w:rsidR="004601D9" w:rsidRPr="007B5BE6">
        <w:t xml:space="preserve"> review</w:t>
      </w:r>
      <w:r w:rsidR="00CA101A" w:rsidRPr="007B5BE6">
        <w:t>.</w:t>
      </w:r>
      <w:r w:rsidR="00CA101A" w:rsidRPr="007B5BE6">
        <w:rPr>
          <w:rStyle w:val="FootnoteReference"/>
        </w:rPr>
        <w:footnoteReference w:id="798"/>
      </w:r>
      <w:r w:rsidR="00422E0A" w:rsidRPr="007B5BE6">
        <w:t xml:space="preserve"> </w:t>
      </w:r>
      <w:r w:rsidRPr="007B5BE6">
        <w:t xml:space="preserve">This could also be supported by </w:t>
      </w:r>
      <w:r w:rsidR="004601D9" w:rsidRPr="007B5BE6">
        <w:t>the</w:t>
      </w:r>
      <w:r w:rsidR="00F7014D" w:rsidRPr="007B5BE6">
        <w:t xml:space="preserve"> </w:t>
      </w:r>
      <w:r w:rsidR="00AE0073" w:rsidRPr="007B5BE6">
        <w:t xml:space="preserve">TLRI’s </w:t>
      </w:r>
      <w:r w:rsidRPr="007B5BE6">
        <w:t>reform</w:t>
      </w:r>
      <w:r w:rsidR="00F7014D" w:rsidRPr="007B5BE6">
        <w:t xml:space="preserve"> proposals </w:t>
      </w:r>
      <w:r w:rsidRPr="007B5BE6">
        <w:t xml:space="preserve">in </w:t>
      </w:r>
      <w:r w:rsidRPr="007B5BE6">
        <w:rPr>
          <w:b/>
          <w:bCs/>
        </w:rPr>
        <w:t>Recommendation</w:t>
      </w:r>
      <w:r w:rsidR="001B683A" w:rsidRPr="007B5BE6">
        <w:rPr>
          <w:b/>
          <w:bCs/>
        </w:rPr>
        <w:t xml:space="preserve"> 18</w:t>
      </w:r>
      <w:r w:rsidR="001B683A" w:rsidRPr="007B5BE6">
        <w:t xml:space="preserve"> </w:t>
      </w:r>
      <w:r w:rsidRPr="007B5BE6">
        <w:t>(</w:t>
      </w:r>
      <w:r w:rsidR="00F7014D" w:rsidRPr="007B5BE6">
        <w:t>see</w:t>
      </w:r>
      <w:r w:rsidRPr="007B5BE6">
        <w:t xml:space="preserve"> </w:t>
      </w:r>
      <w:r w:rsidR="001B683A" w:rsidRPr="007B5BE6">
        <w:t>[4.5.42]–[</w:t>
      </w:r>
      <w:r w:rsidR="00CE695A" w:rsidRPr="007B5BE6">
        <w:t>4.5.46]</w:t>
      </w:r>
      <w:r w:rsidRPr="007B5BE6">
        <w:t>). Education and awareness</w:t>
      </w:r>
      <w:r w:rsidR="007A1843" w:rsidRPr="007B5BE6">
        <w:t>-</w:t>
      </w:r>
      <w:r w:rsidRPr="007B5BE6">
        <w:t xml:space="preserve">raising </w:t>
      </w:r>
      <w:r w:rsidR="007A1843" w:rsidRPr="007B5BE6">
        <w:t xml:space="preserve">approaches </w:t>
      </w:r>
      <w:r w:rsidRPr="007B5BE6">
        <w:t xml:space="preserve">in Tasmania could be </w:t>
      </w:r>
      <w:r w:rsidR="009E60B7" w:rsidRPr="007B5BE6">
        <w:t xml:space="preserve">furthered </w:t>
      </w:r>
      <w:r w:rsidRPr="007B5BE6">
        <w:t>through the Public Guardian</w:t>
      </w:r>
      <w:r w:rsidR="009E60B7" w:rsidRPr="007B5BE6">
        <w:t>’s role</w:t>
      </w:r>
      <w:r w:rsidRPr="007B5BE6">
        <w:t xml:space="preserve">, </w:t>
      </w:r>
      <w:r w:rsidR="009E60B7" w:rsidRPr="007B5BE6">
        <w:t xml:space="preserve">which, </w:t>
      </w:r>
      <w:r w:rsidRPr="007B5BE6">
        <w:t>as envisaged in its legislated function</w:t>
      </w:r>
      <w:r w:rsidR="009E60B7" w:rsidRPr="007B5BE6">
        <w:t>, includes</w:t>
      </w:r>
      <w:r w:rsidRPr="007B5BE6">
        <w:t xml:space="preserve"> to ‘encourage the development of programmes … (including … educational programmes and programmes to encourage persons to act as guardians and administrators</w:t>
      </w:r>
      <w:r w:rsidR="00464C98" w:rsidRPr="007B5BE6">
        <w:t>)</w:t>
      </w:r>
      <w:r w:rsidRPr="007B5BE6">
        <w:t>’.</w:t>
      </w:r>
      <w:r w:rsidR="00A26109" w:rsidRPr="007B5BE6">
        <w:rPr>
          <w:rStyle w:val="FootnoteReference"/>
        </w:rPr>
        <w:footnoteReference w:id="799"/>
      </w:r>
      <w:r w:rsidRPr="007B5BE6">
        <w:t xml:space="preserve"> </w:t>
      </w:r>
    </w:p>
    <w:p w14:paraId="41C3D395" w14:textId="17CE36FD" w:rsidR="006A3752" w:rsidRPr="007B5BE6" w:rsidRDefault="006A3752" w:rsidP="00585752">
      <w:pPr>
        <w:pStyle w:val="NormalNumberedTextTLRI"/>
      </w:pPr>
      <w:r w:rsidRPr="007B5BE6">
        <w:t xml:space="preserve">In addition, consideration could be given to expanding the </w:t>
      </w:r>
      <w:r w:rsidR="00417E32" w:rsidRPr="007B5BE6">
        <w:t xml:space="preserve">dispute resolution </w:t>
      </w:r>
      <w:r w:rsidR="00463914" w:rsidRPr="007B5BE6">
        <w:t xml:space="preserve">role of </w:t>
      </w:r>
      <w:r w:rsidR="00464C98" w:rsidRPr="007B5BE6">
        <w:t xml:space="preserve">the </w:t>
      </w:r>
      <w:r w:rsidR="00463914" w:rsidRPr="007B5BE6">
        <w:t>Public Guardian</w:t>
      </w:r>
      <w:r w:rsidR="00FD4284" w:rsidRPr="007B5BE6">
        <w:t>. This could be achieved by amending s</w:t>
      </w:r>
      <w:r w:rsidR="00464C98" w:rsidRPr="007B5BE6">
        <w:t xml:space="preserve">ection 69 of </w:t>
      </w:r>
      <w:r w:rsidR="005D06D3" w:rsidRPr="007B5BE6">
        <w:t xml:space="preserve">the </w:t>
      </w:r>
      <w:r w:rsidR="005D06D3" w:rsidRPr="007B5BE6">
        <w:rPr>
          <w:i/>
          <w:iCs/>
        </w:rPr>
        <w:t>Guardianship and Administration Act 1995</w:t>
      </w:r>
      <w:r w:rsidR="005D06D3" w:rsidRPr="007B5BE6">
        <w:t xml:space="preserve"> (Tas) </w:t>
      </w:r>
      <w:r w:rsidR="00783463" w:rsidRPr="007B5BE6">
        <w:t xml:space="preserve">(operational since 1 September 2024) </w:t>
      </w:r>
      <w:r w:rsidR="005D06D3" w:rsidRPr="007B5BE6">
        <w:t xml:space="preserve">to include </w:t>
      </w:r>
      <w:r w:rsidR="006D5D20" w:rsidRPr="007B5BE6">
        <w:t xml:space="preserve">actions made by someone acting under an enduring power of attorney. Currently, </w:t>
      </w:r>
      <w:r w:rsidR="008D597D" w:rsidRPr="007B5BE6">
        <w:t xml:space="preserve">section 69 </w:t>
      </w:r>
      <w:r w:rsidR="006D5D20" w:rsidRPr="007B5BE6">
        <w:t>allows for</w:t>
      </w:r>
      <w:r w:rsidR="00A22C42" w:rsidRPr="007B5BE6">
        <w:t xml:space="preserve"> </w:t>
      </w:r>
      <w:r w:rsidR="00FD4284" w:rsidRPr="007B5BE6">
        <w:t xml:space="preserve">the Public Guardian to provide </w:t>
      </w:r>
      <w:r w:rsidR="00A22C42" w:rsidRPr="007B5BE6">
        <w:t xml:space="preserve">preliminary assistance </w:t>
      </w:r>
      <w:r w:rsidR="006D5D20" w:rsidRPr="007B5BE6">
        <w:t xml:space="preserve">to </w:t>
      </w:r>
      <w:r w:rsidR="00A22C42" w:rsidRPr="007B5BE6">
        <w:t>resolve a matter</w:t>
      </w:r>
      <w:r w:rsidR="009C1D54" w:rsidRPr="007B5BE6">
        <w:t xml:space="preserve"> relating </w:t>
      </w:r>
      <w:r w:rsidR="001165E6" w:rsidRPr="007B5BE6">
        <w:t xml:space="preserve">to conflict </w:t>
      </w:r>
      <w:r w:rsidR="00FD4284" w:rsidRPr="007B5BE6">
        <w:t>regarding</w:t>
      </w:r>
      <w:r w:rsidR="001165E6" w:rsidRPr="007B5BE6">
        <w:t xml:space="preserve"> the actions or proposed actions of guardian or administrator. </w:t>
      </w:r>
      <w:r w:rsidR="009E3749" w:rsidRPr="007B5BE6">
        <w:t xml:space="preserve">As discussed </w:t>
      </w:r>
      <w:r w:rsidR="00135D43" w:rsidRPr="007B5BE6">
        <w:t xml:space="preserve">at </w:t>
      </w:r>
      <w:r w:rsidR="00275E73" w:rsidRPr="007B5BE6">
        <w:t>[5.4.30]</w:t>
      </w:r>
      <w:r w:rsidR="009E3749" w:rsidRPr="007B5BE6">
        <w:t xml:space="preserve">, </w:t>
      </w:r>
      <w:r w:rsidR="000A556A" w:rsidRPr="007B5BE6">
        <w:t xml:space="preserve">in the TLRI’s interviews, </w:t>
      </w:r>
      <w:r w:rsidR="00FD4284" w:rsidRPr="007B5BE6">
        <w:t>stakeholder</w:t>
      </w:r>
      <w:r w:rsidR="000A556A" w:rsidRPr="007B5BE6">
        <w:t>s viewed</w:t>
      </w:r>
      <w:r w:rsidR="004D397D" w:rsidRPr="007B5BE6">
        <w:t xml:space="preserve"> </w:t>
      </w:r>
      <w:r w:rsidR="00FD4284" w:rsidRPr="007B5BE6">
        <w:t>the addition of the dispute resolution function to the Public Guardian’s role regarding guardianship and administration orders</w:t>
      </w:r>
      <w:r w:rsidR="000A556A" w:rsidRPr="007B5BE6">
        <w:t xml:space="preserve">, </w:t>
      </w:r>
      <w:r w:rsidR="00BD2B95" w:rsidRPr="007B5BE6">
        <w:t xml:space="preserve">as part of reforms to the </w:t>
      </w:r>
      <w:r w:rsidR="00BD2B95" w:rsidRPr="007B5BE6">
        <w:rPr>
          <w:i/>
          <w:iCs/>
        </w:rPr>
        <w:t>Guardianship and Administration Act 1995</w:t>
      </w:r>
      <w:r w:rsidR="00BD2B95" w:rsidRPr="007B5BE6">
        <w:t xml:space="preserve"> (Tas)</w:t>
      </w:r>
      <w:r w:rsidR="00F6399F" w:rsidRPr="007B5BE6">
        <w:t xml:space="preserve">, </w:t>
      </w:r>
      <w:r w:rsidR="000A556A" w:rsidRPr="007B5BE6">
        <w:t>as a</w:t>
      </w:r>
      <w:r w:rsidR="003E7A69" w:rsidRPr="007B5BE6">
        <w:t xml:space="preserve"> </w:t>
      </w:r>
      <w:r w:rsidR="001A0283" w:rsidRPr="007B5BE6">
        <w:t xml:space="preserve">positive </w:t>
      </w:r>
      <w:r w:rsidR="00E83175" w:rsidRPr="007B5BE6">
        <w:t xml:space="preserve">development </w:t>
      </w:r>
      <w:r w:rsidR="00887967" w:rsidRPr="007B5BE6">
        <w:t>as part of</w:t>
      </w:r>
      <w:r w:rsidR="001A0283" w:rsidRPr="007B5BE6">
        <w:t xml:space="preserve"> strengthen</w:t>
      </w:r>
      <w:r w:rsidR="00887967" w:rsidRPr="007B5BE6">
        <w:t>ing</w:t>
      </w:r>
      <w:r w:rsidR="001A0283" w:rsidRPr="007B5BE6">
        <w:t xml:space="preserve"> </w:t>
      </w:r>
      <w:r w:rsidR="003E7A69" w:rsidRPr="007B5BE6">
        <w:t>safeguarding</w:t>
      </w:r>
      <w:r w:rsidR="007F03DB" w:rsidRPr="007B5BE6">
        <w:t>.</w:t>
      </w:r>
      <w:r w:rsidR="003E7A69" w:rsidRPr="007B5BE6">
        <w:rPr>
          <w:rStyle w:val="FootnoteReference"/>
        </w:rPr>
        <w:footnoteReference w:id="800"/>
      </w:r>
      <w:r w:rsidR="003E7A69" w:rsidRPr="007B5BE6">
        <w:t xml:space="preserve">  </w:t>
      </w:r>
    </w:p>
    <w:p w14:paraId="08C9FA4F" w14:textId="77777777" w:rsidR="00BD0FD6" w:rsidRDefault="00BD0FD6">
      <w:pPr>
        <w:spacing w:after="200" w:line="276" w:lineRule="auto"/>
        <w:jc w:val="left"/>
        <w:rPr>
          <w:b/>
          <w:bCs/>
          <w:sz w:val="32"/>
          <w:szCs w:val="36"/>
        </w:rPr>
      </w:pPr>
      <w:bookmarkStart w:id="628" w:name="_Toc212561830"/>
      <w:r>
        <w:br w:type="page"/>
      </w:r>
    </w:p>
    <w:p w14:paraId="0A41A0BB" w14:textId="65A1BC84" w:rsidR="003325AF" w:rsidRPr="007B5BE6" w:rsidRDefault="007A1345" w:rsidP="00D802F3">
      <w:pPr>
        <w:pStyle w:val="Headingunnumbered"/>
        <w:spacing w:before="360"/>
      </w:pPr>
      <w:r w:rsidRPr="007B5BE6">
        <w:lastRenderedPageBreak/>
        <w:t>Guardianship</w:t>
      </w:r>
      <w:r w:rsidR="00090DB7" w:rsidRPr="007B5BE6">
        <w:t xml:space="preserve"> </w:t>
      </w:r>
      <w:r w:rsidR="00F50B52" w:rsidRPr="007B5BE6">
        <w:t>and administration</w:t>
      </w:r>
      <w:bookmarkEnd w:id="628"/>
    </w:p>
    <w:p w14:paraId="0DAC2897" w14:textId="0723B654" w:rsidR="006D2406" w:rsidRPr="007B5BE6" w:rsidRDefault="006D2406" w:rsidP="006D2406">
      <w:pPr>
        <w:pStyle w:val="NormalNumberedTextTLRI"/>
      </w:pPr>
      <w:r w:rsidRPr="007B5BE6">
        <w:t>As noted,</w:t>
      </w:r>
      <w:r w:rsidR="00B707DE" w:rsidRPr="007B5BE6">
        <w:rPr>
          <w:rStyle w:val="FootnoteReference"/>
        </w:rPr>
        <w:footnoteReference w:id="801"/>
      </w:r>
      <w:r w:rsidR="00B707DE" w:rsidRPr="007B5BE6">
        <w:t xml:space="preserve"> </w:t>
      </w:r>
      <w:r w:rsidRPr="007B5BE6">
        <w:t xml:space="preserve"> under </w:t>
      </w:r>
      <w:r w:rsidR="007B5055" w:rsidRPr="007B5BE6">
        <w:t xml:space="preserve">the </w:t>
      </w:r>
      <w:r w:rsidRPr="007B5BE6">
        <w:rPr>
          <w:i/>
          <w:iCs/>
        </w:rPr>
        <w:t>Guardianship and Administration Act 1995</w:t>
      </w:r>
      <w:r w:rsidRPr="007B5BE6">
        <w:t xml:space="preserve"> (Tas), the Public Guardian has a safeguarding function that include</w:t>
      </w:r>
      <w:r w:rsidR="0057474D" w:rsidRPr="007B5BE6">
        <w:t>s</w:t>
      </w:r>
      <w:r w:rsidRPr="007B5BE6">
        <w:t xml:space="preserve"> assisting in resolution of disputes where </w:t>
      </w:r>
      <w:r w:rsidR="00E3181A" w:rsidRPr="007B5BE6">
        <w:t xml:space="preserve">there is a </w:t>
      </w:r>
      <w:r w:rsidRPr="007B5BE6">
        <w:t xml:space="preserve">conflict in </w:t>
      </w:r>
      <w:r w:rsidR="00E3181A" w:rsidRPr="007B5BE6">
        <w:t xml:space="preserve">the </w:t>
      </w:r>
      <w:r w:rsidRPr="007B5BE6">
        <w:t xml:space="preserve">actions or proposed actions of </w:t>
      </w:r>
      <w:r w:rsidR="00E3181A" w:rsidRPr="007B5BE6">
        <w:t xml:space="preserve">a </w:t>
      </w:r>
      <w:r w:rsidRPr="007B5BE6">
        <w:t>guardian or administrator</w:t>
      </w:r>
      <w:r w:rsidR="00E3181A" w:rsidRPr="007B5BE6">
        <w:t>.</w:t>
      </w:r>
      <w:r w:rsidR="00826893" w:rsidRPr="007B5BE6">
        <w:rPr>
          <w:rStyle w:val="FootnoteReference"/>
        </w:rPr>
        <w:footnoteReference w:id="802"/>
      </w:r>
      <w:r w:rsidRPr="007B5BE6">
        <w:t xml:space="preserve"> </w:t>
      </w:r>
      <w:r w:rsidR="00E3181A" w:rsidRPr="007B5BE6">
        <w:t>The</w:t>
      </w:r>
      <w:r w:rsidRPr="007B5BE6">
        <w:t xml:space="preserve"> Public Guardian also has an investigation role.</w:t>
      </w:r>
      <w:r w:rsidR="00826893" w:rsidRPr="007B5BE6">
        <w:rPr>
          <w:rStyle w:val="FootnoteReference"/>
        </w:rPr>
        <w:footnoteReference w:id="803"/>
      </w:r>
      <w:r w:rsidR="00074A1F" w:rsidRPr="007B5BE6">
        <w:t xml:space="preserve"> TASCAT also has jurisdiction to appoint and remove guardians</w:t>
      </w:r>
      <w:r w:rsidR="0004406E" w:rsidRPr="007B5BE6">
        <w:t>, enduring guardians</w:t>
      </w:r>
      <w:r w:rsidR="00074A1F" w:rsidRPr="007B5BE6">
        <w:t xml:space="preserve"> and administrators.</w:t>
      </w:r>
      <w:r w:rsidR="00074A1F" w:rsidRPr="007B5BE6">
        <w:rPr>
          <w:rStyle w:val="FootnoteReference"/>
        </w:rPr>
        <w:footnoteReference w:id="804"/>
      </w:r>
    </w:p>
    <w:p w14:paraId="473B49EE" w14:textId="4E7DB2CD" w:rsidR="004D6F01" w:rsidRPr="007B5BE6" w:rsidRDefault="00DB7C89" w:rsidP="004D6F01">
      <w:pPr>
        <w:pStyle w:val="NormalNumberedTextTLRI"/>
      </w:pPr>
      <w:r w:rsidRPr="007B5BE6">
        <w:t>The TLRI notes that t</w:t>
      </w:r>
      <w:r w:rsidR="004D6F01" w:rsidRPr="007B5BE6">
        <w:t xml:space="preserve">here have been recent reforms to the </w:t>
      </w:r>
      <w:r w:rsidR="004D6F01" w:rsidRPr="007B5BE6">
        <w:rPr>
          <w:i/>
          <w:iCs/>
        </w:rPr>
        <w:t>Guardianship and Administration Act 1995</w:t>
      </w:r>
      <w:r w:rsidR="004D6F01" w:rsidRPr="007B5BE6">
        <w:t xml:space="preserve"> (Tas)</w:t>
      </w:r>
      <w:r w:rsidR="00C656AE" w:rsidRPr="007B5BE6">
        <w:t>, replacing a substitute decision-making model with a supported decision-making model and strengthen</w:t>
      </w:r>
      <w:r w:rsidR="007149D2" w:rsidRPr="007B5BE6">
        <w:t>ing</w:t>
      </w:r>
      <w:r w:rsidR="00C656AE" w:rsidRPr="007B5BE6">
        <w:t xml:space="preserve"> safeguards focused on protecting the rights of people</w:t>
      </w:r>
      <w:r w:rsidR="00CF62A1" w:rsidRPr="007B5BE6">
        <w:t xml:space="preserve"> affected by the Act, including people</w:t>
      </w:r>
      <w:r w:rsidR="00C656AE" w:rsidRPr="007B5BE6">
        <w:t xml:space="preserve"> under enduring guardianship</w:t>
      </w:r>
      <w:r w:rsidR="007149D2" w:rsidRPr="007B5BE6">
        <w:t xml:space="preserve"> and administration orders</w:t>
      </w:r>
      <w:r w:rsidRPr="007B5BE6">
        <w:t>. These reforms have included the recognition of</w:t>
      </w:r>
      <w:r w:rsidR="00C656AE" w:rsidRPr="007B5BE6">
        <w:t xml:space="preserve"> </w:t>
      </w:r>
      <w:r w:rsidR="00746F7E" w:rsidRPr="007B5BE6">
        <w:t xml:space="preserve">the following </w:t>
      </w:r>
      <w:r w:rsidR="00C656AE" w:rsidRPr="007B5BE6">
        <w:t>principles</w:t>
      </w:r>
      <w:r w:rsidR="004D6F01" w:rsidRPr="007B5BE6">
        <w:t>:</w:t>
      </w:r>
    </w:p>
    <w:p w14:paraId="489007CD" w14:textId="47413DCF" w:rsidR="004D6F01" w:rsidRPr="007B5BE6" w:rsidRDefault="004D6F01" w:rsidP="008360BE">
      <w:pPr>
        <w:pStyle w:val="DotPointTLRI"/>
      </w:pPr>
      <w:r w:rsidRPr="007B5BE6">
        <w:t>respecting and promoting decision-making ability, supporting the capacity of people with impaired decision</w:t>
      </w:r>
      <w:r w:rsidR="00522D00" w:rsidRPr="007B5BE6">
        <w:t xml:space="preserve"> </w:t>
      </w:r>
      <w:r w:rsidRPr="007B5BE6">
        <w:t>making to make decisions, and respecting the views, wishes and preferences of people subject to the Act and using this to inform decisions;</w:t>
      </w:r>
    </w:p>
    <w:p w14:paraId="5888233B" w14:textId="77777777" w:rsidR="004D6F01" w:rsidRPr="007B5BE6" w:rsidRDefault="004D6F01" w:rsidP="008360BE">
      <w:pPr>
        <w:pStyle w:val="DotPointTLRI"/>
      </w:pPr>
      <w:r w:rsidRPr="007B5BE6">
        <w:t xml:space="preserve">adopting means that are least restrictive of a person’s freedom of decision and action; and </w:t>
      </w:r>
    </w:p>
    <w:p w14:paraId="79BC6D84" w14:textId="3B93F079" w:rsidR="004D6F01" w:rsidRPr="007B5BE6" w:rsidRDefault="004D6F01" w:rsidP="008360BE">
      <w:pPr>
        <w:pStyle w:val="DotPointTLRI"/>
      </w:pPr>
      <w:r w:rsidRPr="007B5BE6">
        <w:t>promoting personal and social wellbeing and recognis</w:t>
      </w:r>
      <w:r w:rsidR="00746F7E" w:rsidRPr="007B5BE6">
        <w:t>ing</w:t>
      </w:r>
      <w:r w:rsidRPr="007B5BE6">
        <w:t xml:space="preserve"> the role of people who support those with impaired decision-making capacity.</w:t>
      </w:r>
      <w:r w:rsidR="00791A8D" w:rsidRPr="007B5BE6">
        <w:rPr>
          <w:rStyle w:val="FootnoteReference"/>
        </w:rPr>
        <w:footnoteReference w:id="805"/>
      </w:r>
      <w:r w:rsidRPr="007B5BE6">
        <w:t xml:space="preserve">  </w:t>
      </w:r>
    </w:p>
    <w:p w14:paraId="5EE63142" w14:textId="247D83F6" w:rsidR="004D6F01" w:rsidRPr="007B5BE6" w:rsidRDefault="00C656AE" w:rsidP="004D6F01">
      <w:pPr>
        <w:pStyle w:val="NormalNumberedTextTLRI"/>
      </w:pPr>
      <w:r w:rsidRPr="007B5BE6">
        <w:t>R</w:t>
      </w:r>
      <w:r w:rsidR="004D6F01" w:rsidRPr="007B5BE6">
        <w:t xml:space="preserve">eforms </w:t>
      </w:r>
      <w:r w:rsidR="006D2406" w:rsidRPr="007B5BE6">
        <w:t xml:space="preserve">have also been made to </w:t>
      </w:r>
      <w:r w:rsidR="004D6F01" w:rsidRPr="007B5BE6">
        <w:t xml:space="preserve">enhance </w:t>
      </w:r>
      <w:r w:rsidR="007B5055" w:rsidRPr="007B5BE6">
        <w:t>the</w:t>
      </w:r>
      <w:r w:rsidR="004D6F01" w:rsidRPr="007B5BE6">
        <w:t xml:space="preserve"> coercive powers that apply to a person who ‘appears to be </w:t>
      </w:r>
      <w:r w:rsidR="00FF284E" w:rsidRPr="007B5BE6">
        <w:t xml:space="preserve">in </w:t>
      </w:r>
      <w:r w:rsidR="004D6F01" w:rsidRPr="007B5BE6">
        <w:t>need of a guardian’</w:t>
      </w:r>
      <w:r w:rsidR="007B5055" w:rsidRPr="007B5BE6">
        <w:t xml:space="preserve">. Under the </w:t>
      </w:r>
      <w:r w:rsidR="007B5055" w:rsidRPr="007B5BE6">
        <w:rPr>
          <w:i/>
          <w:iCs/>
        </w:rPr>
        <w:t>Guardianship and Administration Act 1995</w:t>
      </w:r>
      <w:r w:rsidR="007B5055" w:rsidRPr="007B5BE6">
        <w:t xml:space="preserve"> (Tas),</w:t>
      </w:r>
      <w:r w:rsidR="004D6F01" w:rsidRPr="007B5BE6">
        <w:t xml:space="preserve"> TASCAT may empower the Public Guardian </w:t>
      </w:r>
      <w:r w:rsidR="00FF284E" w:rsidRPr="007B5BE6">
        <w:t>(</w:t>
      </w:r>
      <w:r w:rsidR="004D6F01" w:rsidRPr="007B5BE6">
        <w:t>or other specified person</w:t>
      </w:r>
      <w:r w:rsidR="00FF284E" w:rsidRPr="007B5BE6">
        <w:t>)</w:t>
      </w:r>
      <w:r w:rsidR="004D6F01" w:rsidRPr="007B5BE6">
        <w:t xml:space="preserve"> </w:t>
      </w:r>
      <w:r w:rsidR="007B5055" w:rsidRPr="007B5BE6">
        <w:t xml:space="preserve">to </w:t>
      </w:r>
      <w:r w:rsidR="004D6F01" w:rsidRPr="007B5BE6">
        <w:t>visit</w:t>
      </w:r>
      <w:r w:rsidR="00E46049" w:rsidRPr="007B5BE6">
        <w:t>, accompanied by</w:t>
      </w:r>
      <w:r w:rsidR="004D6F01" w:rsidRPr="007B5BE6">
        <w:t xml:space="preserve"> police</w:t>
      </w:r>
      <w:r w:rsidR="00E46049" w:rsidRPr="007B5BE6">
        <w:t>,</w:t>
      </w:r>
      <w:r w:rsidR="004D6F01" w:rsidRPr="007B5BE6">
        <w:t xml:space="preserve"> a person who appears to </w:t>
      </w:r>
      <w:r w:rsidR="00E46049" w:rsidRPr="007B5BE6">
        <w:t xml:space="preserve">be in </w:t>
      </w:r>
      <w:r w:rsidR="004D6F01" w:rsidRPr="007B5BE6">
        <w:t xml:space="preserve">need </w:t>
      </w:r>
      <w:r w:rsidR="00E46049" w:rsidRPr="007B5BE6">
        <w:t xml:space="preserve">of </w:t>
      </w:r>
      <w:r w:rsidR="004D6F01" w:rsidRPr="007B5BE6">
        <w:t xml:space="preserve">a guardian </w:t>
      </w:r>
      <w:r w:rsidR="004C5AC6" w:rsidRPr="007B5BE6">
        <w:t>when that person is</w:t>
      </w:r>
      <w:r w:rsidR="004D6F01" w:rsidRPr="007B5BE6">
        <w:t xml:space="preserve"> being unlawfully detained against their will or is likely to suffer damage to physical, emotional or mental health or wellbeing unless immediate action is taken. Further, TASCAT may</w:t>
      </w:r>
      <w:r w:rsidR="00591109" w:rsidRPr="007B5BE6">
        <w:t>,</w:t>
      </w:r>
      <w:r w:rsidR="004D6F01" w:rsidRPr="007B5BE6">
        <w:t xml:space="preserve"> on </w:t>
      </w:r>
      <w:r w:rsidR="00AF7B50" w:rsidRPr="007B5BE6">
        <w:t xml:space="preserve">the </w:t>
      </w:r>
      <w:r w:rsidR="004D6F01" w:rsidRPr="007B5BE6">
        <w:t>basis of any report following this, order that the person be taken to</w:t>
      </w:r>
      <w:r w:rsidR="007E50E7" w:rsidRPr="007B5BE6">
        <w:t>,</w:t>
      </w:r>
      <w:r w:rsidR="004D6F01" w:rsidRPr="007B5BE6">
        <w:t xml:space="preserve"> and cared for</w:t>
      </w:r>
      <w:r w:rsidR="007E50E7" w:rsidRPr="007B5BE6">
        <w:t>,</w:t>
      </w:r>
      <w:r w:rsidR="004D6F01" w:rsidRPr="007B5BE6">
        <w:t xml:space="preserve"> at a specified place.</w:t>
      </w:r>
      <w:r w:rsidR="00925F2E" w:rsidRPr="007B5BE6">
        <w:rPr>
          <w:rStyle w:val="FootnoteReference"/>
        </w:rPr>
        <w:footnoteReference w:id="806"/>
      </w:r>
      <w:r w:rsidR="004D6F01" w:rsidRPr="007B5BE6">
        <w:t xml:space="preserve"> A police officer</w:t>
      </w:r>
      <w:r w:rsidR="007E50E7" w:rsidRPr="007B5BE6">
        <w:t>,</w:t>
      </w:r>
      <w:r w:rsidR="004D6F01" w:rsidRPr="007B5BE6">
        <w:t xml:space="preserve"> accompanied by </w:t>
      </w:r>
      <w:r w:rsidR="00553C0A" w:rsidRPr="007B5BE6">
        <w:t xml:space="preserve">the </w:t>
      </w:r>
      <w:r w:rsidR="004D6F01" w:rsidRPr="007B5BE6">
        <w:t>Public Guardian</w:t>
      </w:r>
      <w:r w:rsidR="00553C0A" w:rsidRPr="007B5BE6">
        <w:t>’s nominee</w:t>
      </w:r>
      <w:r w:rsidR="007E50E7" w:rsidRPr="007B5BE6">
        <w:t>,</w:t>
      </w:r>
      <w:r w:rsidR="004D6F01" w:rsidRPr="007B5BE6">
        <w:t xml:space="preserve"> also has the power to remove a person </w:t>
      </w:r>
      <w:r w:rsidR="002052AA" w:rsidRPr="007B5BE6">
        <w:t xml:space="preserve">(who appears to be in need of a guardian) </w:t>
      </w:r>
      <w:r w:rsidR="004D6F01" w:rsidRPr="007B5BE6">
        <w:t>to a place of safety</w:t>
      </w:r>
      <w:r w:rsidR="002052AA" w:rsidRPr="007B5BE6">
        <w:t>,</w:t>
      </w:r>
      <w:r w:rsidR="004D6F01" w:rsidRPr="007B5BE6">
        <w:t xml:space="preserve"> where </w:t>
      </w:r>
      <w:r w:rsidR="00197D32" w:rsidRPr="007B5BE6">
        <w:t xml:space="preserve">there is </w:t>
      </w:r>
      <w:r w:rsidR="004D6F01" w:rsidRPr="007B5BE6">
        <w:t xml:space="preserve">reasonable cause to suspect that </w:t>
      </w:r>
      <w:r w:rsidR="00197D32" w:rsidRPr="007B5BE6">
        <w:t xml:space="preserve">the </w:t>
      </w:r>
      <w:r w:rsidR="004D6F01" w:rsidRPr="007B5BE6">
        <w:t>person</w:t>
      </w:r>
      <w:r w:rsidR="002052AA" w:rsidRPr="007B5BE6">
        <w:t xml:space="preserve"> </w:t>
      </w:r>
      <w:r w:rsidR="004D6F01" w:rsidRPr="007B5BE6">
        <w:t>has been</w:t>
      </w:r>
      <w:r w:rsidR="00197D32" w:rsidRPr="007B5BE6">
        <w:t>,</w:t>
      </w:r>
      <w:r w:rsidR="004D6F01" w:rsidRPr="007B5BE6">
        <w:t xml:space="preserve"> or is being</w:t>
      </w:r>
      <w:r w:rsidR="00197D32" w:rsidRPr="007B5BE6">
        <w:t>,</w:t>
      </w:r>
      <w:r w:rsidR="004D6F01" w:rsidRPr="007B5BE6">
        <w:t xml:space="preserve"> ill-treated, neglected or unlawfully detained against their will</w:t>
      </w:r>
      <w:r w:rsidR="002052AA" w:rsidRPr="007B5BE6">
        <w:t>,</w:t>
      </w:r>
      <w:r w:rsidR="004D6F01" w:rsidRPr="007B5BE6">
        <w:t xml:space="preserve"> or is likely to suffer damage to physical, emotional or mental health or wellbeing</w:t>
      </w:r>
      <w:r w:rsidR="00197D32" w:rsidRPr="007B5BE6">
        <w:t>,</w:t>
      </w:r>
      <w:r w:rsidR="004D6F01" w:rsidRPr="007B5BE6">
        <w:t xml:space="preserve"> unless immediate action is taken.</w:t>
      </w:r>
      <w:r w:rsidR="00791A8D" w:rsidRPr="007B5BE6">
        <w:rPr>
          <w:rStyle w:val="FootnoteReference"/>
        </w:rPr>
        <w:footnoteReference w:id="807"/>
      </w:r>
    </w:p>
    <w:p w14:paraId="401FE172" w14:textId="21BB5AFB" w:rsidR="004D6F01" w:rsidRPr="007B5BE6" w:rsidRDefault="004D6F01" w:rsidP="00591109">
      <w:pPr>
        <w:pStyle w:val="NormalNumberedTextTLRI"/>
      </w:pPr>
      <w:r w:rsidRPr="007B5BE6">
        <w:t>The Act also creates criminal offences</w:t>
      </w:r>
      <w:r w:rsidR="006E6048" w:rsidRPr="007B5BE6">
        <w:t xml:space="preserve">. This includes </w:t>
      </w:r>
      <w:r w:rsidR="002052AA" w:rsidRPr="007B5BE6">
        <w:t xml:space="preserve">conduct that </w:t>
      </w:r>
      <w:r w:rsidRPr="007B5BE6">
        <w:t>delay</w:t>
      </w:r>
      <w:r w:rsidR="002052AA" w:rsidRPr="007B5BE6">
        <w:t>s</w:t>
      </w:r>
      <w:r w:rsidRPr="007B5BE6">
        <w:t xml:space="preserve"> or obstruct</w:t>
      </w:r>
      <w:r w:rsidR="002052AA" w:rsidRPr="007B5BE6">
        <w:t>s</w:t>
      </w:r>
      <w:r w:rsidRPr="007B5BE6">
        <w:t xml:space="preserve"> any person exercising urgent power in case</w:t>
      </w:r>
      <w:r w:rsidR="002052AA" w:rsidRPr="007B5BE6">
        <w:t>s</w:t>
      </w:r>
      <w:r w:rsidRPr="007B5BE6">
        <w:t xml:space="preserve"> </w:t>
      </w:r>
      <w:r w:rsidR="006E6048" w:rsidRPr="007B5BE6">
        <w:t xml:space="preserve">where a </w:t>
      </w:r>
      <w:r w:rsidRPr="007B5BE6">
        <w:t xml:space="preserve">person </w:t>
      </w:r>
      <w:r w:rsidR="00D404AE" w:rsidRPr="007B5BE6">
        <w:t>(</w:t>
      </w:r>
      <w:r w:rsidR="006E6048" w:rsidRPr="007B5BE6">
        <w:t xml:space="preserve">who appears to </w:t>
      </w:r>
      <w:proofErr w:type="gramStart"/>
      <w:r w:rsidR="006E6048" w:rsidRPr="007B5BE6">
        <w:t xml:space="preserve">be </w:t>
      </w:r>
      <w:r w:rsidRPr="007B5BE6">
        <w:t>in need of</w:t>
      </w:r>
      <w:proofErr w:type="gramEnd"/>
      <w:r w:rsidRPr="007B5BE6">
        <w:t xml:space="preserve"> </w:t>
      </w:r>
      <w:r w:rsidR="00D404AE" w:rsidRPr="007B5BE6">
        <w:t xml:space="preserve">a </w:t>
      </w:r>
      <w:r w:rsidRPr="007B5BE6">
        <w:t>guardian</w:t>
      </w:r>
      <w:r w:rsidR="00D404AE" w:rsidRPr="007B5BE6">
        <w:t>)</w:t>
      </w:r>
      <w:r w:rsidR="006E6048" w:rsidRPr="007B5BE6">
        <w:t xml:space="preserve"> is being unlawfully detained</w:t>
      </w:r>
      <w:r w:rsidR="00D404AE" w:rsidRPr="007B5BE6">
        <w:t>,</w:t>
      </w:r>
      <w:r w:rsidR="00791A8D" w:rsidRPr="007B5BE6">
        <w:rPr>
          <w:rStyle w:val="FootnoteReference"/>
        </w:rPr>
        <w:footnoteReference w:id="808"/>
      </w:r>
      <w:r w:rsidRPr="007B5BE6">
        <w:t xml:space="preserve"> a guardian </w:t>
      </w:r>
      <w:r w:rsidR="003A616B" w:rsidRPr="007B5BE6">
        <w:t>contravening</w:t>
      </w:r>
      <w:r w:rsidRPr="007B5BE6">
        <w:t xml:space="preserve"> a direction given by TASCAT when </w:t>
      </w:r>
      <w:r w:rsidR="003A616B" w:rsidRPr="007B5BE6">
        <w:t xml:space="preserve">the guardian has </w:t>
      </w:r>
      <w:r w:rsidRPr="007B5BE6">
        <w:t>appli</w:t>
      </w:r>
      <w:r w:rsidR="003A616B" w:rsidRPr="007B5BE6">
        <w:t xml:space="preserve">ed for TASCAT’s </w:t>
      </w:r>
      <w:r w:rsidRPr="007B5BE6">
        <w:t>advice or direction</w:t>
      </w:r>
      <w:r w:rsidR="003A616B" w:rsidRPr="007B5BE6">
        <w:t>,</w:t>
      </w:r>
      <w:r w:rsidRPr="007B5BE6">
        <w:t xml:space="preserve"> or disclosure of protected information in contravention of confidentiality provisions.</w:t>
      </w:r>
      <w:r w:rsidR="00791A8D" w:rsidRPr="007B5BE6">
        <w:rPr>
          <w:rStyle w:val="FootnoteReference"/>
        </w:rPr>
        <w:footnoteReference w:id="809"/>
      </w:r>
      <w:r w:rsidRPr="007B5BE6">
        <w:t xml:space="preserve"> </w:t>
      </w:r>
    </w:p>
    <w:p w14:paraId="4D340CAE" w14:textId="77777777" w:rsidR="00B014BE" w:rsidRPr="007B5BE6" w:rsidRDefault="00B014BE">
      <w:pPr>
        <w:spacing w:after="200" w:line="276" w:lineRule="auto"/>
        <w:jc w:val="left"/>
        <w:rPr>
          <w:rFonts w:eastAsia="Times" w:cs="Times New Roman"/>
          <w:b/>
          <w:i/>
          <w:szCs w:val="20"/>
        </w:rPr>
      </w:pPr>
      <w:r w:rsidRPr="007B5BE6">
        <w:br w:type="page"/>
      </w:r>
    </w:p>
    <w:p w14:paraId="3EADC2B3" w14:textId="56927F8C" w:rsidR="007A1345" w:rsidRPr="007B5BE6" w:rsidRDefault="004B099E" w:rsidP="00D802F3">
      <w:pPr>
        <w:pStyle w:val="Sub-HeadingTLRI"/>
        <w:spacing w:before="360"/>
      </w:pPr>
      <w:bookmarkStart w:id="629" w:name="_Toc212561831"/>
      <w:r w:rsidRPr="007B5BE6">
        <w:lastRenderedPageBreak/>
        <w:t>Interviews with stakeholders</w:t>
      </w:r>
      <w:bookmarkEnd w:id="629"/>
    </w:p>
    <w:p w14:paraId="7961CFDC" w14:textId="33F4CA14" w:rsidR="007E6602" w:rsidRPr="007B5BE6" w:rsidRDefault="00084268" w:rsidP="007E6602">
      <w:pPr>
        <w:pStyle w:val="NormalNumberedTextTLRI"/>
      </w:pPr>
      <w:r w:rsidRPr="007B5BE6">
        <w:t>Stakeholders i</w:t>
      </w:r>
      <w:r w:rsidR="00EE788D" w:rsidRPr="007B5BE6">
        <w:t xml:space="preserve">n </w:t>
      </w:r>
      <w:r w:rsidRPr="007B5BE6">
        <w:t xml:space="preserve">the TLRI’s </w:t>
      </w:r>
      <w:r w:rsidR="00EE788D" w:rsidRPr="007B5BE6">
        <w:t xml:space="preserve">interviews </w:t>
      </w:r>
      <w:r w:rsidR="0072433D" w:rsidRPr="007B5BE6">
        <w:t xml:space="preserve">tended </w:t>
      </w:r>
      <w:r w:rsidR="009C6FFE" w:rsidRPr="007B5BE6">
        <w:t xml:space="preserve">to focus more on issues regarding guardianship </w:t>
      </w:r>
      <w:r w:rsidR="00C61EAD" w:rsidRPr="007B5BE6">
        <w:t xml:space="preserve">rather than </w:t>
      </w:r>
      <w:r w:rsidRPr="007B5BE6">
        <w:t xml:space="preserve">those under </w:t>
      </w:r>
      <w:r w:rsidR="00C61EAD" w:rsidRPr="007B5BE6">
        <w:t xml:space="preserve">administration </w:t>
      </w:r>
      <w:r w:rsidR="0027069C" w:rsidRPr="007B5BE6">
        <w:t>arrangement</w:t>
      </w:r>
      <w:r w:rsidR="00FA7772" w:rsidRPr="007B5BE6">
        <w:t>s</w:t>
      </w:r>
      <w:r w:rsidR="003A08D7" w:rsidRPr="007B5BE6">
        <w:t>.</w:t>
      </w:r>
      <w:r w:rsidR="00BF1BB5" w:rsidRPr="007B5BE6">
        <w:t xml:space="preserve"> S</w:t>
      </w:r>
      <w:r w:rsidR="00591109" w:rsidRPr="007B5BE6">
        <w:t xml:space="preserve">takeholders </w:t>
      </w:r>
      <w:r w:rsidR="00EE4CFF" w:rsidRPr="007B5BE6">
        <w:t>viewed the</w:t>
      </w:r>
      <w:r w:rsidR="00591109" w:rsidRPr="007B5BE6">
        <w:t xml:space="preserve"> recent reforms to the </w:t>
      </w:r>
      <w:r w:rsidR="00591109" w:rsidRPr="007B5BE6">
        <w:rPr>
          <w:i/>
          <w:iCs/>
        </w:rPr>
        <w:t>Guardianship and Administration Act 1995</w:t>
      </w:r>
      <w:r w:rsidR="00591109" w:rsidRPr="007B5BE6">
        <w:t xml:space="preserve"> (Tas)</w:t>
      </w:r>
      <w:r w:rsidR="00BF1B7F" w:rsidRPr="007B5BE6">
        <w:t xml:space="preserve"> as</w:t>
      </w:r>
      <w:r w:rsidR="00D80A3E" w:rsidRPr="007B5BE6">
        <w:t xml:space="preserve"> </w:t>
      </w:r>
      <w:r w:rsidR="00BF1B7F" w:rsidRPr="007B5BE6">
        <w:t>positive development</w:t>
      </w:r>
      <w:r w:rsidR="00D80A3E" w:rsidRPr="007B5BE6">
        <w:t>s for safeguarding in this context</w:t>
      </w:r>
      <w:r w:rsidR="00BF1B7F" w:rsidRPr="007B5BE6">
        <w:t xml:space="preserve">. This included </w:t>
      </w:r>
      <w:r w:rsidRPr="007B5BE6">
        <w:t>the introduction of a</w:t>
      </w:r>
      <w:r w:rsidR="00A62271" w:rsidRPr="007B5BE6">
        <w:t xml:space="preserve"> </w:t>
      </w:r>
      <w:r w:rsidR="00A50DC3" w:rsidRPr="007B5BE6">
        <w:t xml:space="preserve">supported decision-making </w:t>
      </w:r>
      <w:r w:rsidR="00A62271" w:rsidRPr="007B5BE6">
        <w:t xml:space="preserve">framework that promotes </w:t>
      </w:r>
      <w:r w:rsidRPr="007B5BE6">
        <w:t xml:space="preserve">the </w:t>
      </w:r>
      <w:r w:rsidR="00A62271" w:rsidRPr="007B5BE6">
        <w:t xml:space="preserve">rights </w:t>
      </w:r>
      <w:r w:rsidR="00A50DC3" w:rsidRPr="007B5BE6">
        <w:t>of</w:t>
      </w:r>
      <w:r w:rsidR="00591109" w:rsidRPr="007B5BE6">
        <w:t xml:space="preserve"> </w:t>
      </w:r>
      <w:r w:rsidR="0003410A" w:rsidRPr="007B5BE6">
        <w:t>people under the Act</w:t>
      </w:r>
      <w:r w:rsidR="00882568" w:rsidRPr="007B5BE6">
        <w:t xml:space="preserve"> and </w:t>
      </w:r>
      <w:r w:rsidR="00E00BDA" w:rsidRPr="007B5BE6">
        <w:t>the increased powers of the Public Guardian</w:t>
      </w:r>
      <w:r w:rsidR="00882568" w:rsidRPr="007B5BE6">
        <w:t>,</w:t>
      </w:r>
      <w:r w:rsidR="00791A8D" w:rsidRPr="007B5BE6">
        <w:rPr>
          <w:rStyle w:val="FootnoteReference"/>
        </w:rPr>
        <w:footnoteReference w:id="810"/>
      </w:r>
      <w:r w:rsidR="00E00BDA" w:rsidRPr="007B5BE6">
        <w:t xml:space="preserve"> </w:t>
      </w:r>
      <w:r w:rsidR="00882568" w:rsidRPr="007B5BE6">
        <w:t xml:space="preserve">as well as the </w:t>
      </w:r>
      <w:r w:rsidR="007E6602" w:rsidRPr="007B5BE6">
        <w:t xml:space="preserve">addition of </w:t>
      </w:r>
      <w:r w:rsidR="00882568" w:rsidRPr="007B5BE6">
        <w:t>a</w:t>
      </w:r>
      <w:r w:rsidR="007E6602" w:rsidRPr="007B5BE6">
        <w:t xml:space="preserve"> dispute resolution function to the Public Guardian’s role </w:t>
      </w:r>
      <w:r w:rsidR="000A1C8F" w:rsidRPr="007B5BE6">
        <w:t xml:space="preserve">and </w:t>
      </w:r>
      <w:r w:rsidR="00D80A3E" w:rsidRPr="007B5BE6">
        <w:t xml:space="preserve">its </w:t>
      </w:r>
      <w:r w:rsidR="000A1C8F" w:rsidRPr="007B5BE6">
        <w:t xml:space="preserve">strengthened </w:t>
      </w:r>
      <w:r w:rsidR="00D80A3E" w:rsidRPr="007B5BE6">
        <w:t xml:space="preserve">investigation </w:t>
      </w:r>
      <w:r w:rsidR="000A1C8F" w:rsidRPr="007B5BE6">
        <w:t xml:space="preserve">powers </w:t>
      </w:r>
      <w:r w:rsidR="007E6602" w:rsidRPr="007B5BE6">
        <w:t>regarding guardianship and administration orders.</w:t>
      </w:r>
      <w:r w:rsidR="007E6602" w:rsidRPr="007B5BE6">
        <w:rPr>
          <w:rStyle w:val="FootnoteReference"/>
        </w:rPr>
        <w:footnoteReference w:id="811"/>
      </w:r>
      <w:r w:rsidR="007E6602" w:rsidRPr="007B5BE6">
        <w:t xml:space="preserve"> </w:t>
      </w:r>
      <w:r w:rsidR="00D80A3E" w:rsidRPr="007B5BE6">
        <w:t xml:space="preserve">Stakeholders also identified powers </w:t>
      </w:r>
      <w:r w:rsidR="00824D36" w:rsidRPr="007B5BE6">
        <w:t xml:space="preserve">for guardianship orders to be reviewed and revoked </w:t>
      </w:r>
      <w:r w:rsidR="00D820AC" w:rsidRPr="007B5BE6">
        <w:t>as a safeguard</w:t>
      </w:r>
      <w:r w:rsidR="00D80A3E" w:rsidRPr="007B5BE6">
        <w:t xml:space="preserve"> in that</w:t>
      </w:r>
      <w:r w:rsidR="00537333" w:rsidRPr="007B5BE6">
        <w:t xml:space="preserve"> </w:t>
      </w:r>
      <w:r w:rsidR="00D80A3E" w:rsidRPr="007B5BE6">
        <w:t>such powers</w:t>
      </w:r>
      <w:r w:rsidR="00537333" w:rsidRPr="007B5BE6">
        <w:t xml:space="preserve"> allo</w:t>
      </w:r>
      <w:r w:rsidR="00D80A3E" w:rsidRPr="007B5BE6">
        <w:t xml:space="preserve">w for </w:t>
      </w:r>
      <w:r w:rsidR="00A8185B" w:rsidRPr="007B5BE6">
        <w:t xml:space="preserve">instances of financial abuse by guardians to </w:t>
      </w:r>
      <w:r w:rsidR="00333C4E" w:rsidRPr="007B5BE6">
        <w:t xml:space="preserve">be </w:t>
      </w:r>
      <w:r w:rsidR="00D80A3E" w:rsidRPr="007B5BE6">
        <w:t>detected</w:t>
      </w:r>
      <w:r w:rsidR="00333C4E" w:rsidRPr="007B5BE6">
        <w:t xml:space="preserve"> and acted on.</w:t>
      </w:r>
      <w:r w:rsidR="00333C4E" w:rsidRPr="007B5BE6">
        <w:rPr>
          <w:rStyle w:val="FootnoteReference"/>
        </w:rPr>
        <w:footnoteReference w:id="812"/>
      </w:r>
      <w:r w:rsidR="007E6602" w:rsidRPr="007B5BE6">
        <w:t xml:space="preserve"> </w:t>
      </w:r>
    </w:p>
    <w:p w14:paraId="5D7854FE" w14:textId="7E85AF7A" w:rsidR="00591109" w:rsidRPr="007B5BE6" w:rsidRDefault="00591109" w:rsidP="00E00BDA">
      <w:pPr>
        <w:pStyle w:val="NormalNumberedTextTLRI"/>
      </w:pPr>
      <w:r w:rsidRPr="007B5BE6">
        <w:t xml:space="preserve">However, some stakeholders </w:t>
      </w:r>
      <w:r w:rsidR="009424F0" w:rsidRPr="007B5BE6">
        <w:t>observed</w:t>
      </w:r>
      <w:r w:rsidRPr="007B5BE6">
        <w:t xml:space="preserve"> that the operation of existing </w:t>
      </w:r>
      <w:proofErr w:type="gramStart"/>
      <w:r w:rsidRPr="007B5BE6">
        <w:t>safeguards</w:t>
      </w:r>
      <w:r w:rsidR="008E7F2A" w:rsidRPr="007B5BE6">
        <w:t>,</w:t>
      </w:r>
      <w:r w:rsidRPr="007B5BE6">
        <w:t xml:space="preserve"> and</w:t>
      </w:r>
      <w:proofErr w:type="gramEnd"/>
      <w:r w:rsidRPr="007B5BE6">
        <w:t xml:space="preserve"> </w:t>
      </w:r>
      <w:r w:rsidR="008E7F2A" w:rsidRPr="007B5BE6">
        <w:t>recently introduced</w:t>
      </w:r>
      <w:r w:rsidR="00EF56B7" w:rsidRPr="007B5BE6">
        <w:t xml:space="preserve"> safeguards (by virtue of </w:t>
      </w:r>
      <w:r w:rsidRPr="007B5BE6">
        <w:t>increased powers of the Public Guardian</w:t>
      </w:r>
      <w:r w:rsidR="00EF56B7" w:rsidRPr="007B5BE6">
        <w:t>)</w:t>
      </w:r>
      <w:r w:rsidR="008E7F2A" w:rsidRPr="007B5BE6">
        <w:t>,</w:t>
      </w:r>
      <w:r w:rsidR="00EF56B7" w:rsidRPr="007B5BE6">
        <w:t xml:space="preserve"> </w:t>
      </w:r>
      <w:r w:rsidRPr="007B5BE6">
        <w:t>were limited to those who ha</w:t>
      </w:r>
      <w:r w:rsidR="00E00BDA" w:rsidRPr="007B5BE6">
        <w:t>d a</w:t>
      </w:r>
      <w:r w:rsidR="00EF56B7" w:rsidRPr="007B5BE6">
        <w:t>n impairment that impacted their</w:t>
      </w:r>
      <w:r w:rsidRPr="007B5BE6">
        <w:t xml:space="preserve"> decision-making </w:t>
      </w:r>
      <w:r w:rsidR="00EF56B7" w:rsidRPr="007B5BE6">
        <w:t>ability,</w:t>
      </w:r>
      <w:r w:rsidRPr="007B5BE6">
        <w:t xml:space="preserve"> </w:t>
      </w:r>
      <w:proofErr w:type="gramStart"/>
      <w:r w:rsidRPr="007B5BE6">
        <w:t xml:space="preserve">and </w:t>
      </w:r>
      <w:r w:rsidR="00955FFD" w:rsidRPr="007B5BE6">
        <w:t>also</w:t>
      </w:r>
      <w:proofErr w:type="gramEnd"/>
      <w:r w:rsidR="00955FFD" w:rsidRPr="007B5BE6">
        <w:t xml:space="preserve"> </w:t>
      </w:r>
      <w:r w:rsidRPr="007B5BE6">
        <w:t xml:space="preserve">limited to responding to </w:t>
      </w:r>
      <w:r w:rsidR="00E578A8" w:rsidRPr="007B5BE6">
        <w:t xml:space="preserve">conduct </w:t>
      </w:r>
      <w:r w:rsidR="002C4696" w:rsidRPr="007B5BE6">
        <w:t xml:space="preserve">comprising </w:t>
      </w:r>
      <w:r w:rsidRPr="007B5BE6">
        <w:t>misuse of legal instruments, including enduring guardianship. Gaps identified were that:</w:t>
      </w:r>
    </w:p>
    <w:p w14:paraId="6C61783A" w14:textId="52FFE711" w:rsidR="00591109" w:rsidRPr="007B5BE6" w:rsidRDefault="00591109" w:rsidP="008360BE">
      <w:pPr>
        <w:pStyle w:val="DotPointTLRI"/>
      </w:pPr>
      <w:r w:rsidRPr="007B5BE6">
        <w:t xml:space="preserve">this may not extend to all forms of abuse experienced by older people with disability and </w:t>
      </w:r>
      <w:r w:rsidR="00955FFD" w:rsidRPr="007B5BE6">
        <w:t xml:space="preserve">impaired </w:t>
      </w:r>
      <w:r w:rsidRPr="007B5BE6">
        <w:t xml:space="preserve">decision-making </w:t>
      </w:r>
      <w:r w:rsidR="00955FFD" w:rsidRPr="007B5BE6">
        <w:t xml:space="preserve">ability </w:t>
      </w:r>
      <w:r w:rsidR="00D94290" w:rsidRPr="007B5BE6">
        <w:t xml:space="preserve">whose rights should be protected under the </w:t>
      </w:r>
      <w:r w:rsidR="002C4696" w:rsidRPr="007B5BE6">
        <w:t xml:space="preserve">legislative </w:t>
      </w:r>
      <w:r w:rsidR="00D94290" w:rsidRPr="007B5BE6">
        <w:t>framework</w:t>
      </w:r>
      <w:r w:rsidRPr="007B5BE6">
        <w:t xml:space="preserve">; and </w:t>
      </w:r>
    </w:p>
    <w:p w14:paraId="724E2EBF" w14:textId="3E506159" w:rsidR="00591109" w:rsidRPr="007B5BE6" w:rsidRDefault="00591109" w:rsidP="008360BE">
      <w:pPr>
        <w:pStyle w:val="DotPointTLRI"/>
      </w:pPr>
      <w:r w:rsidRPr="007B5BE6">
        <w:t xml:space="preserve">does not extend to older people who do have decision-making </w:t>
      </w:r>
      <w:r w:rsidR="00D94290" w:rsidRPr="007B5BE6">
        <w:t xml:space="preserve">ability </w:t>
      </w:r>
      <w:r w:rsidRPr="007B5BE6">
        <w:t>and thus are not protected under the legislative framework.</w:t>
      </w:r>
      <w:r w:rsidR="005D1AE3" w:rsidRPr="007B5BE6">
        <w:rPr>
          <w:rStyle w:val="FootnoteReference"/>
        </w:rPr>
        <w:footnoteReference w:id="813"/>
      </w:r>
      <w:r w:rsidRPr="007B5BE6">
        <w:t xml:space="preserve"> </w:t>
      </w:r>
    </w:p>
    <w:p w14:paraId="255A47FA" w14:textId="7676DB4D" w:rsidR="005D1AE3" w:rsidRPr="007B5BE6" w:rsidRDefault="000C23F3" w:rsidP="00B85695">
      <w:pPr>
        <w:pStyle w:val="NormalNumberedTextTLRI"/>
      </w:pPr>
      <w:r w:rsidRPr="007B5BE6">
        <w:t xml:space="preserve">In this regard, a concern </w:t>
      </w:r>
      <w:r w:rsidR="00FB0A5A" w:rsidRPr="007B5BE6">
        <w:t>was expressed</w:t>
      </w:r>
      <w:r w:rsidRPr="007B5BE6">
        <w:t xml:space="preserve"> about an</w:t>
      </w:r>
      <w:r w:rsidR="002752FC" w:rsidRPr="007B5BE6">
        <w:t>y reform proposal to expand the role of the Public Guardian or TAS</w:t>
      </w:r>
      <w:r w:rsidR="00EF2950" w:rsidRPr="007B5BE6">
        <w:t>CA</w:t>
      </w:r>
      <w:r w:rsidR="002752FC" w:rsidRPr="007B5BE6">
        <w:t xml:space="preserve">T to have a broader safeguarding function for </w:t>
      </w:r>
      <w:r w:rsidR="000357B3" w:rsidRPr="007B5BE6">
        <w:t xml:space="preserve">older </w:t>
      </w:r>
      <w:r w:rsidR="002752FC" w:rsidRPr="007B5BE6">
        <w:t xml:space="preserve">people </w:t>
      </w:r>
      <w:r w:rsidR="000753F6" w:rsidRPr="007B5BE6">
        <w:t>more broadly</w:t>
      </w:r>
      <w:r w:rsidR="00260820" w:rsidRPr="007B5BE6">
        <w:t>. This concern was expressed</w:t>
      </w:r>
      <w:r w:rsidR="00A94611" w:rsidRPr="007B5BE6">
        <w:t xml:space="preserve"> on the basis that </w:t>
      </w:r>
      <w:r w:rsidR="0024613A" w:rsidRPr="007B5BE6">
        <w:t>if there are no other options available the</w:t>
      </w:r>
      <w:r w:rsidR="00B73004">
        <w:t xml:space="preserve">n </w:t>
      </w:r>
      <w:r w:rsidR="001C2049" w:rsidRPr="007B5BE6">
        <w:t>guardianship</w:t>
      </w:r>
      <w:r w:rsidR="00CA548E" w:rsidRPr="007B5BE6">
        <w:t xml:space="preserve"> </w:t>
      </w:r>
      <w:r w:rsidR="00B73004">
        <w:t xml:space="preserve">can inappropriately become the default option for </w:t>
      </w:r>
      <w:r w:rsidR="00CA548E" w:rsidRPr="007B5BE6">
        <w:t>safeguarding older</w:t>
      </w:r>
      <w:r w:rsidR="00B73004">
        <w:t xml:space="preserve"> people in the</w:t>
      </w:r>
      <w:r w:rsidR="00CA548E" w:rsidRPr="007B5BE6">
        <w:t xml:space="preserve"> community</w:t>
      </w:r>
      <w:r w:rsidR="00844BD2" w:rsidRPr="007B5BE6">
        <w:t xml:space="preserve">, which </w:t>
      </w:r>
      <w:r w:rsidR="00F133BB" w:rsidRPr="007B5BE6">
        <w:t xml:space="preserve">was viewed as </w:t>
      </w:r>
      <w:r w:rsidR="00844BD2" w:rsidRPr="007B5BE6">
        <w:t>present</w:t>
      </w:r>
      <w:r w:rsidR="00F133BB" w:rsidRPr="007B5BE6">
        <w:t>ing</w:t>
      </w:r>
      <w:r w:rsidR="00844BD2" w:rsidRPr="007B5BE6">
        <w:t xml:space="preserve"> a significant </w:t>
      </w:r>
      <w:r w:rsidR="00F2032E" w:rsidRPr="007B5BE6">
        <w:t>issue regarding respect and protection of their rights.</w:t>
      </w:r>
      <w:r w:rsidR="00F2032E" w:rsidRPr="007B5BE6">
        <w:rPr>
          <w:rStyle w:val="FootnoteReference"/>
        </w:rPr>
        <w:footnoteReference w:id="814"/>
      </w:r>
    </w:p>
    <w:p w14:paraId="072E413B" w14:textId="69E22BA0" w:rsidR="007204EC" w:rsidRPr="007B5BE6" w:rsidRDefault="007204EC" w:rsidP="007204EC">
      <w:pPr>
        <w:pStyle w:val="NormalNumberedTextTLRI"/>
      </w:pPr>
      <w:r w:rsidRPr="007B5BE6">
        <w:t>A</w:t>
      </w:r>
      <w:r w:rsidR="00A94611" w:rsidRPr="007B5BE6">
        <w:t xml:space="preserve"> further</w:t>
      </w:r>
      <w:r w:rsidRPr="007B5BE6">
        <w:t xml:space="preserve"> issue identified in </w:t>
      </w:r>
      <w:r w:rsidR="00FC5894" w:rsidRPr="007B5BE6">
        <w:t>stakeholder interviews</w:t>
      </w:r>
      <w:r w:rsidRPr="007B5BE6">
        <w:t xml:space="preserve"> was the limited consequences that are available as a response to an investigation regarding misuse or abuse of decision-making powers by a guardian</w:t>
      </w:r>
      <w:r w:rsidR="0051598B" w:rsidRPr="007B5BE6">
        <w:t xml:space="preserve"> or administrator</w:t>
      </w:r>
      <w:r w:rsidRPr="007B5BE6">
        <w:t>. While TASCAT can remove the</w:t>
      </w:r>
      <w:r w:rsidR="00AC2775" w:rsidRPr="007B5BE6">
        <w:t xml:space="preserve"> guardian or administrator</w:t>
      </w:r>
      <w:r w:rsidRPr="007B5BE6">
        <w:t xml:space="preserve">, </w:t>
      </w:r>
      <w:r w:rsidR="008648FD" w:rsidRPr="007B5BE6">
        <w:t xml:space="preserve">concern was expressed that, </w:t>
      </w:r>
      <w:r w:rsidR="00502821" w:rsidRPr="007B5BE6">
        <w:t>other than criminal offences in relation to failing to keep records,</w:t>
      </w:r>
      <w:r w:rsidR="00502821" w:rsidRPr="007B5BE6">
        <w:rPr>
          <w:rStyle w:val="FootnoteReference"/>
        </w:rPr>
        <w:footnoteReference w:id="815"/>
      </w:r>
      <w:r w:rsidR="003A39AD" w:rsidRPr="007B5BE6">
        <w:t xml:space="preserve"> </w:t>
      </w:r>
      <w:r w:rsidRPr="007B5BE6">
        <w:t xml:space="preserve">there </w:t>
      </w:r>
      <w:r w:rsidR="003A39AD" w:rsidRPr="007B5BE6">
        <w:t>wa</w:t>
      </w:r>
      <w:r w:rsidRPr="007B5BE6">
        <w:t>s no other legal response to the misuse of enduring guardian</w:t>
      </w:r>
      <w:r w:rsidR="00E46781" w:rsidRPr="007B5BE6">
        <w:t>ship, guardianship or an administration order</w:t>
      </w:r>
      <w:r w:rsidRPr="007B5BE6">
        <w:t xml:space="preserve"> under either criminal or civil law. </w:t>
      </w:r>
      <w:r w:rsidR="002137D4" w:rsidRPr="007B5BE6">
        <w:t xml:space="preserve">However, </w:t>
      </w:r>
      <w:r w:rsidR="0032595A" w:rsidRPr="007B5BE6">
        <w:t xml:space="preserve">stakeholders also </w:t>
      </w:r>
      <w:r w:rsidR="00696C36" w:rsidRPr="007B5BE6">
        <w:t>noted</w:t>
      </w:r>
      <w:r w:rsidR="002137D4" w:rsidRPr="007B5BE6">
        <w:t xml:space="preserve"> that the final tranche of reforms to the </w:t>
      </w:r>
      <w:r w:rsidR="002137D4" w:rsidRPr="007B5BE6">
        <w:rPr>
          <w:i/>
        </w:rPr>
        <w:t>Guardianship and Administration Act 1995</w:t>
      </w:r>
      <w:r w:rsidR="002137D4" w:rsidRPr="007B5BE6">
        <w:t xml:space="preserve"> (Tas)</w:t>
      </w:r>
      <w:r w:rsidR="00696C36" w:rsidRPr="007B5BE6">
        <w:t xml:space="preserve"> w</w:t>
      </w:r>
      <w:r w:rsidR="003A39AD" w:rsidRPr="007B5BE6">
        <w:t>ere</w:t>
      </w:r>
      <w:r w:rsidR="00696C36" w:rsidRPr="007B5BE6">
        <w:t xml:space="preserve"> anticipated to </w:t>
      </w:r>
      <w:r w:rsidR="00150124" w:rsidRPr="007B5BE6">
        <w:t>introduce</w:t>
      </w:r>
      <w:r w:rsidR="0032595A" w:rsidRPr="007B5BE6">
        <w:t xml:space="preserve"> further</w:t>
      </w:r>
      <w:r w:rsidR="00150124" w:rsidRPr="007B5BE6">
        <w:t xml:space="preserve"> changes to the roles and functions of the Public Guardian, </w:t>
      </w:r>
      <w:r w:rsidR="00AB465B" w:rsidRPr="007B5BE6">
        <w:t>regarding matters such as</w:t>
      </w:r>
      <w:r w:rsidR="002137D4" w:rsidRPr="007B5BE6">
        <w:t xml:space="preserve"> enduring guardianship instruments</w:t>
      </w:r>
      <w:r w:rsidR="00AB465B" w:rsidRPr="007B5BE6">
        <w:t xml:space="preserve"> (and </w:t>
      </w:r>
      <w:r w:rsidR="002137D4" w:rsidRPr="007B5BE6">
        <w:t>enduring powers of attorney</w:t>
      </w:r>
      <w:r w:rsidR="00AB465B" w:rsidRPr="007B5BE6">
        <w:t>)</w:t>
      </w:r>
      <w:r w:rsidR="00125012" w:rsidRPr="007B5BE6">
        <w:t xml:space="preserve">. It was suggested that such changes </w:t>
      </w:r>
      <w:r w:rsidR="002137D4" w:rsidRPr="007B5BE6">
        <w:t xml:space="preserve">may have </w:t>
      </w:r>
      <w:r w:rsidR="000F1447" w:rsidRPr="007B5BE6">
        <w:t>implications for</w:t>
      </w:r>
      <w:r w:rsidR="002137D4" w:rsidRPr="007B5BE6">
        <w:t xml:space="preserve"> safeguarding </w:t>
      </w:r>
      <w:r w:rsidR="00125012" w:rsidRPr="007B5BE6">
        <w:t xml:space="preserve">mechanisms </w:t>
      </w:r>
      <w:r w:rsidR="0088144C" w:rsidRPr="007B5BE6">
        <w:t xml:space="preserve">for older people who come within the framework </w:t>
      </w:r>
      <w:r w:rsidR="00AB465B" w:rsidRPr="007B5BE6">
        <w:t xml:space="preserve">under the </w:t>
      </w:r>
      <w:r w:rsidR="00125012" w:rsidRPr="007B5BE6">
        <w:rPr>
          <w:i/>
        </w:rPr>
        <w:t>Guardianship and Administration Act 1995</w:t>
      </w:r>
      <w:r w:rsidR="00125012" w:rsidRPr="007B5BE6">
        <w:t xml:space="preserve"> (Tas)</w:t>
      </w:r>
      <w:r w:rsidR="007D34B8" w:rsidRPr="007B5BE6">
        <w:t>.</w:t>
      </w:r>
      <w:r w:rsidR="002137D4" w:rsidRPr="007B5BE6">
        <w:t xml:space="preserve"> </w:t>
      </w:r>
      <w:r w:rsidR="007D34B8" w:rsidRPr="007B5BE6">
        <w:t xml:space="preserve">Further, </w:t>
      </w:r>
      <w:r w:rsidR="00782751" w:rsidRPr="007B5BE6">
        <w:t>it was suggested</w:t>
      </w:r>
      <w:r w:rsidR="007D34B8" w:rsidRPr="007B5BE6">
        <w:t xml:space="preserve"> that </w:t>
      </w:r>
      <w:r w:rsidR="00F268E9" w:rsidRPr="007B5BE6">
        <w:t>it may be prudent to wait</w:t>
      </w:r>
      <w:r w:rsidR="00544B1E" w:rsidRPr="007B5BE6">
        <w:t xml:space="preserve"> </w:t>
      </w:r>
      <w:r w:rsidR="00201AB4" w:rsidRPr="007B5BE6">
        <w:t xml:space="preserve">for </w:t>
      </w:r>
      <w:r w:rsidR="001826A5" w:rsidRPr="007B5BE6">
        <w:t xml:space="preserve">the </w:t>
      </w:r>
      <w:r w:rsidR="00EA7C8F" w:rsidRPr="007B5BE6">
        <w:t>completion of the</w:t>
      </w:r>
      <w:r w:rsidR="002137D4" w:rsidRPr="007B5BE6">
        <w:t xml:space="preserve"> national review </w:t>
      </w:r>
      <w:r w:rsidR="00A4684E" w:rsidRPr="007B5BE6">
        <w:t xml:space="preserve">by the Standing Council of Attorneys-General </w:t>
      </w:r>
      <w:r w:rsidR="002137D4" w:rsidRPr="007B5BE6">
        <w:t>regarding enduring powers of attorney</w:t>
      </w:r>
      <w:r w:rsidR="00F268E9" w:rsidRPr="007B5BE6">
        <w:t xml:space="preserve">, </w:t>
      </w:r>
      <w:r w:rsidR="00CF3C0E" w:rsidRPr="007B5BE6">
        <w:t xml:space="preserve">to consider whether </w:t>
      </w:r>
      <w:r w:rsidR="002137D4" w:rsidRPr="007B5BE6">
        <w:t xml:space="preserve">elements of </w:t>
      </w:r>
      <w:r w:rsidR="00385DA2" w:rsidRPr="007B5BE6">
        <w:t xml:space="preserve">any recommended </w:t>
      </w:r>
      <w:r w:rsidR="00EA7C8F" w:rsidRPr="007B5BE6">
        <w:t xml:space="preserve">law </w:t>
      </w:r>
      <w:r w:rsidR="00F268E9" w:rsidRPr="007B5BE6">
        <w:t>reforms</w:t>
      </w:r>
      <w:r w:rsidR="008250AE" w:rsidRPr="007B5BE6">
        <w:t>,</w:t>
      </w:r>
      <w:r w:rsidR="00CF3C0E" w:rsidRPr="007B5BE6">
        <w:t xml:space="preserve"> regarding enduring guardianship instruments</w:t>
      </w:r>
      <w:r w:rsidR="008250AE" w:rsidRPr="007B5BE6">
        <w:t>,</w:t>
      </w:r>
      <w:r w:rsidR="00385DA2" w:rsidRPr="007B5BE6">
        <w:t xml:space="preserve"> may</w:t>
      </w:r>
      <w:r w:rsidR="00CF3C0E" w:rsidRPr="007B5BE6">
        <w:t xml:space="preserve"> be </w:t>
      </w:r>
      <w:r w:rsidR="00F268E9" w:rsidRPr="007B5BE6">
        <w:t xml:space="preserve">appropriate to </w:t>
      </w:r>
      <w:r w:rsidR="002137D4" w:rsidRPr="007B5BE6">
        <w:t xml:space="preserve">be </w:t>
      </w:r>
      <w:r w:rsidR="00CF3C0E" w:rsidRPr="007B5BE6">
        <w:t>considered</w:t>
      </w:r>
      <w:r w:rsidR="00385DA2" w:rsidRPr="007B5BE6">
        <w:t xml:space="preserve"> in the Tasmanian context</w:t>
      </w:r>
      <w:r w:rsidR="00467376" w:rsidRPr="007B5BE6">
        <w:t>.</w:t>
      </w:r>
      <w:r w:rsidR="000368D6" w:rsidRPr="007B5BE6">
        <w:rPr>
          <w:rStyle w:val="FootnoteReference"/>
        </w:rPr>
        <w:footnoteReference w:id="816"/>
      </w:r>
    </w:p>
    <w:p w14:paraId="519593DA" w14:textId="77777777" w:rsidR="006159B7" w:rsidRPr="007B5BE6" w:rsidRDefault="006159B7" w:rsidP="007668ED">
      <w:pPr>
        <w:pStyle w:val="NormalNumberedTextTLRI"/>
        <w:numPr>
          <w:ilvl w:val="0"/>
          <w:numId w:val="0"/>
        </w:numPr>
      </w:pPr>
    </w:p>
    <w:p w14:paraId="27B69723" w14:textId="18FAB1F8" w:rsidR="00DC4E28" w:rsidRPr="007B5BE6" w:rsidRDefault="00E00BDA" w:rsidP="00F85535">
      <w:pPr>
        <w:pStyle w:val="NormalNumberedTextTLRI"/>
      </w:pPr>
      <w:r w:rsidRPr="007B5BE6">
        <w:lastRenderedPageBreak/>
        <w:t xml:space="preserve">In addition, </w:t>
      </w:r>
      <w:r w:rsidR="00B85695" w:rsidRPr="007B5BE6">
        <w:t xml:space="preserve">as with </w:t>
      </w:r>
      <w:r w:rsidR="00591109" w:rsidRPr="007B5BE6">
        <w:t>enduring powers of attorney</w:t>
      </w:r>
      <w:r w:rsidR="00B85695" w:rsidRPr="007B5BE6">
        <w:t>, stakeholders suggested that</w:t>
      </w:r>
      <w:r w:rsidR="00591109" w:rsidRPr="007B5BE6">
        <w:t xml:space="preserve"> a lack of oversight and safeguards </w:t>
      </w:r>
      <w:r w:rsidR="00B85695" w:rsidRPr="007B5BE6">
        <w:t>created a risk</w:t>
      </w:r>
      <w:r w:rsidR="00591109" w:rsidRPr="007B5BE6">
        <w:t xml:space="preserve"> that family members </w:t>
      </w:r>
      <w:r w:rsidR="00B85695" w:rsidRPr="007B5BE6">
        <w:t xml:space="preserve">may </w:t>
      </w:r>
      <w:r w:rsidR="00591109" w:rsidRPr="007B5BE6">
        <w:t>minimise capacity of older people</w:t>
      </w:r>
      <w:r w:rsidR="00484EC8" w:rsidRPr="007B5BE6">
        <w:t>. This can include conduct such as</w:t>
      </w:r>
      <w:r w:rsidR="00E65B08" w:rsidRPr="007B5BE6">
        <w:t xml:space="preserve"> putting</w:t>
      </w:r>
      <w:r w:rsidR="00B85695" w:rsidRPr="007B5BE6">
        <w:t xml:space="preserve"> undue</w:t>
      </w:r>
      <w:r w:rsidR="00591109" w:rsidRPr="007B5BE6">
        <w:t xml:space="preserve"> pressure</w:t>
      </w:r>
      <w:r w:rsidR="00B85695" w:rsidRPr="007B5BE6">
        <w:t xml:space="preserve"> on an older person</w:t>
      </w:r>
      <w:r w:rsidR="00591109" w:rsidRPr="007B5BE6">
        <w:t xml:space="preserve"> to </w:t>
      </w:r>
      <w:r w:rsidR="00E65B08" w:rsidRPr="007B5BE6">
        <w:t xml:space="preserve">appoint </w:t>
      </w:r>
      <w:r w:rsidR="00157DD5" w:rsidRPr="007B5BE6">
        <w:t>a</w:t>
      </w:r>
      <w:r w:rsidR="00E65B08" w:rsidRPr="007B5BE6">
        <w:t xml:space="preserve"> family member as</w:t>
      </w:r>
      <w:r w:rsidR="00591109" w:rsidRPr="007B5BE6">
        <w:t xml:space="preserve"> a guardian</w:t>
      </w:r>
      <w:r w:rsidR="00E65B08" w:rsidRPr="007B5BE6">
        <w:t>,</w:t>
      </w:r>
      <w:r w:rsidR="00591109" w:rsidRPr="007B5BE6">
        <w:t xml:space="preserve"> or </w:t>
      </w:r>
      <w:r w:rsidR="00E65B08" w:rsidRPr="007B5BE6">
        <w:t xml:space="preserve">by </w:t>
      </w:r>
      <w:r w:rsidR="00484EC8" w:rsidRPr="007B5BE6">
        <w:t xml:space="preserve">exercising </w:t>
      </w:r>
      <w:r w:rsidR="00B85695" w:rsidRPr="007B5BE6">
        <w:t>enduring</w:t>
      </w:r>
      <w:r w:rsidR="00157DD5" w:rsidRPr="007B5BE6">
        <w:t xml:space="preserve"> guardianship powers</w:t>
      </w:r>
      <w:r w:rsidR="00B85695" w:rsidRPr="007B5BE6">
        <w:t xml:space="preserve"> </w:t>
      </w:r>
      <w:r w:rsidR="00484EC8" w:rsidRPr="007B5BE6">
        <w:t xml:space="preserve">to </w:t>
      </w:r>
      <w:r w:rsidR="00157DD5" w:rsidRPr="007B5BE6">
        <w:t xml:space="preserve">inappropriately </w:t>
      </w:r>
      <w:r w:rsidR="00484EC8" w:rsidRPr="007B5BE6">
        <w:t>tak</w:t>
      </w:r>
      <w:r w:rsidR="00591109" w:rsidRPr="007B5BE6">
        <w:t>e over decision</w:t>
      </w:r>
      <w:r w:rsidR="00807AEC" w:rsidRPr="007B5BE6">
        <w:t xml:space="preserve"> </w:t>
      </w:r>
      <w:r w:rsidR="00591109" w:rsidRPr="007B5BE6">
        <w:t>making</w:t>
      </w:r>
      <w:r w:rsidR="00484EC8" w:rsidRPr="007B5BE6">
        <w:t xml:space="preserve"> before the older person has lost decision-making ability</w:t>
      </w:r>
      <w:r w:rsidR="00FE3951" w:rsidRPr="007B5BE6">
        <w:t xml:space="preserve"> and entered the ‘enduring’ phase</w:t>
      </w:r>
      <w:r w:rsidR="00AC0A8A" w:rsidRPr="007B5BE6">
        <w:t xml:space="preserve">. </w:t>
      </w:r>
      <w:r w:rsidR="004A44F6" w:rsidRPr="007B5BE6">
        <w:t xml:space="preserve">Stakeholders suggested a </w:t>
      </w:r>
      <w:r w:rsidR="00853DD0" w:rsidRPr="007B5BE6">
        <w:t xml:space="preserve">need for more ‘checks and balances’ </w:t>
      </w:r>
      <w:r w:rsidR="00103B0A" w:rsidRPr="007B5BE6">
        <w:t xml:space="preserve">when </w:t>
      </w:r>
      <w:r w:rsidR="00EF0DF1" w:rsidRPr="007B5BE6">
        <w:t>a person is</w:t>
      </w:r>
      <w:r w:rsidR="00431A79" w:rsidRPr="007B5BE6">
        <w:t xml:space="preserve"> appoint</w:t>
      </w:r>
      <w:r w:rsidR="00EF0DF1" w:rsidRPr="007B5BE6">
        <w:t xml:space="preserve">ed </w:t>
      </w:r>
      <w:r w:rsidR="00431A79" w:rsidRPr="007B5BE6">
        <w:t xml:space="preserve">as </w:t>
      </w:r>
      <w:r w:rsidR="00151B1D" w:rsidRPr="007B5BE6">
        <w:t xml:space="preserve">an enduring guardian </w:t>
      </w:r>
      <w:r w:rsidR="00EF0DF1" w:rsidRPr="007B5BE6">
        <w:t xml:space="preserve">(that is, when not under </w:t>
      </w:r>
      <w:r w:rsidR="004A44F6" w:rsidRPr="007B5BE6">
        <w:t>TASCAT’s</w:t>
      </w:r>
      <w:r w:rsidR="00EF0DF1" w:rsidRPr="007B5BE6">
        <w:t xml:space="preserve"> oversight)</w:t>
      </w:r>
      <w:r w:rsidR="00DB0603" w:rsidRPr="007B5BE6">
        <w:t>.</w:t>
      </w:r>
      <w:r w:rsidR="00CB26FD" w:rsidRPr="007B5BE6">
        <w:rPr>
          <w:rStyle w:val="FootnoteReference"/>
        </w:rPr>
        <w:footnoteReference w:id="817"/>
      </w:r>
      <w:r w:rsidR="00EF0DF1" w:rsidRPr="007B5BE6">
        <w:t xml:space="preserve"> </w:t>
      </w:r>
      <w:r w:rsidR="007F20CD" w:rsidRPr="007B5BE6">
        <w:t xml:space="preserve">Another area identified as </w:t>
      </w:r>
      <w:r w:rsidR="00824970" w:rsidRPr="007B5BE6">
        <w:t>requiring</w:t>
      </w:r>
      <w:r w:rsidR="007F20CD" w:rsidRPr="007B5BE6">
        <w:t xml:space="preserve"> more </w:t>
      </w:r>
      <w:r w:rsidR="00C52DCE" w:rsidRPr="007B5BE6">
        <w:t>safe</w:t>
      </w:r>
      <w:r w:rsidR="007F20CD" w:rsidRPr="007B5BE6">
        <w:t>guards was</w:t>
      </w:r>
      <w:r w:rsidR="00290F0A" w:rsidRPr="007B5BE6">
        <w:t xml:space="preserve"> </w:t>
      </w:r>
      <w:r w:rsidR="00A61344" w:rsidRPr="007B5BE6">
        <w:t>when a</w:t>
      </w:r>
      <w:r w:rsidR="00AB5B16" w:rsidRPr="007B5BE6">
        <w:t>n</w:t>
      </w:r>
      <w:r w:rsidR="00A61344" w:rsidRPr="007B5BE6">
        <w:t xml:space="preserve"> </w:t>
      </w:r>
      <w:r w:rsidR="007F20CD" w:rsidRPr="007B5BE6">
        <w:t xml:space="preserve">enduring </w:t>
      </w:r>
      <w:r w:rsidR="00A61344" w:rsidRPr="007B5BE6">
        <w:t xml:space="preserve">guardianship </w:t>
      </w:r>
      <w:r w:rsidR="007F20CD" w:rsidRPr="007B5BE6">
        <w:t>document</w:t>
      </w:r>
      <w:r w:rsidR="00A61344" w:rsidRPr="007B5BE6">
        <w:t xml:space="preserve"> may be moving into</w:t>
      </w:r>
      <w:r w:rsidR="00DE6218" w:rsidRPr="007B5BE6">
        <w:t xml:space="preserve"> the </w:t>
      </w:r>
      <w:r w:rsidR="00A61344" w:rsidRPr="007B5BE6">
        <w:t>‘enduring’ phase</w:t>
      </w:r>
      <w:r w:rsidR="00F220FE" w:rsidRPr="007B5BE6">
        <w:t xml:space="preserve"> due to a </w:t>
      </w:r>
      <w:r w:rsidR="00A61344" w:rsidRPr="007B5BE6">
        <w:t xml:space="preserve">person </w:t>
      </w:r>
      <w:r w:rsidR="00F220FE" w:rsidRPr="007B5BE6">
        <w:t>experiencing a reduction or loss in</w:t>
      </w:r>
      <w:r w:rsidR="00A61344" w:rsidRPr="007B5BE6">
        <w:t xml:space="preserve"> decision-making ability</w:t>
      </w:r>
      <w:r w:rsidR="00F220FE" w:rsidRPr="007B5BE6">
        <w:t>.</w:t>
      </w:r>
      <w:r w:rsidR="00352E82" w:rsidRPr="007B5BE6">
        <w:t xml:space="preserve"> </w:t>
      </w:r>
      <w:r w:rsidR="00DC0981" w:rsidRPr="007B5BE6">
        <w:t>It was noted that</w:t>
      </w:r>
      <w:r w:rsidR="00BD56AA" w:rsidRPr="007B5BE6">
        <w:t>,</w:t>
      </w:r>
      <w:r w:rsidR="00DC0981" w:rsidRPr="007B5BE6">
        <w:t xml:space="preserve"> </w:t>
      </w:r>
      <w:r w:rsidR="00BD56AA" w:rsidRPr="007B5BE6">
        <w:t xml:space="preserve">currently, there are no </w:t>
      </w:r>
      <w:r w:rsidR="004A44F6" w:rsidRPr="007B5BE6">
        <w:t>requirements rega</w:t>
      </w:r>
      <w:r w:rsidR="00BD56AA" w:rsidRPr="007B5BE6">
        <w:t>r</w:t>
      </w:r>
      <w:r w:rsidR="004A44F6" w:rsidRPr="007B5BE6">
        <w:t xml:space="preserve">ding oversight of this, for example </w:t>
      </w:r>
      <w:r w:rsidR="00DC0981" w:rsidRPr="007B5BE6">
        <w:t xml:space="preserve">a professional to affirm </w:t>
      </w:r>
      <w:r w:rsidR="00CD08DF" w:rsidRPr="007B5BE6">
        <w:t>the reduction or loss of capacity</w:t>
      </w:r>
      <w:r w:rsidR="00DC4E28" w:rsidRPr="007B5BE6">
        <w:t>,</w:t>
      </w:r>
      <w:r w:rsidR="00DC0981" w:rsidRPr="007B5BE6">
        <w:t xml:space="preserve"> so </w:t>
      </w:r>
      <w:r w:rsidR="007F20CD" w:rsidRPr="007B5BE6">
        <w:t xml:space="preserve">there </w:t>
      </w:r>
      <w:r w:rsidR="00DC0981" w:rsidRPr="007B5BE6">
        <w:t xml:space="preserve">can be cases where the guardian has just </w:t>
      </w:r>
      <w:r w:rsidR="004A44F6" w:rsidRPr="007B5BE6">
        <w:t>‘</w:t>
      </w:r>
      <w:r w:rsidR="00DC0981" w:rsidRPr="007B5BE6">
        <w:t>taken over</w:t>
      </w:r>
      <w:r w:rsidR="004A44F6" w:rsidRPr="007B5BE6">
        <w:t>’</w:t>
      </w:r>
      <w:r w:rsidR="00DC0981" w:rsidRPr="007B5BE6">
        <w:t xml:space="preserve"> decision</w:t>
      </w:r>
      <w:r w:rsidR="007F20CD" w:rsidRPr="007B5BE6">
        <w:t xml:space="preserve"> </w:t>
      </w:r>
      <w:r w:rsidR="00DC0981" w:rsidRPr="007B5BE6">
        <w:t xml:space="preserve">making where the person </w:t>
      </w:r>
      <w:r w:rsidR="00DC4E28" w:rsidRPr="007B5BE6">
        <w:t>still ha</w:t>
      </w:r>
      <w:r w:rsidR="004A44F6" w:rsidRPr="007B5BE6">
        <w:t>s</w:t>
      </w:r>
      <w:r w:rsidR="00DC0981" w:rsidRPr="007B5BE6">
        <w:t xml:space="preserve"> decision-making </w:t>
      </w:r>
      <w:r w:rsidR="004A44F6" w:rsidRPr="007B5BE6">
        <w:t>ability</w:t>
      </w:r>
      <w:r w:rsidR="007F20CD" w:rsidRPr="007B5BE6">
        <w:t>. It was suggested, ‘</w:t>
      </w:r>
      <w:r w:rsidR="00DC0981" w:rsidRPr="007B5BE6">
        <w:t xml:space="preserve">there's a lot of </w:t>
      </w:r>
      <w:proofErr w:type="gramStart"/>
      <w:r w:rsidR="00DC0981" w:rsidRPr="007B5BE6">
        <w:t>slippage</w:t>
      </w:r>
      <w:proofErr w:type="gramEnd"/>
      <w:r w:rsidR="00DC0981" w:rsidRPr="007B5BE6">
        <w:t xml:space="preserve"> there, and there's no way of </w:t>
      </w:r>
      <w:r w:rsidR="004A44F6" w:rsidRPr="007B5BE6">
        <w:t>…</w:t>
      </w:r>
      <w:r w:rsidR="00DC0981" w:rsidRPr="007B5BE6">
        <w:t xml:space="preserve"> monitoring what's happening’.</w:t>
      </w:r>
      <w:r w:rsidR="00822535" w:rsidRPr="007B5BE6">
        <w:rPr>
          <w:rStyle w:val="FootnoteReference"/>
        </w:rPr>
        <w:footnoteReference w:id="818"/>
      </w:r>
      <w:r w:rsidR="00F220FE" w:rsidRPr="007B5BE6">
        <w:t xml:space="preserve"> </w:t>
      </w:r>
    </w:p>
    <w:p w14:paraId="7A9D34CE" w14:textId="1F4248A5" w:rsidR="00394096" w:rsidRPr="007B5BE6" w:rsidRDefault="00394096" w:rsidP="00394096">
      <w:pPr>
        <w:pStyle w:val="NormalNumberedTextTLRI"/>
      </w:pPr>
      <w:r w:rsidRPr="007B5BE6">
        <w:t xml:space="preserve">Concerns were also expressed about gaps in the operation of the </w:t>
      </w:r>
      <w:r w:rsidRPr="007B5BE6">
        <w:rPr>
          <w:i/>
          <w:iCs/>
        </w:rPr>
        <w:t>Guardianship and Administration Act 1995</w:t>
      </w:r>
      <w:r w:rsidRPr="007B5BE6">
        <w:t xml:space="preserve"> (Tas) in supporting people to make decisions in health care, including in aged care</w:t>
      </w:r>
      <w:r w:rsidR="004A44F6" w:rsidRPr="007B5BE6">
        <w:t xml:space="preserve"> services</w:t>
      </w:r>
      <w:r w:rsidRPr="007B5BE6">
        <w:t xml:space="preserve">, hospitals and those who may be in any stage of dementia, who may </w:t>
      </w:r>
      <w:r w:rsidR="004A44F6" w:rsidRPr="007B5BE6">
        <w:t xml:space="preserve">be in </w:t>
      </w:r>
      <w:r w:rsidRPr="007B5BE6">
        <w:t xml:space="preserve">need </w:t>
      </w:r>
      <w:r w:rsidR="004A44F6" w:rsidRPr="007B5BE6">
        <w:t xml:space="preserve">of </w:t>
      </w:r>
      <w:r w:rsidRPr="007B5BE6">
        <w:t>a guardian.</w:t>
      </w:r>
      <w:r w:rsidR="000368D6" w:rsidRPr="007B5BE6">
        <w:rPr>
          <w:rStyle w:val="FootnoteReference"/>
        </w:rPr>
        <w:footnoteReference w:id="819"/>
      </w:r>
      <w:r w:rsidRPr="007B5BE6">
        <w:t xml:space="preserve"> </w:t>
      </w:r>
      <w:r w:rsidR="00941BA2" w:rsidRPr="007B5BE6">
        <w:t>In this regard</w:t>
      </w:r>
      <w:r w:rsidR="00E14CE0" w:rsidRPr="007B5BE6">
        <w:t xml:space="preserve">, </w:t>
      </w:r>
      <w:r w:rsidR="004A44F6" w:rsidRPr="007B5BE6">
        <w:t xml:space="preserve">stakeholders also </w:t>
      </w:r>
      <w:r w:rsidR="00D32DD5" w:rsidRPr="007B5BE6">
        <w:t xml:space="preserve">flagged, as important safeguards, </w:t>
      </w:r>
      <w:r w:rsidR="00E14CE0" w:rsidRPr="007B5BE6">
        <w:t xml:space="preserve">the links between </w:t>
      </w:r>
      <w:r w:rsidR="00060677" w:rsidRPr="007B5BE6">
        <w:t xml:space="preserve">bodies authorised under the Act (such as TASCAT and the Public Guardian) and other key agencies that have </w:t>
      </w:r>
      <w:r w:rsidR="00824970" w:rsidRPr="007B5BE6">
        <w:t xml:space="preserve">contact </w:t>
      </w:r>
      <w:r w:rsidR="00060677" w:rsidRPr="007B5BE6">
        <w:t>with older people</w:t>
      </w:r>
      <w:r w:rsidR="00D32DD5" w:rsidRPr="007B5BE6">
        <w:t xml:space="preserve">. This is because such links </w:t>
      </w:r>
      <w:r w:rsidR="001B40B8" w:rsidRPr="007B5BE6">
        <w:t xml:space="preserve">can </w:t>
      </w:r>
      <w:r w:rsidR="00060677" w:rsidRPr="007B5BE6">
        <w:t xml:space="preserve">work well to identify circumstances where a person </w:t>
      </w:r>
      <w:r w:rsidR="00AC6700" w:rsidRPr="007B5BE6">
        <w:t>with impaired decision-making ability</w:t>
      </w:r>
      <w:r w:rsidR="00060677" w:rsidRPr="007B5BE6">
        <w:t xml:space="preserve"> may be at risk and require </w:t>
      </w:r>
      <w:r w:rsidR="00AC6700" w:rsidRPr="007B5BE6">
        <w:t>protection</w:t>
      </w:r>
      <w:r w:rsidR="00D32DD5" w:rsidRPr="007B5BE6">
        <w:t xml:space="preserve"> from abuse</w:t>
      </w:r>
      <w:r w:rsidR="00653536" w:rsidRPr="007B5BE6">
        <w:t>.</w:t>
      </w:r>
      <w:r w:rsidR="00C15D0B" w:rsidRPr="007B5BE6">
        <w:rPr>
          <w:rStyle w:val="FootnoteReference"/>
        </w:rPr>
        <w:footnoteReference w:id="820"/>
      </w:r>
      <w:r w:rsidR="00C15D0B" w:rsidRPr="007B5BE6">
        <w:t xml:space="preserve"> </w:t>
      </w:r>
    </w:p>
    <w:p w14:paraId="2B00FF62" w14:textId="21F716AD" w:rsidR="007E5F12" w:rsidRPr="007B5BE6" w:rsidRDefault="00B12D22" w:rsidP="00D802F3">
      <w:pPr>
        <w:pStyle w:val="Sub-HeadingTLRI"/>
        <w:spacing w:before="360"/>
      </w:pPr>
      <w:bookmarkStart w:id="630" w:name="_Toc212561832"/>
      <w:r w:rsidRPr="007B5BE6">
        <w:t>Previous r</w:t>
      </w:r>
      <w:r w:rsidR="007E5F12" w:rsidRPr="007B5BE6">
        <w:t>e</w:t>
      </w:r>
      <w:r w:rsidRPr="007B5BE6">
        <w:t>search</w:t>
      </w:r>
      <w:bookmarkEnd w:id="630"/>
    </w:p>
    <w:p w14:paraId="3574DD42" w14:textId="219238C8" w:rsidR="00612C62" w:rsidRPr="007B5BE6" w:rsidRDefault="003B28FB" w:rsidP="00B53E53">
      <w:pPr>
        <w:pStyle w:val="NormalNumberedTextTLRI"/>
      </w:pPr>
      <w:r w:rsidRPr="007B5BE6">
        <w:t>Previous research by law reform bodies has considered issues regarding</w:t>
      </w:r>
      <w:r w:rsidR="006361A2" w:rsidRPr="007B5BE6">
        <w:t xml:space="preserve"> the powers of </w:t>
      </w:r>
      <w:r w:rsidR="008D2A02" w:rsidRPr="007B5BE6">
        <w:t xml:space="preserve">guardians and </w:t>
      </w:r>
      <w:r w:rsidR="006361A2" w:rsidRPr="007B5BE6">
        <w:t>administrators</w:t>
      </w:r>
      <w:r w:rsidR="006A24E1" w:rsidRPr="007B5BE6">
        <w:t xml:space="preserve"> and </w:t>
      </w:r>
      <w:r w:rsidR="002D5C68" w:rsidRPr="007B5BE6">
        <w:t>options</w:t>
      </w:r>
      <w:r w:rsidR="006A24E1" w:rsidRPr="007B5BE6">
        <w:t xml:space="preserve"> for reform</w:t>
      </w:r>
      <w:r w:rsidR="00A1648C" w:rsidRPr="007B5BE6">
        <w:t xml:space="preserve">, </w:t>
      </w:r>
      <w:r w:rsidR="00754F76" w:rsidRPr="007B5BE6">
        <w:t>including</w:t>
      </w:r>
      <w:r w:rsidR="00A1648C" w:rsidRPr="007B5BE6">
        <w:t xml:space="preserve"> </w:t>
      </w:r>
      <w:r w:rsidR="00D64D3E" w:rsidRPr="007B5BE6">
        <w:t xml:space="preserve">making recommendations for </w:t>
      </w:r>
      <w:r w:rsidR="00754F76" w:rsidRPr="007B5BE6">
        <w:t>reform to the</w:t>
      </w:r>
      <w:r w:rsidR="00CB29C7" w:rsidRPr="007B5BE6">
        <w:t xml:space="preserve"> criminal </w:t>
      </w:r>
      <w:r w:rsidR="00400917" w:rsidRPr="007B5BE6">
        <w:t>and/</w:t>
      </w:r>
      <w:r w:rsidR="00CB29C7" w:rsidRPr="007B5BE6">
        <w:t xml:space="preserve">or civil laws </w:t>
      </w:r>
      <w:r w:rsidR="00400917" w:rsidRPr="007B5BE6">
        <w:t xml:space="preserve">in response </w:t>
      </w:r>
      <w:r w:rsidR="00B51709" w:rsidRPr="007B5BE6">
        <w:t>to misuse or abuse of these powers</w:t>
      </w:r>
      <w:r w:rsidR="00CB29C7" w:rsidRPr="007B5BE6">
        <w:t>.</w:t>
      </w:r>
    </w:p>
    <w:p w14:paraId="114FF3F9" w14:textId="77777777" w:rsidR="00AA2E50" w:rsidRDefault="00612C62">
      <w:pPr>
        <w:pStyle w:val="NormalNumberedTextTLRI"/>
      </w:pPr>
      <w:r w:rsidRPr="007B5BE6">
        <w:t xml:space="preserve">As noted at </w:t>
      </w:r>
      <w:r w:rsidR="00581ED0" w:rsidRPr="007B5BE6">
        <w:t>[5.4.12]</w:t>
      </w:r>
      <w:r w:rsidRPr="007B5BE6">
        <w:t xml:space="preserve">, the QLRC recommended </w:t>
      </w:r>
      <w:r w:rsidR="00400917" w:rsidRPr="007B5BE6">
        <w:t xml:space="preserve">reforms to the civil law to </w:t>
      </w:r>
      <w:r w:rsidR="00D64D3E" w:rsidRPr="007B5BE6">
        <w:t xml:space="preserve">empower </w:t>
      </w:r>
      <w:r w:rsidRPr="007B5BE6">
        <w:t xml:space="preserve">the Supreme Court or a tribunal to order </w:t>
      </w:r>
      <w:r w:rsidR="00400917" w:rsidRPr="007B5BE6">
        <w:t xml:space="preserve">repayment when </w:t>
      </w:r>
      <w:r w:rsidRPr="007B5BE6">
        <w:t xml:space="preserve">an </w:t>
      </w:r>
      <w:r w:rsidR="00F05C96" w:rsidRPr="007B5BE6">
        <w:t>administrator</w:t>
      </w:r>
      <w:r w:rsidRPr="007B5BE6">
        <w:t xml:space="preserve"> </w:t>
      </w:r>
      <w:r w:rsidR="00D64D3E" w:rsidRPr="007B5BE6">
        <w:t xml:space="preserve">has </w:t>
      </w:r>
      <w:r w:rsidRPr="007B5BE6">
        <w:t xml:space="preserve">made a profit as a result of failure to comply with the </w:t>
      </w:r>
      <w:r w:rsidR="00D64D3E" w:rsidRPr="007B5BE6">
        <w:t>relevant legislation</w:t>
      </w:r>
      <w:r w:rsidR="001760F0" w:rsidRPr="007B5BE6">
        <w:t>.</w:t>
      </w:r>
      <w:r w:rsidRPr="007B5BE6">
        <w:rPr>
          <w:rStyle w:val="FootnoteReference"/>
        </w:rPr>
        <w:footnoteReference w:id="821"/>
      </w:r>
      <w:r w:rsidRPr="007B5BE6">
        <w:t xml:space="preserve"> </w:t>
      </w:r>
      <w:r w:rsidR="001760F0" w:rsidRPr="007B5BE6">
        <w:t xml:space="preserve">As noted at </w:t>
      </w:r>
      <w:r w:rsidR="00581ED0" w:rsidRPr="007B5BE6">
        <w:t>[5.4.14]</w:t>
      </w:r>
      <w:r w:rsidR="001760F0" w:rsidRPr="007B5BE6">
        <w:t xml:space="preserve">, the </w:t>
      </w:r>
      <w:r w:rsidR="002F17EA" w:rsidRPr="007B5BE6">
        <w:t xml:space="preserve">ALRC </w:t>
      </w:r>
      <w:r w:rsidR="001760F0" w:rsidRPr="007B5BE6">
        <w:t>recommend</w:t>
      </w:r>
      <w:r w:rsidR="002F17EA" w:rsidRPr="007B5BE6">
        <w:t>ed the creation of</w:t>
      </w:r>
      <w:r w:rsidR="001760F0" w:rsidRPr="007B5BE6">
        <w:t xml:space="preserve"> more accessible avenues for civil remedies</w:t>
      </w:r>
      <w:r w:rsidR="004E66E5" w:rsidRPr="007B5BE6">
        <w:t>,</w:t>
      </w:r>
      <w:r w:rsidR="001760F0" w:rsidRPr="007B5BE6">
        <w:t xml:space="preserve"> through civil and administrative tribunals having ‘jurisdiction in relation to any cause of action, or claim for equitable relief, that is available against a substitute decision maker in the Supreme Court for abuse, or misuse of power, or failure to perform their duties </w:t>
      </w:r>
      <w:r w:rsidR="00015FCF">
        <w:t>.</w:t>
      </w:r>
      <w:r w:rsidR="001760F0" w:rsidRPr="007B5BE6">
        <w:t>.. [and] the power to order any remedy available to the Supreme Court</w:t>
      </w:r>
      <w:r w:rsidR="002955D7">
        <w:t>’</w:t>
      </w:r>
      <w:r w:rsidR="001760F0" w:rsidRPr="007B5BE6">
        <w:t>.</w:t>
      </w:r>
      <w:r w:rsidR="001760F0" w:rsidRPr="007B5BE6">
        <w:rPr>
          <w:rStyle w:val="FootnoteReference"/>
        </w:rPr>
        <w:footnoteReference w:id="822"/>
      </w:r>
    </w:p>
    <w:p w14:paraId="569B263C" w14:textId="77777777" w:rsidR="00AA2E50" w:rsidRDefault="00AA2E50">
      <w:pPr>
        <w:spacing w:after="200" w:line="276" w:lineRule="auto"/>
        <w:jc w:val="left"/>
        <w:rPr>
          <w:rFonts w:eastAsia="Times" w:cs="Times New Roman"/>
          <w:szCs w:val="20"/>
        </w:rPr>
      </w:pPr>
      <w:r>
        <w:br w:type="page"/>
      </w:r>
    </w:p>
    <w:p w14:paraId="34840C8C" w14:textId="72A5EC0B" w:rsidR="008702AE" w:rsidRPr="00AA2E50" w:rsidRDefault="00B97613" w:rsidP="00C16820">
      <w:pPr>
        <w:pStyle w:val="NormalNumberedTextTLRI"/>
        <w:rPr>
          <w:i/>
        </w:rPr>
      </w:pPr>
      <w:r w:rsidRPr="007B5BE6">
        <w:lastRenderedPageBreak/>
        <w:t xml:space="preserve"> </w:t>
      </w:r>
      <w:r w:rsidR="002A3879" w:rsidRPr="007B5BE6">
        <w:t>In relation to criminal offences for guardians and administrators, t</w:t>
      </w:r>
      <w:r w:rsidR="001760F0" w:rsidRPr="007B5BE6">
        <w:t>he QLRC</w:t>
      </w:r>
      <w:r w:rsidR="00612C62" w:rsidRPr="007B5BE6">
        <w:t xml:space="preserve"> recommended </w:t>
      </w:r>
      <w:r w:rsidR="00400917" w:rsidRPr="007B5BE6">
        <w:t>reforms</w:t>
      </w:r>
      <w:r w:rsidR="00612C62" w:rsidRPr="007B5BE6">
        <w:t xml:space="preserve"> to the offence of fraud in </w:t>
      </w:r>
      <w:r w:rsidR="004E66E5" w:rsidRPr="007B5BE6">
        <w:t xml:space="preserve">section </w:t>
      </w:r>
      <w:r w:rsidR="00022BA4" w:rsidRPr="007B5BE6">
        <w:t xml:space="preserve">408C of </w:t>
      </w:r>
      <w:r w:rsidR="00612C62" w:rsidRPr="007B5BE6">
        <w:t xml:space="preserve">the </w:t>
      </w:r>
      <w:r w:rsidR="00612C62" w:rsidRPr="00AA2E50">
        <w:rPr>
          <w:i/>
        </w:rPr>
        <w:t>Criminal Code 1899</w:t>
      </w:r>
      <w:r w:rsidR="00612C62" w:rsidRPr="007B5BE6">
        <w:t xml:space="preserve"> (Qld)</w:t>
      </w:r>
      <w:r w:rsidR="00400917" w:rsidRPr="007B5BE6">
        <w:t xml:space="preserve"> </w:t>
      </w:r>
      <w:r w:rsidR="00612C62" w:rsidRPr="007B5BE6">
        <w:t xml:space="preserve">to cover behaviour </w:t>
      </w:r>
      <w:r w:rsidR="00300935" w:rsidRPr="007B5BE6">
        <w:t xml:space="preserve">involving </w:t>
      </w:r>
      <w:r w:rsidR="001760F0" w:rsidRPr="007B5BE6">
        <w:t xml:space="preserve">conduct </w:t>
      </w:r>
      <w:r w:rsidR="00300935" w:rsidRPr="007B5BE6">
        <w:t xml:space="preserve">by </w:t>
      </w:r>
      <w:r w:rsidR="001760F0" w:rsidRPr="007B5BE6">
        <w:t>an</w:t>
      </w:r>
      <w:r w:rsidR="00612C62" w:rsidRPr="007B5BE6">
        <w:t xml:space="preserve"> administrator</w:t>
      </w:r>
      <w:r w:rsidR="00DB6415" w:rsidRPr="007B5BE6">
        <w:t>.</w:t>
      </w:r>
      <w:r w:rsidR="00612C62" w:rsidRPr="007B5BE6">
        <w:rPr>
          <w:rStyle w:val="FootnoteReference"/>
        </w:rPr>
        <w:footnoteReference w:id="823"/>
      </w:r>
      <w:r w:rsidR="00272239" w:rsidRPr="007B5BE6">
        <w:t xml:space="preserve"> </w:t>
      </w:r>
      <w:r w:rsidR="00126B59" w:rsidRPr="007B5BE6">
        <w:t>However, as noted</w:t>
      </w:r>
      <w:r w:rsidR="00905490" w:rsidRPr="007B5BE6">
        <w:t>, t</w:t>
      </w:r>
      <w:r w:rsidR="00F1674C" w:rsidRPr="007B5BE6">
        <w:t xml:space="preserve">he </w:t>
      </w:r>
      <w:r w:rsidR="007D19BF" w:rsidRPr="007B5BE6">
        <w:t xml:space="preserve">ALRC did </w:t>
      </w:r>
      <w:r w:rsidR="00F3739E" w:rsidRPr="007B5BE6">
        <w:t xml:space="preserve">not support </w:t>
      </w:r>
      <w:r w:rsidR="00905490" w:rsidRPr="007B5BE6">
        <w:t xml:space="preserve">the creation of new offences, and so did not recommend that </w:t>
      </w:r>
      <w:r w:rsidR="00F3739E" w:rsidRPr="007B5BE6">
        <w:t>guardianship laws duplicat</w:t>
      </w:r>
      <w:r w:rsidR="00905490" w:rsidRPr="007B5BE6">
        <w:t>e</w:t>
      </w:r>
      <w:r w:rsidR="00F3739E" w:rsidRPr="007B5BE6">
        <w:t xml:space="preserve"> offences that are set out in other legislation.</w:t>
      </w:r>
      <w:r w:rsidR="004B45D5" w:rsidRPr="007B5BE6">
        <w:rPr>
          <w:rStyle w:val="FootnoteReference"/>
        </w:rPr>
        <w:footnoteReference w:id="824"/>
      </w:r>
      <w:r w:rsidR="00F3739E" w:rsidRPr="007B5BE6">
        <w:t xml:space="preserve"> </w:t>
      </w:r>
      <w:r w:rsidR="00C21BFB" w:rsidRPr="007B5BE6">
        <w:t xml:space="preserve">The approach taken by the </w:t>
      </w:r>
      <w:r w:rsidR="000E5AD4" w:rsidRPr="007B5BE6">
        <w:t>N</w:t>
      </w:r>
      <w:r w:rsidR="00294E21" w:rsidRPr="007B5BE6">
        <w:t>ew South Wales Law Reform Commission (‘N</w:t>
      </w:r>
      <w:r w:rsidR="000E5AD4" w:rsidRPr="007B5BE6">
        <w:t>SWLRC</w:t>
      </w:r>
      <w:r w:rsidR="00294E21" w:rsidRPr="007B5BE6">
        <w:t>’)</w:t>
      </w:r>
      <w:r w:rsidR="00C21BFB" w:rsidRPr="007B5BE6">
        <w:t xml:space="preserve"> on this issue reflected the ALRC’s view. The NSWLRC </w:t>
      </w:r>
      <w:r w:rsidR="0022180B" w:rsidRPr="007B5BE6">
        <w:t>did not support the introduction of civil penalties on the basis that they may ‘significantly deter people from accepting an appointment as a representative, and that there is not enough evidence that they would result in better quality decision</w:t>
      </w:r>
      <w:r w:rsidR="00BC1867" w:rsidRPr="007B5BE6">
        <w:t xml:space="preserve"> </w:t>
      </w:r>
      <w:r w:rsidR="0022180B" w:rsidRPr="007B5BE6">
        <w:t>making or reduce undesirable behaviour.’</w:t>
      </w:r>
      <w:r w:rsidR="0022180B" w:rsidRPr="007B5BE6">
        <w:rPr>
          <w:rStyle w:val="FootnoteReference"/>
        </w:rPr>
        <w:footnoteReference w:id="825"/>
      </w:r>
      <w:r w:rsidR="00461798" w:rsidRPr="007B5BE6">
        <w:t xml:space="preserve"> Civil penalties were recommended by the V</w:t>
      </w:r>
      <w:r w:rsidR="00C21BFB" w:rsidRPr="007B5BE6">
        <w:t>ictorian Law Reform Commission (‘V</w:t>
      </w:r>
      <w:r w:rsidR="00461798" w:rsidRPr="007B5BE6">
        <w:t>LRC</w:t>
      </w:r>
      <w:r w:rsidR="00C21BFB" w:rsidRPr="007B5BE6">
        <w:t>’)</w:t>
      </w:r>
      <w:r w:rsidR="00C21BFB" w:rsidRPr="00AA2E50">
        <w:rPr>
          <w:iCs/>
        </w:rPr>
        <w:t>, including that</w:t>
      </w:r>
      <w:r w:rsidR="00C21BFB" w:rsidRPr="007B5BE6">
        <w:t xml:space="preserve"> </w:t>
      </w:r>
      <w:r w:rsidR="00461798" w:rsidRPr="007B5BE6">
        <w:t>proceedings be conducted in the Magistrates Court.</w:t>
      </w:r>
      <w:r w:rsidR="00461798" w:rsidRPr="007B5BE6">
        <w:rPr>
          <w:rStyle w:val="FootnoteReference"/>
        </w:rPr>
        <w:footnoteReference w:id="826"/>
      </w:r>
    </w:p>
    <w:p w14:paraId="4121F813" w14:textId="3069F3DB" w:rsidR="00EB016D" w:rsidRPr="007B5BE6" w:rsidRDefault="00C126BF" w:rsidP="00EB016D">
      <w:pPr>
        <w:pStyle w:val="NormalNumberedTextTLRI"/>
      </w:pPr>
      <w:r w:rsidRPr="007B5BE6">
        <w:t>In the</w:t>
      </w:r>
      <w:r w:rsidR="00EB016D" w:rsidRPr="007B5BE6">
        <w:t xml:space="preserve"> TLRI</w:t>
      </w:r>
      <w:r w:rsidR="00F34D55" w:rsidRPr="007B5BE6">
        <w:t>’s</w:t>
      </w:r>
      <w:r w:rsidR="00EB016D" w:rsidRPr="007B5BE6">
        <w:t xml:space="preserve"> previous review</w:t>
      </w:r>
      <w:r w:rsidRPr="007B5BE6">
        <w:t xml:space="preserve"> of</w:t>
      </w:r>
      <w:r w:rsidR="00EB016D" w:rsidRPr="007B5BE6">
        <w:t xml:space="preserve"> the </w:t>
      </w:r>
      <w:r w:rsidR="00EB016D" w:rsidRPr="007B5BE6">
        <w:rPr>
          <w:i/>
          <w:iCs/>
        </w:rPr>
        <w:t xml:space="preserve">Guardianship and Administration Act 1995 </w:t>
      </w:r>
      <w:r w:rsidR="00EB016D" w:rsidRPr="007B5BE6">
        <w:t xml:space="preserve">(Tas), </w:t>
      </w:r>
      <w:r w:rsidRPr="007B5BE6">
        <w:t xml:space="preserve">it made </w:t>
      </w:r>
      <w:r w:rsidR="00EB016D" w:rsidRPr="007B5BE6">
        <w:t>recommendations to improve safeguarding under the Act by strengthening the role and functions of the Board (formerly the Guardianship and Administration Board, now TASCAT) and the Public Guardian.</w:t>
      </w:r>
      <w:r w:rsidR="00EB016D" w:rsidRPr="007B5BE6">
        <w:rPr>
          <w:rStyle w:val="FootnoteReference"/>
        </w:rPr>
        <w:footnoteReference w:id="827"/>
      </w:r>
      <w:r w:rsidR="00EB016D" w:rsidRPr="007B5BE6">
        <w:t xml:space="preserve"> The recommendations covered the strengthening of powers to investigate and respond to circumstances where an administrator or guardian acted contrary to the Act.</w:t>
      </w:r>
      <w:r w:rsidR="00EB016D" w:rsidRPr="007B5BE6">
        <w:rPr>
          <w:rStyle w:val="FootnoteReference"/>
        </w:rPr>
        <w:footnoteReference w:id="828"/>
      </w:r>
    </w:p>
    <w:p w14:paraId="57147A97" w14:textId="501F7C77" w:rsidR="00EB3562" w:rsidRPr="007B5BE6" w:rsidRDefault="003A66BE" w:rsidP="00FB0F2E">
      <w:pPr>
        <w:pStyle w:val="NormalNumberedTextTLRI"/>
      </w:pPr>
      <w:r w:rsidRPr="007B5BE6">
        <w:t>T</w:t>
      </w:r>
      <w:r w:rsidR="00826C98" w:rsidRPr="007B5BE6">
        <w:t xml:space="preserve">he TLRI </w:t>
      </w:r>
      <w:r w:rsidRPr="007B5BE6">
        <w:t xml:space="preserve">also </w:t>
      </w:r>
      <w:r w:rsidR="00826C98" w:rsidRPr="007B5BE6">
        <w:t xml:space="preserve">considered the use of criminal or civil penalties </w:t>
      </w:r>
      <w:r w:rsidR="00252113" w:rsidRPr="007B5BE6">
        <w:t xml:space="preserve">for misuse of guardianship decision-making powers </w:t>
      </w:r>
      <w:r w:rsidR="00826C98" w:rsidRPr="007B5BE6">
        <w:t>as a safeguarding option for people subject to guardianship laws</w:t>
      </w:r>
      <w:r w:rsidR="00B961DB" w:rsidRPr="007B5BE6">
        <w:t>,</w:t>
      </w:r>
      <w:r w:rsidR="00826C98" w:rsidRPr="007B5BE6">
        <w:t xml:space="preserve"> including the introduction of criminal offences and compensation (as well as undertakings). </w:t>
      </w:r>
      <w:r w:rsidR="00B644BC" w:rsidRPr="007B5BE6">
        <w:t>The TLRI noted that</w:t>
      </w:r>
      <w:r w:rsidR="00826C98" w:rsidRPr="007B5BE6">
        <w:t xml:space="preserve"> </w:t>
      </w:r>
      <w:r w:rsidR="00B644BC" w:rsidRPr="007B5BE6">
        <w:t>the</w:t>
      </w:r>
      <w:r w:rsidR="00826C98" w:rsidRPr="007B5BE6">
        <w:t xml:space="preserve"> legislation</w:t>
      </w:r>
      <w:r w:rsidR="00B961DB" w:rsidRPr="007B5BE6">
        <w:t xml:space="preserve">, </w:t>
      </w:r>
      <w:r w:rsidR="00826C98" w:rsidRPr="007B5BE6">
        <w:t>as it stood then</w:t>
      </w:r>
      <w:r w:rsidR="00B961DB" w:rsidRPr="007B5BE6">
        <w:t>,</w:t>
      </w:r>
      <w:r w:rsidR="00826C98" w:rsidRPr="007B5BE6">
        <w:t xml:space="preserve"> did not include specific penalties or offences for representatives who breach their duties, or who abuse, exploit or neglect a represented person, although the TLRI noted that actions </w:t>
      </w:r>
      <w:r w:rsidR="008A6649" w:rsidRPr="007B5BE6">
        <w:t xml:space="preserve">that misuse or abuse powers </w:t>
      </w:r>
      <w:r w:rsidR="00826C98" w:rsidRPr="007B5BE6">
        <w:t>may amount to a criminal offence under other legislation</w:t>
      </w:r>
      <w:r w:rsidR="00F07DB1" w:rsidRPr="007B5BE6">
        <w:t xml:space="preserve"> (for example under Chapter XVI of the </w:t>
      </w:r>
      <w:r w:rsidR="00826C98" w:rsidRPr="007B5BE6">
        <w:rPr>
          <w:i/>
        </w:rPr>
        <w:t>Criminal Code 1924</w:t>
      </w:r>
      <w:r w:rsidR="00826C98" w:rsidRPr="007B5BE6">
        <w:t xml:space="preserve"> (Tas)</w:t>
      </w:r>
      <w:r w:rsidR="00F07DB1" w:rsidRPr="007B5BE6">
        <w:t xml:space="preserve">. </w:t>
      </w:r>
      <w:r w:rsidR="00782324" w:rsidRPr="007B5BE6">
        <w:t xml:space="preserve">Regarding the </w:t>
      </w:r>
      <w:r w:rsidR="00CE52EC" w:rsidRPr="007B5BE6">
        <w:t xml:space="preserve">introduction of criminal offences, the TLRI </w:t>
      </w:r>
      <w:r w:rsidR="00931663" w:rsidRPr="007B5BE6">
        <w:t xml:space="preserve">indicated support for further </w:t>
      </w:r>
      <w:r w:rsidR="008433E4" w:rsidRPr="007B5BE6">
        <w:t>consider</w:t>
      </w:r>
      <w:r w:rsidR="00931663" w:rsidRPr="007B5BE6">
        <w:t>ation of this option</w:t>
      </w:r>
      <w:r w:rsidR="00055149" w:rsidRPr="007B5BE6">
        <w:t>,</w:t>
      </w:r>
      <w:r w:rsidR="008433E4" w:rsidRPr="007B5BE6">
        <w:t xml:space="preserve"> following separate reviews being coordinated and conducted nationally following the ALRC’s recommendations in </w:t>
      </w:r>
      <w:r w:rsidR="002D5396" w:rsidRPr="007B5BE6">
        <w:t xml:space="preserve">its </w:t>
      </w:r>
      <w:r w:rsidR="007B2386" w:rsidRPr="007B5BE6">
        <w:t>Fi</w:t>
      </w:r>
      <w:r w:rsidR="008433E4" w:rsidRPr="007B5BE6">
        <w:t xml:space="preserve">nal </w:t>
      </w:r>
      <w:r w:rsidR="007B2386" w:rsidRPr="007B5BE6">
        <w:t>R</w:t>
      </w:r>
      <w:r w:rsidR="008433E4" w:rsidRPr="007B5BE6">
        <w:t>eport</w:t>
      </w:r>
      <w:r w:rsidR="00931663" w:rsidRPr="007B5BE6">
        <w:t>.</w:t>
      </w:r>
      <w:r w:rsidR="00931663" w:rsidRPr="007B5BE6">
        <w:rPr>
          <w:rStyle w:val="FootnoteReference"/>
        </w:rPr>
        <w:footnoteReference w:id="829"/>
      </w:r>
      <w:r w:rsidR="00D94950" w:rsidRPr="007B5BE6">
        <w:t xml:space="preserve"> </w:t>
      </w:r>
      <w:r w:rsidR="002646C6" w:rsidRPr="007B5BE6">
        <w:t>In relation to</w:t>
      </w:r>
      <w:r w:rsidR="00FB0F2E" w:rsidRPr="007B5BE6">
        <w:t xml:space="preserve"> c</w:t>
      </w:r>
      <w:r w:rsidR="0092507A" w:rsidRPr="007B5BE6">
        <w:t>ivil compensation</w:t>
      </w:r>
      <w:r w:rsidR="00FB0F2E" w:rsidRPr="007B5BE6">
        <w:t>, the</w:t>
      </w:r>
      <w:r w:rsidR="0092507A" w:rsidRPr="007B5BE6">
        <w:t xml:space="preserve"> </w:t>
      </w:r>
      <w:r w:rsidR="005F7576" w:rsidRPr="007B5BE6">
        <w:t xml:space="preserve">TLRI endorsed </w:t>
      </w:r>
      <w:r w:rsidR="00FB0F2E" w:rsidRPr="007B5BE6">
        <w:t xml:space="preserve">the </w:t>
      </w:r>
      <w:r w:rsidR="005F7576" w:rsidRPr="007B5BE6">
        <w:t>ALRC’s reasoning</w:t>
      </w:r>
      <w:r w:rsidR="00FB0F2E" w:rsidRPr="007B5BE6">
        <w:t xml:space="preserve"> and </w:t>
      </w:r>
      <w:r w:rsidR="00EB3562" w:rsidRPr="007B5BE6">
        <w:t>recommend</w:t>
      </w:r>
      <w:r w:rsidR="00FB0F2E" w:rsidRPr="007B5BE6">
        <w:t xml:space="preserve">ed </w:t>
      </w:r>
      <w:r w:rsidR="00240D20" w:rsidRPr="007B5BE6">
        <w:t>that, as part of establishing TASCAT, consideration be given to a reform to introduce t</w:t>
      </w:r>
      <w:r w:rsidR="001E3CD9" w:rsidRPr="007B5BE6">
        <w:t>he ability to award remedies where a represented person suffers financial loss because of the actions of a representative</w:t>
      </w:r>
      <w:r w:rsidR="00240D20" w:rsidRPr="007B5BE6">
        <w:t>.</w:t>
      </w:r>
      <w:r w:rsidR="00FB0F2E" w:rsidRPr="007B5BE6">
        <w:rPr>
          <w:rStyle w:val="FootnoteReference"/>
        </w:rPr>
        <w:footnoteReference w:id="830"/>
      </w:r>
      <w:r w:rsidR="00554B75" w:rsidRPr="007B5BE6">
        <w:t xml:space="preserve"> </w:t>
      </w:r>
      <w:r w:rsidR="00FB0F2E" w:rsidRPr="007B5BE6">
        <w:t xml:space="preserve"> </w:t>
      </w:r>
    </w:p>
    <w:p w14:paraId="30D28FA0" w14:textId="77777777" w:rsidR="00AA2E50" w:rsidRDefault="00AA2E50">
      <w:pPr>
        <w:spacing w:after="200" w:line="276" w:lineRule="auto"/>
        <w:jc w:val="left"/>
        <w:rPr>
          <w:rFonts w:eastAsia="Times" w:cs="Times New Roman"/>
          <w:b/>
          <w:i/>
          <w:szCs w:val="20"/>
        </w:rPr>
      </w:pPr>
      <w:bookmarkStart w:id="631" w:name="_Toc212561833"/>
      <w:r>
        <w:br w:type="page"/>
      </w:r>
    </w:p>
    <w:p w14:paraId="71600B2D" w14:textId="625D4FFD" w:rsidR="007E5F12" w:rsidRPr="007B5BE6" w:rsidRDefault="00DB2A5F" w:rsidP="00616835">
      <w:pPr>
        <w:pStyle w:val="Sub-HeadingTLRI"/>
        <w:spacing w:before="360"/>
      </w:pPr>
      <w:r w:rsidRPr="007B5BE6">
        <w:lastRenderedPageBreak/>
        <w:t>Approaches</w:t>
      </w:r>
      <w:r w:rsidR="007E5F12" w:rsidRPr="007B5BE6">
        <w:t xml:space="preserve"> in other jurisdictions</w:t>
      </w:r>
      <w:bookmarkEnd w:id="631"/>
    </w:p>
    <w:p w14:paraId="3F7FB686" w14:textId="62F6C722" w:rsidR="0069608C" w:rsidRPr="007B5BE6" w:rsidRDefault="0069608C" w:rsidP="00854A5A">
      <w:pPr>
        <w:pStyle w:val="NormalNumberedTextTLRI"/>
      </w:pPr>
      <w:r w:rsidRPr="007B5BE6">
        <w:t xml:space="preserve">Currently, </w:t>
      </w:r>
      <w:r w:rsidR="00B44822" w:rsidRPr="007B5BE6">
        <w:t xml:space="preserve">some jurisdictions allow for civil compensation to be </w:t>
      </w:r>
      <w:r w:rsidR="0053007E" w:rsidRPr="007B5BE6">
        <w:t>awarded</w:t>
      </w:r>
      <w:r w:rsidR="00677486" w:rsidRPr="007B5BE6">
        <w:t xml:space="preserve"> in </w:t>
      </w:r>
      <w:r w:rsidR="0053007E" w:rsidRPr="007B5BE6">
        <w:t>circumstances</w:t>
      </w:r>
      <w:r w:rsidR="00677486" w:rsidRPr="007B5BE6">
        <w:t xml:space="preserve"> </w:t>
      </w:r>
      <w:r w:rsidR="0053007E" w:rsidRPr="007B5BE6">
        <w:t>wher</w:t>
      </w:r>
      <w:r w:rsidR="00677486" w:rsidRPr="007B5BE6">
        <w:t>e a guardian or administrator fails to com</w:t>
      </w:r>
      <w:r w:rsidR="0053007E" w:rsidRPr="007B5BE6">
        <w:t xml:space="preserve">ply with the </w:t>
      </w:r>
      <w:r w:rsidR="00291D24" w:rsidRPr="007B5BE6">
        <w:t xml:space="preserve">relevant legislation. This is set out in </w:t>
      </w:r>
      <w:r w:rsidR="00A55EB5" w:rsidRPr="007B5BE6">
        <w:t xml:space="preserve">Table </w:t>
      </w:r>
      <w:r w:rsidR="0074721E" w:rsidRPr="007B5BE6">
        <w:t>5.</w:t>
      </w:r>
      <w:r w:rsidR="002646D8" w:rsidRPr="007B5BE6">
        <w:t>5</w:t>
      </w:r>
      <w:r w:rsidR="0074721E" w:rsidRPr="007B5BE6">
        <w:t>.</w:t>
      </w:r>
    </w:p>
    <w:p w14:paraId="1FF9E72D" w14:textId="07CDEFC3" w:rsidR="00F541B4" w:rsidRPr="007B5BE6" w:rsidRDefault="00F541B4" w:rsidP="00FD6EFB">
      <w:pPr>
        <w:spacing w:before="240" w:after="240"/>
        <w:rPr>
          <w:rFonts w:eastAsia="Aptos" w:cs="Arial"/>
          <w:b/>
        </w:rPr>
      </w:pPr>
      <w:r w:rsidRPr="007B5BE6">
        <w:rPr>
          <w:rFonts w:eastAsia="Aptos" w:cs="Arial"/>
          <w:b/>
        </w:rPr>
        <w:t xml:space="preserve">Table </w:t>
      </w:r>
      <w:r w:rsidR="0074721E" w:rsidRPr="007B5BE6">
        <w:rPr>
          <w:rFonts w:eastAsia="Aptos" w:cs="Arial"/>
          <w:b/>
        </w:rPr>
        <w:t>5.</w:t>
      </w:r>
      <w:r w:rsidR="002646D8" w:rsidRPr="007B5BE6">
        <w:rPr>
          <w:rFonts w:eastAsia="Aptos" w:cs="Arial"/>
          <w:b/>
        </w:rPr>
        <w:t>5</w:t>
      </w:r>
      <w:r w:rsidR="0074721E" w:rsidRPr="007B5BE6">
        <w:rPr>
          <w:rFonts w:eastAsia="Aptos" w:cs="Arial"/>
          <w:b/>
        </w:rPr>
        <w:t>:</w:t>
      </w:r>
      <w:r w:rsidRPr="007B5BE6">
        <w:rPr>
          <w:rFonts w:eastAsia="Aptos" w:cs="Arial"/>
          <w:b/>
        </w:rPr>
        <w:t xml:space="preserve"> Comparison of Australian jurisdictions regarding civil compensation: guardianship and administration</w:t>
      </w:r>
      <w:r w:rsidR="00C0606B" w:rsidRPr="007B5BE6">
        <w:rPr>
          <w:rStyle w:val="FootnoteReference"/>
          <w:rFonts w:eastAsia="Aptos" w:cs="Arial"/>
          <w:b/>
        </w:rPr>
        <w:footnoteReference w:id="831"/>
      </w:r>
      <w:r w:rsidRPr="007B5BE6">
        <w:rPr>
          <w:rFonts w:eastAsia="Aptos" w:cs="Arial"/>
          <w:b/>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441"/>
        <w:gridCol w:w="689"/>
        <w:gridCol w:w="1126"/>
        <w:gridCol w:w="845"/>
        <w:gridCol w:w="834"/>
        <w:gridCol w:w="867"/>
        <w:gridCol w:w="667"/>
        <w:gridCol w:w="756"/>
        <w:gridCol w:w="801"/>
      </w:tblGrid>
      <w:tr w:rsidR="00F541B4" w:rsidRPr="007B5BE6" w14:paraId="2C551D8A" w14:textId="77777777" w:rsidTr="00616835">
        <w:tc>
          <w:tcPr>
            <w:tcW w:w="1414" w:type="pct"/>
            <w:tcBorders>
              <w:top w:val="single" w:sz="8" w:space="0" w:color="auto"/>
              <w:bottom w:val="single" w:sz="8" w:space="0" w:color="auto"/>
            </w:tcBorders>
            <w:shd w:val="clear" w:color="auto" w:fill="FFFFFF" w:themeFill="background1"/>
          </w:tcPr>
          <w:p w14:paraId="512675B3" w14:textId="78605066" w:rsidR="00F541B4" w:rsidRPr="007B5BE6" w:rsidRDefault="00F541B4" w:rsidP="000E4DCD">
            <w:pPr>
              <w:rPr>
                <w:rFonts w:eastAsia="Aptos" w:cs="Arial"/>
                <w:b/>
                <w:bCs/>
                <w:sz w:val="20"/>
                <w:szCs w:val="20"/>
              </w:rPr>
            </w:pPr>
            <w:r w:rsidRPr="007B5BE6">
              <w:rPr>
                <w:rFonts w:eastAsia="Aptos" w:cs="Arial"/>
                <w:b/>
                <w:bCs/>
                <w:sz w:val="20"/>
                <w:szCs w:val="20"/>
              </w:rPr>
              <w:t xml:space="preserve">Civil </w:t>
            </w:r>
            <w:r w:rsidR="00982EC6" w:rsidRPr="007B5BE6">
              <w:rPr>
                <w:rFonts w:eastAsia="Aptos" w:cs="Arial"/>
                <w:b/>
                <w:bCs/>
                <w:sz w:val="20"/>
                <w:szCs w:val="20"/>
              </w:rPr>
              <w:t>compensation</w:t>
            </w:r>
            <w:r w:rsidRPr="007B5BE6">
              <w:rPr>
                <w:rFonts w:eastAsia="Aptos" w:cs="Arial"/>
                <w:b/>
                <w:bCs/>
                <w:sz w:val="20"/>
                <w:szCs w:val="20"/>
              </w:rPr>
              <w:t xml:space="preserve"> </w:t>
            </w:r>
          </w:p>
        </w:tc>
        <w:tc>
          <w:tcPr>
            <w:tcW w:w="259" w:type="pct"/>
            <w:tcBorders>
              <w:top w:val="single" w:sz="8" w:space="0" w:color="auto"/>
              <w:bottom w:val="single" w:sz="8" w:space="0" w:color="auto"/>
            </w:tcBorders>
            <w:shd w:val="clear" w:color="auto" w:fill="FFFFFF" w:themeFill="background1"/>
          </w:tcPr>
          <w:p w14:paraId="4B7E3163" w14:textId="2DC271CC" w:rsidR="00F541B4" w:rsidRPr="007B5BE6" w:rsidRDefault="00F541B4" w:rsidP="000E4DCD">
            <w:pPr>
              <w:rPr>
                <w:rFonts w:eastAsia="Aptos" w:cs="Arial"/>
                <w:b/>
                <w:bCs/>
                <w:sz w:val="20"/>
                <w:szCs w:val="20"/>
              </w:rPr>
            </w:pPr>
            <w:r w:rsidRPr="007B5BE6">
              <w:rPr>
                <w:rFonts w:eastAsia="Aptos" w:cs="Arial"/>
                <w:b/>
                <w:bCs/>
                <w:sz w:val="20"/>
                <w:szCs w:val="20"/>
              </w:rPr>
              <w:t>NT</w:t>
            </w:r>
            <w:r w:rsidR="00C0606B" w:rsidRPr="007B5BE6">
              <w:rPr>
                <w:rStyle w:val="FootnoteReference"/>
                <w:rFonts w:eastAsia="Aptos" w:cs="Arial"/>
                <w:b/>
                <w:bCs/>
                <w:sz w:val="20"/>
                <w:szCs w:val="20"/>
              </w:rPr>
              <w:footnoteReference w:id="832"/>
            </w:r>
          </w:p>
        </w:tc>
        <w:tc>
          <w:tcPr>
            <w:tcW w:w="685" w:type="pct"/>
            <w:tcBorders>
              <w:top w:val="single" w:sz="8" w:space="0" w:color="auto"/>
              <w:bottom w:val="single" w:sz="8" w:space="0" w:color="auto"/>
            </w:tcBorders>
            <w:shd w:val="clear" w:color="auto" w:fill="FFFFFF" w:themeFill="background1"/>
          </w:tcPr>
          <w:p w14:paraId="4339893E" w14:textId="181675FD" w:rsidR="00F541B4" w:rsidRPr="007B5BE6" w:rsidRDefault="00F541B4" w:rsidP="000E4DCD">
            <w:pPr>
              <w:rPr>
                <w:rFonts w:eastAsia="Aptos" w:cs="Arial"/>
                <w:b/>
                <w:bCs/>
                <w:sz w:val="20"/>
                <w:szCs w:val="20"/>
              </w:rPr>
            </w:pPr>
            <w:r w:rsidRPr="007B5BE6">
              <w:rPr>
                <w:rFonts w:eastAsia="Aptos" w:cs="Arial"/>
                <w:b/>
                <w:bCs/>
                <w:sz w:val="20"/>
                <w:szCs w:val="20"/>
              </w:rPr>
              <w:t>VIC</w:t>
            </w:r>
            <w:r w:rsidR="00C0606B" w:rsidRPr="007B5BE6">
              <w:rPr>
                <w:rStyle w:val="FootnoteReference"/>
                <w:rFonts w:eastAsia="Aptos" w:cs="Arial"/>
                <w:b/>
                <w:bCs/>
                <w:sz w:val="20"/>
                <w:szCs w:val="20"/>
              </w:rPr>
              <w:footnoteReference w:id="833"/>
            </w:r>
          </w:p>
        </w:tc>
        <w:tc>
          <w:tcPr>
            <w:tcW w:w="468" w:type="pct"/>
            <w:tcBorders>
              <w:top w:val="single" w:sz="8" w:space="0" w:color="auto"/>
              <w:bottom w:val="single" w:sz="8" w:space="0" w:color="auto"/>
            </w:tcBorders>
            <w:shd w:val="clear" w:color="auto" w:fill="FFFFFF" w:themeFill="background1"/>
          </w:tcPr>
          <w:p w14:paraId="1152E70B" w14:textId="451BB142" w:rsidR="00F541B4" w:rsidRPr="007B5BE6" w:rsidRDefault="00F541B4" w:rsidP="000E4DCD">
            <w:pPr>
              <w:rPr>
                <w:rFonts w:eastAsia="Aptos" w:cs="Arial"/>
                <w:b/>
                <w:bCs/>
                <w:sz w:val="20"/>
                <w:szCs w:val="20"/>
              </w:rPr>
            </w:pPr>
            <w:r w:rsidRPr="007B5BE6">
              <w:rPr>
                <w:rFonts w:eastAsia="Aptos" w:cs="Arial"/>
                <w:b/>
                <w:bCs/>
                <w:sz w:val="20"/>
                <w:szCs w:val="20"/>
              </w:rPr>
              <w:t>QLD</w:t>
            </w:r>
            <w:r w:rsidR="00C0606B" w:rsidRPr="007B5BE6">
              <w:rPr>
                <w:rStyle w:val="FootnoteReference"/>
                <w:rFonts w:eastAsia="Aptos" w:cs="Arial"/>
                <w:b/>
                <w:bCs/>
                <w:sz w:val="20"/>
                <w:szCs w:val="20"/>
              </w:rPr>
              <w:footnoteReference w:id="834"/>
            </w:r>
          </w:p>
        </w:tc>
        <w:tc>
          <w:tcPr>
            <w:tcW w:w="462" w:type="pct"/>
            <w:tcBorders>
              <w:top w:val="single" w:sz="8" w:space="0" w:color="auto"/>
              <w:bottom w:val="single" w:sz="8" w:space="0" w:color="auto"/>
            </w:tcBorders>
            <w:shd w:val="clear" w:color="auto" w:fill="FFFFFF" w:themeFill="background1"/>
          </w:tcPr>
          <w:p w14:paraId="34764A78" w14:textId="53B957A0" w:rsidR="00F541B4" w:rsidRPr="007B5BE6" w:rsidRDefault="00F541B4" w:rsidP="000E4DCD">
            <w:pPr>
              <w:rPr>
                <w:rFonts w:eastAsia="Aptos" w:cs="Arial"/>
                <w:b/>
                <w:bCs/>
                <w:sz w:val="20"/>
                <w:szCs w:val="20"/>
              </w:rPr>
            </w:pPr>
            <w:r w:rsidRPr="007B5BE6">
              <w:rPr>
                <w:rFonts w:eastAsia="Aptos" w:cs="Arial"/>
                <w:b/>
                <w:bCs/>
                <w:sz w:val="20"/>
                <w:szCs w:val="20"/>
              </w:rPr>
              <w:t>ACT</w:t>
            </w:r>
            <w:r w:rsidR="00C0606B" w:rsidRPr="007B5BE6">
              <w:rPr>
                <w:rStyle w:val="FootnoteReference"/>
                <w:rFonts w:eastAsia="Aptos" w:cs="Arial"/>
                <w:b/>
                <w:bCs/>
                <w:sz w:val="20"/>
                <w:szCs w:val="20"/>
              </w:rPr>
              <w:footnoteReference w:id="835"/>
            </w:r>
          </w:p>
        </w:tc>
        <w:tc>
          <w:tcPr>
            <w:tcW w:w="480" w:type="pct"/>
            <w:tcBorders>
              <w:top w:val="single" w:sz="8" w:space="0" w:color="auto"/>
              <w:bottom w:val="single" w:sz="8" w:space="0" w:color="auto"/>
            </w:tcBorders>
            <w:shd w:val="clear" w:color="auto" w:fill="FFFFFF" w:themeFill="background1"/>
          </w:tcPr>
          <w:p w14:paraId="39139D49" w14:textId="5D9E0CBB" w:rsidR="00F541B4" w:rsidRPr="007B5BE6" w:rsidRDefault="00F541B4" w:rsidP="000E4DCD">
            <w:pPr>
              <w:rPr>
                <w:rFonts w:eastAsia="Aptos" w:cs="Arial"/>
                <w:b/>
                <w:bCs/>
                <w:sz w:val="20"/>
                <w:szCs w:val="20"/>
              </w:rPr>
            </w:pPr>
            <w:r w:rsidRPr="007B5BE6">
              <w:rPr>
                <w:rFonts w:eastAsia="Aptos" w:cs="Arial"/>
                <w:b/>
                <w:bCs/>
                <w:sz w:val="20"/>
                <w:szCs w:val="20"/>
              </w:rPr>
              <w:t>NSW</w:t>
            </w:r>
            <w:r w:rsidR="00C0606B" w:rsidRPr="007B5BE6">
              <w:rPr>
                <w:rStyle w:val="FootnoteReference"/>
                <w:rFonts w:eastAsia="Aptos" w:cs="Arial"/>
                <w:b/>
                <w:bCs/>
                <w:sz w:val="20"/>
                <w:szCs w:val="20"/>
              </w:rPr>
              <w:footnoteReference w:id="836"/>
            </w:r>
          </w:p>
        </w:tc>
        <w:tc>
          <w:tcPr>
            <w:tcW w:w="369" w:type="pct"/>
            <w:tcBorders>
              <w:top w:val="single" w:sz="8" w:space="0" w:color="auto"/>
              <w:bottom w:val="single" w:sz="8" w:space="0" w:color="auto"/>
            </w:tcBorders>
            <w:shd w:val="clear" w:color="auto" w:fill="FFFFFF" w:themeFill="background1"/>
          </w:tcPr>
          <w:p w14:paraId="4085BC22" w14:textId="77777777" w:rsidR="00F541B4" w:rsidRPr="007B5BE6" w:rsidRDefault="00F541B4" w:rsidP="000E4DCD">
            <w:pPr>
              <w:rPr>
                <w:rFonts w:eastAsia="Aptos" w:cs="Arial"/>
                <w:b/>
                <w:bCs/>
                <w:sz w:val="20"/>
                <w:szCs w:val="20"/>
              </w:rPr>
            </w:pPr>
            <w:r w:rsidRPr="007B5BE6">
              <w:rPr>
                <w:rFonts w:eastAsia="Aptos" w:cs="Arial"/>
                <w:b/>
                <w:bCs/>
                <w:sz w:val="20"/>
                <w:szCs w:val="20"/>
              </w:rPr>
              <w:t>SA</w:t>
            </w:r>
            <w:r w:rsidRPr="007B5BE6">
              <w:rPr>
                <w:rFonts w:eastAsia="Aptos" w:cs="Arial"/>
                <w:b/>
                <w:bCs/>
                <w:sz w:val="20"/>
                <w:vertAlign w:val="superscript"/>
              </w:rPr>
              <w:footnoteReference w:id="837"/>
            </w:r>
          </w:p>
        </w:tc>
        <w:tc>
          <w:tcPr>
            <w:tcW w:w="419" w:type="pct"/>
            <w:tcBorders>
              <w:top w:val="single" w:sz="8" w:space="0" w:color="auto"/>
              <w:bottom w:val="single" w:sz="8" w:space="0" w:color="auto"/>
            </w:tcBorders>
            <w:shd w:val="clear" w:color="auto" w:fill="FFFFFF" w:themeFill="background1"/>
          </w:tcPr>
          <w:p w14:paraId="658F2A2F" w14:textId="77777777" w:rsidR="00F541B4" w:rsidRPr="007B5BE6" w:rsidRDefault="00F541B4" w:rsidP="000E4DCD">
            <w:pPr>
              <w:rPr>
                <w:rFonts w:eastAsia="Aptos" w:cs="Arial"/>
                <w:b/>
                <w:bCs/>
                <w:sz w:val="20"/>
                <w:szCs w:val="20"/>
              </w:rPr>
            </w:pPr>
            <w:r w:rsidRPr="007B5BE6">
              <w:rPr>
                <w:rFonts w:eastAsia="Aptos" w:cs="Arial"/>
                <w:b/>
                <w:bCs/>
                <w:sz w:val="20"/>
                <w:szCs w:val="20"/>
              </w:rPr>
              <w:t>WA</w:t>
            </w:r>
            <w:r w:rsidRPr="007B5BE6">
              <w:rPr>
                <w:rFonts w:eastAsia="Aptos" w:cs="Arial"/>
                <w:b/>
                <w:bCs/>
                <w:sz w:val="20"/>
                <w:vertAlign w:val="superscript"/>
              </w:rPr>
              <w:footnoteReference w:id="838"/>
            </w:r>
          </w:p>
        </w:tc>
        <w:tc>
          <w:tcPr>
            <w:tcW w:w="444" w:type="pct"/>
            <w:tcBorders>
              <w:top w:val="single" w:sz="8" w:space="0" w:color="auto"/>
              <w:bottom w:val="single" w:sz="8" w:space="0" w:color="auto"/>
            </w:tcBorders>
            <w:shd w:val="clear" w:color="auto" w:fill="FFFFFF" w:themeFill="background1"/>
          </w:tcPr>
          <w:p w14:paraId="40523201" w14:textId="77777777" w:rsidR="00F541B4" w:rsidRPr="007B5BE6" w:rsidRDefault="00F541B4" w:rsidP="000E4DCD">
            <w:pPr>
              <w:rPr>
                <w:rFonts w:eastAsia="Aptos" w:cs="Arial"/>
                <w:b/>
                <w:bCs/>
                <w:sz w:val="20"/>
                <w:szCs w:val="20"/>
              </w:rPr>
            </w:pPr>
            <w:r w:rsidRPr="007B5BE6">
              <w:rPr>
                <w:rFonts w:eastAsia="Aptos" w:cs="Arial"/>
                <w:b/>
                <w:bCs/>
                <w:sz w:val="20"/>
                <w:szCs w:val="20"/>
              </w:rPr>
              <w:t>TAS</w:t>
            </w:r>
            <w:r w:rsidRPr="007B5BE6">
              <w:rPr>
                <w:rFonts w:eastAsia="Aptos" w:cs="Arial"/>
                <w:b/>
                <w:bCs/>
                <w:sz w:val="20"/>
                <w:vertAlign w:val="superscript"/>
              </w:rPr>
              <w:footnoteReference w:id="839"/>
            </w:r>
            <w:r w:rsidRPr="007B5BE6">
              <w:rPr>
                <w:rFonts w:eastAsia="Aptos" w:cs="Arial"/>
                <w:b/>
                <w:bCs/>
                <w:sz w:val="20"/>
                <w:szCs w:val="20"/>
              </w:rPr>
              <w:t xml:space="preserve"> </w:t>
            </w:r>
          </w:p>
        </w:tc>
      </w:tr>
      <w:tr w:rsidR="00F541B4" w:rsidRPr="007B5BE6" w14:paraId="433C0BA5" w14:textId="77777777" w:rsidTr="00616835">
        <w:trPr>
          <w:trHeight w:val="937"/>
        </w:trPr>
        <w:tc>
          <w:tcPr>
            <w:tcW w:w="1414" w:type="pct"/>
            <w:tcBorders>
              <w:top w:val="single" w:sz="8" w:space="0" w:color="auto"/>
            </w:tcBorders>
          </w:tcPr>
          <w:p w14:paraId="585B146B" w14:textId="21F96399" w:rsidR="00F541B4" w:rsidRPr="007B5BE6" w:rsidRDefault="00F541B4" w:rsidP="00C36293">
            <w:pPr>
              <w:jc w:val="left"/>
              <w:rPr>
                <w:rFonts w:eastAsia="Aptos" w:cs="Arial"/>
                <w:sz w:val="20"/>
                <w:szCs w:val="20"/>
              </w:rPr>
            </w:pPr>
            <w:r w:rsidRPr="007B5BE6">
              <w:rPr>
                <w:rFonts w:eastAsia="Aptos" w:cs="Arial"/>
                <w:sz w:val="20"/>
                <w:szCs w:val="20"/>
              </w:rPr>
              <w:t>Compensation</w:t>
            </w:r>
            <w:r w:rsidR="00C247CA" w:rsidRPr="007B5BE6">
              <w:rPr>
                <w:rFonts w:eastAsia="Aptos" w:cs="Arial"/>
                <w:sz w:val="20"/>
                <w:szCs w:val="20"/>
              </w:rPr>
              <w:t>:</w:t>
            </w:r>
            <w:r w:rsidRPr="007B5BE6">
              <w:rPr>
                <w:rFonts w:eastAsia="Aptos" w:cs="Arial"/>
                <w:sz w:val="20"/>
                <w:szCs w:val="20"/>
              </w:rPr>
              <w:t xml:space="preserve"> failure of guardian or administrat</w:t>
            </w:r>
            <w:r w:rsidR="00C247CA" w:rsidRPr="007B5BE6">
              <w:rPr>
                <w:rFonts w:eastAsia="Aptos" w:cs="Arial"/>
                <w:sz w:val="20"/>
                <w:szCs w:val="20"/>
              </w:rPr>
              <w:t>or</w:t>
            </w:r>
            <w:r w:rsidRPr="007B5BE6">
              <w:rPr>
                <w:rFonts w:eastAsia="Aptos" w:cs="Arial"/>
                <w:sz w:val="20"/>
                <w:szCs w:val="20"/>
              </w:rPr>
              <w:t xml:space="preserve"> to comply with the Act in exercise of powers</w:t>
            </w:r>
          </w:p>
        </w:tc>
        <w:tc>
          <w:tcPr>
            <w:tcW w:w="259" w:type="pct"/>
            <w:tcBorders>
              <w:top w:val="single" w:sz="8" w:space="0" w:color="auto"/>
            </w:tcBorders>
          </w:tcPr>
          <w:p w14:paraId="392B2C2E" w14:textId="77777777" w:rsidR="00F541B4" w:rsidRPr="007B5BE6" w:rsidRDefault="00F541B4" w:rsidP="00C36293">
            <w:pPr>
              <w:jc w:val="left"/>
              <w:rPr>
                <w:rFonts w:eastAsia="Aptos" w:cs="Arial"/>
                <w:sz w:val="20"/>
                <w:szCs w:val="20"/>
              </w:rPr>
            </w:pPr>
            <w:r w:rsidRPr="007B5BE6">
              <w:rPr>
                <w:rFonts w:eastAsia="Aptos" w:cs="Arial"/>
                <w:sz w:val="20"/>
                <w:szCs w:val="20"/>
              </w:rPr>
              <w:t xml:space="preserve">Yes </w:t>
            </w:r>
          </w:p>
        </w:tc>
        <w:tc>
          <w:tcPr>
            <w:tcW w:w="685" w:type="pct"/>
            <w:tcBorders>
              <w:top w:val="single" w:sz="8" w:space="0" w:color="auto"/>
            </w:tcBorders>
          </w:tcPr>
          <w:p w14:paraId="484ABC59" w14:textId="77777777" w:rsidR="00F541B4" w:rsidRPr="007B5BE6" w:rsidRDefault="00F541B4" w:rsidP="00C36293">
            <w:pPr>
              <w:jc w:val="left"/>
              <w:rPr>
                <w:rFonts w:eastAsia="Aptos" w:cs="Arial"/>
                <w:sz w:val="20"/>
                <w:szCs w:val="20"/>
              </w:rPr>
            </w:pPr>
            <w:r w:rsidRPr="007B5BE6">
              <w:rPr>
                <w:rFonts w:eastAsia="Aptos" w:cs="Arial"/>
                <w:sz w:val="20"/>
                <w:szCs w:val="20"/>
              </w:rPr>
              <w:t>Yes</w:t>
            </w:r>
          </w:p>
        </w:tc>
        <w:tc>
          <w:tcPr>
            <w:tcW w:w="468" w:type="pct"/>
            <w:tcBorders>
              <w:top w:val="single" w:sz="8" w:space="0" w:color="auto"/>
            </w:tcBorders>
          </w:tcPr>
          <w:p w14:paraId="762881CA" w14:textId="77777777" w:rsidR="00F541B4" w:rsidRPr="007B5BE6" w:rsidRDefault="00F541B4" w:rsidP="00C36293">
            <w:pPr>
              <w:jc w:val="left"/>
              <w:rPr>
                <w:rFonts w:eastAsia="Aptos" w:cs="Arial"/>
                <w:sz w:val="20"/>
                <w:szCs w:val="20"/>
              </w:rPr>
            </w:pPr>
            <w:r w:rsidRPr="007B5BE6">
              <w:rPr>
                <w:rFonts w:eastAsia="Aptos" w:cs="Arial"/>
                <w:sz w:val="20"/>
                <w:szCs w:val="20"/>
              </w:rPr>
              <w:t>Yes</w:t>
            </w:r>
          </w:p>
        </w:tc>
        <w:tc>
          <w:tcPr>
            <w:tcW w:w="462" w:type="pct"/>
            <w:tcBorders>
              <w:top w:val="single" w:sz="8" w:space="0" w:color="auto"/>
            </w:tcBorders>
          </w:tcPr>
          <w:p w14:paraId="0B080BF6" w14:textId="77777777" w:rsidR="00F541B4" w:rsidRPr="007B5BE6" w:rsidRDefault="00F541B4" w:rsidP="00C36293">
            <w:pPr>
              <w:jc w:val="left"/>
              <w:rPr>
                <w:rFonts w:eastAsia="Aptos" w:cs="Arial"/>
                <w:sz w:val="20"/>
                <w:szCs w:val="20"/>
              </w:rPr>
            </w:pPr>
            <w:r w:rsidRPr="007B5BE6">
              <w:rPr>
                <w:rFonts w:eastAsia="Aptos" w:cs="Arial"/>
                <w:sz w:val="20"/>
                <w:szCs w:val="20"/>
              </w:rPr>
              <w:t>Yes</w:t>
            </w:r>
          </w:p>
        </w:tc>
        <w:tc>
          <w:tcPr>
            <w:tcW w:w="480" w:type="pct"/>
            <w:tcBorders>
              <w:top w:val="single" w:sz="8" w:space="0" w:color="auto"/>
            </w:tcBorders>
          </w:tcPr>
          <w:p w14:paraId="4EBF8D4B" w14:textId="77777777" w:rsidR="00F541B4" w:rsidRPr="007B5BE6" w:rsidRDefault="00F541B4" w:rsidP="00C36293">
            <w:pPr>
              <w:jc w:val="left"/>
              <w:rPr>
                <w:rFonts w:eastAsia="Aptos" w:cs="Arial"/>
                <w:sz w:val="20"/>
                <w:szCs w:val="20"/>
              </w:rPr>
            </w:pPr>
            <w:r w:rsidRPr="007B5BE6">
              <w:rPr>
                <w:rFonts w:eastAsia="Aptos" w:cs="Arial"/>
                <w:sz w:val="20"/>
                <w:szCs w:val="20"/>
              </w:rPr>
              <w:t xml:space="preserve">No </w:t>
            </w:r>
          </w:p>
        </w:tc>
        <w:tc>
          <w:tcPr>
            <w:tcW w:w="369" w:type="pct"/>
            <w:tcBorders>
              <w:top w:val="single" w:sz="8" w:space="0" w:color="auto"/>
            </w:tcBorders>
          </w:tcPr>
          <w:p w14:paraId="259C678A" w14:textId="77777777" w:rsidR="00F541B4" w:rsidRPr="007B5BE6" w:rsidRDefault="00F541B4" w:rsidP="00C36293">
            <w:pPr>
              <w:jc w:val="left"/>
              <w:rPr>
                <w:rFonts w:eastAsia="Aptos" w:cs="Arial"/>
                <w:sz w:val="20"/>
                <w:szCs w:val="20"/>
              </w:rPr>
            </w:pPr>
            <w:r w:rsidRPr="007B5BE6">
              <w:rPr>
                <w:rFonts w:eastAsia="Aptos" w:cs="Arial"/>
                <w:sz w:val="20"/>
                <w:szCs w:val="20"/>
              </w:rPr>
              <w:t xml:space="preserve">No </w:t>
            </w:r>
          </w:p>
        </w:tc>
        <w:tc>
          <w:tcPr>
            <w:tcW w:w="419" w:type="pct"/>
            <w:tcBorders>
              <w:top w:val="single" w:sz="8" w:space="0" w:color="auto"/>
            </w:tcBorders>
          </w:tcPr>
          <w:p w14:paraId="7C3CE52F" w14:textId="77777777" w:rsidR="00F541B4" w:rsidRPr="007B5BE6" w:rsidRDefault="00F541B4" w:rsidP="00C36293">
            <w:pPr>
              <w:jc w:val="left"/>
              <w:rPr>
                <w:rFonts w:eastAsia="Aptos" w:cs="Arial"/>
                <w:sz w:val="20"/>
                <w:szCs w:val="20"/>
              </w:rPr>
            </w:pPr>
            <w:r w:rsidRPr="007B5BE6">
              <w:rPr>
                <w:rFonts w:eastAsia="Aptos" w:cs="Arial"/>
                <w:sz w:val="20"/>
                <w:szCs w:val="20"/>
              </w:rPr>
              <w:t xml:space="preserve">No </w:t>
            </w:r>
          </w:p>
        </w:tc>
        <w:tc>
          <w:tcPr>
            <w:tcW w:w="444" w:type="pct"/>
            <w:tcBorders>
              <w:top w:val="single" w:sz="8" w:space="0" w:color="auto"/>
            </w:tcBorders>
          </w:tcPr>
          <w:p w14:paraId="473123ED" w14:textId="77777777" w:rsidR="00F541B4" w:rsidRPr="007B5BE6" w:rsidRDefault="00F541B4" w:rsidP="00C36293">
            <w:pPr>
              <w:jc w:val="left"/>
              <w:rPr>
                <w:rFonts w:eastAsia="Aptos" w:cs="Arial"/>
                <w:sz w:val="20"/>
                <w:szCs w:val="20"/>
              </w:rPr>
            </w:pPr>
            <w:r w:rsidRPr="007B5BE6">
              <w:rPr>
                <w:rFonts w:eastAsia="Aptos" w:cs="Arial"/>
                <w:sz w:val="20"/>
                <w:szCs w:val="20"/>
              </w:rPr>
              <w:t xml:space="preserve">No </w:t>
            </w:r>
          </w:p>
        </w:tc>
      </w:tr>
    </w:tbl>
    <w:p w14:paraId="25CB98D8" w14:textId="776EB8E0" w:rsidR="0053007E" w:rsidRPr="007B5BE6" w:rsidRDefault="0053007E" w:rsidP="0053007E">
      <w:pPr>
        <w:pStyle w:val="NormalNumberedTextTLRI"/>
        <w:rPr>
          <w:b/>
        </w:rPr>
      </w:pPr>
      <w:r w:rsidRPr="007B5BE6">
        <w:t xml:space="preserve">In addition, some jurisdictions have criminal penalties in equivalent legislation governing guardianship, relating to misrepresentations, dishonest use and dishonest inducement. A comparison of offence provisions is shown in Table </w:t>
      </w:r>
      <w:r w:rsidR="0074721E" w:rsidRPr="007B5BE6">
        <w:t>5.</w:t>
      </w:r>
      <w:r w:rsidR="002646D8" w:rsidRPr="007B5BE6">
        <w:t>6</w:t>
      </w:r>
      <w:r w:rsidRPr="007B5BE6">
        <w:t>.</w:t>
      </w:r>
    </w:p>
    <w:p w14:paraId="6E06657B" w14:textId="77777777" w:rsidR="003C3845" w:rsidRPr="007B5BE6" w:rsidRDefault="003C3845" w:rsidP="003C3845">
      <w:pPr>
        <w:pStyle w:val="NormalNumberedTextTLRI"/>
      </w:pPr>
      <w:r w:rsidRPr="007B5BE6">
        <w:t xml:space="preserve">As with criminal offences regarding powers of attorney, offences that criminalise conduct regarding enduring guardianship or administration orders require intentional or dishonest conduct on the part of the guardian or administrator. In the Northern Territory, decision-makers are guilty of an offence if they intentionally engage in conduct that fails to comply with their duties or is contrary to the legislative guiding </w:t>
      </w:r>
      <w:proofErr w:type="gramStart"/>
      <w:r w:rsidRPr="007B5BE6">
        <w:t>principles, and</w:t>
      </w:r>
      <w:proofErr w:type="gramEnd"/>
      <w:r w:rsidRPr="007B5BE6">
        <w:t xml:space="preserve"> are reckless in relation to the adult. These offences also relate to enduring and non-enduring powers of attorney and guardianship.</w:t>
      </w:r>
      <w:r w:rsidRPr="007B5BE6">
        <w:rPr>
          <w:rStyle w:val="FootnoteReference"/>
        </w:rPr>
        <w:footnoteReference w:id="840"/>
      </w:r>
      <w:r w:rsidRPr="007B5BE6">
        <w:t xml:space="preserve"> In Victoria, offences are confined to dishonest use of a guardianship or administration orders.</w:t>
      </w:r>
      <w:r w:rsidRPr="007B5BE6">
        <w:rPr>
          <w:rStyle w:val="FootnoteReference"/>
        </w:rPr>
        <w:footnoteReference w:id="841"/>
      </w:r>
      <w:r w:rsidRPr="007B5BE6">
        <w:t xml:space="preserve">  </w:t>
      </w:r>
    </w:p>
    <w:p w14:paraId="25B6CCB7" w14:textId="77777777" w:rsidR="00B014BE" w:rsidRPr="007B5BE6" w:rsidRDefault="00B014BE">
      <w:pPr>
        <w:spacing w:after="200" w:line="276" w:lineRule="auto"/>
        <w:jc w:val="left"/>
        <w:rPr>
          <w:b/>
        </w:rPr>
      </w:pPr>
      <w:r w:rsidRPr="007B5BE6">
        <w:rPr>
          <w:b/>
        </w:rPr>
        <w:br w:type="page"/>
      </w:r>
    </w:p>
    <w:p w14:paraId="3C216E5E" w14:textId="404B598A" w:rsidR="00660C1C" w:rsidRPr="007B5BE6" w:rsidRDefault="00660C1C" w:rsidP="00D55E3C">
      <w:pPr>
        <w:spacing w:before="240" w:after="240"/>
        <w:rPr>
          <w:b/>
        </w:rPr>
      </w:pPr>
      <w:r w:rsidRPr="007B5BE6">
        <w:rPr>
          <w:b/>
        </w:rPr>
        <w:lastRenderedPageBreak/>
        <w:t xml:space="preserve">Table </w:t>
      </w:r>
      <w:r w:rsidR="00C766B0" w:rsidRPr="007B5BE6">
        <w:rPr>
          <w:b/>
        </w:rPr>
        <w:t>5.</w:t>
      </w:r>
      <w:r w:rsidR="002646D8" w:rsidRPr="007B5BE6">
        <w:rPr>
          <w:b/>
        </w:rPr>
        <w:t>6</w:t>
      </w:r>
      <w:r w:rsidR="00C766B0" w:rsidRPr="007B5BE6">
        <w:rPr>
          <w:b/>
        </w:rPr>
        <w:t>:</w:t>
      </w:r>
      <w:r w:rsidRPr="007B5BE6">
        <w:rPr>
          <w:b/>
        </w:rPr>
        <w:t xml:space="preserve"> Comparison of Australian jurisdictions regarding criminal penalties</w:t>
      </w:r>
      <w:r w:rsidR="00982EC6" w:rsidRPr="007B5BE6">
        <w:rPr>
          <w:b/>
        </w:rPr>
        <w:t xml:space="preserve">: </w:t>
      </w:r>
      <w:r w:rsidRPr="007B5BE6">
        <w:rPr>
          <w:b/>
        </w:rPr>
        <w:t>guardianship</w:t>
      </w:r>
      <w:r w:rsidR="0096576D" w:rsidRPr="007B5BE6">
        <w:rPr>
          <w:b/>
          <w:bCs/>
        </w:rPr>
        <w:t xml:space="preserve"> and admin</w:t>
      </w:r>
      <w:r w:rsidR="001C7A69" w:rsidRPr="007B5BE6">
        <w:rPr>
          <w:b/>
          <w:bCs/>
        </w:rPr>
        <w:t>istrat</w:t>
      </w:r>
      <w:r w:rsidR="00982EC6" w:rsidRPr="007B5BE6">
        <w:rPr>
          <w:b/>
          <w:bCs/>
        </w:rPr>
        <w:t>ion</w:t>
      </w:r>
      <w:r w:rsidR="00C0606B" w:rsidRPr="007B5BE6">
        <w:rPr>
          <w:rStyle w:val="FootnoteReference"/>
          <w:b/>
          <w:bCs/>
        </w:rPr>
        <w:footnoteReference w:id="842"/>
      </w:r>
      <w:r w:rsidRPr="007B5BE6">
        <w:rPr>
          <w:b/>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46"/>
        <w:gridCol w:w="984"/>
        <w:gridCol w:w="1390"/>
        <w:gridCol w:w="845"/>
        <w:gridCol w:w="834"/>
        <w:gridCol w:w="867"/>
        <w:gridCol w:w="667"/>
        <w:gridCol w:w="756"/>
        <w:gridCol w:w="937"/>
      </w:tblGrid>
      <w:tr w:rsidR="00660C1C" w:rsidRPr="007B5BE6" w14:paraId="22F2925E" w14:textId="77777777" w:rsidTr="0092637E">
        <w:tc>
          <w:tcPr>
            <w:tcW w:w="994" w:type="pct"/>
            <w:tcBorders>
              <w:top w:val="single" w:sz="8" w:space="0" w:color="auto"/>
              <w:bottom w:val="single" w:sz="8" w:space="0" w:color="auto"/>
            </w:tcBorders>
            <w:shd w:val="clear" w:color="auto" w:fill="FFFFFF" w:themeFill="background1"/>
          </w:tcPr>
          <w:p w14:paraId="6993DF8B" w14:textId="77777777" w:rsidR="00660C1C" w:rsidRPr="007B5BE6" w:rsidRDefault="00660C1C" w:rsidP="000E4DCD">
            <w:pPr>
              <w:rPr>
                <w:b/>
                <w:sz w:val="20"/>
                <w:szCs w:val="20"/>
              </w:rPr>
            </w:pPr>
            <w:r w:rsidRPr="007B5BE6">
              <w:rPr>
                <w:b/>
                <w:sz w:val="20"/>
                <w:szCs w:val="20"/>
              </w:rPr>
              <w:t xml:space="preserve">Criminal penalties </w:t>
            </w:r>
          </w:p>
        </w:tc>
        <w:tc>
          <w:tcPr>
            <w:tcW w:w="571" w:type="pct"/>
            <w:tcBorders>
              <w:top w:val="single" w:sz="8" w:space="0" w:color="auto"/>
              <w:bottom w:val="single" w:sz="8" w:space="0" w:color="auto"/>
            </w:tcBorders>
            <w:shd w:val="clear" w:color="auto" w:fill="FFFFFF" w:themeFill="background1"/>
          </w:tcPr>
          <w:p w14:paraId="68F3B7B4" w14:textId="6A7BBEC8" w:rsidR="00660C1C" w:rsidRPr="007B5BE6" w:rsidRDefault="00660C1C" w:rsidP="000E4DCD">
            <w:pPr>
              <w:rPr>
                <w:b/>
                <w:sz w:val="20"/>
                <w:szCs w:val="20"/>
              </w:rPr>
            </w:pPr>
            <w:r w:rsidRPr="007B5BE6">
              <w:rPr>
                <w:b/>
                <w:sz w:val="20"/>
                <w:szCs w:val="20"/>
              </w:rPr>
              <w:t>NT</w:t>
            </w:r>
            <w:r w:rsidR="00765DCC" w:rsidRPr="007B5BE6">
              <w:rPr>
                <w:rStyle w:val="FootnoteReference"/>
                <w:b/>
                <w:sz w:val="20"/>
                <w:szCs w:val="20"/>
              </w:rPr>
              <w:footnoteReference w:id="843"/>
            </w:r>
          </w:p>
        </w:tc>
        <w:tc>
          <w:tcPr>
            <w:tcW w:w="796" w:type="pct"/>
            <w:tcBorders>
              <w:top w:val="single" w:sz="8" w:space="0" w:color="auto"/>
              <w:bottom w:val="single" w:sz="8" w:space="0" w:color="auto"/>
            </w:tcBorders>
            <w:shd w:val="clear" w:color="auto" w:fill="FFFFFF" w:themeFill="background1"/>
          </w:tcPr>
          <w:p w14:paraId="68DB56EB" w14:textId="1069B4BC" w:rsidR="00660C1C" w:rsidRPr="007B5BE6" w:rsidRDefault="00660C1C" w:rsidP="000E4DCD">
            <w:pPr>
              <w:rPr>
                <w:b/>
                <w:sz w:val="20"/>
                <w:szCs w:val="20"/>
              </w:rPr>
            </w:pPr>
            <w:r w:rsidRPr="007B5BE6">
              <w:rPr>
                <w:b/>
                <w:sz w:val="20"/>
                <w:szCs w:val="20"/>
              </w:rPr>
              <w:t>VIC</w:t>
            </w:r>
            <w:r w:rsidR="00765DCC" w:rsidRPr="007B5BE6">
              <w:rPr>
                <w:rStyle w:val="FootnoteReference"/>
                <w:b/>
                <w:sz w:val="20"/>
                <w:szCs w:val="20"/>
              </w:rPr>
              <w:footnoteReference w:id="844"/>
            </w:r>
          </w:p>
        </w:tc>
        <w:tc>
          <w:tcPr>
            <w:tcW w:w="464" w:type="pct"/>
            <w:tcBorders>
              <w:top w:val="single" w:sz="8" w:space="0" w:color="auto"/>
              <w:bottom w:val="single" w:sz="8" w:space="0" w:color="auto"/>
            </w:tcBorders>
            <w:shd w:val="clear" w:color="auto" w:fill="FFFFFF" w:themeFill="background1"/>
          </w:tcPr>
          <w:p w14:paraId="41A2701B" w14:textId="34BD9AFB" w:rsidR="00660C1C" w:rsidRPr="007B5BE6" w:rsidRDefault="00660C1C" w:rsidP="000E4DCD">
            <w:pPr>
              <w:rPr>
                <w:b/>
                <w:sz w:val="20"/>
                <w:szCs w:val="20"/>
              </w:rPr>
            </w:pPr>
            <w:r w:rsidRPr="007B5BE6">
              <w:rPr>
                <w:b/>
                <w:sz w:val="20"/>
                <w:szCs w:val="20"/>
              </w:rPr>
              <w:t>QLD</w:t>
            </w:r>
            <w:r w:rsidR="00765DCC" w:rsidRPr="007B5BE6">
              <w:rPr>
                <w:rStyle w:val="FootnoteReference"/>
                <w:b/>
                <w:sz w:val="20"/>
                <w:szCs w:val="20"/>
              </w:rPr>
              <w:footnoteReference w:id="845"/>
            </w:r>
          </w:p>
        </w:tc>
        <w:tc>
          <w:tcPr>
            <w:tcW w:w="464" w:type="pct"/>
            <w:tcBorders>
              <w:top w:val="single" w:sz="8" w:space="0" w:color="auto"/>
              <w:bottom w:val="single" w:sz="8" w:space="0" w:color="auto"/>
            </w:tcBorders>
            <w:shd w:val="clear" w:color="auto" w:fill="FFFFFF" w:themeFill="background1"/>
          </w:tcPr>
          <w:p w14:paraId="0FB38385" w14:textId="4960A14C" w:rsidR="00660C1C" w:rsidRPr="007B5BE6" w:rsidRDefault="00660C1C" w:rsidP="000E4DCD">
            <w:pPr>
              <w:rPr>
                <w:b/>
                <w:sz w:val="20"/>
                <w:szCs w:val="20"/>
              </w:rPr>
            </w:pPr>
            <w:r w:rsidRPr="007B5BE6">
              <w:rPr>
                <w:b/>
                <w:sz w:val="20"/>
                <w:szCs w:val="20"/>
              </w:rPr>
              <w:t>ACT</w:t>
            </w:r>
            <w:r w:rsidR="00765DCC" w:rsidRPr="007B5BE6">
              <w:rPr>
                <w:rStyle w:val="FootnoteReference"/>
                <w:b/>
                <w:sz w:val="20"/>
                <w:szCs w:val="20"/>
              </w:rPr>
              <w:footnoteReference w:id="846"/>
            </w:r>
          </w:p>
        </w:tc>
        <w:tc>
          <w:tcPr>
            <w:tcW w:w="479" w:type="pct"/>
            <w:tcBorders>
              <w:top w:val="single" w:sz="8" w:space="0" w:color="auto"/>
              <w:bottom w:val="single" w:sz="8" w:space="0" w:color="auto"/>
            </w:tcBorders>
            <w:shd w:val="clear" w:color="auto" w:fill="FFFFFF" w:themeFill="background1"/>
          </w:tcPr>
          <w:p w14:paraId="74C93245" w14:textId="2A9930F5" w:rsidR="00660C1C" w:rsidRPr="007B5BE6" w:rsidRDefault="00660C1C" w:rsidP="000E4DCD">
            <w:pPr>
              <w:rPr>
                <w:b/>
                <w:sz w:val="20"/>
                <w:szCs w:val="20"/>
              </w:rPr>
            </w:pPr>
            <w:r w:rsidRPr="007B5BE6">
              <w:rPr>
                <w:b/>
                <w:sz w:val="20"/>
                <w:szCs w:val="20"/>
              </w:rPr>
              <w:t>NSW</w:t>
            </w:r>
            <w:r w:rsidR="00765DCC" w:rsidRPr="007B5BE6">
              <w:rPr>
                <w:rStyle w:val="FootnoteReference"/>
                <w:b/>
                <w:sz w:val="20"/>
                <w:szCs w:val="20"/>
              </w:rPr>
              <w:footnoteReference w:id="847"/>
            </w:r>
          </w:p>
        </w:tc>
        <w:tc>
          <w:tcPr>
            <w:tcW w:w="312" w:type="pct"/>
            <w:tcBorders>
              <w:top w:val="single" w:sz="8" w:space="0" w:color="auto"/>
              <w:bottom w:val="single" w:sz="8" w:space="0" w:color="auto"/>
            </w:tcBorders>
            <w:shd w:val="clear" w:color="auto" w:fill="FFFFFF" w:themeFill="background1"/>
          </w:tcPr>
          <w:p w14:paraId="659A80AB" w14:textId="77777777" w:rsidR="00660C1C" w:rsidRPr="007B5BE6" w:rsidRDefault="00660C1C" w:rsidP="000E4DCD">
            <w:pPr>
              <w:rPr>
                <w:b/>
                <w:sz w:val="20"/>
                <w:szCs w:val="20"/>
              </w:rPr>
            </w:pPr>
            <w:r w:rsidRPr="007B5BE6">
              <w:rPr>
                <w:b/>
                <w:sz w:val="20"/>
                <w:szCs w:val="20"/>
              </w:rPr>
              <w:t>SA</w:t>
            </w:r>
            <w:r w:rsidRPr="007B5BE6">
              <w:rPr>
                <w:rStyle w:val="FootnoteReference"/>
                <w:b/>
                <w:sz w:val="20"/>
              </w:rPr>
              <w:footnoteReference w:id="848"/>
            </w:r>
          </w:p>
        </w:tc>
        <w:tc>
          <w:tcPr>
            <w:tcW w:w="351" w:type="pct"/>
            <w:tcBorders>
              <w:top w:val="single" w:sz="8" w:space="0" w:color="auto"/>
              <w:bottom w:val="single" w:sz="8" w:space="0" w:color="auto"/>
            </w:tcBorders>
            <w:shd w:val="clear" w:color="auto" w:fill="FFFFFF" w:themeFill="background1"/>
          </w:tcPr>
          <w:p w14:paraId="734706D8" w14:textId="77777777" w:rsidR="00660C1C" w:rsidRPr="007B5BE6" w:rsidRDefault="00660C1C" w:rsidP="000E4DCD">
            <w:pPr>
              <w:rPr>
                <w:b/>
                <w:sz w:val="20"/>
                <w:szCs w:val="20"/>
              </w:rPr>
            </w:pPr>
            <w:r w:rsidRPr="007B5BE6">
              <w:rPr>
                <w:b/>
                <w:sz w:val="20"/>
                <w:szCs w:val="20"/>
              </w:rPr>
              <w:t>WA</w:t>
            </w:r>
            <w:r w:rsidRPr="007B5BE6">
              <w:rPr>
                <w:rStyle w:val="FootnoteReference"/>
                <w:b/>
                <w:sz w:val="20"/>
              </w:rPr>
              <w:footnoteReference w:id="849"/>
            </w:r>
          </w:p>
        </w:tc>
        <w:tc>
          <w:tcPr>
            <w:tcW w:w="569" w:type="pct"/>
            <w:tcBorders>
              <w:top w:val="single" w:sz="8" w:space="0" w:color="auto"/>
              <w:bottom w:val="single" w:sz="8" w:space="0" w:color="auto"/>
            </w:tcBorders>
            <w:shd w:val="clear" w:color="auto" w:fill="FFFFFF" w:themeFill="background1"/>
          </w:tcPr>
          <w:p w14:paraId="06DE8DCC" w14:textId="08A1E410" w:rsidR="00660C1C" w:rsidRPr="007B5BE6" w:rsidRDefault="00660C1C" w:rsidP="000E4DCD">
            <w:pPr>
              <w:rPr>
                <w:b/>
                <w:sz w:val="20"/>
                <w:szCs w:val="20"/>
              </w:rPr>
            </w:pPr>
            <w:r w:rsidRPr="007B5BE6">
              <w:rPr>
                <w:b/>
                <w:sz w:val="20"/>
                <w:szCs w:val="20"/>
              </w:rPr>
              <w:t>TAS</w:t>
            </w:r>
            <w:r w:rsidR="00415DC1" w:rsidRPr="007B5BE6">
              <w:rPr>
                <w:rStyle w:val="FootnoteReference"/>
                <w:b/>
                <w:sz w:val="20"/>
                <w:szCs w:val="20"/>
              </w:rPr>
              <w:footnoteReference w:id="850"/>
            </w:r>
            <w:r w:rsidRPr="007B5BE6">
              <w:rPr>
                <w:b/>
                <w:sz w:val="20"/>
                <w:szCs w:val="20"/>
              </w:rPr>
              <w:t xml:space="preserve"> </w:t>
            </w:r>
          </w:p>
        </w:tc>
      </w:tr>
      <w:tr w:rsidR="00660C1C" w:rsidRPr="007B5BE6" w14:paraId="304561FC" w14:textId="77777777" w:rsidTr="0092637E">
        <w:tc>
          <w:tcPr>
            <w:tcW w:w="994" w:type="pct"/>
            <w:tcBorders>
              <w:top w:val="single" w:sz="8" w:space="0" w:color="auto"/>
            </w:tcBorders>
          </w:tcPr>
          <w:p w14:paraId="4EE5F005" w14:textId="695FD76F" w:rsidR="00660C1C" w:rsidRPr="007B5BE6" w:rsidRDefault="00660C1C" w:rsidP="00C36293">
            <w:pPr>
              <w:jc w:val="left"/>
              <w:rPr>
                <w:sz w:val="20"/>
                <w:szCs w:val="20"/>
              </w:rPr>
            </w:pPr>
            <w:r w:rsidRPr="007B5BE6">
              <w:rPr>
                <w:sz w:val="20"/>
                <w:szCs w:val="20"/>
              </w:rPr>
              <w:t>Relating to misrepresentation (</w:t>
            </w:r>
            <w:r w:rsidR="0037757E" w:rsidRPr="007B5BE6">
              <w:rPr>
                <w:sz w:val="20"/>
                <w:szCs w:val="20"/>
              </w:rPr>
              <w:t>that is,</w:t>
            </w:r>
            <w:r w:rsidRPr="007B5BE6">
              <w:rPr>
                <w:sz w:val="20"/>
                <w:szCs w:val="20"/>
              </w:rPr>
              <w:t xml:space="preserve"> wrongly representing oneself as a guardian or a decision maker)</w:t>
            </w:r>
          </w:p>
        </w:tc>
        <w:tc>
          <w:tcPr>
            <w:tcW w:w="571" w:type="pct"/>
            <w:tcBorders>
              <w:top w:val="single" w:sz="8" w:space="0" w:color="auto"/>
            </w:tcBorders>
          </w:tcPr>
          <w:p w14:paraId="6635E1C8" w14:textId="77777777" w:rsidR="00660C1C" w:rsidRPr="007B5BE6" w:rsidRDefault="00660C1C" w:rsidP="00C36293">
            <w:pPr>
              <w:jc w:val="left"/>
              <w:rPr>
                <w:sz w:val="20"/>
                <w:szCs w:val="20"/>
              </w:rPr>
            </w:pPr>
            <w:r w:rsidRPr="007B5BE6">
              <w:rPr>
                <w:sz w:val="20"/>
                <w:szCs w:val="20"/>
              </w:rPr>
              <w:t>Yes</w:t>
            </w:r>
          </w:p>
        </w:tc>
        <w:tc>
          <w:tcPr>
            <w:tcW w:w="796" w:type="pct"/>
            <w:tcBorders>
              <w:top w:val="single" w:sz="8" w:space="0" w:color="auto"/>
            </w:tcBorders>
          </w:tcPr>
          <w:p w14:paraId="3C239A10" w14:textId="77777777" w:rsidR="00660C1C" w:rsidRPr="007B5BE6" w:rsidRDefault="00660C1C" w:rsidP="00C36293">
            <w:pPr>
              <w:jc w:val="left"/>
              <w:rPr>
                <w:sz w:val="20"/>
                <w:szCs w:val="20"/>
              </w:rPr>
            </w:pPr>
            <w:r w:rsidRPr="007B5BE6">
              <w:rPr>
                <w:sz w:val="20"/>
                <w:szCs w:val="20"/>
              </w:rPr>
              <w:t>No</w:t>
            </w:r>
          </w:p>
        </w:tc>
        <w:tc>
          <w:tcPr>
            <w:tcW w:w="464" w:type="pct"/>
            <w:tcBorders>
              <w:top w:val="single" w:sz="8" w:space="0" w:color="auto"/>
            </w:tcBorders>
          </w:tcPr>
          <w:p w14:paraId="3CDA1A93" w14:textId="77777777" w:rsidR="00660C1C" w:rsidRPr="007B5BE6" w:rsidRDefault="00660C1C" w:rsidP="00C36293">
            <w:pPr>
              <w:jc w:val="left"/>
              <w:rPr>
                <w:sz w:val="20"/>
                <w:szCs w:val="20"/>
              </w:rPr>
            </w:pPr>
            <w:r w:rsidRPr="007B5BE6">
              <w:rPr>
                <w:sz w:val="20"/>
                <w:szCs w:val="20"/>
              </w:rPr>
              <w:t>No</w:t>
            </w:r>
          </w:p>
        </w:tc>
        <w:tc>
          <w:tcPr>
            <w:tcW w:w="464" w:type="pct"/>
            <w:tcBorders>
              <w:top w:val="single" w:sz="8" w:space="0" w:color="auto"/>
            </w:tcBorders>
          </w:tcPr>
          <w:p w14:paraId="163A4D2D" w14:textId="77777777" w:rsidR="00660C1C" w:rsidRPr="007B5BE6" w:rsidRDefault="00660C1C" w:rsidP="00C36293">
            <w:pPr>
              <w:jc w:val="left"/>
              <w:rPr>
                <w:sz w:val="20"/>
                <w:szCs w:val="20"/>
              </w:rPr>
            </w:pPr>
            <w:r w:rsidRPr="007B5BE6">
              <w:rPr>
                <w:sz w:val="20"/>
                <w:szCs w:val="20"/>
              </w:rPr>
              <w:t xml:space="preserve">No </w:t>
            </w:r>
          </w:p>
        </w:tc>
        <w:tc>
          <w:tcPr>
            <w:tcW w:w="479" w:type="pct"/>
            <w:tcBorders>
              <w:top w:val="single" w:sz="8" w:space="0" w:color="auto"/>
            </w:tcBorders>
          </w:tcPr>
          <w:p w14:paraId="55AF6DAB" w14:textId="77777777" w:rsidR="00660C1C" w:rsidRPr="007B5BE6" w:rsidRDefault="00660C1C" w:rsidP="00C36293">
            <w:pPr>
              <w:jc w:val="left"/>
              <w:rPr>
                <w:sz w:val="20"/>
                <w:szCs w:val="20"/>
              </w:rPr>
            </w:pPr>
            <w:r w:rsidRPr="007B5BE6">
              <w:rPr>
                <w:sz w:val="20"/>
                <w:szCs w:val="20"/>
              </w:rPr>
              <w:t>No</w:t>
            </w:r>
          </w:p>
        </w:tc>
        <w:tc>
          <w:tcPr>
            <w:tcW w:w="312" w:type="pct"/>
            <w:tcBorders>
              <w:top w:val="single" w:sz="8" w:space="0" w:color="auto"/>
            </w:tcBorders>
          </w:tcPr>
          <w:p w14:paraId="460F2D69" w14:textId="77777777" w:rsidR="00660C1C" w:rsidRPr="007B5BE6" w:rsidRDefault="00660C1C" w:rsidP="00C36293">
            <w:pPr>
              <w:jc w:val="left"/>
              <w:rPr>
                <w:sz w:val="20"/>
                <w:szCs w:val="20"/>
              </w:rPr>
            </w:pPr>
            <w:r w:rsidRPr="007B5BE6">
              <w:rPr>
                <w:sz w:val="20"/>
                <w:szCs w:val="20"/>
              </w:rPr>
              <w:t>No</w:t>
            </w:r>
          </w:p>
        </w:tc>
        <w:tc>
          <w:tcPr>
            <w:tcW w:w="351" w:type="pct"/>
            <w:tcBorders>
              <w:top w:val="single" w:sz="8" w:space="0" w:color="auto"/>
            </w:tcBorders>
          </w:tcPr>
          <w:p w14:paraId="4F4DEB63" w14:textId="77777777" w:rsidR="00660C1C" w:rsidRPr="007B5BE6" w:rsidRDefault="00660C1C" w:rsidP="00C36293">
            <w:pPr>
              <w:jc w:val="left"/>
              <w:rPr>
                <w:sz w:val="20"/>
                <w:szCs w:val="20"/>
              </w:rPr>
            </w:pPr>
            <w:r w:rsidRPr="007B5BE6">
              <w:rPr>
                <w:sz w:val="20"/>
                <w:szCs w:val="20"/>
              </w:rPr>
              <w:t>No</w:t>
            </w:r>
          </w:p>
        </w:tc>
        <w:tc>
          <w:tcPr>
            <w:tcW w:w="569" w:type="pct"/>
            <w:tcBorders>
              <w:top w:val="single" w:sz="8" w:space="0" w:color="auto"/>
            </w:tcBorders>
          </w:tcPr>
          <w:p w14:paraId="7B4C116C" w14:textId="77777777" w:rsidR="00660C1C" w:rsidRPr="007B5BE6" w:rsidRDefault="00660C1C" w:rsidP="00C36293">
            <w:pPr>
              <w:jc w:val="left"/>
              <w:rPr>
                <w:sz w:val="20"/>
                <w:szCs w:val="20"/>
              </w:rPr>
            </w:pPr>
            <w:r w:rsidRPr="007B5BE6">
              <w:rPr>
                <w:sz w:val="20"/>
                <w:szCs w:val="20"/>
              </w:rPr>
              <w:t>No</w:t>
            </w:r>
          </w:p>
        </w:tc>
      </w:tr>
      <w:tr w:rsidR="00660C1C" w:rsidRPr="007B5BE6" w14:paraId="79C586F1" w14:textId="77777777" w:rsidTr="00C36293">
        <w:tc>
          <w:tcPr>
            <w:tcW w:w="994" w:type="pct"/>
          </w:tcPr>
          <w:p w14:paraId="70CCBCDD" w14:textId="3DC42591" w:rsidR="00660C1C" w:rsidRPr="007B5BE6" w:rsidRDefault="00660C1C" w:rsidP="00C36293">
            <w:pPr>
              <w:jc w:val="left"/>
              <w:rPr>
                <w:sz w:val="20"/>
                <w:szCs w:val="20"/>
              </w:rPr>
            </w:pPr>
            <w:r w:rsidRPr="007B5BE6">
              <w:rPr>
                <w:sz w:val="20"/>
                <w:szCs w:val="20"/>
              </w:rPr>
              <w:t>Dishonest use/improper exercise of authority as guardian or decision-maker under enduring guardianship document</w:t>
            </w:r>
          </w:p>
          <w:p w14:paraId="79764C97" w14:textId="77777777" w:rsidR="00660C1C" w:rsidRPr="007B5BE6" w:rsidDel="002E309C" w:rsidRDefault="00660C1C" w:rsidP="00C36293">
            <w:pPr>
              <w:jc w:val="left"/>
              <w:rPr>
                <w:sz w:val="20"/>
                <w:szCs w:val="20"/>
              </w:rPr>
            </w:pPr>
          </w:p>
        </w:tc>
        <w:tc>
          <w:tcPr>
            <w:tcW w:w="571" w:type="pct"/>
          </w:tcPr>
          <w:p w14:paraId="4A6522AF" w14:textId="77777777" w:rsidR="00660C1C" w:rsidRPr="007B5BE6" w:rsidRDefault="00660C1C" w:rsidP="00C36293">
            <w:pPr>
              <w:jc w:val="left"/>
              <w:rPr>
                <w:sz w:val="20"/>
                <w:szCs w:val="20"/>
              </w:rPr>
            </w:pPr>
            <w:r w:rsidRPr="007B5BE6">
              <w:rPr>
                <w:sz w:val="20"/>
                <w:szCs w:val="20"/>
              </w:rPr>
              <w:t>Yes (guardian and decision maker under advance personal plan)</w:t>
            </w:r>
          </w:p>
        </w:tc>
        <w:tc>
          <w:tcPr>
            <w:tcW w:w="796" w:type="pct"/>
          </w:tcPr>
          <w:p w14:paraId="24F067B8" w14:textId="77777777" w:rsidR="00660C1C" w:rsidRPr="007B5BE6" w:rsidRDefault="00660C1C" w:rsidP="00C36293">
            <w:pPr>
              <w:jc w:val="left"/>
              <w:rPr>
                <w:sz w:val="20"/>
                <w:szCs w:val="20"/>
              </w:rPr>
            </w:pPr>
            <w:r w:rsidRPr="007B5BE6">
              <w:rPr>
                <w:sz w:val="20"/>
                <w:szCs w:val="20"/>
              </w:rPr>
              <w:t xml:space="preserve">Yes (guardian and administrator) </w:t>
            </w:r>
          </w:p>
        </w:tc>
        <w:tc>
          <w:tcPr>
            <w:tcW w:w="464" w:type="pct"/>
          </w:tcPr>
          <w:p w14:paraId="35C7D702" w14:textId="77777777" w:rsidR="00660C1C" w:rsidRPr="007B5BE6" w:rsidRDefault="00660C1C" w:rsidP="00C36293">
            <w:pPr>
              <w:jc w:val="left"/>
              <w:rPr>
                <w:sz w:val="20"/>
                <w:szCs w:val="20"/>
              </w:rPr>
            </w:pPr>
            <w:r w:rsidRPr="007B5BE6">
              <w:rPr>
                <w:sz w:val="20"/>
                <w:szCs w:val="20"/>
              </w:rPr>
              <w:t>Yes (health matter)</w:t>
            </w:r>
          </w:p>
        </w:tc>
        <w:tc>
          <w:tcPr>
            <w:tcW w:w="464" w:type="pct"/>
          </w:tcPr>
          <w:p w14:paraId="4E904769" w14:textId="77777777" w:rsidR="00660C1C" w:rsidRPr="007B5BE6" w:rsidRDefault="00660C1C" w:rsidP="00C36293">
            <w:pPr>
              <w:jc w:val="left"/>
              <w:rPr>
                <w:sz w:val="20"/>
                <w:szCs w:val="20"/>
              </w:rPr>
            </w:pPr>
            <w:r w:rsidRPr="007B5BE6">
              <w:rPr>
                <w:sz w:val="20"/>
                <w:szCs w:val="20"/>
              </w:rPr>
              <w:t>No</w:t>
            </w:r>
          </w:p>
        </w:tc>
        <w:tc>
          <w:tcPr>
            <w:tcW w:w="479" w:type="pct"/>
          </w:tcPr>
          <w:p w14:paraId="10105F43" w14:textId="77777777" w:rsidR="00660C1C" w:rsidRPr="007B5BE6" w:rsidRDefault="00660C1C" w:rsidP="00C36293">
            <w:pPr>
              <w:jc w:val="left"/>
              <w:rPr>
                <w:sz w:val="20"/>
                <w:szCs w:val="20"/>
              </w:rPr>
            </w:pPr>
            <w:r w:rsidRPr="007B5BE6">
              <w:rPr>
                <w:sz w:val="20"/>
                <w:szCs w:val="20"/>
              </w:rPr>
              <w:t>No</w:t>
            </w:r>
          </w:p>
        </w:tc>
        <w:tc>
          <w:tcPr>
            <w:tcW w:w="312" w:type="pct"/>
          </w:tcPr>
          <w:p w14:paraId="5F235831" w14:textId="77777777" w:rsidR="00660C1C" w:rsidRPr="007B5BE6" w:rsidRDefault="00660C1C" w:rsidP="00C36293">
            <w:pPr>
              <w:jc w:val="left"/>
              <w:rPr>
                <w:sz w:val="20"/>
                <w:szCs w:val="20"/>
              </w:rPr>
            </w:pPr>
            <w:r w:rsidRPr="007B5BE6">
              <w:rPr>
                <w:sz w:val="20"/>
                <w:szCs w:val="20"/>
              </w:rPr>
              <w:t>No</w:t>
            </w:r>
          </w:p>
        </w:tc>
        <w:tc>
          <w:tcPr>
            <w:tcW w:w="351" w:type="pct"/>
          </w:tcPr>
          <w:p w14:paraId="69FB3B3F" w14:textId="77777777" w:rsidR="00660C1C" w:rsidRPr="007B5BE6" w:rsidRDefault="00660C1C" w:rsidP="00C36293">
            <w:pPr>
              <w:jc w:val="left"/>
              <w:rPr>
                <w:sz w:val="20"/>
                <w:szCs w:val="20"/>
              </w:rPr>
            </w:pPr>
            <w:r w:rsidRPr="007B5BE6">
              <w:rPr>
                <w:sz w:val="20"/>
                <w:szCs w:val="20"/>
              </w:rPr>
              <w:t>No</w:t>
            </w:r>
          </w:p>
        </w:tc>
        <w:tc>
          <w:tcPr>
            <w:tcW w:w="569" w:type="pct"/>
          </w:tcPr>
          <w:p w14:paraId="661CCBDB" w14:textId="77777777" w:rsidR="00660C1C" w:rsidRPr="007B5BE6" w:rsidRDefault="00660C1C" w:rsidP="00C36293">
            <w:pPr>
              <w:jc w:val="left"/>
              <w:rPr>
                <w:sz w:val="20"/>
                <w:szCs w:val="20"/>
              </w:rPr>
            </w:pPr>
            <w:r w:rsidRPr="007B5BE6">
              <w:rPr>
                <w:sz w:val="20"/>
                <w:szCs w:val="20"/>
              </w:rPr>
              <w:t>No</w:t>
            </w:r>
          </w:p>
        </w:tc>
      </w:tr>
      <w:tr w:rsidR="00660C1C" w:rsidRPr="007B5BE6" w14:paraId="38F31DD0" w14:textId="77777777" w:rsidTr="00C36293">
        <w:tc>
          <w:tcPr>
            <w:tcW w:w="994" w:type="pct"/>
          </w:tcPr>
          <w:p w14:paraId="29D6CB74" w14:textId="76FF3918" w:rsidR="00660C1C" w:rsidRPr="007B5BE6" w:rsidDel="002E309C" w:rsidRDefault="00660C1C" w:rsidP="00C36293">
            <w:pPr>
              <w:jc w:val="left"/>
              <w:rPr>
                <w:sz w:val="20"/>
                <w:szCs w:val="20"/>
              </w:rPr>
            </w:pPr>
            <w:r w:rsidRPr="007B5BE6">
              <w:rPr>
                <w:sz w:val="20"/>
                <w:szCs w:val="20"/>
              </w:rPr>
              <w:t xml:space="preserve">Dishonest inducement of another to make, amend or revoke </w:t>
            </w:r>
            <w:r w:rsidR="003C146E" w:rsidRPr="007B5BE6">
              <w:rPr>
                <w:sz w:val="20"/>
                <w:szCs w:val="20"/>
              </w:rPr>
              <w:t xml:space="preserve">an enduring guardianship </w:t>
            </w:r>
            <w:r w:rsidRPr="007B5BE6">
              <w:rPr>
                <w:sz w:val="20"/>
                <w:szCs w:val="20"/>
              </w:rPr>
              <w:t>and/or to exercise authority as a decision maker contrary to an enduring guardianship document</w:t>
            </w:r>
          </w:p>
        </w:tc>
        <w:tc>
          <w:tcPr>
            <w:tcW w:w="571" w:type="pct"/>
          </w:tcPr>
          <w:p w14:paraId="3047FD61" w14:textId="77777777" w:rsidR="00660C1C" w:rsidRPr="007B5BE6" w:rsidRDefault="00660C1C" w:rsidP="00C36293">
            <w:pPr>
              <w:jc w:val="left"/>
              <w:rPr>
                <w:sz w:val="20"/>
                <w:szCs w:val="20"/>
              </w:rPr>
            </w:pPr>
            <w:r w:rsidRPr="007B5BE6">
              <w:rPr>
                <w:sz w:val="20"/>
                <w:szCs w:val="20"/>
              </w:rPr>
              <w:t>Yes</w:t>
            </w:r>
          </w:p>
        </w:tc>
        <w:tc>
          <w:tcPr>
            <w:tcW w:w="796" w:type="pct"/>
          </w:tcPr>
          <w:p w14:paraId="54D03CB7" w14:textId="77777777" w:rsidR="00660C1C" w:rsidRPr="007B5BE6" w:rsidRDefault="00660C1C" w:rsidP="00C36293">
            <w:pPr>
              <w:jc w:val="left"/>
              <w:rPr>
                <w:sz w:val="20"/>
                <w:szCs w:val="20"/>
              </w:rPr>
            </w:pPr>
            <w:r w:rsidRPr="007B5BE6">
              <w:rPr>
                <w:sz w:val="20"/>
                <w:szCs w:val="20"/>
              </w:rPr>
              <w:t>No</w:t>
            </w:r>
          </w:p>
        </w:tc>
        <w:tc>
          <w:tcPr>
            <w:tcW w:w="464" w:type="pct"/>
          </w:tcPr>
          <w:p w14:paraId="53B62773" w14:textId="77777777" w:rsidR="00660C1C" w:rsidRPr="007B5BE6" w:rsidRDefault="00660C1C" w:rsidP="00C36293">
            <w:pPr>
              <w:jc w:val="left"/>
              <w:rPr>
                <w:sz w:val="20"/>
                <w:szCs w:val="20"/>
              </w:rPr>
            </w:pPr>
            <w:r w:rsidRPr="007B5BE6">
              <w:rPr>
                <w:sz w:val="20"/>
                <w:szCs w:val="20"/>
              </w:rPr>
              <w:t>No</w:t>
            </w:r>
          </w:p>
        </w:tc>
        <w:tc>
          <w:tcPr>
            <w:tcW w:w="464" w:type="pct"/>
          </w:tcPr>
          <w:p w14:paraId="0E1440FF" w14:textId="77777777" w:rsidR="00660C1C" w:rsidRPr="007B5BE6" w:rsidRDefault="00660C1C" w:rsidP="00C36293">
            <w:pPr>
              <w:jc w:val="left"/>
              <w:rPr>
                <w:sz w:val="20"/>
                <w:szCs w:val="20"/>
              </w:rPr>
            </w:pPr>
            <w:r w:rsidRPr="007B5BE6">
              <w:rPr>
                <w:sz w:val="20"/>
                <w:szCs w:val="20"/>
              </w:rPr>
              <w:t>No</w:t>
            </w:r>
          </w:p>
        </w:tc>
        <w:tc>
          <w:tcPr>
            <w:tcW w:w="479" w:type="pct"/>
          </w:tcPr>
          <w:p w14:paraId="3A0E1E6D" w14:textId="77777777" w:rsidR="00660C1C" w:rsidRPr="007B5BE6" w:rsidRDefault="00660C1C" w:rsidP="00C36293">
            <w:pPr>
              <w:jc w:val="left"/>
              <w:rPr>
                <w:sz w:val="20"/>
                <w:szCs w:val="20"/>
              </w:rPr>
            </w:pPr>
            <w:r w:rsidRPr="007B5BE6">
              <w:rPr>
                <w:sz w:val="20"/>
                <w:szCs w:val="20"/>
              </w:rPr>
              <w:t>No</w:t>
            </w:r>
          </w:p>
        </w:tc>
        <w:tc>
          <w:tcPr>
            <w:tcW w:w="312" w:type="pct"/>
          </w:tcPr>
          <w:p w14:paraId="4AB20062" w14:textId="77777777" w:rsidR="00660C1C" w:rsidRPr="007B5BE6" w:rsidRDefault="00660C1C" w:rsidP="00C36293">
            <w:pPr>
              <w:jc w:val="left"/>
              <w:rPr>
                <w:sz w:val="20"/>
                <w:szCs w:val="20"/>
              </w:rPr>
            </w:pPr>
            <w:r w:rsidRPr="007B5BE6">
              <w:rPr>
                <w:sz w:val="20"/>
                <w:szCs w:val="20"/>
              </w:rPr>
              <w:t>No</w:t>
            </w:r>
          </w:p>
        </w:tc>
        <w:tc>
          <w:tcPr>
            <w:tcW w:w="351" w:type="pct"/>
          </w:tcPr>
          <w:p w14:paraId="29C57FB4" w14:textId="77777777" w:rsidR="00660C1C" w:rsidRPr="007B5BE6" w:rsidRDefault="00660C1C" w:rsidP="00C36293">
            <w:pPr>
              <w:jc w:val="left"/>
              <w:rPr>
                <w:sz w:val="20"/>
                <w:szCs w:val="20"/>
              </w:rPr>
            </w:pPr>
            <w:r w:rsidRPr="007B5BE6">
              <w:rPr>
                <w:sz w:val="20"/>
                <w:szCs w:val="20"/>
              </w:rPr>
              <w:t>No</w:t>
            </w:r>
          </w:p>
        </w:tc>
        <w:tc>
          <w:tcPr>
            <w:tcW w:w="569" w:type="pct"/>
          </w:tcPr>
          <w:p w14:paraId="18C0D68A" w14:textId="77777777" w:rsidR="00660C1C" w:rsidRPr="007B5BE6" w:rsidRDefault="00660C1C" w:rsidP="00C36293">
            <w:pPr>
              <w:jc w:val="left"/>
              <w:rPr>
                <w:sz w:val="20"/>
                <w:szCs w:val="20"/>
              </w:rPr>
            </w:pPr>
            <w:r w:rsidRPr="007B5BE6">
              <w:rPr>
                <w:sz w:val="20"/>
                <w:szCs w:val="20"/>
              </w:rPr>
              <w:t>No</w:t>
            </w:r>
          </w:p>
        </w:tc>
      </w:tr>
      <w:tr w:rsidR="00660C1C" w:rsidRPr="007B5BE6" w14:paraId="58714B06" w14:textId="77777777" w:rsidTr="00C36293">
        <w:tc>
          <w:tcPr>
            <w:tcW w:w="994" w:type="pct"/>
          </w:tcPr>
          <w:p w14:paraId="61CB7872" w14:textId="77777777" w:rsidR="00660C1C" w:rsidRPr="007B5BE6" w:rsidRDefault="00660C1C" w:rsidP="00C36293">
            <w:pPr>
              <w:jc w:val="left"/>
              <w:rPr>
                <w:sz w:val="20"/>
                <w:szCs w:val="20"/>
              </w:rPr>
            </w:pPr>
            <w:r w:rsidRPr="007B5BE6">
              <w:rPr>
                <w:sz w:val="20"/>
                <w:szCs w:val="20"/>
              </w:rPr>
              <w:t xml:space="preserve">Misleading information to an official </w:t>
            </w:r>
          </w:p>
        </w:tc>
        <w:tc>
          <w:tcPr>
            <w:tcW w:w="571" w:type="pct"/>
          </w:tcPr>
          <w:p w14:paraId="55D89CFB" w14:textId="77777777" w:rsidR="00660C1C" w:rsidRPr="007B5BE6" w:rsidRDefault="00660C1C" w:rsidP="00C36293">
            <w:pPr>
              <w:jc w:val="left"/>
              <w:rPr>
                <w:sz w:val="20"/>
                <w:szCs w:val="20"/>
              </w:rPr>
            </w:pPr>
            <w:r w:rsidRPr="007B5BE6">
              <w:rPr>
                <w:sz w:val="20"/>
                <w:szCs w:val="20"/>
              </w:rPr>
              <w:t xml:space="preserve">Yes </w:t>
            </w:r>
          </w:p>
        </w:tc>
        <w:tc>
          <w:tcPr>
            <w:tcW w:w="796" w:type="pct"/>
          </w:tcPr>
          <w:p w14:paraId="720B34C7" w14:textId="77777777" w:rsidR="00660C1C" w:rsidRPr="007B5BE6" w:rsidRDefault="00660C1C" w:rsidP="00C36293">
            <w:pPr>
              <w:jc w:val="left"/>
              <w:rPr>
                <w:sz w:val="20"/>
                <w:szCs w:val="20"/>
              </w:rPr>
            </w:pPr>
            <w:r w:rsidRPr="007B5BE6">
              <w:rPr>
                <w:sz w:val="20"/>
                <w:szCs w:val="20"/>
              </w:rPr>
              <w:t>No</w:t>
            </w:r>
          </w:p>
        </w:tc>
        <w:tc>
          <w:tcPr>
            <w:tcW w:w="464" w:type="pct"/>
          </w:tcPr>
          <w:p w14:paraId="32F4B034" w14:textId="77777777" w:rsidR="00660C1C" w:rsidRPr="007B5BE6" w:rsidRDefault="00660C1C" w:rsidP="00C36293">
            <w:pPr>
              <w:jc w:val="left"/>
              <w:rPr>
                <w:sz w:val="20"/>
                <w:szCs w:val="20"/>
              </w:rPr>
            </w:pPr>
            <w:r w:rsidRPr="007B5BE6">
              <w:rPr>
                <w:sz w:val="20"/>
                <w:szCs w:val="20"/>
              </w:rPr>
              <w:t>No</w:t>
            </w:r>
          </w:p>
        </w:tc>
        <w:tc>
          <w:tcPr>
            <w:tcW w:w="464" w:type="pct"/>
          </w:tcPr>
          <w:p w14:paraId="701882BF" w14:textId="77777777" w:rsidR="00660C1C" w:rsidRPr="007B5BE6" w:rsidRDefault="00660C1C" w:rsidP="00C36293">
            <w:pPr>
              <w:jc w:val="left"/>
              <w:rPr>
                <w:sz w:val="20"/>
                <w:szCs w:val="20"/>
              </w:rPr>
            </w:pPr>
            <w:r w:rsidRPr="007B5BE6">
              <w:rPr>
                <w:sz w:val="20"/>
                <w:szCs w:val="20"/>
              </w:rPr>
              <w:t>No</w:t>
            </w:r>
          </w:p>
        </w:tc>
        <w:tc>
          <w:tcPr>
            <w:tcW w:w="479" w:type="pct"/>
          </w:tcPr>
          <w:p w14:paraId="775CBAA4" w14:textId="77777777" w:rsidR="00660C1C" w:rsidRPr="007B5BE6" w:rsidRDefault="00660C1C" w:rsidP="00C36293">
            <w:pPr>
              <w:jc w:val="left"/>
              <w:rPr>
                <w:sz w:val="20"/>
                <w:szCs w:val="20"/>
              </w:rPr>
            </w:pPr>
            <w:r w:rsidRPr="007B5BE6">
              <w:rPr>
                <w:sz w:val="20"/>
                <w:szCs w:val="20"/>
              </w:rPr>
              <w:t xml:space="preserve">No </w:t>
            </w:r>
          </w:p>
        </w:tc>
        <w:tc>
          <w:tcPr>
            <w:tcW w:w="312" w:type="pct"/>
          </w:tcPr>
          <w:p w14:paraId="3B711D17" w14:textId="77777777" w:rsidR="00660C1C" w:rsidRPr="007B5BE6" w:rsidRDefault="00660C1C" w:rsidP="00C36293">
            <w:pPr>
              <w:jc w:val="left"/>
              <w:rPr>
                <w:sz w:val="20"/>
                <w:szCs w:val="20"/>
              </w:rPr>
            </w:pPr>
            <w:r w:rsidRPr="007B5BE6">
              <w:rPr>
                <w:sz w:val="20"/>
                <w:szCs w:val="20"/>
              </w:rPr>
              <w:t>No</w:t>
            </w:r>
          </w:p>
        </w:tc>
        <w:tc>
          <w:tcPr>
            <w:tcW w:w="351" w:type="pct"/>
          </w:tcPr>
          <w:p w14:paraId="7D75CA67" w14:textId="77777777" w:rsidR="00660C1C" w:rsidRPr="007B5BE6" w:rsidRDefault="00660C1C" w:rsidP="00C36293">
            <w:pPr>
              <w:jc w:val="left"/>
              <w:rPr>
                <w:sz w:val="20"/>
                <w:szCs w:val="20"/>
              </w:rPr>
            </w:pPr>
            <w:r w:rsidRPr="007B5BE6">
              <w:rPr>
                <w:sz w:val="20"/>
                <w:szCs w:val="20"/>
              </w:rPr>
              <w:t xml:space="preserve">No </w:t>
            </w:r>
          </w:p>
        </w:tc>
        <w:tc>
          <w:tcPr>
            <w:tcW w:w="569" w:type="pct"/>
          </w:tcPr>
          <w:p w14:paraId="2AE2C376" w14:textId="77777777" w:rsidR="00660C1C" w:rsidRPr="007B5BE6" w:rsidRDefault="00660C1C" w:rsidP="00C36293">
            <w:pPr>
              <w:jc w:val="left"/>
              <w:rPr>
                <w:sz w:val="20"/>
                <w:szCs w:val="20"/>
              </w:rPr>
            </w:pPr>
            <w:r w:rsidRPr="007B5BE6">
              <w:rPr>
                <w:sz w:val="20"/>
                <w:szCs w:val="20"/>
              </w:rPr>
              <w:t>No</w:t>
            </w:r>
          </w:p>
        </w:tc>
      </w:tr>
    </w:tbl>
    <w:p w14:paraId="48991B82" w14:textId="7695352D" w:rsidR="006B7519" w:rsidRPr="007B5BE6" w:rsidRDefault="006B7519" w:rsidP="00D802F3">
      <w:pPr>
        <w:pStyle w:val="Sub-HeadingTLRI"/>
        <w:spacing w:before="360"/>
      </w:pPr>
      <w:bookmarkStart w:id="632" w:name="_Toc212561834"/>
      <w:r w:rsidRPr="007B5BE6">
        <w:lastRenderedPageBreak/>
        <w:t>TLRI’s views and recommendations</w:t>
      </w:r>
      <w:bookmarkEnd w:id="632"/>
    </w:p>
    <w:p w14:paraId="6F7E857D" w14:textId="32ED0894" w:rsidR="006B7519" w:rsidRPr="007B5BE6" w:rsidRDefault="008A18D3" w:rsidP="00887408">
      <w:pPr>
        <w:pStyle w:val="NormalNumberedTextTLRI"/>
        <w:rPr>
          <w:i/>
        </w:rPr>
      </w:pPr>
      <w:r w:rsidRPr="007B5BE6">
        <w:t>As with enduring powers of attorney, the TLRI observes that while guardianship and administration have a protective benefit, they can also facilitate abuse</w:t>
      </w:r>
      <w:r w:rsidR="000E61DD" w:rsidRPr="007B5BE6">
        <w:t xml:space="preserve">. </w:t>
      </w:r>
      <w:r w:rsidR="00887408" w:rsidRPr="007B5BE6">
        <w:t xml:space="preserve">The TLRI acknowledges </w:t>
      </w:r>
      <w:r w:rsidR="0006593A" w:rsidRPr="007B5BE6">
        <w:t xml:space="preserve">recent </w:t>
      </w:r>
      <w:r w:rsidR="0069381B" w:rsidRPr="007B5BE6">
        <w:t xml:space="preserve">reforms made to the </w:t>
      </w:r>
      <w:r w:rsidR="00F71B49" w:rsidRPr="007B5BE6">
        <w:rPr>
          <w:i/>
        </w:rPr>
        <w:t>Guardianship and Administration Act 1995</w:t>
      </w:r>
      <w:r w:rsidR="00F71B49" w:rsidRPr="007B5BE6">
        <w:t xml:space="preserve"> (Tas) </w:t>
      </w:r>
      <w:r w:rsidR="006F51D3" w:rsidRPr="007B5BE6">
        <w:t>in relation to guardianship</w:t>
      </w:r>
      <w:r w:rsidR="00F71B49" w:rsidRPr="007B5BE6">
        <w:t xml:space="preserve"> </w:t>
      </w:r>
      <w:r w:rsidR="00D873A6" w:rsidRPr="007B5BE6">
        <w:t>and administration</w:t>
      </w:r>
      <w:r w:rsidR="00D14422" w:rsidRPr="007B5BE6">
        <w:t xml:space="preserve">. </w:t>
      </w:r>
      <w:r w:rsidRPr="007B5BE6">
        <w:t>However, the</w:t>
      </w:r>
      <w:r w:rsidR="00043B32" w:rsidRPr="007B5BE6">
        <w:t>re are limited criminal offence</w:t>
      </w:r>
      <w:r w:rsidR="0006593A" w:rsidRPr="007B5BE6">
        <w:t xml:space="preserve"> provisions</w:t>
      </w:r>
      <w:r w:rsidR="00043B32" w:rsidRPr="007B5BE6">
        <w:t xml:space="preserve"> </w:t>
      </w:r>
      <w:r w:rsidR="00644464" w:rsidRPr="007B5BE6">
        <w:t xml:space="preserve">(other than </w:t>
      </w:r>
      <w:r w:rsidR="0006593A" w:rsidRPr="007B5BE6">
        <w:t xml:space="preserve">those that relate to </w:t>
      </w:r>
      <w:r w:rsidR="00644464" w:rsidRPr="007B5BE6">
        <w:t>record keeping)</w:t>
      </w:r>
      <w:r w:rsidR="00043B32" w:rsidRPr="007B5BE6">
        <w:t xml:space="preserve"> and </w:t>
      </w:r>
      <w:r w:rsidR="00B84F70" w:rsidRPr="007B5BE6">
        <w:t>no provisions for compensation</w:t>
      </w:r>
      <w:r w:rsidR="0034089C" w:rsidRPr="007B5BE6">
        <w:t>. The TLRI notes it</w:t>
      </w:r>
      <w:r w:rsidR="00B07174" w:rsidRPr="007B5BE6">
        <w:t xml:space="preserve">s previous views in this regard, </w:t>
      </w:r>
      <w:r w:rsidR="0006593A" w:rsidRPr="007B5BE6">
        <w:t>and recommendations that</w:t>
      </w:r>
      <w:r w:rsidR="00B07174" w:rsidRPr="007B5BE6">
        <w:t xml:space="preserve"> </w:t>
      </w:r>
      <w:r w:rsidR="003315D0" w:rsidRPr="007B5BE6">
        <w:t>support</w:t>
      </w:r>
      <w:r w:rsidR="00B07174" w:rsidRPr="007B5BE6">
        <w:t xml:space="preserve">ed </w:t>
      </w:r>
      <w:r w:rsidR="003315D0" w:rsidRPr="007B5BE6">
        <w:t xml:space="preserve">further consideration </w:t>
      </w:r>
      <w:r w:rsidR="00B07174" w:rsidRPr="007B5BE6">
        <w:t xml:space="preserve">of </w:t>
      </w:r>
      <w:r w:rsidR="0006593A" w:rsidRPr="007B5BE6">
        <w:t>the option of introducing</w:t>
      </w:r>
      <w:r w:rsidR="003315D0" w:rsidRPr="007B5BE6">
        <w:t xml:space="preserve"> criminal offences following </w:t>
      </w:r>
      <w:r w:rsidR="00B07174" w:rsidRPr="007B5BE6">
        <w:t>the review by</w:t>
      </w:r>
      <w:r w:rsidR="003315D0" w:rsidRPr="007B5BE6">
        <w:t xml:space="preserve"> the </w:t>
      </w:r>
      <w:r w:rsidR="00B07174" w:rsidRPr="007B5BE6">
        <w:t>Standing  Committee</w:t>
      </w:r>
      <w:r w:rsidR="0006593A" w:rsidRPr="007B5BE6">
        <w:t xml:space="preserve"> of Attorneys-General</w:t>
      </w:r>
      <w:r w:rsidR="003315D0" w:rsidRPr="007B5BE6">
        <w:t>.</w:t>
      </w:r>
      <w:r w:rsidR="003315D0" w:rsidRPr="007B5BE6">
        <w:rPr>
          <w:rStyle w:val="FootnoteReference"/>
        </w:rPr>
        <w:footnoteReference w:id="851"/>
      </w:r>
      <w:r w:rsidR="00C926B8" w:rsidRPr="007B5BE6">
        <w:t xml:space="preserve"> </w:t>
      </w:r>
      <w:r w:rsidR="003315D0" w:rsidRPr="007B5BE6">
        <w:t xml:space="preserve">In relation to civil compensation, the TLRI </w:t>
      </w:r>
      <w:r w:rsidR="00B07174" w:rsidRPr="007B5BE6">
        <w:t>previously</w:t>
      </w:r>
      <w:r w:rsidR="003315D0" w:rsidRPr="007B5BE6">
        <w:t xml:space="preserve"> recommended that </w:t>
      </w:r>
      <w:r w:rsidR="0006593A" w:rsidRPr="007B5BE6">
        <w:t xml:space="preserve">providing </w:t>
      </w:r>
      <w:r w:rsidR="00B07174" w:rsidRPr="007B5BE6">
        <w:t>TASCAT</w:t>
      </w:r>
      <w:r w:rsidR="0006593A" w:rsidRPr="007B5BE6">
        <w:t xml:space="preserve"> with a power to a</w:t>
      </w:r>
      <w:r w:rsidR="003315D0" w:rsidRPr="007B5BE6">
        <w:t>ward remedies</w:t>
      </w:r>
      <w:r w:rsidR="0006593A" w:rsidRPr="007B5BE6">
        <w:t>,</w:t>
      </w:r>
      <w:r w:rsidR="003315D0" w:rsidRPr="007B5BE6">
        <w:t xml:space="preserve"> where a represented person suffers financial loss because of the actions of a representative</w:t>
      </w:r>
      <w:r w:rsidR="0006593A" w:rsidRPr="007B5BE6">
        <w:t>,</w:t>
      </w:r>
      <w:r w:rsidR="003315D0" w:rsidRPr="007B5BE6">
        <w:t xml:space="preserve"> be considered as part </w:t>
      </w:r>
      <w:r w:rsidR="0006593A" w:rsidRPr="007B5BE6">
        <w:t>its establishment.</w:t>
      </w:r>
      <w:r w:rsidR="003315D0" w:rsidRPr="007B5BE6">
        <w:rPr>
          <w:rStyle w:val="FootnoteReference"/>
        </w:rPr>
        <w:footnoteReference w:id="852"/>
      </w:r>
      <w:r w:rsidR="003315D0" w:rsidRPr="007B5BE6">
        <w:t xml:space="preserve">  </w:t>
      </w:r>
      <w:r w:rsidR="00D14422" w:rsidRPr="007B5BE6">
        <w:t xml:space="preserve"> </w:t>
      </w:r>
    </w:p>
    <w:p w14:paraId="5F592E99" w14:textId="2A5930A2" w:rsidR="0047221D" w:rsidRPr="007B5BE6" w:rsidRDefault="00252C07" w:rsidP="0047221D">
      <w:pPr>
        <w:pStyle w:val="NormalNumberedTextTLRI"/>
      </w:pPr>
      <w:r w:rsidRPr="007B5BE6">
        <w:t xml:space="preserve">Based on its </w:t>
      </w:r>
      <w:r w:rsidR="00E45DB1" w:rsidRPr="007B5BE6">
        <w:t>research</w:t>
      </w:r>
      <w:r w:rsidRPr="007B5BE6">
        <w:t xml:space="preserve"> and </w:t>
      </w:r>
      <w:r w:rsidR="00447409" w:rsidRPr="007B5BE6">
        <w:t xml:space="preserve">stakeholders’ </w:t>
      </w:r>
      <w:r w:rsidRPr="007B5BE6">
        <w:t>feedback</w:t>
      </w:r>
      <w:r w:rsidR="00447409" w:rsidRPr="007B5BE6">
        <w:t xml:space="preserve"> in interviews</w:t>
      </w:r>
      <w:r w:rsidRPr="007B5BE6">
        <w:t xml:space="preserve">, the TLRI reiterates its previous recommendation that </w:t>
      </w:r>
      <w:r w:rsidR="00F11086" w:rsidRPr="007B5BE6">
        <w:t xml:space="preserve">TASCAT should have the ability to </w:t>
      </w:r>
      <w:r w:rsidR="00600B24" w:rsidRPr="007B5BE6">
        <w:t>provide redress</w:t>
      </w:r>
      <w:r w:rsidR="00F22F81" w:rsidRPr="007B5BE6">
        <w:t xml:space="preserve"> where a </w:t>
      </w:r>
      <w:r w:rsidR="0018433A" w:rsidRPr="007B5BE6">
        <w:t>person</w:t>
      </w:r>
      <w:r w:rsidR="00F22F81" w:rsidRPr="007B5BE6">
        <w:t xml:space="preserve"> suffers financial loss as the result </w:t>
      </w:r>
      <w:r w:rsidR="0018433A" w:rsidRPr="007B5BE6">
        <w:t>of</w:t>
      </w:r>
      <w:r w:rsidR="00F22F81" w:rsidRPr="007B5BE6">
        <w:t xml:space="preserve"> the actions of a guardian or </w:t>
      </w:r>
      <w:r w:rsidR="00DC72BC" w:rsidRPr="007B5BE6">
        <w:t>administrator.</w:t>
      </w:r>
      <w:r w:rsidR="00DC72BC" w:rsidRPr="007B5BE6">
        <w:rPr>
          <w:rStyle w:val="FootnoteReference"/>
        </w:rPr>
        <w:footnoteReference w:id="853"/>
      </w:r>
      <w:r w:rsidR="00EE0649" w:rsidRPr="007B5BE6">
        <w:t xml:space="preserve"> In relation to criminal offences</w:t>
      </w:r>
      <w:r w:rsidR="009D7511" w:rsidRPr="007B5BE6">
        <w:t xml:space="preserve">, the TLRI notes that this matter is still under the consideration of the Standing Committee of </w:t>
      </w:r>
      <w:r w:rsidR="00F01868" w:rsidRPr="007B5BE6">
        <w:t>Attorneys</w:t>
      </w:r>
      <w:r w:rsidR="00447409" w:rsidRPr="007B5BE6">
        <w:t>-</w:t>
      </w:r>
      <w:r w:rsidR="009D7511" w:rsidRPr="007B5BE6">
        <w:t>General</w:t>
      </w:r>
      <w:r w:rsidR="008F0F95" w:rsidRPr="007B5BE6">
        <w:t xml:space="preserve">. However, </w:t>
      </w:r>
      <w:r w:rsidR="00F01868" w:rsidRPr="007B5BE6">
        <w:t xml:space="preserve">consistent with its recommendations </w:t>
      </w:r>
      <w:r w:rsidR="00447409" w:rsidRPr="007B5BE6">
        <w:t xml:space="preserve">in this Research Paper </w:t>
      </w:r>
      <w:r w:rsidR="00F01868" w:rsidRPr="007B5BE6">
        <w:t xml:space="preserve">concerning enduring powers of attorney, the TLRI’s view is that </w:t>
      </w:r>
      <w:r w:rsidR="00D81F17" w:rsidRPr="007B5BE6">
        <w:t xml:space="preserve">criminal offences should be created </w:t>
      </w:r>
      <w:r w:rsidR="007A0B9E" w:rsidRPr="007B5BE6">
        <w:t xml:space="preserve">in relation to the abuse </w:t>
      </w:r>
      <w:r w:rsidR="009D04DA" w:rsidRPr="007B5BE6">
        <w:t>or misuse of powers under an administration</w:t>
      </w:r>
      <w:r w:rsidR="00FD245B" w:rsidRPr="007B5BE6">
        <w:t xml:space="preserve"> order</w:t>
      </w:r>
      <w:r w:rsidR="009D04DA" w:rsidRPr="007B5BE6">
        <w:t xml:space="preserve"> or guardian</w:t>
      </w:r>
      <w:r w:rsidR="00960FDE" w:rsidRPr="007B5BE6">
        <w:t xml:space="preserve">ship. As </w:t>
      </w:r>
      <w:r w:rsidR="00FD245B" w:rsidRPr="007B5BE6">
        <w:t xml:space="preserve">is the case in equivalent offences in </w:t>
      </w:r>
      <w:r w:rsidR="00960FDE" w:rsidRPr="007B5BE6">
        <w:t>other jurisdictions, these should only apply in relation to intentional or dishonest conduct</w:t>
      </w:r>
      <w:r w:rsidR="00826A2B" w:rsidRPr="007B5BE6">
        <w:t>.</w:t>
      </w:r>
      <w:r w:rsidR="001315C8" w:rsidRPr="007B5BE6">
        <w:t xml:space="preserve"> </w:t>
      </w:r>
    </w:p>
    <w:p w14:paraId="24C5CD37" w14:textId="62EE3BA3" w:rsidR="009D7511" w:rsidRPr="007B5BE6" w:rsidRDefault="009D7511" w:rsidP="006216B2">
      <w:pPr>
        <w:pStyle w:val="NormalNumberedTextTLRI"/>
      </w:pPr>
      <w:r w:rsidRPr="007B5BE6">
        <w:t xml:space="preserve">In </w:t>
      </w:r>
      <w:r w:rsidR="00D77E60" w:rsidRPr="007B5BE6">
        <w:t>addition, as noted in relation</w:t>
      </w:r>
      <w:r w:rsidRPr="007B5BE6">
        <w:t xml:space="preserve"> to powers of attorney, </w:t>
      </w:r>
      <w:r w:rsidR="00D77E60" w:rsidRPr="007B5BE6">
        <w:t xml:space="preserve">reforms in relation to penalties need to be </w:t>
      </w:r>
      <w:r w:rsidRPr="007B5BE6">
        <w:t xml:space="preserve">accompanied by strengthening </w:t>
      </w:r>
      <w:r w:rsidR="00F03E7D" w:rsidRPr="007B5BE6">
        <w:t>the ability</w:t>
      </w:r>
      <w:r w:rsidRPr="007B5BE6">
        <w:t xml:space="preserve"> of agencies to </w:t>
      </w:r>
      <w:r w:rsidR="00FD245B" w:rsidRPr="007B5BE6">
        <w:t xml:space="preserve">detect, </w:t>
      </w:r>
      <w:r w:rsidRPr="007B5BE6">
        <w:t>make inquiries and investigate</w:t>
      </w:r>
      <w:r w:rsidR="00FD245B" w:rsidRPr="007B5BE6">
        <w:t xml:space="preserve"> regarding the conduct that would be criminalised if such offences were created</w:t>
      </w:r>
      <w:r w:rsidRPr="007B5BE6">
        <w:t xml:space="preserve">. </w:t>
      </w:r>
      <w:r w:rsidR="000D082F" w:rsidRPr="007B5BE6">
        <w:t>Accordingly, i</w:t>
      </w:r>
      <w:r w:rsidR="007338C4" w:rsidRPr="007B5BE6">
        <w:t>n recommending these reforms regarding enduring guardianship and administration</w:t>
      </w:r>
      <w:r w:rsidR="00B95054" w:rsidRPr="007B5BE6">
        <w:t xml:space="preserve"> orders</w:t>
      </w:r>
      <w:r w:rsidR="007338C4" w:rsidRPr="007B5BE6">
        <w:t>, the TLRI repeats the observations made</w:t>
      </w:r>
      <w:r w:rsidR="00DA31A4" w:rsidRPr="007B5BE6">
        <w:t xml:space="preserve"> </w:t>
      </w:r>
      <w:r w:rsidR="007338C4" w:rsidRPr="007B5BE6">
        <w:t xml:space="preserve">at </w:t>
      </w:r>
      <w:r w:rsidR="0058396A" w:rsidRPr="007B5BE6">
        <w:t>[5.4.22]</w:t>
      </w:r>
      <w:r w:rsidR="007338C4" w:rsidRPr="007B5BE6">
        <w:t xml:space="preserve"> in recommending equivalent </w:t>
      </w:r>
      <w:r w:rsidR="00DA31A4" w:rsidRPr="007B5BE6">
        <w:t>reforms regarding abuse and misuse of powers of attorney</w:t>
      </w:r>
      <w:r w:rsidR="007338C4" w:rsidRPr="007B5BE6">
        <w:t xml:space="preserve">. These </w:t>
      </w:r>
      <w:r w:rsidR="007B41A8" w:rsidRPr="007B5BE6">
        <w:t xml:space="preserve">are to emphasise the </w:t>
      </w:r>
      <w:r w:rsidR="00DA31A4" w:rsidRPr="007B5BE6">
        <w:t>importance of an overarching safeguarding mechanism provided by the creation of the role of the Commissioner for Older People</w:t>
      </w:r>
      <w:r w:rsidR="00DA31A4" w:rsidRPr="007B5BE6" w:rsidDel="001335E8">
        <w:t xml:space="preserve"> </w:t>
      </w:r>
      <w:r w:rsidR="00DA31A4" w:rsidRPr="007B5BE6">
        <w:t>(</w:t>
      </w:r>
      <w:r w:rsidR="00DA31A4" w:rsidRPr="007B5BE6">
        <w:rPr>
          <w:b/>
          <w:bCs/>
        </w:rPr>
        <w:t>Recommendation</w:t>
      </w:r>
      <w:r w:rsidR="00DD7CFC" w:rsidRPr="007B5BE6">
        <w:rPr>
          <w:b/>
          <w:bCs/>
        </w:rPr>
        <w:t>s 1–17</w:t>
      </w:r>
      <w:r w:rsidR="0042788F" w:rsidRPr="007B5BE6">
        <w:t>)</w:t>
      </w:r>
      <w:r w:rsidR="00DA31A4" w:rsidRPr="007B5BE6">
        <w:t xml:space="preserve"> with the power for the Commissioner to make preliminary inquiries, investigate reported matters, require the production of information and have the power to refer matters to Tasmania Police (if appropriate under the referral criteria).</w:t>
      </w:r>
      <w:r w:rsidRPr="007B5BE6">
        <w:rPr>
          <w:rStyle w:val="FootnoteReference"/>
        </w:rPr>
        <w:footnoteReference w:id="854"/>
      </w:r>
      <w:r w:rsidRPr="007B5BE6">
        <w:t xml:space="preserve"> </w:t>
      </w:r>
      <w:r w:rsidR="00A2263E" w:rsidRPr="007B5BE6">
        <w:t xml:space="preserve">Further, and as noted </w:t>
      </w:r>
      <w:r w:rsidR="00146EA5" w:rsidRPr="007B5BE6">
        <w:t xml:space="preserve">in the context of powers of attorney, such reforms </w:t>
      </w:r>
      <w:r w:rsidRPr="007B5BE6">
        <w:t xml:space="preserve">complement the </w:t>
      </w:r>
      <w:r w:rsidR="00146EA5" w:rsidRPr="007B5BE6">
        <w:t>P</w:t>
      </w:r>
      <w:r w:rsidRPr="007B5BE6">
        <w:t xml:space="preserve">ublic </w:t>
      </w:r>
      <w:r w:rsidR="00146EA5" w:rsidRPr="007B5BE6">
        <w:t>G</w:t>
      </w:r>
      <w:r w:rsidRPr="007B5BE6">
        <w:t>uardian</w:t>
      </w:r>
      <w:r w:rsidR="00146EA5" w:rsidRPr="007B5BE6">
        <w:t>’s</w:t>
      </w:r>
      <w:r w:rsidRPr="007B5BE6">
        <w:t xml:space="preserve"> power to investigate under</w:t>
      </w:r>
      <w:r w:rsidR="00146EA5" w:rsidRPr="007B5BE6">
        <w:t xml:space="preserve"> section 17 of the</w:t>
      </w:r>
      <w:r w:rsidRPr="007B5BE6">
        <w:t xml:space="preserve"> </w:t>
      </w:r>
      <w:r w:rsidRPr="007B5BE6">
        <w:rPr>
          <w:i/>
        </w:rPr>
        <w:t>Guardianship and Administration Act 1995</w:t>
      </w:r>
      <w:r w:rsidRPr="007B5BE6">
        <w:t xml:space="preserve"> (Tas).</w:t>
      </w:r>
    </w:p>
    <w:p w14:paraId="65FCFCA5" w14:textId="7C9518B4" w:rsidR="00DD2FF6" w:rsidRPr="007B5BE6" w:rsidRDefault="00DD2FF6" w:rsidP="00D36C5A">
      <w:pPr>
        <w:pStyle w:val="RecommendationBoxHeading"/>
      </w:pPr>
      <w:r w:rsidRPr="007B5BE6">
        <w:rPr>
          <w:noProof/>
        </w:rPr>
        <mc:AlternateContent>
          <mc:Choice Requires="wps">
            <w:drawing>
              <wp:inline distT="0" distB="0" distL="0" distR="0" wp14:anchorId="7EE1A3F4" wp14:editId="495A50A5">
                <wp:extent cx="5727065" cy="942975"/>
                <wp:effectExtent l="0" t="0" r="6985" b="9525"/>
                <wp:docPr id="686790611"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42975"/>
                        </a:xfrm>
                        <a:prstGeom prst="rect">
                          <a:avLst/>
                        </a:prstGeom>
                        <a:solidFill>
                          <a:srgbClr val="E8E8E8"/>
                        </a:solidFill>
                      </wps:spPr>
                      <wps:txbx>
                        <w:txbxContent>
                          <w:p w14:paraId="7B73FD52" w14:textId="77777777" w:rsidR="00DD2FF6" w:rsidRPr="006F2DE6" w:rsidRDefault="00DD2FF6" w:rsidP="00DD2FF6">
                            <w:pPr>
                              <w:pStyle w:val="RecommendationBoxHeading"/>
                            </w:pPr>
                            <w:r w:rsidRPr="00DD2FF6">
                              <w:t>Recommendation</w:t>
                            </w:r>
                            <w:r w:rsidRPr="006F2DE6">
                              <w:t xml:space="preserve"> 26</w:t>
                            </w:r>
                          </w:p>
                          <w:p w14:paraId="060C8835" w14:textId="3BE8EE36" w:rsidR="00DD2FF6" w:rsidRPr="00F77824" w:rsidRDefault="00DD2FF6" w:rsidP="003C3845">
                            <w:pPr>
                              <w:pStyle w:val="RecommendationBoxText"/>
                              <w:rPr>
                                <w:rFonts w:eastAsia="Times"/>
                              </w:rPr>
                            </w:pPr>
                            <w:r w:rsidRPr="006F2DE6">
                              <w:t xml:space="preserve">The </w:t>
                            </w:r>
                            <w:r w:rsidRPr="006F2DE6">
                              <w:rPr>
                                <w:i/>
                                <w:iCs/>
                              </w:rPr>
                              <w:t>Guardianship and Administration</w:t>
                            </w:r>
                            <w:r w:rsidRPr="006F2DE6">
                              <w:rPr>
                                <w:i/>
                              </w:rPr>
                              <w:t xml:space="preserve"> Act </w:t>
                            </w:r>
                            <w:r w:rsidRPr="006F2DE6">
                              <w:rPr>
                                <w:i/>
                                <w:iCs/>
                              </w:rPr>
                              <w:t>1995</w:t>
                            </w:r>
                            <w:r w:rsidRPr="006F2DE6">
                              <w:rPr>
                                <w:i/>
                              </w:rPr>
                              <w:t xml:space="preserve"> </w:t>
                            </w:r>
                            <w:r w:rsidRPr="006F2DE6">
                              <w:t xml:space="preserve">(Tas) should be amended to create additional criminal </w:t>
                            </w:r>
                            <w:r w:rsidRPr="00DD2FF6">
                              <w:t>offences</w:t>
                            </w:r>
                            <w:r w:rsidRPr="006F2DE6">
                              <w:t xml:space="preserve"> in relation to the abuse or misuse of administration and guardianship powers. </w:t>
                            </w:r>
                          </w:p>
                        </w:txbxContent>
                      </wps:txbx>
                      <wps:bodyPr wrap="square" lIns="0" tIns="0" rIns="0" bIns="0" rtlCol="0">
                        <a:noAutofit/>
                      </wps:bodyPr>
                    </wps:wsp>
                  </a:graphicData>
                </a:graphic>
              </wp:inline>
            </w:drawing>
          </mc:Choice>
          <mc:Fallback>
            <w:pict>
              <v:shape w14:anchorId="7EE1A3F4" id="_x0000_s1052" type="#_x0000_t202" style="width:450.9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" fillcolor="#e8e8e8" stroked="f">
                <v:textbox inset="0,0,0,0">
                  <w:txbxContent>
                    <w:p w14:paraId="7B73FD52" w14:textId="77777777" w:rsidR="00DD2FF6" w:rsidRPr="006F2DE6" w:rsidRDefault="00DD2FF6" w:rsidP="00DD2FF6">
                      <w:pPr>
                        <w:pStyle w:val="RecommendationBoxHeading"/>
                      </w:pPr>
                      <w:r w:rsidRPr="00DD2FF6">
                        <w:t>Recommendation</w:t>
                      </w:r>
                      <w:r w:rsidRPr="006F2DE6">
                        <w:t xml:space="preserve"> 26</w:t>
                      </w:r>
                    </w:p>
                    <w:p w14:paraId="060C8835" w14:textId="3BE8EE36" w:rsidR="00DD2FF6" w:rsidRPr="00F77824" w:rsidRDefault="00DD2FF6" w:rsidP="003C3845">
                      <w:pPr>
                        <w:pStyle w:val="RecommendationBoxText"/>
                        <w:rPr>
                          <w:rFonts w:eastAsia="Times"/>
                        </w:rPr>
                      </w:pPr>
                      <w:r w:rsidRPr="006F2DE6">
                        <w:t xml:space="preserve">The </w:t>
                      </w:r>
                      <w:r w:rsidRPr="006F2DE6">
                        <w:rPr>
                          <w:i/>
                          <w:iCs/>
                        </w:rPr>
                        <w:t>Guardianship and Administration</w:t>
                      </w:r>
                      <w:r w:rsidRPr="006F2DE6">
                        <w:rPr>
                          <w:i/>
                        </w:rPr>
                        <w:t xml:space="preserve"> Act </w:t>
                      </w:r>
                      <w:r w:rsidRPr="006F2DE6">
                        <w:rPr>
                          <w:i/>
                          <w:iCs/>
                        </w:rPr>
                        <w:t>1995</w:t>
                      </w:r>
                      <w:r w:rsidRPr="006F2DE6">
                        <w:rPr>
                          <w:i/>
                        </w:rPr>
                        <w:t xml:space="preserve"> </w:t>
                      </w:r>
                      <w:r w:rsidRPr="006F2DE6">
                        <w:t xml:space="preserve">(Tas) should be amended to create additional criminal </w:t>
                      </w:r>
                      <w:r w:rsidRPr="00DD2FF6">
                        <w:t>offences</w:t>
                      </w:r>
                      <w:r w:rsidRPr="006F2DE6">
                        <w:t xml:space="preserve"> in relation to the abuse or misuse of administration and guardianship powers. </w:t>
                      </w:r>
                    </w:p>
                  </w:txbxContent>
                </v:textbox>
                <w10:anchorlock/>
              </v:shape>
            </w:pict>
          </mc:Fallback>
        </mc:AlternateContent>
      </w:r>
    </w:p>
    <w:p w14:paraId="034DE24B" w14:textId="77777777" w:rsidR="00883FA2" w:rsidRPr="007B5BE6" w:rsidRDefault="00DD2FF6" w:rsidP="001C0BDB">
      <w:r w:rsidRPr="007B5BE6">
        <w:rPr>
          <w:noProof/>
        </w:rPr>
        <w:lastRenderedPageBreak/>
        <mc:AlternateContent>
          <mc:Choice Requires="wps">
            <w:drawing>
              <wp:inline distT="0" distB="0" distL="0" distR="0" wp14:anchorId="418B403F" wp14:editId="34617A2A">
                <wp:extent cx="5727065" cy="1214323"/>
                <wp:effectExtent l="0" t="0" r="6985" b="5080"/>
                <wp:docPr id="365268705"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14323"/>
                        </a:xfrm>
                        <a:prstGeom prst="rect">
                          <a:avLst/>
                        </a:prstGeom>
                        <a:solidFill>
                          <a:srgbClr val="E8E8E8"/>
                        </a:solidFill>
                      </wps:spPr>
                      <wps:txbx>
                        <w:txbxContent>
                          <w:p w14:paraId="63061CC3" w14:textId="77777777" w:rsidR="00DD2FF6" w:rsidRPr="006F2DE6" w:rsidRDefault="00DD2FF6" w:rsidP="00DD2FF6">
                            <w:pPr>
                              <w:pStyle w:val="RecommendationBoxHeading"/>
                            </w:pPr>
                            <w:r w:rsidRPr="006F2DE6">
                              <w:t>Recommendation 27</w:t>
                            </w:r>
                          </w:p>
                          <w:p w14:paraId="7C8A44E5" w14:textId="77777777" w:rsidR="00DD2FF6" w:rsidRPr="00DD2FF6" w:rsidRDefault="00DD2FF6" w:rsidP="00DD2FF6">
                            <w:pPr>
                              <w:pStyle w:val="RecommendationBoxText"/>
                            </w:pPr>
                            <w:r w:rsidRPr="00DD2FF6">
                              <w:t xml:space="preserve">The powers of the Tasmanian Civil and Administrative Tribunal (‘TASCAT’) in the </w:t>
                            </w:r>
                            <w:r w:rsidRPr="00DD2FF6">
                              <w:rPr>
                                <w:i/>
                                <w:iCs/>
                              </w:rPr>
                              <w:t>Guardianship and Administration Act 1995</w:t>
                            </w:r>
                            <w:r w:rsidRPr="00DD2FF6">
                              <w:t xml:space="preserve"> (Tas) should be expanded to allow it to make orders as to remedy or restitution when reviewing an enduring guardianship appointment, a guardianship or administration order.</w:t>
                            </w:r>
                          </w:p>
                          <w:p w14:paraId="1402A0B5"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418B403F" id="_x0000_s1053" type="#_x0000_t202" style="width:450.95pt;height: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" fillcolor="#e8e8e8" stroked="f">
                <v:textbox inset="0,0,0,0">
                  <w:txbxContent>
                    <w:p w14:paraId="63061CC3" w14:textId="77777777" w:rsidR="00DD2FF6" w:rsidRPr="006F2DE6" w:rsidRDefault="00DD2FF6" w:rsidP="00DD2FF6">
                      <w:pPr>
                        <w:pStyle w:val="RecommendationBoxHeading"/>
                      </w:pPr>
                      <w:r w:rsidRPr="006F2DE6">
                        <w:t>Recommendation 27</w:t>
                      </w:r>
                    </w:p>
                    <w:p w14:paraId="7C8A44E5" w14:textId="77777777" w:rsidR="00DD2FF6" w:rsidRPr="00DD2FF6" w:rsidRDefault="00DD2FF6" w:rsidP="00DD2FF6">
                      <w:pPr>
                        <w:pStyle w:val="RecommendationBoxText"/>
                      </w:pPr>
                      <w:r w:rsidRPr="00DD2FF6">
                        <w:t xml:space="preserve">The powers of the Tasmanian Civil and Administrative Tribunal (‘TASCAT’) in the </w:t>
                      </w:r>
                      <w:r w:rsidRPr="00DD2FF6">
                        <w:rPr>
                          <w:i/>
                          <w:iCs/>
                        </w:rPr>
                        <w:t>Guardianship and Administration Act 1995</w:t>
                      </w:r>
                      <w:r w:rsidRPr="00DD2FF6">
                        <w:t xml:space="preserve"> (Tas) should be expanded to allow it to make orders as to remedy or restitution when reviewing an enduring guardianship appointment, a guardianship or administration order.</w:t>
                      </w:r>
                    </w:p>
                    <w:p w14:paraId="1402A0B5" w14:textId="77777777" w:rsidR="00DD2FF6" w:rsidRPr="00F77824" w:rsidRDefault="00DD2FF6" w:rsidP="00DD2FF6">
                      <w:pPr>
                        <w:pStyle w:val="RecommendationBoxText"/>
                        <w:ind w:left="0"/>
                        <w:rPr>
                          <w:rFonts w:eastAsia="Times"/>
                        </w:rPr>
                      </w:pPr>
                    </w:p>
                  </w:txbxContent>
                </v:textbox>
                <w10:anchorlock/>
              </v:shape>
            </w:pict>
          </mc:Fallback>
        </mc:AlternateContent>
      </w:r>
    </w:p>
    <w:p w14:paraId="5B058384" w14:textId="07E8AAE2" w:rsidR="00F04954" w:rsidRPr="007B5BE6" w:rsidRDefault="00644A85" w:rsidP="00D802F3">
      <w:pPr>
        <w:pStyle w:val="Headingunnumbered"/>
        <w:spacing w:before="360"/>
      </w:pPr>
      <w:bookmarkStart w:id="633" w:name="_Toc212561835"/>
      <w:r w:rsidRPr="007B5BE6">
        <w:t>End-of-life decisions</w:t>
      </w:r>
      <w:bookmarkEnd w:id="633"/>
      <w:r w:rsidR="00966279" w:rsidRPr="007B5BE6">
        <w:t xml:space="preserve"> </w:t>
      </w:r>
    </w:p>
    <w:p w14:paraId="47790DAD" w14:textId="3652D58E" w:rsidR="008B4A5A" w:rsidRPr="007B5BE6" w:rsidRDefault="00572BD5" w:rsidP="004A16F0">
      <w:pPr>
        <w:pStyle w:val="NormalNumberedTextTLRI"/>
      </w:pPr>
      <w:r w:rsidRPr="007B5BE6">
        <w:t xml:space="preserve">Stakeholders </w:t>
      </w:r>
      <w:r w:rsidR="00703BE9" w:rsidRPr="007B5BE6">
        <w:t xml:space="preserve">in the TLRI’s interviews </w:t>
      </w:r>
      <w:r w:rsidRPr="007B5BE6">
        <w:t xml:space="preserve">did not </w:t>
      </w:r>
      <w:r w:rsidR="00703BE9" w:rsidRPr="007B5BE6">
        <w:t>generally raise p</w:t>
      </w:r>
      <w:r w:rsidR="004A16F0" w:rsidRPr="007B5BE6">
        <w:t>otential issues</w:t>
      </w:r>
      <w:r w:rsidR="004A16F0" w:rsidRPr="007B5BE6" w:rsidDel="00EE4464">
        <w:t xml:space="preserve"> </w:t>
      </w:r>
      <w:r w:rsidR="00EE4464" w:rsidRPr="007B5BE6">
        <w:t xml:space="preserve">around </w:t>
      </w:r>
      <w:r w:rsidR="004A16F0" w:rsidRPr="007B5BE6">
        <w:t xml:space="preserve">the abuse of older people in relation to the operation of the scheme </w:t>
      </w:r>
      <w:r w:rsidR="00EE4464" w:rsidRPr="007B5BE6">
        <w:t xml:space="preserve">under the </w:t>
      </w:r>
      <w:r w:rsidR="00EE4464" w:rsidRPr="007B5BE6">
        <w:rPr>
          <w:i/>
          <w:iCs/>
        </w:rPr>
        <w:t>End-of-Life Choices (Voluntary Assisted Dying) Act 2021</w:t>
      </w:r>
      <w:r w:rsidR="00EE4464" w:rsidRPr="007B5BE6">
        <w:t xml:space="preserve"> (Tas)</w:t>
      </w:r>
      <w:r w:rsidR="004A16F0" w:rsidRPr="007B5BE6">
        <w:t xml:space="preserve">. However, one stakeholder observed that this was an area of law that highlighted </w:t>
      </w:r>
      <w:r w:rsidR="00A871EB" w:rsidRPr="007B5BE6">
        <w:t xml:space="preserve">potential </w:t>
      </w:r>
      <w:r w:rsidR="004A16F0" w:rsidRPr="007B5BE6">
        <w:t xml:space="preserve">difficulties in enshrining into law an approach that aimed to prevent </w:t>
      </w:r>
      <w:r w:rsidR="00C93271" w:rsidRPr="007B5BE6">
        <w:t>a person</w:t>
      </w:r>
      <w:r w:rsidR="001935F0" w:rsidRPr="007B5BE6">
        <w:t>’s</w:t>
      </w:r>
      <w:r w:rsidR="00C93271" w:rsidRPr="007B5BE6">
        <w:t xml:space="preserve"> decision making from being </w:t>
      </w:r>
      <w:r w:rsidR="004A16F0" w:rsidRPr="007B5BE6">
        <w:t>influence</w:t>
      </w:r>
      <w:r w:rsidR="00C93271" w:rsidRPr="007B5BE6">
        <w:t>d by others, including by</w:t>
      </w:r>
      <w:r w:rsidR="004A16F0" w:rsidRPr="007B5BE6">
        <w:t xml:space="preserve"> coercive</w:t>
      </w:r>
      <w:r w:rsidR="00C93271" w:rsidRPr="007B5BE6">
        <w:t>ly</w:t>
      </w:r>
      <w:r w:rsidR="004A16F0" w:rsidRPr="007B5BE6">
        <w:t xml:space="preserve"> control</w:t>
      </w:r>
      <w:r w:rsidR="00C93271" w:rsidRPr="007B5BE6">
        <w:t>ling behaviour</w:t>
      </w:r>
      <w:r w:rsidR="004A16F0" w:rsidRPr="007B5BE6">
        <w:t>.</w:t>
      </w:r>
      <w:r w:rsidR="001506FE" w:rsidRPr="007B5BE6">
        <w:rPr>
          <w:rStyle w:val="FootnoteReference"/>
        </w:rPr>
        <w:footnoteReference w:id="855"/>
      </w:r>
      <w:r w:rsidR="004A16F0" w:rsidRPr="007B5BE6">
        <w:t xml:space="preserve"> It is noted that there have been no prosecuted criminal cases that have challenged the practical operation of voluntariness as a safeguard under the Tasmanian legislation. However, this is a new legislative framework and an area where there is potential for abuse</w:t>
      </w:r>
      <w:r w:rsidR="00A871EB" w:rsidRPr="007B5BE6">
        <w:t>. A</w:t>
      </w:r>
      <w:r w:rsidR="004A16F0" w:rsidRPr="007B5BE6">
        <w:t>s such</w:t>
      </w:r>
      <w:r w:rsidR="00A871EB" w:rsidRPr="007B5BE6">
        <w:t>,</w:t>
      </w:r>
      <w:r w:rsidR="004A16F0" w:rsidRPr="007B5BE6">
        <w:t xml:space="preserve"> its operation should be monitored.</w:t>
      </w:r>
      <w:r w:rsidR="004A16F0" w:rsidRPr="007B5BE6">
        <w:rPr>
          <w:rStyle w:val="FootnoteReference"/>
        </w:rPr>
        <w:footnoteReference w:id="856"/>
      </w:r>
      <w:r w:rsidR="00D26B97" w:rsidRPr="007B5BE6">
        <w:t xml:space="preserve"> </w:t>
      </w:r>
      <w:r w:rsidR="00FE54F9" w:rsidRPr="007B5BE6">
        <w:t xml:space="preserve">It is also noted that, </w:t>
      </w:r>
      <w:proofErr w:type="gramStart"/>
      <w:r w:rsidR="00A871EB" w:rsidRPr="007B5BE6">
        <w:t>similar to</w:t>
      </w:r>
      <w:proofErr w:type="gramEnd"/>
      <w:r w:rsidR="00A871EB" w:rsidRPr="007B5BE6">
        <w:t xml:space="preserve"> the</w:t>
      </w:r>
      <w:r w:rsidR="00FE54F9" w:rsidRPr="007B5BE6">
        <w:t xml:space="preserve"> </w:t>
      </w:r>
      <w:r w:rsidR="00A871EB" w:rsidRPr="007B5BE6">
        <w:t xml:space="preserve">NSW </w:t>
      </w:r>
      <w:r w:rsidR="00FE54F9" w:rsidRPr="007B5BE6">
        <w:t>approach,</w:t>
      </w:r>
      <w:r w:rsidR="00922833" w:rsidRPr="007B5BE6">
        <w:rPr>
          <w:rStyle w:val="FootnoteReference"/>
        </w:rPr>
        <w:footnoteReference w:id="857"/>
      </w:r>
      <w:r w:rsidR="00FE54F9" w:rsidRPr="007B5BE6">
        <w:t xml:space="preserve"> the </w:t>
      </w:r>
      <w:r w:rsidR="00EB70A8" w:rsidRPr="007B5BE6">
        <w:t xml:space="preserve">referral powers of the </w:t>
      </w:r>
      <w:r w:rsidR="00413081" w:rsidRPr="007B5BE6">
        <w:t xml:space="preserve">Commissioner for Older </w:t>
      </w:r>
      <w:r w:rsidR="00EB0F90" w:rsidRPr="007B5BE6">
        <w:t xml:space="preserve">People </w:t>
      </w:r>
      <w:r w:rsidR="00544F36" w:rsidRPr="007B5BE6">
        <w:t xml:space="preserve">should include </w:t>
      </w:r>
      <w:r w:rsidR="00385168" w:rsidRPr="007B5BE6">
        <w:t xml:space="preserve">provisions that allow for </w:t>
      </w:r>
      <w:r w:rsidR="00544F36" w:rsidRPr="007B5BE6">
        <w:t>re</w:t>
      </w:r>
      <w:r w:rsidR="00A871EB" w:rsidRPr="007B5BE6">
        <w:t>ferrals</w:t>
      </w:r>
      <w:r w:rsidR="00544F36" w:rsidRPr="007B5BE6">
        <w:t xml:space="preserve"> to</w:t>
      </w:r>
      <w:r w:rsidR="00252631" w:rsidRPr="007B5BE6">
        <w:t xml:space="preserve"> the </w:t>
      </w:r>
      <w:r w:rsidR="004B2789" w:rsidRPr="007B5BE6">
        <w:t xml:space="preserve">Voluntary </w:t>
      </w:r>
      <w:r w:rsidR="00E115A5" w:rsidRPr="007B5BE6">
        <w:t>Assisted Dying Commission</w:t>
      </w:r>
      <w:r w:rsidR="005F08DB" w:rsidRPr="007B5BE6">
        <w:t xml:space="preserve"> and/or Tasmania Police in relation to conduct related to voluntary assisted dying</w:t>
      </w:r>
      <w:r w:rsidR="00541F33" w:rsidRPr="007B5BE6">
        <w:t>.</w:t>
      </w:r>
      <w:r w:rsidR="00541F33" w:rsidRPr="007B5BE6">
        <w:rPr>
          <w:rStyle w:val="FootnoteReference"/>
        </w:rPr>
        <w:footnoteReference w:id="858"/>
      </w:r>
    </w:p>
    <w:p w14:paraId="72A5D248" w14:textId="2AAF266A" w:rsidR="001F3868" w:rsidRPr="007B5BE6" w:rsidRDefault="001F3868" w:rsidP="00744D17">
      <w:pPr>
        <w:pStyle w:val="NumberedHeadingTLRI"/>
      </w:pPr>
      <w:bookmarkStart w:id="634" w:name="_Toc212561836"/>
      <w:r w:rsidRPr="007B5BE6">
        <w:t>C</w:t>
      </w:r>
      <w:r w:rsidR="0062143B" w:rsidRPr="007B5BE6">
        <w:t>ivil c</w:t>
      </w:r>
      <w:r w:rsidRPr="007B5BE6">
        <w:t>ommon law and equity</w:t>
      </w:r>
      <w:bookmarkEnd w:id="634"/>
    </w:p>
    <w:p w14:paraId="014BDE29" w14:textId="7E2D0E1E" w:rsidR="00DE75BE" w:rsidRPr="007B5BE6" w:rsidRDefault="00DE75BE" w:rsidP="005F7BEF">
      <w:pPr>
        <w:pStyle w:val="NormalNumberedTextTLRI"/>
      </w:pPr>
      <w:r w:rsidRPr="007B5BE6">
        <w:t xml:space="preserve">As discussed at </w:t>
      </w:r>
      <w:r w:rsidR="0062143B" w:rsidRPr="007B5BE6">
        <w:t>[3.3.28]–[3.3.30]</w:t>
      </w:r>
      <w:r w:rsidRPr="007B5BE6">
        <w:t xml:space="preserve">, there are </w:t>
      </w:r>
      <w:r w:rsidR="0062143B" w:rsidRPr="007B5BE6">
        <w:t xml:space="preserve">civil </w:t>
      </w:r>
      <w:r w:rsidRPr="007B5BE6">
        <w:t xml:space="preserve">common law and </w:t>
      </w:r>
      <w:r w:rsidR="002D001F" w:rsidRPr="007B5BE6">
        <w:t>equitable</w:t>
      </w:r>
      <w:r w:rsidRPr="007B5BE6">
        <w:t xml:space="preserve"> principles that may give rise to a remedy in </w:t>
      </w:r>
      <w:r w:rsidR="002D001F" w:rsidRPr="007B5BE6">
        <w:t>cases</w:t>
      </w:r>
      <w:r w:rsidRPr="007B5BE6">
        <w:t xml:space="preserve"> of financial </w:t>
      </w:r>
      <w:r w:rsidR="001C19C9" w:rsidRPr="007B5BE6">
        <w:t>abuse</w:t>
      </w:r>
      <w:r w:rsidR="00B3473B" w:rsidRPr="007B5BE6">
        <w:t xml:space="preserve"> of an older person</w:t>
      </w:r>
      <w:r w:rsidR="004D104C" w:rsidRPr="007B5BE6">
        <w:t>, including</w:t>
      </w:r>
      <w:r w:rsidRPr="007B5BE6">
        <w:t xml:space="preserve"> </w:t>
      </w:r>
      <w:r w:rsidR="00E9459B" w:rsidRPr="007B5BE6">
        <w:t xml:space="preserve">undue influence and </w:t>
      </w:r>
      <w:r w:rsidR="001C19C9" w:rsidRPr="007B5BE6">
        <w:t>unconscionable conduct</w:t>
      </w:r>
      <w:r w:rsidR="00BB3472" w:rsidRPr="007B5BE6">
        <w:t>.</w:t>
      </w:r>
    </w:p>
    <w:p w14:paraId="516D4B5F" w14:textId="5DEF12AA" w:rsidR="00585752" w:rsidRPr="007B5BE6" w:rsidRDefault="0076058D" w:rsidP="00D802F3">
      <w:pPr>
        <w:pStyle w:val="Headingunnumbered"/>
        <w:spacing w:before="360"/>
      </w:pPr>
      <w:bookmarkStart w:id="635" w:name="_Toc212561837"/>
      <w:r w:rsidRPr="007B5BE6">
        <w:t>Previous r</w:t>
      </w:r>
      <w:r w:rsidR="00585752" w:rsidRPr="007B5BE6">
        <w:t>esearch</w:t>
      </w:r>
      <w:bookmarkEnd w:id="635"/>
    </w:p>
    <w:p w14:paraId="5E80F75C" w14:textId="358959E9" w:rsidR="001F3868" w:rsidRPr="007B5BE6" w:rsidRDefault="005F1A7F" w:rsidP="001F3868">
      <w:pPr>
        <w:pStyle w:val="NormalNumberedTextTLRI"/>
      </w:pPr>
      <w:r w:rsidRPr="007B5BE6">
        <w:t>Research in other Australian jurisdictions has identified g</w:t>
      </w:r>
      <w:r w:rsidR="001F3868" w:rsidRPr="007B5BE6">
        <w:t xml:space="preserve">aps in civil law responses </w:t>
      </w:r>
      <w:r w:rsidRPr="007B5BE6">
        <w:t xml:space="preserve">to the abuse of older people. </w:t>
      </w:r>
      <w:r w:rsidR="001F3868" w:rsidRPr="007B5BE6">
        <w:t>Previous research on financial abuse of older people has found that there is limited legislation regulating civil law responses, except for protections under guardianship and administration laws. This means that most legal responses are generic and sourced in common law and equity, which do not provide effective responses for a range of reasons:</w:t>
      </w:r>
    </w:p>
    <w:p w14:paraId="149E7125" w14:textId="5C238358" w:rsidR="001F3868" w:rsidRPr="007B5BE6" w:rsidRDefault="001F3868" w:rsidP="001F3868">
      <w:pPr>
        <w:pStyle w:val="Indentedquote"/>
        <w:rPr>
          <w:sz w:val="20"/>
          <w:szCs w:val="20"/>
        </w:rPr>
      </w:pPr>
      <w:r w:rsidRPr="007B5BE6">
        <w:rPr>
          <w:sz w:val="20"/>
          <w:szCs w:val="20"/>
        </w:rPr>
        <w:t xml:space="preserve">This is problematic because of the nature of relevant common law and equitable actions, existing legal precedent, and the practicality of pursuing elder abuse issues in the courts. This is compounded by the fact that most older people do not seek legal advice prior to </w:t>
      </w:r>
      <w:proofErr w:type="gramStart"/>
      <w:r w:rsidRPr="007B5BE6">
        <w:rPr>
          <w:sz w:val="20"/>
          <w:szCs w:val="20"/>
        </w:rPr>
        <w:t>entering into</w:t>
      </w:r>
      <w:proofErr w:type="gramEnd"/>
      <w:r w:rsidRPr="007B5BE6">
        <w:rPr>
          <w:sz w:val="20"/>
          <w:szCs w:val="20"/>
        </w:rPr>
        <w:t xml:space="preserve"> </w:t>
      </w:r>
      <w:r w:rsidRPr="007B5BE6">
        <w:rPr>
          <w:sz w:val="20"/>
          <w:szCs w:val="20"/>
        </w:rPr>
        <w:lastRenderedPageBreak/>
        <w:t xml:space="preserve">arrangements that have the potential to imperil their financial position or assets; by the time he or she realises that there is a problem </w:t>
      </w:r>
      <w:proofErr w:type="gramStart"/>
      <w:r w:rsidRPr="007B5BE6">
        <w:rPr>
          <w:sz w:val="20"/>
          <w:szCs w:val="20"/>
        </w:rPr>
        <w:t>property</w:t>
      </w:r>
      <w:proofErr w:type="gramEnd"/>
      <w:r w:rsidRPr="007B5BE6">
        <w:rPr>
          <w:sz w:val="20"/>
          <w:szCs w:val="20"/>
        </w:rPr>
        <w:t xml:space="preserve"> and other assets are lost.</w:t>
      </w:r>
      <w:r w:rsidR="00E514FF" w:rsidRPr="007B5BE6">
        <w:rPr>
          <w:rStyle w:val="FootnoteReference"/>
          <w:sz w:val="20"/>
          <w:szCs w:val="20"/>
        </w:rPr>
        <w:footnoteReference w:id="859"/>
      </w:r>
      <w:r w:rsidRPr="007B5BE6">
        <w:rPr>
          <w:sz w:val="20"/>
          <w:szCs w:val="20"/>
        </w:rPr>
        <w:t xml:space="preserve"> </w:t>
      </w:r>
    </w:p>
    <w:p w14:paraId="654CBD0C" w14:textId="77777777" w:rsidR="00192433" w:rsidRPr="007B5BE6" w:rsidRDefault="00192433" w:rsidP="00192433">
      <w:pPr>
        <w:pStyle w:val="NormalNumberedTextTLRI"/>
      </w:pPr>
      <w:r w:rsidRPr="007B5BE6">
        <w:t>Previous research has also found that:</w:t>
      </w:r>
    </w:p>
    <w:p w14:paraId="4BFD648D" w14:textId="2A35E6D1" w:rsidR="00192433" w:rsidRPr="007B5BE6" w:rsidRDefault="00192433" w:rsidP="008360BE">
      <w:pPr>
        <w:pStyle w:val="DotPointTLRI"/>
      </w:pPr>
      <w:r w:rsidRPr="007B5BE6">
        <w:t>often older people do not seek legal advice before entering into agreements and</w:t>
      </w:r>
      <w:r w:rsidR="000413F7" w:rsidRPr="007B5BE6">
        <w:t>/</w:t>
      </w:r>
      <w:r w:rsidRPr="007B5BE6">
        <w:t xml:space="preserve">or before making decisions, such as appointing </w:t>
      </w:r>
      <w:r w:rsidR="000413F7" w:rsidRPr="007B5BE6">
        <w:t xml:space="preserve">a </w:t>
      </w:r>
      <w:r w:rsidRPr="007B5BE6">
        <w:t xml:space="preserve">power of attorney or </w:t>
      </w:r>
      <w:r w:rsidR="00BE0392" w:rsidRPr="007B5BE6">
        <w:t xml:space="preserve">a </w:t>
      </w:r>
      <w:r w:rsidRPr="007B5BE6">
        <w:t>guardian (</w:t>
      </w:r>
      <w:r w:rsidR="00BE0392" w:rsidRPr="007B5BE6">
        <w:t xml:space="preserve">which </w:t>
      </w:r>
      <w:r w:rsidR="00540988" w:rsidRPr="007B5BE6">
        <w:t xml:space="preserve">can be related to </w:t>
      </w:r>
      <w:r w:rsidRPr="007B5BE6">
        <w:t>affordability</w:t>
      </w:r>
      <w:r w:rsidR="00540988" w:rsidRPr="007B5BE6">
        <w:t xml:space="preserve"> of such legal advice</w:t>
      </w:r>
      <w:r w:rsidRPr="007B5BE6">
        <w:t>);</w:t>
      </w:r>
    </w:p>
    <w:p w14:paraId="53076457" w14:textId="5B1DD4D9" w:rsidR="00192433" w:rsidRPr="007B5BE6" w:rsidRDefault="00192433" w:rsidP="008360BE">
      <w:pPr>
        <w:pStyle w:val="DotPointTLRI"/>
      </w:pPr>
      <w:r w:rsidRPr="007B5BE6">
        <w:t>financial and property agreements are often not written down</w:t>
      </w:r>
      <w:r w:rsidR="00C86E7E" w:rsidRPr="007B5BE6">
        <w:t>,</w:t>
      </w:r>
      <w:r w:rsidRPr="007B5BE6">
        <w:t xml:space="preserve"> or are</w:t>
      </w:r>
      <w:r w:rsidR="00C86E7E" w:rsidRPr="007B5BE6">
        <w:t xml:space="preserve"> made</w:t>
      </w:r>
      <w:r w:rsidRPr="007B5BE6">
        <w:t xml:space="preserve"> on vague terms</w:t>
      </w:r>
      <w:r w:rsidR="00C86E7E" w:rsidRPr="007B5BE6">
        <w:t>,</w:t>
      </w:r>
      <w:r w:rsidRPr="007B5BE6">
        <w:t xml:space="preserve"> when they commence, meaning that when circumstances change</w:t>
      </w:r>
      <w:r w:rsidR="00C86E7E" w:rsidRPr="007B5BE6">
        <w:t>,</w:t>
      </w:r>
      <w:r w:rsidRPr="007B5BE6">
        <w:t xml:space="preserve"> there is a lack of clarity around </w:t>
      </w:r>
      <w:r w:rsidR="00C86E7E" w:rsidRPr="007B5BE6">
        <w:t xml:space="preserve">such </w:t>
      </w:r>
      <w:r w:rsidRPr="007B5BE6">
        <w:t>agreements;</w:t>
      </w:r>
    </w:p>
    <w:p w14:paraId="5DA145C1" w14:textId="70E4A754" w:rsidR="00192433" w:rsidRPr="007B5BE6" w:rsidRDefault="00192433" w:rsidP="008360BE">
      <w:pPr>
        <w:pStyle w:val="DotPointTLRI"/>
      </w:pPr>
      <w:r w:rsidRPr="007B5BE6">
        <w:t>there is little regulation of transactions that commonly are involved in cases of financial abuse, such as making and regist</w:t>
      </w:r>
      <w:r w:rsidR="00C86E7E" w:rsidRPr="007B5BE6">
        <w:t>ering</w:t>
      </w:r>
      <w:r w:rsidRPr="007B5BE6">
        <w:t xml:space="preserve"> enduring documents for financial and lifestyle decision</w:t>
      </w:r>
      <w:r w:rsidR="00BC1867" w:rsidRPr="007B5BE6">
        <w:t xml:space="preserve"> </w:t>
      </w:r>
      <w:r w:rsidRPr="007B5BE6">
        <w:t xml:space="preserve">making, transactions </w:t>
      </w:r>
      <w:r w:rsidR="0020710E" w:rsidRPr="007B5BE6">
        <w:t xml:space="preserve">transferring property </w:t>
      </w:r>
      <w:r w:rsidRPr="007B5BE6">
        <w:t>from one family member to another</w:t>
      </w:r>
      <w:r w:rsidR="00C86E7E" w:rsidRPr="007B5BE6">
        <w:t>,</w:t>
      </w:r>
      <w:r w:rsidRPr="007B5BE6">
        <w:t xml:space="preserve"> or transfers of funds made by family members on behalf of an older person.</w:t>
      </w:r>
    </w:p>
    <w:p w14:paraId="0EFDE963" w14:textId="77777777" w:rsidR="00192433" w:rsidRPr="007B5BE6" w:rsidRDefault="00192433" w:rsidP="008360BE">
      <w:pPr>
        <w:pStyle w:val="DotPointTLRI"/>
      </w:pPr>
      <w:r w:rsidRPr="007B5BE6">
        <w:t>often by the time a problem has been identified, transactions have already occurred, and property and assets have already been lost;</w:t>
      </w:r>
    </w:p>
    <w:p w14:paraId="3DEF4080" w14:textId="46011D81" w:rsidR="00192433" w:rsidRPr="007B5BE6" w:rsidRDefault="00192433" w:rsidP="008360BE">
      <w:pPr>
        <w:pStyle w:val="DotPointTLRI"/>
      </w:pPr>
      <w:r w:rsidRPr="007B5BE6">
        <w:t xml:space="preserve">pursuing civil actions is not desirable or affordable for many older people, </w:t>
      </w:r>
      <w:r w:rsidR="007F4052" w:rsidRPr="007B5BE6">
        <w:t xml:space="preserve">in </w:t>
      </w:r>
      <w:r w:rsidRPr="007B5BE6">
        <w:t>particular</w:t>
      </w:r>
      <w:r w:rsidR="007F4052" w:rsidRPr="007B5BE6">
        <w:t>,</w:t>
      </w:r>
      <w:r w:rsidRPr="007B5BE6">
        <w:t xml:space="preserve"> there is reticence to bringing legal actions against family members; and</w:t>
      </w:r>
    </w:p>
    <w:p w14:paraId="14C5E65F" w14:textId="559975C1" w:rsidR="00192433" w:rsidRPr="007B5BE6" w:rsidRDefault="00192433" w:rsidP="008360BE">
      <w:pPr>
        <w:pStyle w:val="DotPointTLRI"/>
      </w:pPr>
      <w:r w:rsidRPr="007B5BE6">
        <w:t xml:space="preserve">many common law and equitable principles, such as the </w:t>
      </w:r>
      <w:r w:rsidR="00640958" w:rsidRPr="007B5BE6">
        <w:t>‘</w:t>
      </w:r>
      <w:r w:rsidRPr="007B5BE6">
        <w:t>presumption of advancement</w:t>
      </w:r>
      <w:r w:rsidR="00640958" w:rsidRPr="007B5BE6">
        <w:t>’</w:t>
      </w:r>
      <w:r w:rsidRPr="007B5BE6">
        <w:t>, have developed through general precedents and are based on legal assumptions that do not reflect the modern concepts surrounding family relationship and dynamics</w:t>
      </w:r>
      <w:r w:rsidR="007F4052" w:rsidRPr="007B5BE6">
        <w:t>, which</w:t>
      </w:r>
      <w:r w:rsidRPr="007B5BE6">
        <w:t xml:space="preserve"> are now recognised as indicators of abuse (or can result in circumstances of harm or loss to the older person).</w:t>
      </w:r>
      <w:r w:rsidR="00E514FF" w:rsidRPr="007B5BE6">
        <w:rPr>
          <w:rStyle w:val="FootnoteReference"/>
        </w:rPr>
        <w:footnoteReference w:id="860"/>
      </w:r>
    </w:p>
    <w:p w14:paraId="1D67616D" w14:textId="0676A849" w:rsidR="00883FA2" w:rsidRPr="007B5BE6" w:rsidRDefault="001F3868" w:rsidP="001F3868">
      <w:pPr>
        <w:pStyle w:val="NormalNumberedTextTLRI"/>
      </w:pPr>
      <w:r w:rsidRPr="007B5BE6">
        <w:t>There is also little regulation of certain types o</w:t>
      </w:r>
      <w:r w:rsidR="00A87C91" w:rsidRPr="007B5BE6">
        <w:t xml:space="preserve">f </w:t>
      </w:r>
      <w:r w:rsidRPr="007B5BE6">
        <w:t>transactions common</w:t>
      </w:r>
      <w:r w:rsidR="00A87C91" w:rsidRPr="007B5BE6">
        <w:t>ly</w:t>
      </w:r>
      <w:r w:rsidR="007E6BF4" w:rsidRPr="007B5BE6">
        <w:t xml:space="preserve"> occurring</w:t>
      </w:r>
      <w:r w:rsidRPr="007B5BE6">
        <w:t xml:space="preserve"> between elderly parents and adult children</w:t>
      </w:r>
      <w:r w:rsidR="007E6BF4" w:rsidRPr="007B5BE6">
        <w:t xml:space="preserve">. One such example, is </w:t>
      </w:r>
      <w:r w:rsidRPr="007B5BE6">
        <w:t xml:space="preserve">‘asset for care’ arrangements, which are also often undocumented. Taken together, these issues means that </w:t>
      </w:r>
      <w:r w:rsidR="007E6BF4" w:rsidRPr="007B5BE6">
        <w:t xml:space="preserve">when </w:t>
      </w:r>
      <w:r w:rsidRPr="007B5BE6">
        <w:t>financial abuse against an older person occurs, ‘[l]egal recourse is, in many cases, a practical and fiscal impossibility’.</w:t>
      </w:r>
      <w:r w:rsidR="000C0381" w:rsidRPr="007B5BE6">
        <w:rPr>
          <w:rStyle w:val="FootnoteReference"/>
        </w:rPr>
        <w:footnoteReference w:id="861"/>
      </w:r>
    </w:p>
    <w:p w14:paraId="660002D3" w14:textId="3F3D7C29" w:rsidR="00653D48" w:rsidRPr="007B5BE6" w:rsidRDefault="00787ACA" w:rsidP="001F3868">
      <w:pPr>
        <w:pStyle w:val="NormalNumberedTextTLRI"/>
        <w:rPr>
          <w:i/>
        </w:rPr>
      </w:pPr>
      <w:r w:rsidRPr="007B5BE6">
        <w:t xml:space="preserve">The ALRC </w:t>
      </w:r>
      <w:r w:rsidR="00653D48" w:rsidRPr="007B5BE6">
        <w:t>proposed that tribunals be given jurisdiction over disputes within families with respect to assets for care arrangements to provide opportunities for an older person to access a low-cost and less formal forum for resolving disputes</w:t>
      </w:r>
      <w:r w:rsidR="006C1919" w:rsidRPr="007B5BE6">
        <w:t xml:space="preserve">. However, the ALRC </w:t>
      </w:r>
      <w:r w:rsidR="00653D48" w:rsidRPr="007B5BE6">
        <w:t>did not seek to interfere with existing common law and equitable doctrines</w:t>
      </w:r>
      <w:r w:rsidR="004E2ECD" w:rsidRPr="007B5BE6">
        <w:t>,</w:t>
      </w:r>
      <w:r w:rsidR="00653D48" w:rsidRPr="007B5BE6">
        <w:t xml:space="preserve"> including the presumption of advancement</w:t>
      </w:r>
      <w:r w:rsidR="00A220C1" w:rsidRPr="007B5BE6">
        <w:t>.</w:t>
      </w:r>
      <w:r w:rsidR="004E2ECD" w:rsidRPr="007B5BE6">
        <w:rPr>
          <w:rStyle w:val="FootnoteReference"/>
        </w:rPr>
        <w:footnoteReference w:id="862"/>
      </w:r>
      <w:r w:rsidR="00653D48" w:rsidRPr="007B5BE6">
        <w:t xml:space="preserve"> </w:t>
      </w:r>
      <w:r w:rsidR="00A220C1" w:rsidRPr="007B5BE6">
        <w:t xml:space="preserve">Other reform suggestions </w:t>
      </w:r>
      <w:r w:rsidR="00DD1339" w:rsidRPr="007B5BE6">
        <w:t xml:space="preserve">to address difficulties with civil law responses </w:t>
      </w:r>
      <w:r w:rsidR="00A220C1" w:rsidRPr="007B5BE6">
        <w:t xml:space="preserve">have focused on </w:t>
      </w:r>
      <w:r w:rsidR="00F273A1" w:rsidRPr="007B5BE6">
        <w:t>aspects</w:t>
      </w:r>
      <w:r w:rsidR="00A220C1" w:rsidRPr="007B5BE6">
        <w:t xml:space="preserve"> of </w:t>
      </w:r>
      <w:r w:rsidR="006C1919" w:rsidRPr="007B5BE6">
        <w:t>C</w:t>
      </w:r>
      <w:r w:rsidR="00A220C1" w:rsidRPr="007B5BE6">
        <w:t>ommonwealth laws</w:t>
      </w:r>
      <w:r w:rsidR="006C1919" w:rsidRPr="007B5BE6">
        <w:t>,</w:t>
      </w:r>
      <w:r w:rsidR="00A220C1" w:rsidRPr="007B5BE6">
        <w:t xml:space="preserve"> </w:t>
      </w:r>
      <w:r w:rsidR="00F273A1" w:rsidRPr="007B5BE6">
        <w:t>including</w:t>
      </w:r>
      <w:r w:rsidR="00653D48" w:rsidRPr="007B5BE6">
        <w:t xml:space="preserve"> </w:t>
      </w:r>
      <w:r w:rsidR="0069496F" w:rsidRPr="007B5BE6">
        <w:t xml:space="preserve">the </w:t>
      </w:r>
      <w:r w:rsidR="0069496F" w:rsidRPr="007B5BE6">
        <w:rPr>
          <w:i/>
          <w:iCs/>
        </w:rPr>
        <w:t>Social Security Act 1991</w:t>
      </w:r>
      <w:r w:rsidR="0069496F" w:rsidRPr="007B5BE6">
        <w:t xml:space="preserve"> (Cth), </w:t>
      </w:r>
      <w:r w:rsidR="00DD1339" w:rsidRPr="007B5BE6">
        <w:rPr>
          <w:i/>
          <w:iCs/>
        </w:rPr>
        <w:t xml:space="preserve">National Consumer Credit Protection Act 2009 </w:t>
      </w:r>
      <w:r w:rsidR="00DD1339" w:rsidRPr="007B5BE6">
        <w:t>(Cth) and the Code of Banking Practice</w:t>
      </w:r>
      <w:r w:rsidR="00222615" w:rsidRPr="007B5BE6">
        <w:t>.</w:t>
      </w:r>
      <w:r w:rsidR="00124DFA" w:rsidRPr="007B5BE6">
        <w:rPr>
          <w:rStyle w:val="FootnoteReference"/>
        </w:rPr>
        <w:footnoteReference w:id="863"/>
      </w:r>
    </w:p>
    <w:p w14:paraId="50FD717C" w14:textId="77777777" w:rsidR="00FD14B9" w:rsidRDefault="00FD14B9">
      <w:pPr>
        <w:spacing w:after="200" w:line="276" w:lineRule="auto"/>
        <w:jc w:val="left"/>
        <w:rPr>
          <w:b/>
          <w:bCs/>
          <w:sz w:val="32"/>
          <w:szCs w:val="36"/>
        </w:rPr>
      </w:pPr>
      <w:bookmarkStart w:id="636" w:name="_Toc212561838"/>
      <w:r>
        <w:br w:type="page"/>
      </w:r>
    </w:p>
    <w:p w14:paraId="636D4697" w14:textId="0AFE1878" w:rsidR="00585752" w:rsidRPr="007B5BE6" w:rsidRDefault="00E05AEB" w:rsidP="00D802F3">
      <w:pPr>
        <w:pStyle w:val="Headingunnumbered"/>
        <w:spacing w:before="360"/>
      </w:pPr>
      <w:r w:rsidRPr="007B5BE6">
        <w:lastRenderedPageBreak/>
        <w:t>Interviews with stakeholders</w:t>
      </w:r>
      <w:bookmarkEnd w:id="636"/>
    </w:p>
    <w:p w14:paraId="0B415E02" w14:textId="1C5DFB7B" w:rsidR="001F3868" w:rsidRPr="007B5BE6" w:rsidRDefault="000428A4" w:rsidP="001F3868">
      <w:pPr>
        <w:pStyle w:val="NormalNumberedTextTLRI"/>
      </w:pPr>
      <w:r w:rsidRPr="007B5BE6">
        <w:t>I</w:t>
      </w:r>
      <w:r w:rsidR="001F3868" w:rsidRPr="007B5BE6">
        <w:t>ssues relating to common law and equity featured less commonly in</w:t>
      </w:r>
      <w:r w:rsidRPr="007B5BE6">
        <w:t xml:space="preserve"> stakeholders’ discussions of</w:t>
      </w:r>
      <w:r w:rsidR="001F3868" w:rsidRPr="007B5BE6">
        <w:t xml:space="preserve"> the gaps in the current legal framework</w:t>
      </w:r>
      <w:r w:rsidR="007E1D5E" w:rsidRPr="007B5BE6">
        <w:t xml:space="preserve"> </w:t>
      </w:r>
      <w:r w:rsidR="00C6625D" w:rsidRPr="007B5BE6">
        <w:t>in responding to the abuse of older Tasmanians</w:t>
      </w:r>
      <w:r w:rsidRPr="007B5BE6">
        <w:t xml:space="preserve">. However, some </w:t>
      </w:r>
      <w:r w:rsidR="001F3868" w:rsidRPr="007B5BE6">
        <w:t>stakeholders noted issues with bringing a civil action in response to abuse of an older person</w:t>
      </w:r>
      <w:r w:rsidRPr="007B5BE6">
        <w:t>,</w:t>
      </w:r>
      <w:r w:rsidR="00C6625D" w:rsidRPr="007B5BE6">
        <w:t xml:space="preserve"> </w:t>
      </w:r>
      <w:r w:rsidRPr="007B5BE6">
        <w:t xml:space="preserve">including </w:t>
      </w:r>
      <w:r w:rsidR="001F3868" w:rsidRPr="007B5BE6">
        <w:t>that such avenues for older people were:</w:t>
      </w:r>
    </w:p>
    <w:p w14:paraId="65C03962" w14:textId="77777777" w:rsidR="001F3868" w:rsidRPr="007B5BE6" w:rsidRDefault="001F3868" w:rsidP="001D36C8">
      <w:pPr>
        <w:pStyle w:val="DotPointTLRI"/>
      </w:pPr>
      <w:r w:rsidRPr="007B5BE6">
        <w:t xml:space="preserve">inaccessible to pursue from a cost perspective; and/or </w:t>
      </w:r>
    </w:p>
    <w:p w14:paraId="1A664975" w14:textId="0589396D" w:rsidR="001F3868" w:rsidRPr="007B5BE6" w:rsidRDefault="001F3868" w:rsidP="001D36C8">
      <w:pPr>
        <w:pStyle w:val="DotPointTLRI"/>
      </w:pPr>
      <w:r w:rsidRPr="007B5BE6">
        <w:t xml:space="preserve">not </w:t>
      </w:r>
      <w:r w:rsidR="00C909AE" w:rsidRPr="007B5BE6">
        <w:t xml:space="preserve">an option that was </w:t>
      </w:r>
      <w:r w:rsidRPr="007B5BE6">
        <w:t xml:space="preserve">wanted to be pursued, particularly at </w:t>
      </w:r>
      <w:r w:rsidR="00C909AE" w:rsidRPr="007B5BE6">
        <w:t>a</w:t>
      </w:r>
      <w:r w:rsidRPr="007B5BE6">
        <w:t xml:space="preserve"> later stage of life or</w:t>
      </w:r>
      <w:r w:rsidR="00C909AE" w:rsidRPr="007B5BE6">
        <w:t xml:space="preserve"> when it</w:t>
      </w:r>
      <w:r w:rsidRPr="007B5BE6">
        <w:t xml:space="preserve"> involv</w:t>
      </w:r>
      <w:r w:rsidR="00C909AE" w:rsidRPr="007B5BE6">
        <w:t>ed</w:t>
      </w:r>
      <w:r w:rsidRPr="007B5BE6">
        <w:t xml:space="preserve"> legal action against a family member.</w:t>
      </w:r>
    </w:p>
    <w:p w14:paraId="611CD3B6" w14:textId="7C6CC4BD" w:rsidR="001F3868" w:rsidRPr="007B5BE6" w:rsidRDefault="001F3868" w:rsidP="001F3868">
      <w:pPr>
        <w:pStyle w:val="NormalNumberedTextTLRI"/>
      </w:pPr>
      <w:r w:rsidRPr="007B5BE6">
        <w:t>These issues are conveyed in the following comments by stakeholders</w:t>
      </w:r>
      <w:r w:rsidR="00B10AAC" w:rsidRPr="007B5BE6">
        <w:t>:</w:t>
      </w:r>
    </w:p>
    <w:p w14:paraId="29F2CE87" w14:textId="0EF445B1" w:rsidR="001F3868" w:rsidRPr="007B5BE6" w:rsidRDefault="00D73FCD" w:rsidP="001F3868">
      <w:pPr>
        <w:pStyle w:val="Indentedquote"/>
        <w:rPr>
          <w:sz w:val="20"/>
          <w:szCs w:val="20"/>
        </w:rPr>
      </w:pPr>
      <w:r w:rsidRPr="007B5BE6">
        <w:rPr>
          <w:sz w:val="20"/>
          <w:szCs w:val="20"/>
        </w:rPr>
        <w:t>They are</w:t>
      </w:r>
      <w:r w:rsidR="001F3868" w:rsidRPr="007B5BE6">
        <w:rPr>
          <w:sz w:val="20"/>
          <w:szCs w:val="20"/>
        </w:rPr>
        <w:t xml:space="preserve"> Supreme Court actions that … financially are inaccessible for our clients. And … you know, at the end of their life, that’s not … something they would necessarily want to purs</w:t>
      </w:r>
      <w:r w:rsidR="00E80E15" w:rsidRPr="007B5BE6">
        <w:rPr>
          <w:sz w:val="20"/>
          <w:szCs w:val="20"/>
        </w:rPr>
        <w:t>u</w:t>
      </w:r>
      <w:r w:rsidR="001F3868" w:rsidRPr="007B5BE6">
        <w:rPr>
          <w:sz w:val="20"/>
          <w:szCs w:val="20"/>
        </w:rPr>
        <w:t>e in any event.</w:t>
      </w:r>
      <w:r w:rsidR="008940A4" w:rsidRPr="007B5BE6">
        <w:rPr>
          <w:rStyle w:val="FootnoteReference"/>
          <w:sz w:val="20"/>
          <w:szCs w:val="20"/>
        </w:rPr>
        <w:footnoteReference w:id="864"/>
      </w:r>
    </w:p>
    <w:p w14:paraId="62E9C99D" w14:textId="1778B9E8" w:rsidR="001F3868" w:rsidRPr="007B5BE6" w:rsidRDefault="001F3868" w:rsidP="001F3868">
      <w:pPr>
        <w:pStyle w:val="Indentedquote"/>
        <w:rPr>
          <w:sz w:val="20"/>
          <w:szCs w:val="20"/>
        </w:rPr>
      </w:pPr>
      <w:r w:rsidRPr="007B5BE6">
        <w:rPr>
          <w:sz w:val="20"/>
          <w:szCs w:val="20"/>
        </w:rPr>
        <w:t>[</w:t>
      </w:r>
      <w:r w:rsidR="00B10AAC" w:rsidRPr="007B5BE6">
        <w:rPr>
          <w:sz w:val="20"/>
          <w:szCs w:val="20"/>
        </w:rPr>
        <w:t>W</w:t>
      </w:r>
      <w:r w:rsidRPr="007B5BE6">
        <w:rPr>
          <w:sz w:val="20"/>
          <w:szCs w:val="20"/>
        </w:rPr>
        <w:t>e] talk to clients … about … do they wish to sue their son or daughter or niece or nephew … I’m not aware of many who have taken that path … so very much not a legal avenue that’s considered appropriate or attractive to anyone. …[F]rom speaking with … older people and the various service providers … older people are very reluctant [to do] that. … And we’ve had some examples … in a family situation where one person [in a couple]</w:t>
      </w:r>
      <w:r w:rsidR="00B10AAC" w:rsidRPr="007B5BE6">
        <w:rPr>
          <w:sz w:val="20"/>
          <w:szCs w:val="20"/>
        </w:rPr>
        <w:t xml:space="preserve"> </w:t>
      </w:r>
      <w:r w:rsidRPr="007B5BE6">
        <w:rPr>
          <w:sz w:val="20"/>
          <w:szCs w:val="20"/>
        </w:rPr>
        <w:t>… felt outraged and … felt that someone should pay or … something should happen, but the other [person in the couple] … did not want to ‘rock the boat’ [in the family].</w:t>
      </w:r>
      <w:r w:rsidR="008940A4" w:rsidRPr="007B5BE6">
        <w:rPr>
          <w:rStyle w:val="FootnoteReference"/>
          <w:sz w:val="20"/>
          <w:szCs w:val="20"/>
        </w:rPr>
        <w:footnoteReference w:id="865"/>
      </w:r>
    </w:p>
    <w:p w14:paraId="35F5609A" w14:textId="4C225AA9" w:rsidR="001F3868" w:rsidRPr="007B5BE6" w:rsidRDefault="001F3868" w:rsidP="001918C4">
      <w:pPr>
        <w:pStyle w:val="NormalNumberedTextTLRI"/>
      </w:pPr>
      <w:r w:rsidRPr="007B5BE6">
        <w:t xml:space="preserve">Regarding abuse of older people that can arise in the context of property arrangements, one stakeholder noted a lack of clarity around </w:t>
      </w:r>
      <w:r w:rsidR="00177D94" w:rsidRPr="007B5BE6">
        <w:t xml:space="preserve">the </w:t>
      </w:r>
      <w:r w:rsidRPr="007B5BE6">
        <w:t>applicability of tenancy laws in such circumstances</w:t>
      </w:r>
      <w:r w:rsidR="00177D94" w:rsidRPr="007B5BE6">
        <w:t xml:space="preserve">. This included </w:t>
      </w:r>
      <w:r w:rsidRPr="007B5BE6">
        <w:t xml:space="preserve">issues regarding the legal status and rights of </w:t>
      </w:r>
      <w:r w:rsidR="00177D94" w:rsidRPr="007B5BE6">
        <w:t xml:space="preserve">either </w:t>
      </w:r>
      <w:r w:rsidRPr="007B5BE6">
        <w:t>an older person</w:t>
      </w:r>
      <w:r w:rsidR="00177D94" w:rsidRPr="007B5BE6">
        <w:t>,</w:t>
      </w:r>
      <w:r w:rsidRPr="007B5BE6">
        <w:t xml:space="preserve"> or a family member</w:t>
      </w:r>
      <w:r w:rsidR="00177D94" w:rsidRPr="007B5BE6">
        <w:t>,</w:t>
      </w:r>
      <w:r w:rsidRPr="007B5BE6">
        <w:t xml:space="preserve"> as a ‘tenant’. </w:t>
      </w:r>
      <w:r w:rsidR="004017F3" w:rsidRPr="007B5BE6">
        <w:t>For example,</w:t>
      </w:r>
      <w:r w:rsidR="000A693E" w:rsidRPr="007B5BE6">
        <w:t xml:space="preserve"> </w:t>
      </w:r>
      <w:r w:rsidRPr="007B5BE6">
        <w:t>an adult children mov</w:t>
      </w:r>
      <w:r w:rsidR="000A693E" w:rsidRPr="007B5BE6">
        <w:t xml:space="preserve">ing </w:t>
      </w:r>
      <w:r w:rsidRPr="007B5BE6">
        <w:t>in to live with a parent</w:t>
      </w:r>
      <w:r w:rsidR="000B459E" w:rsidRPr="007B5BE6">
        <w:t xml:space="preserve"> (an older person)</w:t>
      </w:r>
      <w:r w:rsidRPr="007B5BE6">
        <w:t xml:space="preserve">, often </w:t>
      </w:r>
      <w:r w:rsidR="000B459E" w:rsidRPr="007B5BE6">
        <w:t xml:space="preserve">with the purpose of providing </w:t>
      </w:r>
      <w:r w:rsidRPr="007B5BE6">
        <w:t xml:space="preserve">care, or </w:t>
      </w:r>
      <w:r w:rsidR="000B459E" w:rsidRPr="007B5BE6">
        <w:t>purporting to provide</w:t>
      </w:r>
      <w:r w:rsidRPr="007B5BE6">
        <w:t xml:space="preserve"> care, for the parent or</w:t>
      </w:r>
      <w:r w:rsidR="004017F3" w:rsidRPr="007B5BE6">
        <w:t xml:space="preserve"> an adult child</w:t>
      </w:r>
      <w:r w:rsidRPr="007B5BE6">
        <w:t xml:space="preserve"> mov</w:t>
      </w:r>
      <w:r w:rsidR="004017F3" w:rsidRPr="007B5BE6">
        <w:t>ing</w:t>
      </w:r>
      <w:r w:rsidRPr="007B5BE6">
        <w:t xml:space="preserve"> </w:t>
      </w:r>
      <w:r w:rsidR="004017F3" w:rsidRPr="007B5BE6">
        <w:t>in with the parent (the older person)</w:t>
      </w:r>
      <w:r w:rsidRPr="007B5BE6">
        <w:t xml:space="preserve"> for what was intended to be a short period</w:t>
      </w:r>
      <w:r w:rsidR="007B587F" w:rsidRPr="007B5BE6">
        <w:t>,</w:t>
      </w:r>
      <w:r w:rsidRPr="007B5BE6">
        <w:t xml:space="preserve"> and then staying </w:t>
      </w:r>
      <w:r w:rsidR="007B587F" w:rsidRPr="007B5BE6">
        <w:t>for longer than initially agreed</w:t>
      </w:r>
      <w:r w:rsidRPr="007B5BE6">
        <w:t xml:space="preserve"> and </w:t>
      </w:r>
      <w:r w:rsidR="007B587F" w:rsidRPr="007B5BE6">
        <w:t xml:space="preserve">refusing to </w:t>
      </w:r>
      <w:r w:rsidRPr="007B5BE6">
        <w:t xml:space="preserve">leave. This stakeholder indicated that it was often difficult to know whether the child was a ‘tenant’ or a guest as they usually did not pay rent, and there was often uncertainty as to whether any verbal or written agreement had been reached. This </w:t>
      </w:r>
      <w:r w:rsidR="000A0079" w:rsidRPr="007B5BE6">
        <w:t>resulted in</w:t>
      </w:r>
      <w:r w:rsidRPr="007B5BE6">
        <w:t xml:space="preserve"> a lack of clarity around the tenancy rights of the child and therefore legal avenues for</w:t>
      </w:r>
      <w:r w:rsidR="000A0079" w:rsidRPr="007B5BE6">
        <w:t xml:space="preserve"> the parent to have them</w:t>
      </w:r>
      <w:r w:rsidRPr="007B5BE6">
        <w:t xml:space="preserve"> remov</w:t>
      </w:r>
      <w:r w:rsidR="00834CF5" w:rsidRPr="007B5BE6">
        <w:t>ed</w:t>
      </w:r>
      <w:r w:rsidRPr="007B5BE6">
        <w:t xml:space="preserve"> from the</w:t>
      </w:r>
      <w:r w:rsidR="000A0079" w:rsidRPr="007B5BE6">
        <w:t>ir</w:t>
      </w:r>
      <w:r w:rsidRPr="007B5BE6">
        <w:t xml:space="preserve"> home. Another example provided was where the older person </w:t>
      </w:r>
      <w:r w:rsidR="000A0079" w:rsidRPr="007B5BE6">
        <w:t>has been</w:t>
      </w:r>
      <w:r w:rsidRPr="007B5BE6">
        <w:t xml:space="preserve"> invited by their adult child to liv</w:t>
      </w:r>
      <w:r w:rsidR="000A0079" w:rsidRPr="007B5BE6">
        <w:t>e</w:t>
      </w:r>
      <w:r w:rsidRPr="007B5BE6">
        <w:t xml:space="preserve"> in the family home or live </w:t>
      </w:r>
      <w:r w:rsidR="000A0079" w:rsidRPr="007B5BE6">
        <w:t>i</w:t>
      </w:r>
      <w:r w:rsidRPr="007B5BE6">
        <w:t>n a smaller dwelling (a ‘granny flat’) on the same land as the family home and then</w:t>
      </w:r>
      <w:r w:rsidR="00251392" w:rsidRPr="007B5BE6">
        <w:t xml:space="preserve">, </w:t>
      </w:r>
      <w:r w:rsidRPr="007B5BE6">
        <w:t xml:space="preserve">the </w:t>
      </w:r>
      <w:r w:rsidR="00251392" w:rsidRPr="007B5BE6">
        <w:t xml:space="preserve">family </w:t>
      </w:r>
      <w:r w:rsidRPr="007B5BE6">
        <w:t xml:space="preserve">relationship deteriorates, </w:t>
      </w:r>
      <w:r w:rsidR="00251392" w:rsidRPr="007B5BE6">
        <w:t xml:space="preserve">and </w:t>
      </w:r>
      <w:r w:rsidRPr="007B5BE6">
        <w:t xml:space="preserve">the older person is asked to leave or </w:t>
      </w:r>
      <w:r w:rsidR="00251392" w:rsidRPr="007B5BE6">
        <w:t xml:space="preserve">is </w:t>
      </w:r>
      <w:r w:rsidRPr="007B5BE6">
        <w:t xml:space="preserve">evicted. </w:t>
      </w:r>
      <w:r w:rsidR="00275966" w:rsidRPr="007B5BE6">
        <w:t>Similarly to the other examples provided,</w:t>
      </w:r>
      <w:r w:rsidRPr="007B5BE6">
        <w:t xml:space="preserve"> these situations often are not entered into with any clear verbal or written agreements.</w:t>
      </w:r>
      <w:r w:rsidR="008940A4" w:rsidRPr="007B5BE6">
        <w:rPr>
          <w:rStyle w:val="FootnoteReference"/>
        </w:rPr>
        <w:footnoteReference w:id="866"/>
      </w:r>
      <w:r w:rsidRPr="007B5BE6">
        <w:t xml:space="preserve"> </w:t>
      </w:r>
    </w:p>
    <w:p w14:paraId="035247E6" w14:textId="54765FE6" w:rsidR="00585752" w:rsidRPr="007B5BE6" w:rsidRDefault="00585752" w:rsidP="00D802F3">
      <w:pPr>
        <w:pStyle w:val="Headingunnumbered"/>
        <w:spacing w:before="360"/>
      </w:pPr>
      <w:bookmarkStart w:id="637" w:name="_Toc212561839"/>
      <w:r w:rsidRPr="007B5BE6">
        <w:t>TLRI’s views and re</w:t>
      </w:r>
      <w:r w:rsidR="00322123" w:rsidRPr="007B5BE6">
        <w:t>commendations</w:t>
      </w:r>
      <w:bookmarkEnd w:id="637"/>
    </w:p>
    <w:p w14:paraId="61396F2A" w14:textId="61BF71EA" w:rsidR="006216B2" w:rsidRPr="007B5BE6" w:rsidRDefault="00E5596F" w:rsidP="0063071D">
      <w:pPr>
        <w:pStyle w:val="NormalNumberedTextTLRI"/>
      </w:pPr>
      <w:r w:rsidRPr="007B5BE6">
        <w:t xml:space="preserve">The TLRI </w:t>
      </w:r>
      <w:r w:rsidR="00421B72" w:rsidRPr="007B5BE6">
        <w:t xml:space="preserve">recognises </w:t>
      </w:r>
      <w:r w:rsidR="002F1DA8" w:rsidRPr="007B5BE6">
        <w:t>t</w:t>
      </w:r>
      <w:r w:rsidR="00556F7B" w:rsidRPr="007B5BE6">
        <w:t xml:space="preserve">hat the available </w:t>
      </w:r>
      <w:r w:rsidR="00421B72" w:rsidRPr="007B5BE6">
        <w:t xml:space="preserve">civil </w:t>
      </w:r>
      <w:r w:rsidR="00556F7B" w:rsidRPr="007B5BE6">
        <w:t xml:space="preserve">common law remedies </w:t>
      </w:r>
      <w:r w:rsidR="00421B72" w:rsidRPr="007B5BE6">
        <w:t xml:space="preserve">available via current avenues for legal action </w:t>
      </w:r>
      <w:r w:rsidR="00556F7B" w:rsidRPr="007B5BE6">
        <w:t>in the Supreme Court do no</w:t>
      </w:r>
      <w:r w:rsidR="002F1DA8" w:rsidRPr="007B5BE6">
        <w:t>t</w:t>
      </w:r>
      <w:r w:rsidR="00556F7B" w:rsidRPr="007B5BE6">
        <w:t xml:space="preserve"> </w:t>
      </w:r>
      <w:r w:rsidR="00E45B11" w:rsidRPr="007B5BE6">
        <w:t xml:space="preserve">adequately </w:t>
      </w:r>
      <w:r w:rsidR="00556F7B" w:rsidRPr="007B5BE6">
        <w:t xml:space="preserve">meet the needs of older people in </w:t>
      </w:r>
      <w:r w:rsidR="00E45B11" w:rsidRPr="007B5BE6">
        <w:t>ca</w:t>
      </w:r>
      <w:r w:rsidR="00A310D0" w:rsidRPr="007B5BE6">
        <w:t>s</w:t>
      </w:r>
      <w:r w:rsidR="00E45B11" w:rsidRPr="007B5BE6">
        <w:t>es of financial abuse</w:t>
      </w:r>
      <w:r w:rsidR="00750404" w:rsidRPr="007B5BE6">
        <w:t xml:space="preserve">. However, </w:t>
      </w:r>
      <w:r w:rsidR="00EA66FD" w:rsidRPr="007B5BE6">
        <w:t xml:space="preserve">while </w:t>
      </w:r>
      <w:r w:rsidR="00750404" w:rsidRPr="007B5BE6">
        <w:t xml:space="preserve">the TLRI </w:t>
      </w:r>
      <w:r w:rsidR="00421B72" w:rsidRPr="007B5BE6">
        <w:t xml:space="preserve">acknowledges </w:t>
      </w:r>
      <w:r w:rsidR="009F6142" w:rsidRPr="007B5BE6">
        <w:t>that</w:t>
      </w:r>
      <w:r w:rsidR="00750404" w:rsidRPr="007B5BE6">
        <w:t xml:space="preserve"> thes</w:t>
      </w:r>
      <w:r w:rsidR="009F6142" w:rsidRPr="007B5BE6">
        <w:t xml:space="preserve">e laws </w:t>
      </w:r>
      <w:r w:rsidR="0062713D" w:rsidRPr="007B5BE6">
        <w:t>do not provide an adequate safeguarding response</w:t>
      </w:r>
      <w:r w:rsidR="009F6142" w:rsidRPr="007B5BE6">
        <w:t xml:space="preserve"> for older people</w:t>
      </w:r>
      <w:r w:rsidR="00EA66FD" w:rsidRPr="007B5BE6">
        <w:t>, it does not make any specific recommendations for reform. Instead, the T</w:t>
      </w:r>
      <w:r w:rsidR="007E40AC" w:rsidRPr="007B5BE6">
        <w:t>LRI’s view is that creating</w:t>
      </w:r>
      <w:r w:rsidR="009F6142" w:rsidRPr="007B5BE6">
        <w:t xml:space="preserve"> an overarching safeguarding mechanism </w:t>
      </w:r>
      <w:r w:rsidR="00F03336" w:rsidRPr="007B5BE6">
        <w:t>though</w:t>
      </w:r>
      <w:r w:rsidR="00830E8D" w:rsidRPr="007B5BE6">
        <w:t xml:space="preserve"> </w:t>
      </w:r>
      <w:r w:rsidR="00421B72" w:rsidRPr="007B5BE6">
        <w:t>creation of the role of the C</w:t>
      </w:r>
      <w:r w:rsidR="001335E8" w:rsidRPr="007B5BE6">
        <w:t>ommissioner for Older People</w:t>
      </w:r>
      <w:r w:rsidR="001335E8" w:rsidRPr="007B5BE6" w:rsidDel="001335E8">
        <w:t xml:space="preserve"> </w:t>
      </w:r>
      <w:r w:rsidR="00830E8D" w:rsidRPr="007B5BE6">
        <w:t>will help to</w:t>
      </w:r>
      <w:r w:rsidR="007E40AC" w:rsidRPr="007B5BE6">
        <w:t xml:space="preserve"> address the</w:t>
      </w:r>
      <w:r w:rsidR="00FB6EC5" w:rsidRPr="007B5BE6">
        <w:t xml:space="preserve"> complex issues</w:t>
      </w:r>
      <w:r w:rsidR="00421B72" w:rsidRPr="007B5BE6">
        <w:t xml:space="preserve"> regarding </w:t>
      </w:r>
      <w:r w:rsidR="00F03336" w:rsidRPr="007B5BE6">
        <w:t>the investigation</w:t>
      </w:r>
      <w:r w:rsidR="005F7972" w:rsidRPr="007B5BE6">
        <w:t xml:space="preserve"> </w:t>
      </w:r>
      <w:r w:rsidR="00F03336" w:rsidRPr="007B5BE6">
        <w:t>of</w:t>
      </w:r>
      <w:r w:rsidR="005F7972" w:rsidRPr="007B5BE6">
        <w:t>, and responses to,</w:t>
      </w:r>
      <w:r w:rsidR="00F03336" w:rsidRPr="007B5BE6">
        <w:t xml:space="preserve"> the</w:t>
      </w:r>
      <w:r w:rsidR="00FB6EC5" w:rsidRPr="007B5BE6">
        <w:t xml:space="preserve"> </w:t>
      </w:r>
      <w:r w:rsidR="007E40AC" w:rsidRPr="007B5BE6">
        <w:t xml:space="preserve">financial </w:t>
      </w:r>
      <w:r w:rsidR="00FB6EC5" w:rsidRPr="007B5BE6">
        <w:t>abuse of older Tasmanians.</w:t>
      </w:r>
      <w:r w:rsidR="007E40AC" w:rsidRPr="007B5BE6">
        <w:t xml:space="preserve"> </w:t>
      </w:r>
      <w:r w:rsidR="00F03336" w:rsidRPr="007B5BE6">
        <w:t xml:space="preserve">In </w:t>
      </w:r>
      <w:r w:rsidR="00CA17B6" w:rsidRPr="007B5BE6">
        <w:t>this regard</w:t>
      </w:r>
      <w:r w:rsidR="00F03336" w:rsidRPr="007B5BE6">
        <w:t xml:space="preserve">, the TLRI </w:t>
      </w:r>
      <w:r w:rsidR="004963C4" w:rsidRPr="007B5BE6">
        <w:t xml:space="preserve">highlights the educative </w:t>
      </w:r>
      <w:r w:rsidR="00CA17B6" w:rsidRPr="007B5BE6">
        <w:t xml:space="preserve">function of </w:t>
      </w:r>
      <w:r w:rsidR="005F7972" w:rsidRPr="007B5BE6">
        <w:t xml:space="preserve">adult </w:t>
      </w:r>
      <w:r w:rsidR="00CA17B6" w:rsidRPr="007B5BE6">
        <w:t xml:space="preserve">safeguarding </w:t>
      </w:r>
      <w:r w:rsidR="005F7972" w:rsidRPr="007B5BE6">
        <w:t xml:space="preserve">entities in other jurisdictions (such as in NSW </w:t>
      </w:r>
      <w:r w:rsidR="005F7972" w:rsidRPr="007B5BE6">
        <w:lastRenderedPageBreak/>
        <w:t xml:space="preserve">and SA) and </w:t>
      </w:r>
      <w:r w:rsidR="00D62B9F" w:rsidRPr="007B5BE6">
        <w:t xml:space="preserve">existing </w:t>
      </w:r>
      <w:r w:rsidR="005F7972" w:rsidRPr="007B5BE6">
        <w:t>bodies in Tasmania (such as the Public Gurdian)</w:t>
      </w:r>
      <w:r w:rsidR="00D62B9F" w:rsidRPr="007B5BE6">
        <w:t xml:space="preserve">. The TLRI also highlights </w:t>
      </w:r>
      <w:r w:rsidR="00CA17B6" w:rsidRPr="007B5BE6">
        <w:t xml:space="preserve">the evidence that </w:t>
      </w:r>
      <w:r w:rsidR="007167C8" w:rsidRPr="007B5BE6">
        <w:t xml:space="preserve">suggests that </w:t>
      </w:r>
      <w:r w:rsidR="007D78C0" w:rsidRPr="007B5BE6">
        <w:t xml:space="preserve">overarching safeguarding approaches </w:t>
      </w:r>
      <w:r w:rsidR="007167C8" w:rsidRPr="007B5BE6">
        <w:t xml:space="preserve">in NSW and SA operate as </w:t>
      </w:r>
      <w:r w:rsidR="00CD1010" w:rsidRPr="007B5BE6">
        <w:t xml:space="preserve">an </w:t>
      </w:r>
      <w:r w:rsidR="007D78C0" w:rsidRPr="007B5BE6">
        <w:t xml:space="preserve">aid in </w:t>
      </w:r>
      <w:r w:rsidR="002E3121" w:rsidRPr="007B5BE6">
        <w:t xml:space="preserve">resolving reported </w:t>
      </w:r>
      <w:r w:rsidR="00CA17B6" w:rsidRPr="007B5BE6">
        <w:t>matters without the need for re</w:t>
      </w:r>
      <w:r w:rsidR="007D78C0" w:rsidRPr="007B5BE6">
        <w:t>c</w:t>
      </w:r>
      <w:r w:rsidR="00CA17B6" w:rsidRPr="007B5BE6">
        <w:t>our</w:t>
      </w:r>
      <w:r w:rsidR="007D78C0" w:rsidRPr="007B5BE6">
        <w:t>s</w:t>
      </w:r>
      <w:r w:rsidR="00CA17B6" w:rsidRPr="007B5BE6">
        <w:t xml:space="preserve">e to </w:t>
      </w:r>
      <w:r w:rsidR="00C121CD" w:rsidRPr="007B5BE6">
        <w:t xml:space="preserve">formal </w:t>
      </w:r>
      <w:r w:rsidR="00CA17B6" w:rsidRPr="007B5BE6">
        <w:t>legal remedies</w:t>
      </w:r>
      <w:r w:rsidR="00C121CD" w:rsidRPr="007B5BE6">
        <w:t xml:space="preserve"> to achieve safeguarding</w:t>
      </w:r>
      <w:r w:rsidR="00CA17B6" w:rsidRPr="007B5BE6">
        <w:t>.</w:t>
      </w:r>
      <w:r w:rsidR="00D911C1" w:rsidRPr="007B5BE6">
        <w:rPr>
          <w:rStyle w:val="FootnoteReference"/>
        </w:rPr>
        <w:footnoteReference w:id="867"/>
      </w:r>
      <w:r w:rsidR="00CA17B6" w:rsidRPr="007B5BE6">
        <w:t xml:space="preserve"> </w:t>
      </w:r>
      <w:r w:rsidR="007509BF" w:rsidRPr="007B5BE6">
        <w:t xml:space="preserve">A refined </w:t>
      </w:r>
      <w:r w:rsidR="00D92296" w:rsidRPr="007B5BE6">
        <w:t xml:space="preserve">and supported </w:t>
      </w:r>
      <w:r w:rsidR="007509BF" w:rsidRPr="007B5BE6">
        <w:t xml:space="preserve">referral pathway to </w:t>
      </w:r>
      <w:r w:rsidR="005255D8" w:rsidRPr="007B5BE6">
        <w:t xml:space="preserve">alternative </w:t>
      </w:r>
      <w:r w:rsidR="00D64EE0" w:rsidRPr="007B5BE6">
        <w:t xml:space="preserve">dispute resolution </w:t>
      </w:r>
      <w:r w:rsidR="00DA1FBB" w:rsidRPr="007B5BE6">
        <w:t xml:space="preserve">approaches </w:t>
      </w:r>
      <w:r w:rsidR="00D92296" w:rsidRPr="007B5BE6">
        <w:t>(for example</w:t>
      </w:r>
      <w:r w:rsidR="00DA1FBB" w:rsidRPr="007B5BE6">
        <w:t>,</w:t>
      </w:r>
      <w:r w:rsidR="00D92296" w:rsidRPr="007B5BE6">
        <w:t xml:space="preserve"> </w:t>
      </w:r>
      <w:r w:rsidR="00DA1FBB" w:rsidRPr="007B5BE6">
        <w:t xml:space="preserve">mediation </w:t>
      </w:r>
      <w:r w:rsidR="00D92296" w:rsidRPr="007B5BE6">
        <w:t xml:space="preserve">provided by Relationships </w:t>
      </w:r>
      <w:r w:rsidR="006C707B" w:rsidRPr="007B5BE6">
        <w:t>Australia</w:t>
      </w:r>
      <w:r w:rsidR="00D92296" w:rsidRPr="007B5BE6">
        <w:t>)</w:t>
      </w:r>
      <w:r w:rsidR="00D64EE0" w:rsidRPr="007B5BE6">
        <w:t xml:space="preserve"> facilitated by </w:t>
      </w:r>
      <w:r w:rsidR="00C121CD" w:rsidRPr="007B5BE6">
        <w:t xml:space="preserve">such </w:t>
      </w:r>
      <w:r w:rsidR="00D64EE0" w:rsidRPr="007B5BE6">
        <w:t>a</w:t>
      </w:r>
      <w:r w:rsidR="006C4B3F" w:rsidRPr="007B5BE6">
        <w:t>n overarching safeguarding approach may also assist</w:t>
      </w:r>
      <w:r w:rsidR="006C707B" w:rsidRPr="007B5BE6">
        <w:t>.</w:t>
      </w:r>
      <w:r w:rsidR="00136560" w:rsidRPr="007B5BE6">
        <w:rPr>
          <w:rStyle w:val="FootnoteReference"/>
        </w:rPr>
        <w:footnoteReference w:id="868"/>
      </w:r>
      <w:r w:rsidR="00D92296" w:rsidRPr="007B5BE6">
        <w:t xml:space="preserve"> </w:t>
      </w:r>
      <w:r w:rsidR="00C121CD" w:rsidRPr="007B5BE6">
        <w:t xml:space="preserve">An additional legal avenue, aimed at improving responses and strengthening safeguarding, </w:t>
      </w:r>
      <w:r w:rsidR="00B24F3B" w:rsidRPr="007B5BE6">
        <w:t xml:space="preserve">is also provided through the TLRI’s recommendations for </w:t>
      </w:r>
      <w:r w:rsidR="00DA1FBB" w:rsidRPr="007B5BE6">
        <w:t>improved</w:t>
      </w:r>
      <w:r w:rsidR="00571145" w:rsidRPr="007B5BE6">
        <w:t xml:space="preserve"> </w:t>
      </w:r>
      <w:r w:rsidR="00830E8D" w:rsidRPr="007B5BE6">
        <w:t>restraint</w:t>
      </w:r>
      <w:r w:rsidR="00571145" w:rsidRPr="007B5BE6">
        <w:t xml:space="preserve"> order </w:t>
      </w:r>
      <w:r w:rsidR="00DA1FBB" w:rsidRPr="007B5BE6">
        <w:t>provisions</w:t>
      </w:r>
      <w:r w:rsidR="00031AB8" w:rsidRPr="007B5BE6">
        <w:t>,</w:t>
      </w:r>
      <w:r w:rsidR="00DA1FBB" w:rsidRPr="007B5BE6">
        <w:t xml:space="preserve"> through the introduction of specialised orders</w:t>
      </w:r>
      <w:r w:rsidR="00031AB8" w:rsidRPr="007B5BE6">
        <w:t>,</w:t>
      </w:r>
      <w:r w:rsidR="00DA1FBB" w:rsidRPr="007B5BE6">
        <w:t xml:space="preserve"> </w:t>
      </w:r>
      <w:r w:rsidR="00571145" w:rsidRPr="007B5BE6">
        <w:t xml:space="preserve">that </w:t>
      </w:r>
      <w:r w:rsidR="00031AB8" w:rsidRPr="007B5BE6">
        <w:t>are</w:t>
      </w:r>
      <w:r w:rsidR="00571145" w:rsidRPr="007B5BE6">
        <w:t xml:space="preserve"> focused on </w:t>
      </w:r>
      <w:r w:rsidR="00031AB8" w:rsidRPr="007B5BE6">
        <w:t xml:space="preserve">older peoples’ </w:t>
      </w:r>
      <w:r w:rsidR="00571145" w:rsidRPr="007B5BE6">
        <w:t>needs and</w:t>
      </w:r>
      <w:r w:rsidR="00203F95" w:rsidRPr="007B5BE6">
        <w:t xml:space="preserve"> the dynamics of the abuse of older people (such as recognising financial abuse).</w:t>
      </w:r>
      <w:r w:rsidR="00136560" w:rsidRPr="007B5BE6">
        <w:rPr>
          <w:rStyle w:val="FootnoteReference"/>
        </w:rPr>
        <w:footnoteReference w:id="869"/>
      </w:r>
    </w:p>
    <w:p w14:paraId="084C5475" w14:textId="1BC2EB2E" w:rsidR="004E4829" w:rsidRPr="007B5BE6" w:rsidRDefault="004E4829" w:rsidP="00744D17">
      <w:pPr>
        <w:pStyle w:val="NumberedHeadingTLRI"/>
      </w:pPr>
      <w:bookmarkStart w:id="638" w:name="_Toc212561840"/>
      <w:r w:rsidRPr="007B5BE6">
        <w:t xml:space="preserve">Improving </w:t>
      </w:r>
      <w:r w:rsidR="00EE23C6" w:rsidRPr="007B5BE6">
        <w:t xml:space="preserve">investigative and </w:t>
      </w:r>
      <w:r w:rsidRPr="007B5BE6">
        <w:t>law enforcemen</w:t>
      </w:r>
      <w:r w:rsidR="00EE23C6" w:rsidRPr="007B5BE6">
        <w:t>t</w:t>
      </w:r>
      <w:r w:rsidRPr="007B5BE6">
        <w:t xml:space="preserve"> responses</w:t>
      </w:r>
      <w:r w:rsidR="00EE23C6" w:rsidRPr="007B5BE6">
        <w:t>,</w:t>
      </w:r>
      <w:r w:rsidRPr="007B5BE6">
        <w:t xml:space="preserve"> and the experiences of older people in the justice system</w:t>
      </w:r>
      <w:bookmarkEnd w:id="638"/>
    </w:p>
    <w:p w14:paraId="7350C838" w14:textId="5CFCEA8C" w:rsidR="004E4829" w:rsidRPr="007B5BE6" w:rsidRDefault="0044588E" w:rsidP="004E4829">
      <w:pPr>
        <w:pStyle w:val="NormalNumberedTextTLRI"/>
      </w:pPr>
      <w:r w:rsidRPr="007B5BE6">
        <w:t xml:space="preserve">The TLRI has </w:t>
      </w:r>
      <w:r w:rsidR="00335C42" w:rsidRPr="007B5BE6">
        <w:t>identified</w:t>
      </w:r>
      <w:r w:rsidRPr="007B5BE6">
        <w:t xml:space="preserve"> </w:t>
      </w:r>
      <w:r w:rsidR="00907F2A" w:rsidRPr="007B5BE6">
        <w:t>a</w:t>
      </w:r>
      <w:r w:rsidR="00335C42" w:rsidRPr="007B5BE6">
        <w:t xml:space="preserve"> need to improve </w:t>
      </w:r>
      <w:r w:rsidR="00EE23C6" w:rsidRPr="007B5BE6">
        <w:t xml:space="preserve">investigative and </w:t>
      </w:r>
      <w:r w:rsidR="00335C42" w:rsidRPr="007B5BE6">
        <w:t>law enforcement responses, as well as the experiences of older people in the justice system</w:t>
      </w:r>
      <w:r w:rsidR="00907F2A" w:rsidRPr="007B5BE6">
        <w:t xml:space="preserve">. These are </w:t>
      </w:r>
      <w:r w:rsidR="00335C42" w:rsidRPr="007B5BE6">
        <w:t>important component</w:t>
      </w:r>
      <w:r w:rsidR="00EE23C6" w:rsidRPr="007B5BE6">
        <w:t>s</w:t>
      </w:r>
      <w:r w:rsidR="00335C42" w:rsidRPr="007B5BE6">
        <w:t xml:space="preserve"> in </w:t>
      </w:r>
      <w:r w:rsidR="006654D2" w:rsidRPr="007B5BE6">
        <w:t xml:space="preserve">improving the </w:t>
      </w:r>
      <w:r w:rsidR="00F43424" w:rsidRPr="007B5BE6">
        <w:t>approach</w:t>
      </w:r>
      <w:r w:rsidR="006654D2" w:rsidRPr="007B5BE6">
        <w:t xml:space="preserve"> </w:t>
      </w:r>
      <w:r w:rsidR="00907F2A" w:rsidRPr="007B5BE6">
        <w:t xml:space="preserve">in Tasmania </w:t>
      </w:r>
      <w:r w:rsidR="006654D2" w:rsidRPr="007B5BE6">
        <w:t xml:space="preserve">to </w:t>
      </w:r>
      <w:r w:rsidR="00335C42" w:rsidRPr="007B5BE6">
        <w:t xml:space="preserve">safeguarding against </w:t>
      </w:r>
      <w:r w:rsidR="00B926F5" w:rsidRPr="007B5BE6">
        <w:t xml:space="preserve">the </w:t>
      </w:r>
      <w:r w:rsidR="00335C42" w:rsidRPr="007B5BE6">
        <w:t>abuse</w:t>
      </w:r>
      <w:r w:rsidR="00B926F5" w:rsidRPr="007B5BE6">
        <w:t xml:space="preserve"> of older people</w:t>
      </w:r>
      <w:r w:rsidR="00335C42" w:rsidRPr="007B5BE6">
        <w:t xml:space="preserve">. </w:t>
      </w:r>
      <w:r w:rsidR="004E4829" w:rsidRPr="007B5BE6">
        <w:t xml:space="preserve"> </w:t>
      </w:r>
    </w:p>
    <w:p w14:paraId="7E95E658" w14:textId="7C420736" w:rsidR="00AB25EB" w:rsidRPr="007B5BE6" w:rsidRDefault="00E05AEB" w:rsidP="00D802F3">
      <w:pPr>
        <w:pStyle w:val="Headingunnumbered"/>
        <w:spacing w:before="360"/>
      </w:pPr>
      <w:bookmarkStart w:id="639" w:name="_Toc212561841"/>
      <w:r w:rsidRPr="007B5BE6">
        <w:t>Interviews with stakeholders</w:t>
      </w:r>
      <w:bookmarkEnd w:id="639"/>
    </w:p>
    <w:p w14:paraId="57B2B81A" w14:textId="2833DC21" w:rsidR="00AB25EB" w:rsidRPr="007B5BE6" w:rsidRDefault="00BB30ED" w:rsidP="00AB25EB">
      <w:pPr>
        <w:pStyle w:val="NormalNumberedTextTLRI"/>
      </w:pPr>
      <w:r w:rsidRPr="007B5BE6">
        <w:t xml:space="preserve">A key theme identified in the analysis of legal and service gaps under Tasmanian </w:t>
      </w:r>
      <w:r w:rsidR="00CD2C7B" w:rsidRPr="007B5BE6">
        <w:t xml:space="preserve">law </w:t>
      </w:r>
      <w:r w:rsidRPr="007B5BE6">
        <w:t xml:space="preserve">(and Commonwealth law) was the lack of a comprehensive approach to reporting, detecting and investigating </w:t>
      </w:r>
      <w:r w:rsidR="00907F2A" w:rsidRPr="007B5BE6">
        <w:t xml:space="preserve">the </w:t>
      </w:r>
      <w:r w:rsidRPr="007B5BE6">
        <w:t>abuse of older Tasmanians. This issue cuts across criminal and civil law, legislative and common law frameworks, laws in the Tasmanian and Commonwealth jurisdictions</w:t>
      </w:r>
      <w:r w:rsidR="00C33E9F" w:rsidRPr="007B5BE6">
        <w:t>,</w:t>
      </w:r>
      <w:r w:rsidRPr="007B5BE6">
        <w:t xml:space="preserve"> and services systems that work within and outside of the law. This includes service systems such as policing, prosecution, health, social, housing, banking, financial and aged care. </w:t>
      </w:r>
      <w:r w:rsidR="00AB25EB" w:rsidRPr="007B5BE6">
        <w:t>Stakeholders who discussed constraints on detection, reporting and investigation as gaps in services systems (</w:t>
      </w:r>
      <w:r w:rsidR="008378E5" w:rsidRPr="007B5BE6">
        <w:t>detailed at</w:t>
      </w:r>
      <w:r w:rsidR="00AB25EB" w:rsidRPr="007B5BE6">
        <w:t xml:space="preserve"> </w:t>
      </w:r>
      <w:r w:rsidR="00891584" w:rsidRPr="007B5BE6">
        <w:t>[4</w:t>
      </w:r>
      <w:r w:rsidR="00954B0D" w:rsidRPr="007B5BE6">
        <w:t>.3.19]</w:t>
      </w:r>
      <w:r w:rsidR="00EB2127" w:rsidRPr="007B5BE6">
        <w:t>–[4.3.20]</w:t>
      </w:r>
      <w:r w:rsidR="00AB25EB" w:rsidRPr="007B5BE6">
        <w:t>), suggested various approaches that could assist in reducing barriers in the operation of legal responses. These included:</w:t>
      </w:r>
    </w:p>
    <w:p w14:paraId="02249806" w14:textId="6031A8CC" w:rsidR="00AB25EB" w:rsidRPr="007B5BE6" w:rsidRDefault="00AB25EB" w:rsidP="001D36C8">
      <w:pPr>
        <w:pStyle w:val="DotPointTLRI"/>
      </w:pPr>
      <w:r w:rsidRPr="007B5BE6">
        <w:rPr>
          <w:b/>
          <w:bCs/>
        </w:rPr>
        <w:t>Training for police officers</w:t>
      </w:r>
      <w:r w:rsidRPr="007B5BE6">
        <w:t xml:space="preserve"> in recognising and responding to </w:t>
      </w:r>
      <w:r w:rsidR="008378E5" w:rsidRPr="007B5BE6">
        <w:t xml:space="preserve">the </w:t>
      </w:r>
      <w:r w:rsidRPr="007B5BE6">
        <w:t>abuse of older people and interacting with people with disability and/or cognitive impairment</w:t>
      </w:r>
      <w:r w:rsidR="004A0868" w:rsidRPr="007B5BE6">
        <w:t xml:space="preserve"> (when </w:t>
      </w:r>
      <w:r w:rsidRPr="007B5BE6">
        <w:t>responding to incidents where there is a report or concern around abuse of an older person</w:t>
      </w:r>
      <w:r w:rsidR="004A0868" w:rsidRPr="007B5BE6">
        <w:t>)</w:t>
      </w:r>
      <w:r w:rsidR="00DF2A61" w:rsidRPr="007B5BE6">
        <w:t>,</w:t>
      </w:r>
      <w:r w:rsidRPr="007B5BE6">
        <w:t xml:space="preserve"> and in investigating reports of abuse of older people</w:t>
      </w:r>
      <w:r w:rsidR="004A0868" w:rsidRPr="007B5BE6">
        <w:t xml:space="preserve"> (</w:t>
      </w:r>
      <w:r w:rsidRPr="007B5BE6">
        <w:t>including interviewing witnesses</w:t>
      </w:r>
      <w:r w:rsidR="004A0868" w:rsidRPr="007B5BE6">
        <w:t>)</w:t>
      </w:r>
      <w:r w:rsidR="006C2BD7">
        <w:t xml:space="preserve">, as well as a need for </w:t>
      </w:r>
      <w:r w:rsidR="001B77D9">
        <w:t xml:space="preserve">training </w:t>
      </w:r>
      <w:r w:rsidR="006C2BD7">
        <w:t xml:space="preserve">dedicated </w:t>
      </w:r>
      <w:r w:rsidR="001B77D9">
        <w:t xml:space="preserve">prosecutors </w:t>
      </w:r>
      <w:r w:rsidR="00457AA1">
        <w:t>with capabilities needed for</w:t>
      </w:r>
      <w:r w:rsidR="001B77D9">
        <w:t xml:space="preserve"> briefing and supporting older people as victims and witnesses </w:t>
      </w:r>
      <w:r w:rsidR="00C11C3A">
        <w:t xml:space="preserve">in court processes. </w:t>
      </w:r>
      <w:r w:rsidRPr="007B5BE6">
        <w:t xml:space="preserve"> </w:t>
      </w:r>
    </w:p>
    <w:p w14:paraId="50E8C5F7" w14:textId="4D650696" w:rsidR="00AB25EB" w:rsidRPr="007B5BE6" w:rsidRDefault="00AB25EB" w:rsidP="001D36C8">
      <w:pPr>
        <w:pStyle w:val="DotPointTLRI"/>
      </w:pPr>
      <w:r w:rsidRPr="007B5BE6">
        <w:rPr>
          <w:b/>
          <w:bCs/>
        </w:rPr>
        <w:t>Flagging</w:t>
      </w:r>
      <w:r w:rsidR="00A27572" w:rsidRPr="007B5BE6">
        <w:rPr>
          <w:b/>
          <w:bCs/>
        </w:rPr>
        <w:t xml:space="preserve"> incidents</w:t>
      </w:r>
      <w:r w:rsidRPr="007B5BE6">
        <w:rPr>
          <w:b/>
          <w:bCs/>
        </w:rPr>
        <w:t xml:space="preserve"> </w:t>
      </w:r>
      <w:r w:rsidR="00DD74B2" w:rsidRPr="007B5BE6">
        <w:rPr>
          <w:b/>
          <w:bCs/>
        </w:rPr>
        <w:t>in police data</w:t>
      </w:r>
      <w:r w:rsidR="00DD74B2" w:rsidRPr="007B5BE6">
        <w:t xml:space="preserve"> </w:t>
      </w:r>
      <w:r w:rsidR="00A27572" w:rsidRPr="007B5BE6">
        <w:t>where abuse</w:t>
      </w:r>
      <w:r w:rsidRPr="007B5BE6">
        <w:t xml:space="preserve"> of older people</w:t>
      </w:r>
      <w:r w:rsidR="00A27572" w:rsidRPr="007B5BE6">
        <w:t xml:space="preserve"> is reported</w:t>
      </w:r>
      <w:r w:rsidR="00DD74B2" w:rsidRPr="007B5BE6">
        <w:t xml:space="preserve">, through </w:t>
      </w:r>
      <w:r w:rsidRPr="007B5BE6">
        <w:t>police includ</w:t>
      </w:r>
      <w:r w:rsidR="00DF2A61" w:rsidRPr="007B5BE6">
        <w:t>ing</w:t>
      </w:r>
      <w:r w:rsidRPr="007B5BE6">
        <w:t xml:space="preserve"> a flag in</w:t>
      </w:r>
      <w:r w:rsidR="00DF2A61" w:rsidRPr="007B5BE6">
        <w:t xml:space="preserve"> relevant</w:t>
      </w:r>
      <w:r w:rsidRPr="007B5BE6">
        <w:t xml:space="preserve"> data systems when responding to </w:t>
      </w:r>
      <w:r w:rsidR="0029333D" w:rsidRPr="007B5BE6">
        <w:t xml:space="preserve">an incident of </w:t>
      </w:r>
      <w:r w:rsidR="00E52D7A" w:rsidRPr="007B5BE6">
        <w:t xml:space="preserve">suspected </w:t>
      </w:r>
      <w:r w:rsidR="0029333D" w:rsidRPr="007B5BE6">
        <w:t>abuse</w:t>
      </w:r>
      <w:r w:rsidRPr="007B5BE6">
        <w:t>, conducting welfare check</w:t>
      </w:r>
      <w:r w:rsidR="0029333D" w:rsidRPr="007B5BE6">
        <w:t>s,</w:t>
      </w:r>
      <w:r w:rsidRPr="007B5BE6">
        <w:t xml:space="preserve"> or when an offence is reported that involves an older person as the </w:t>
      </w:r>
      <w:r w:rsidR="001F5B27" w:rsidRPr="007B5BE6">
        <w:t xml:space="preserve">alleged </w:t>
      </w:r>
      <w:r w:rsidRPr="007B5BE6">
        <w:t xml:space="preserve">victim (see </w:t>
      </w:r>
      <w:r w:rsidR="00D56CAC" w:rsidRPr="007B5BE6">
        <w:t xml:space="preserve">[5.3.26]–[5.3.29] </w:t>
      </w:r>
      <w:r w:rsidRPr="007B5BE6">
        <w:t xml:space="preserve">and </w:t>
      </w:r>
      <w:r w:rsidRPr="007B5BE6">
        <w:rPr>
          <w:b/>
          <w:bCs/>
        </w:rPr>
        <w:t xml:space="preserve">Recommendation </w:t>
      </w:r>
      <w:r w:rsidR="00DC28FE" w:rsidRPr="007B5BE6">
        <w:rPr>
          <w:b/>
          <w:bCs/>
        </w:rPr>
        <w:t>23</w:t>
      </w:r>
      <w:r w:rsidRPr="007B5BE6">
        <w:t xml:space="preserve">). </w:t>
      </w:r>
    </w:p>
    <w:p w14:paraId="0CFF7FE2" w14:textId="27F5161A" w:rsidR="00AB25EB" w:rsidRPr="007B5BE6" w:rsidRDefault="00AB25EB" w:rsidP="001D36C8">
      <w:pPr>
        <w:pStyle w:val="DotPointTLRI"/>
      </w:pPr>
      <w:r w:rsidRPr="007B5BE6">
        <w:rPr>
          <w:b/>
          <w:bCs/>
        </w:rPr>
        <w:t>Increasing the capacity of police to detect financial abuse</w:t>
      </w:r>
      <w:r w:rsidRPr="007B5BE6">
        <w:t xml:space="preserve"> through processes for receiving and investigating reports of financial abuse, including </w:t>
      </w:r>
      <w:r w:rsidR="00624E07" w:rsidRPr="007B5BE6">
        <w:t>conduct involving breaches</w:t>
      </w:r>
      <w:r w:rsidRPr="007B5BE6">
        <w:t xml:space="preserve"> of trust by  </w:t>
      </w:r>
      <w:r w:rsidR="00624E07" w:rsidRPr="007B5BE6">
        <w:t xml:space="preserve">people who </w:t>
      </w:r>
      <w:r w:rsidRPr="007B5BE6">
        <w:t>provi</w:t>
      </w:r>
      <w:r w:rsidR="00624E07" w:rsidRPr="007B5BE6">
        <w:t xml:space="preserve">de </w:t>
      </w:r>
      <w:r w:rsidRPr="007B5BE6">
        <w:t>support to older people (such as whe</w:t>
      </w:r>
      <w:r w:rsidR="00624E07" w:rsidRPr="007B5BE6">
        <w:t>n</w:t>
      </w:r>
      <w:r w:rsidRPr="007B5BE6">
        <w:t xml:space="preserve"> </w:t>
      </w:r>
      <w:r w:rsidR="00624E07" w:rsidRPr="007B5BE6">
        <w:t>an</w:t>
      </w:r>
      <w:r w:rsidRPr="007B5BE6">
        <w:t xml:space="preserve"> older person has provided the means</w:t>
      </w:r>
      <w:r w:rsidR="00624E07" w:rsidRPr="007B5BE6">
        <w:t xml:space="preserve"> for a trusted person</w:t>
      </w:r>
      <w:r w:rsidRPr="007B5BE6">
        <w:t xml:space="preserve"> to access bank accounts with consent to do so for particular purposes)</w:t>
      </w:r>
      <w:r w:rsidR="00624E07" w:rsidRPr="007B5BE6">
        <w:t>,</w:t>
      </w:r>
      <w:r w:rsidRPr="007B5BE6">
        <w:t xml:space="preserve"> and conduct that is fraudulent</w:t>
      </w:r>
      <w:r w:rsidR="00624E07" w:rsidRPr="007B5BE6">
        <w:t>,</w:t>
      </w:r>
      <w:r w:rsidRPr="007B5BE6">
        <w:t xml:space="preserve"> or outside of </w:t>
      </w:r>
      <w:r w:rsidR="00624E07" w:rsidRPr="007B5BE6">
        <w:t>permissible conduct,</w:t>
      </w:r>
      <w:r w:rsidRPr="007B5BE6">
        <w:t xml:space="preserve"> under power</w:t>
      </w:r>
      <w:r w:rsidR="00624E07" w:rsidRPr="007B5BE6">
        <w:t>s</w:t>
      </w:r>
      <w:r w:rsidRPr="007B5BE6">
        <w:t xml:space="preserve"> of attorney and guardianship instruments.</w:t>
      </w:r>
    </w:p>
    <w:p w14:paraId="40D9C1D7" w14:textId="58D8877A" w:rsidR="00AB25EB" w:rsidRPr="007B5BE6" w:rsidRDefault="00AB25EB" w:rsidP="001D36C8">
      <w:pPr>
        <w:pStyle w:val="DotPointTLRI"/>
      </w:pPr>
      <w:r w:rsidRPr="007B5BE6">
        <w:rPr>
          <w:b/>
          <w:bCs/>
        </w:rPr>
        <w:t>Widening availability of the</w:t>
      </w:r>
      <w:r w:rsidRPr="007B5BE6">
        <w:t xml:space="preserve"> </w:t>
      </w:r>
      <w:r w:rsidRPr="007B5BE6">
        <w:rPr>
          <w:b/>
          <w:bCs/>
        </w:rPr>
        <w:t>witness intermediary program</w:t>
      </w:r>
      <w:r w:rsidRPr="007B5BE6">
        <w:t xml:space="preserve"> to provide access to the </w:t>
      </w:r>
      <w:r w:rsidR="0009109D" w:rsidRPr="007B5BE6">
        <w:t xml:space="preserve">available </w:t>
      </w:r>
      <w:r w:rsidRPr="007B5BE6">
        <w:t xml:space="preserve">supports </w:t>
      </w:r>
      <w:r w:rsidR="0009109D" w:rsidRPr="007B5BE6">
        <w:t>that may be</w:t>
      </w:r>
      <w:r w:rsidRPr="007B5BE6">
        <w:t xml:space="preserve"> needed for people with capacity or communication difficulties </w:t>
      </w:r>
      <w:r w:rsidRPr="007B5BE6">
        <w:lastRenderedPageBreak/>
        <w:t xml:space="preserve">in justice proceedings and broadening referral </w:t>
      </w:r>
      <w:r w:rsidR="00531FB1" w:rsidRPr="007B5BE6">
        <w:t>pathways,</w:t>
      </w:r>
      <w:r w:rsidRPr="007B5BE6">
        <w:t xml:space="preserve"> so t</w:t>
      </w:r>
      <w:r w:rsidR="00CE0E0D" w:rsidRPr="007B5BE6">
        <w:t xml:space="preserve">hat referrals </w:t>
      </w:r>
      <w:r w:rsidR="00685CE6" w:rsidRPr="007B5BE6">
        <w:t xml:space="preserve">can be made by other appropriate agencies, in addition to police </w:t>
      </w:r>
      <w:r w:rsidR="001969FD" w:rsidRPr="007B5BE6">
        <w:t xml:space="preserve">making referrals </w:t>
      </w:r>
      <w:r w:rsidRPr="007B5BE6">
        <w:t xml:space="preserve">regarding </w:t>
      </w:r>
      <w:r w:rsidR="005112CB" w:rsidRPr="007B5BE6">
        <w:t xml:space="preserve">matters being </w:t>
      </w:r>
      <w:r w:rsidRPr="007B5BE6">
        <w:t>pursued</w:t>
      </w:r>
      <w:r w:rsidR="00685CE6" w:rsidRPr="007B5BE6">
        <w:t xml:space="preserve"> </w:t>
      </w:r>
      <w:r w:rsidR="005112CB" w:rsidRPr="007B5BE6">
        <w:t>under the</w:t>
      </w:r>
      <w:r w:rsidRPr="007B5BE6">
        <w:t xml:space="preserve"> criminal </w:t>
      </w:r>
      <w:r w:rsidR="005112CB" w:rsidRPr="007B5BE6">
        <w:t>law</w:t>
      </w:r>
      <w:r w:rsidRPr="007B5BE6">
        <w:t>.</w:t>
      </w:r>
      <w:r w:rsidR="00484527" w:rsidRPr="007B5BE6">
        <w:rPr>
          <w:rStyle w:val="FootnoteReference"/>
        </w:rPr>
        <w:footnoteReference w:id="870"/>
      </w:r>
    </w:p>
    <w:p w14:paraId="037E17ED" w14:textId="77777777" w:rsidR="004E4829" w:rsidRPr="007B5BE6" w:rsidRDefault="004E4829" w:rsidP="00D802F3">
      <w:pPr>
        <w:pStyle w:val="Headingunnumbered"/>
        <w:spacing w:before="360"/>
      </w:pPr>
      <w:bookmarkStart w:id="640" w:name="_Toc212561842"/>
      <w:r w:rsidRPr="007B5BE6">
        <w:t>Approaches in other jurisdictions</w:t>
      </w:r>
      <w:bookmarkEnd w:id="640"/>
    </w:p>
    <w:p w14:paraId="176889E2" w14:textId="7986EE3A" w:rsidR="004E4829" w:rsidRPr="007B5BE6" w:rsidRDefault="004E4829" w:rsidP="004E4829">
      <w:pPr>
        <w:pStyle w:val="NormalNumberedTextTLRI"/>
      </w:pPr>
      <w:r w:rsidRPr="007B5BE6">
        <w:t>The ALRC</w:t>
      </w:r>
      <w:r w:rsidR="00BB30ED" w:rsidRPr="007B5BE6">
        <w:t xml:space="preserve"> has </w:t>
      </w:r>
      <w:r w:rsidRPr="007B5BE6">
        <w:t>highlight</w:t>
      </w:r>
      <w:r w:rsidR="00BB30ED" w:rsidRPr="007B5BE6">
        <w:t>ed</w:t>
      </w:r>
      <w:r w:rsidRPr="007B5BE6">
        <w:t xml:space="preserve"> the importance of</w:t>
      </w:r>
      <w:r w:rsidR="00F453DC" w:rsidRPr="007B5BE6">
        <w:t xml:space="preserve"> </w:t>
      </w:r>
      <w:r w:rsidRPr="007B5BE6">
        <w:t xml:space="preserve">police and </w:t>
      </w:r>
      <w:r w:rsidR="004A6202" w:rsidRPr="007B5BE6">
        <w:t xml:space="preserve">the </w:t>
      </w:r>
      <w:r w:rsidRPr="007B5BE6">
        <w:t>broader justice system response</w:t>
      </w:r>
      <w:r w:rsidR="00864719" w:rsidRPr="007B5BE6">
        <w:t xml:space="preserve"> </w:t>
      </w:r>
      <w:r w:rsidR="004A6202" w:rsidRPr="007B5BE6">
        <w:t xml:space="preserve">as part of </w:t>
      </w:r>
      <w:r w:rsidR="00864719" w:rsidRPr="007B5BE6">
        <w:t>safeguarding response</w:t>
      </w:r>
      <w:r w:rsidR="00BE1203" w:rsidRPr="007B5BE6">
        <w:t>s</w:t>
      </w:r>
      <w:r w:rsidR="00864719" w:rsidRPr="007B5BE6">
        <w:t xml:space="preserve"> to the abuse of older people</w:t>
      </w:r>
      <w:r w:rsidRPr="007B5BE6">
        <w:t>.</w:t>
      </w:r>
      <w:r w:rsidR="00F84CFA" w:rsidRPr="007B5BE6">
        <w:rPr>
          <w:rStyle w:val="FootnoteReference"/>
        </w:rPr>
        <w:footnoteReference w:id="871"/>
      </w:r>
      <w:r w:rsidRPr="007B5BE6">
        <w:t xml:space="preserve"> The ALRC set out concerns raised by stakeholders about police responses, </w:t>
      </w:r>
      <w:r w:rsidR="00BE1203" w:rsidRPr="007B5BE6">
        <w:t xml:space="preserve">including </w:t>
      </w:r>
      <w:r w:rsidRPr="007B5BE6">
        <w:t>that:</w:t>
      </w:r>
    </w:p>
    <w:p w14:paraId="207E7214" w14:textId="77777777" w:rsidR="004E4829" w:rsidRPr="007B5BE6" w:rsidRDefault="004E4829" w:rsidP="001D36C8">
      <w:pPr>
        <w:pStyle w:val="DotPointTLRI"/>
      </w:pPr>
      <w:r w:rsidRPr="007B5BE6">
        <w:t>police [do] … not always respond appropriately to ‘low level’ abuse, including neglect or financial abuse; and</w:t>
      </w:r>
    </w:p>
    <w:p w14:paraId="2DEB2DFA" w14:textId="0EEA9042" w:rsidR="004E4829" w:rsidRPr="007B5BE6" w:rsidRDefault="004E4829" w:rsidP="001D36C8">
      <w:pPr>
        <w:pStyle w:val="DotPointTLRI"/>
      </w:pPr>
      <w:r w:rsidRPr="007B5BE6">
        <w:t xml:space="preserve">that ageist perceptions </w:t>
      </w:r>
      <w:r w:rsidR="00BE1203" w:rsidRPr="007B5BE6">
        <w:t xml:space="preserve">towards </w:t>
      </w:r>
      <w:r w:rsidRPr="007B5BE6">
        <w:t>older people could affect police dealings, including that older people would not make reliable or competent witnesses.</w:t>
      </w:r>
      <w:r w:rsidR="00F84CFA" w:rsidRPr="007B5BE6">
        <w:rPr>
          <w:rStyle w:val="FootnoteReference"/>
        </w:rPr>
        <w:footnoteReference w:id="872"/>
      </w:r>
    </w:p>
    <w:p w14:paraId="324F98F4" w14:textId="0DB58879" w:rsidR="004E4829" w:rsidRPr="007B5BE6" w:rsidRDefault="004E4829" w:rsidP="004E4829">
      <w:pPr>
        <w:pStyle w:val="NormalNumberedTextTLRI"/>
      </w:pPr>
      <w:r w:rsidRPr="007B5BE6">
        <w:t xml:space="preserve">The ALRC’s </w:t>
      </w:r>
      <w:r w:rsidR="0014152B" w:rsidRPr="007B5BE6">
        <w:t>concluded</w:t>
      </w:r>
      <w:r w:rsidRPr="007B5BE6">
        <w:t xml:space="preserve"> that improvement was needed</w:t>
      </w:r>
      <w:r w:rsidR="0014152B" w:rsidRPr="007B5BE6">
        <w:t xml:space="preserve">, </w:t>
      </w:r>
      <w:r w:rsidRPr="007B5BE6">
        <w:t>set</w:t>
      </w:r>
      <w:r w:rsidR="0014152B" w:rsidRPr="007B5BE6">
        <w:t>ting</w:t>
      </w:r>
      <w:r w:rsidRPr="007B5BE6">
        <w:t xml:space="preserve"> out a range of initiatives to improve the police response</w:t>
      </w:r>
      <w:r w:rsidR="0014152B" w:rsidRPr="007B5BE6">
        <w:t>. This included:</w:t>
      </w:r>
    </w:p>
    <w:p w14:paraId="32AB86E8" w14:textId="77777777" w:rsidR="004E4829" w:rsidRPr="007B5BE6" w:rsidRDefault="004E4829" w:rsidP="001D36C8">
      <w:pPr>
        <w:pStyle w:val="DotPointTLRI"/>
      </w:pPr>
      <w:r w:rsidRPr="007B5BE6">
        <w:t>increased training for police;</w:t>
      </w:r>
    </w:p>
    <w:p w14:paraId="796349F2" w14:textId="084135A5" w:rsidR="004E4829" w:rsidRPr="007B5BE6" w:rsidRDefault="004E4829" w:rsidP="001D36C8">
      <w:pPr>
        <w:pStyle w:val="DotPointTLRI"/>
      </w:pPr>
      <w:r w:rsidRPr="007B5BE6">
        <w:t>development o</w:t>
      </w:r>
      <w:r w:rsidR="007F3F3C" w:rsidRPr="007B5BE6">
        <w:t>f</w:t>
      </w:r>
      <w:r w:rsidRPr="007B5BE6">
        <w:t xml:space="preserve"> risk assessment management tools to inform the action to be taken by police when responding to an incident involving suspected abuse;</w:t>
      </w:r>
    </w:p>
    <w:p w14:paraId="7118B6AE" w14:textId="48B3AA72" w:rsidR="004E4829" w:rsidRPr="007B5BE6" w:rsidRDefault="004E4829" w:rsidP="001D36C8">
      <w:pPr>
        <w:pStyle w:val="DotPointTLRI"/>
      </w:pPr>
      <w:r w:rsidRPr="007B5BE6">
        <w:t xml:space="preserve">training and deployment of specialist officers or units focused on </w:t>
      </w:r>
      <w:r w:rsidR="007F3F3C" w:rsidRPr="007B5BE6">
        <w:t>the abuse of older people</w:t>
      </w:r>
      <w:r w:rsidRPr="007B5BE6">
        <w:t>, which could supplement additional training and access to specialist tools</w:t>
      </w:r>
      <w:r w:rsidR="00993F01" w:rsidRPr="007B5BE6">
        <w:t xml:space="preserve">; and </w:t>
      </w:r>
      <w:r w:rsidRPr="007B5BE6">
        <w:t xml:space="preserve"> </w:t>
      </w:r>
    </w:p>
    <w:p w14:paraId="5C253575" w14:textId="395E63D3" w:rsidR="004E4829" w:rsidRPr="007B5BE6" w:rsidRDefault="004E4829" w:rsidP="001D36C8">
      <w:pPr>
        <w:pStyle w:val="DotPointTLRI"/>
      </w:pPr>
      <w:r w:rsidRPr="007B5BE6">
        <w:t>participation by specialist police staff or units in interagency activities,</w:t>
      </w:r>
      <w:r w:rsidR="007F3F3C" w:rsidRPr="007B5BE6">
        <w:t xml:space="preserve"> including</w:t>
      </w:r>
      <w:r w:rsidRPr="007B5BE6">
        <w:t xml:space="preserve"> ‘developing proactive approaches which harness responses and resources available elsewhere within the government and community sector, and engaging in community awareness activities.’</w:t>
      </w:r>
      <w:r w:rsidR="00F84CFA" w:rsidRPr="007B5BE6">
        <w:rPr>
          <w:rStyle w:val="FootnoteReference"/>
        </w:rPr>
        <w:footnoteReference w:id="873"/>
      </w:r>
    </w:p>
    <w:p w14:paraId="1A80BA46" w14:textId="1F3E03D9" w:rsidR="004E4829" w:rsidRPr="007B5BE6" w:rsidRDefault="004E4829" w:rsidP="004E4829">
      <w:pPr>
        <w:pStyle w:val="NormalNumberedTextTLRI"/>
        <w:rPr>
          <w:sz w:val="20"/>
        </w:rPr>
      </w:pPr>
      <w:r w:rsidRPr="007B5BE6">
        <w:t>These recommendations have been reflected in reforms in some jurisdictions. For example, since 2019</w:t>
      </w:r>
      <w:r w:rsidR="00864719" w:rsidRPr="007B5BE6">
        <w:t>,</w:t>
      </w:r>
      <w:r w:rsidRPr="007B5BE6">
        <w:t xml:space="preserve"> in </w:t>
      </w:r>
      <w:r w:rsidR="007F3F3C" w:rsidRPr="007B5BE6">
        <w:t>NSW</w:t>
      </w:r>
      <w:r w:rsidRPr="007B5BE6">
        <w:t>, Aged Crime Prevention Officers (</w:t>
      </w:r>
      <w:r w:rsidR="007F3F3C" w:rsidRPr="007B5BE6">
        <w:t>‘</w:t>
      </w:r>
      <w:r w:rsidRPr="007B5BE6">
        <w:t>ACPOs</w:t>
      </w:r>
      <w:r w:rsidR="007F3F3C" w:rsidRPr="007B5BE6">
        <w:t>’</w:t>
      </w:r>
      <w:r w:rsidRPr="007B5BE6">
        <w:t>) have been included in each Police Command as members of the Crime Prevention Unit across the state. ACPOs are police officers who assist in ‘preventing, disrupting and responding to the abuse, neglect and exploitation of vulnerable people, including people who may be ageing, with disability or homeless’.</w:t>
      </w:r>
      <w:r w:rsidR="00F84CFA" w:rsidRPr="007B5BE6">
        <w:rPr>
          <w:rStyle w:val="FootnoteReference"/>
        </w:rPr>
        <w:footnoteReference w:id="874"/>
      </w:r>
      <w:r w:rsidRPr="007B5BE6">
        <w:t xml:space="preserve"> ACPOs receive specialist training</w:t>
      </w:r>
      <w:r w:rsidR="00F84CFA" w:rsidRPr="007B5BE6">
        <w:rPr>
          <w:rStyle w:val="FootnoteReference"/>
        </w:rPr>
        <w:footnoteReference w:id="875"/>
      </w:r>
      <w:r w:rsidRPr="007B5BE6">
        <w:t xml:space="preserve"> and work in ‘partnership with local police, stakeholders and community groups to ensure timely support is accessible to vulnerable people</w:t>
      </w:r>
      <w:r w:rsidR="00A44D7F" w:rsidRPr="007B5BE6">
        <w:t>’</w:t>
      </w:r>
      <w:r w:rsidRPr="007B5BE6">
        <w:rPr>
          <w:sz w:val="20"/>
        </w:rPr>
        <w:t>.’</w:t>
      </w:r>
      <w:r w:rsidR="00E81A7E" w:rsidRPr="007B5BE6">
        <w:rPr>
          <w:rStyle w:val="FootnoteReference"/>
          <w:sz w:val="20"/>
        </w:rPr>
        <w:footnoteReference w:id="876"/>
      </w:r>
      <w:r w:rsidR="00A44D7F" w:rsidRPr="007B5BE6">
        <w:rPr>
          <w:sz w:val="20"/>
        </w:rPr>
        <w:t xml:space="preserve"> </w:t>
      </w:r>
      <w:r w:rsidRPr="007B5BE6">
        <w:t xml:space="preserve">Further, the </w:t>
      </w:r>
      <w:r w:rsidR="00A44D7F" w:rsidRPr="007B5BE6">
        <w:t>NSW</w:t>
      </w:r>
      <w:r w:rsidRPr="007B5BE6">
        <w:t xml:space="preserve"> interagency policy (discussed </w:t>
      </w:r>
      <w:r w:rsidRPr="007B5BE6">
        <w:lastRenderedPageBreak/>
        <w:t xml:space="preserve">at </w:t>
      </w:r>
      <w:r w:rsidR="00755F9A" w:rsidRPr="007B5BE6">
        <w:t>[4.3.27]</w:t>
      </w:r>
      <w:r w:rsidRPr="007B5BE6">
        <w:t xml:space="preserve">) forms part of the key guiding framework for ACPOs to work collaboratively with other agencies </w:t>
      </w:r>
      <w:r w:rsidR="004B6F68" w:rsidRPr="007B5BE6">
        <w:t xml:space="preserve">towards </w:t>
      </w:r>
      <w:r w:rsidRPr="007B5BE6">
        <w:t>preventing the abuse of older people.</w:t>
      </w:r>
      <w:r w:rsidR="00F84CFA" w:rsidRPr="007B5BE6">
        <w:rPr>
          <w:rStyle w:val="FootnoteReference"/>
        </w:rPr>
        <w:footnoteReference w:id="877"/>
      </w:r>
    </w:p>
    <w:p w14:paraId="0173F504" w14:textId="1BF2F40F" w:rsidR="0072013B" w:rsidRPr="007B5BE6" w:rsidRDefault="009F1D55" w:rsidP="004E4829">
      <w:pPr>
        <w:pStyle w:val="NormalNumberedTextTLRI"/>
        <w:rPr>
          <w:sz w:val="20"/>
        </w:rPr>
      </w:pPr>
      <w:r w:rsidRPr="007B5BE6">
        <w:t>Further,</w:t>
      </w:r>
      <w:r w:rsidR="00CA4DF1" w:rsidRPr="007B5BE6">
        <w:t xml:space="preserve"> the </w:t>
      </w:r>
      <w:r w:rsidR="004B6F68" w:rsidRPr="007B5BE6">
        <w:t xml:space="preserve">NSW </w:t>
      </w:r>
      <w:r w:rsidR="009C14F5" w:rsidRPr="007B5BE6">
        <w:t xml:space="preserve">ADC, from which the </w:t>
      </w:r>
      <w:r w:rsidR="0072013B" w:rsidRPr="007B5BE6">
        <w:t>Ageing and Disability Commission</w:t>
      </w:r>
      <w:r w:rsidR="00CA4DF1" w:rsidRPr="007B5BE6">
        <w:t>er</w:t>
      </w:r>
      <w:r w:rsidR="00032E71" w:rsidRPr="007B5BE6">
        <w:t xml:space="preserve"> </w:t>
      </w:r>
      <w:r w:rsidR="009C14F5" w:rsidRPr="007B5BE6">
        <w:t xml:space="preserve">operates, </w:t>
      </w:r>
      <w:r w:rsidR="00CA4DF1" w:rsidRPr="007B5BE6">
        <w:t xml:space="preserve">has reported that </w:t>
      </w:r>
      <w:r w:rsidR="00F76D7F" w:rsidRPr="007B5BE6">
        <w:t xml:space="preserve">an ongoing issue </w:t>
      </w:r>
      <w:r w:rsidR="0014363B" w:rsidRPr="007B5BE6">
        <w:t xml:space="preserve">is the need to strengthen </w:t>
      </w:r>
      <w:r w:rsidR="002C3161" w:rsidRPr="007B5BE6">
        <w:t>‘practice, decision making and collaboration of first responders in critical incidents involving people with disability</w:t>
      </w:r>
      <w:r w:rsidR="00953112" w:rsidRPr="007B5BE6">
        <w:t>’</w:t>
      </w:r>
      <w:r w:rsidR="00DE5FBE" w:rsidRPr="007B5BE6">
        <w:t>.</w:t>
      </w:r>
      <w:r w:rsidR="004B6F68" w:rsidRPr="007B5BE6">
        <w:rPr>
          <w:rStyle w:val="FootnoteReference"/>
        </w:rPr>
        <w:footnoteReference w:id="878"/>
      </w:r>
      <w:r w:rsidR="00DE5FBE" w:rsidRPr="007B5BE6">
        <w:t xml:space="preserve"> In work focused on this, </w:t>
      </w:r>
      <w:r w:rsidR="00E21AE8" w:rsidRPr="007B5BE6">
        <w:t xml:space="preserve">the </w:t>
      </w:r>
      <w:r w:rsidR="009C14F5" w:rsidRPr="007B5BE6">
        <w:t xml:space="preserve">ADC </w:t>
      </w:r>
      <w:r w:rsidR="00E21AE8" w:rsidRPr="007B5BE6">
        <w:t>has focused on the ade</w:t>
      </w:r>
      <w:r w:rsidR="00F86F5F" w:rsidRPr="007B5BE6">
        <w:t xml:space="preserve">quacy of current training and guidance, and approaches to responding to incidents involving older people </w:t>
      </w:r>
      <w:r w:rsidR="00CA4DF1" w:rsidRPr="007B5BE6">
        <w:t>(</w:t>
      </w:r>
      <w:r w:rsidR="00F86F5F" w:rsidRPr="007B5BE6">
        <w:t>and people with disability</w:t>
      </w:r>
      <w:r w:rsidR="00CA4DF1" w:rsidRPr="007B5BE6">
        <w:t>)</w:t>
      </w:r>
      <w:r w:rsidR="00F86F5F" w:rsidRPr="007B5BE6">
        <w:t>.</w:t>
      </w:r>
      <w:r w:rsidR="00CA4DF1" w:rsidRPr="007B5BE6">
        <w:t xml:space="preserve"> The </w:t>
      </w:r>
      <w:r w:rsidR="009C14F5" w:rsidRPr="007B5BE6">
        <w:t xml:space="preserve">ADC </w:t>
      </w:r>
      <w:r w:rsidR="00953112" w:rsidRPr="007B5BE6">
        <w:t>observed</w:t>
      </w:r>
      <w:r w:rsidR="00CA4DF1" w:rsidRPr="007B5BE6">
        <w:t xml:space="preserve"> that NSW Police intend to ‘develop training for all police to </w:t>
      </w:r>
      <w:r w:rsidR="003B70F4" w:rsidRPr="007B5BE6">
        <w:t>inform approaches in relation to matters involving people disability and older people</w:t>
      </w:r>
      <w:r w:rsidR="001A4B7C" w:rsidRPr="007B5BE6">
        <w:t xml:space="preserve">’ and </w:t>
      </w:r>
      <w:r w:rsidR="00A37AE3" w:rsidRPr="007B5BE6">
        <w:t>will establish</w:t>
      </w:r>
      <w:r w:rsidR="001A4B7C" w:rsidRPr="007B5BE6">
        <w:t xml:space="preserve"> an advisory group</w:t>
      </w:r>
      <w:r w:rsidR="00A37AE3" w:rsidRPr="007B5BE6">
        <w:t>. Th</w:t>
      </w:r>
      <w:r w:rsidR="009C14F5" w:rsidRPr="007B5BE6">
        <w:t>e ADC will support this</w:t>
      </w:r>
      <w:r w:rsidR="00A37AE3" w:rsidRPr="007B5BE6">
        <w:t xml:space="preserve"> work </w:t>
      </w:r>
      <w:r w:rsidR="001A4B7C" w:rsidRPr="007B5BE6">
        <w:t xml:space="preserve">through the provision </w:t>
      </w:r>
      <w:r w:rsidR="00643222" w:rsidRPr="007B5BE6">
        <w:t>of information.</w:t>
      </w:r>
      <w:r w:rsidR="00643222" w:rsidRPr="007B5BE6">
        <w:rPr>
          <w:rStyle w:val="FootnoteReference"/>
        </w:rPr>
        <w:footnoteReference w:id="879"/>
      </w:r>
      <w:r w:rsidR="00D11EF7" w:rsidRPr="007B5BE6">
        <w:t xml:space="preserve"> </w:t>
      </w:r>
      <w:r w:rsidR="00AD505E" w:rsidRPr="007B5BE6">
        <w:t xml:space="preserve">Again, this </w:t>
      </w:r>
      <w:r w:rsidR="00D11EF7" w:rsidRPr="007B5BE6">
        <w:t xml:space="preserve">demonstrates the </w:t>
      </w:r>
      <w:r w:rsidR="00AD505E" w:rsidRPr="007B5BE6">
        <w:t>potential</w:t>
      </w:r>
      <w:r w:rsidR="00A330CA" w:rsidRPr="007B5BE6">
        <w:t xml:space="preserve"> benefits of</w:t>
      </w:r>
      <w:r w:rsidR="00D11EF7" w:rsidRPr="007B5BE6">
        <w:t xml:space="preserve"> having a dedicated </w:t>
      </w:r>
      <w:r w:rsidR="00946532" w:rsidRPr="007B5BE6">
        <w:t xml:space="preserve">safeguarding </w:t>
      </w:r>
      <w:r w:rsidR="00D11EF7" w:rsidRPr="007B5BE6">
        <w:t xml:space="preserve">entity </w:t>
      </w:r>
      <w:r w:rsidR="00AD505E" w:rsidRPr="007B5BE6">
        <w:t xml:space="preserve">with responsibility for </w:t>
      </w:r>
      <w:r w:rsidR="00D11EF7" w:rsidRPr="007B5BE6">
        <w:t>oversight</w:t>
      </w:r>
      <w:r w:rsidR="009C14F5" w:rsidRPr="007B5BE6">
        <w:t xml:space="preserve"> </w:t>
      </w:r>
      <w:r w:rsidR="00D11EF7" w:rsidRPr="007B5BE6">
        <w:t>and respon</w:t>
      </w:r>
      <w:r w:rsidR="00AD505E" w:rsidRPr="007B5BE6">
        <w:t>se</w:t>
      </w:r>
      <w:r w:rsidR="009C14F5" w:rsidRPr="007B5BE6">
        <w:t>s</w:t>
      </w:r>
      <w:r w:rsidR="00D11EF7" w:rsidRPr="007B5BE6">
        <w:t xml:space="preserve"> to reports of abuse of older people</w:t>
      </w:r>
      <w:r w:rsidR="00AD505E" w:rsidRPr="007B5BE6">
        <w:t>,</w:t>
      </w:r>
      <w:r w:rsidR="00061642" w:rsidRPr="007B5BE6">
        <w:t xml:space="preserve"> </w:t>
      </w:r>
      <w:r w:rsidR="00AD505E" w:rsidRPr="007B5BE6">
        <w:t>as well as its ability</w:t>
      </w:r>
      <w:r w:rsidR="00061642" w:rsidRPr="007B5BE6">
        <w:t xml:space="preserve"> to collaborate with and support the work of </w:t>
      </w:r>
      <w:r w:rsidR="00DB4D85" w:rsidRPr="007B5BE6">
        <w:t>other</w:t>
      </w:r>
      <w:r w:rsidR="009C14F5" w:rsidRPr="007B5BE6">
        <w:t xml:space="preserve"> relevant</w:t>
      </w:r>
      <w:r w:rsidR="00DB4D85" w:rsidRPr="007B5BE6">
        <w:t xml:space="preserve"> agencies</w:t>
      </w:r>
      <w:r w:rsidR="008A13F7" w:rsidRPr="007B5BE6">
        <w:t>.</w:t>
      </w:r>
    </w:p>
    <w:p w14:paraId="043F5784" w14:textId="4FC80C0D" w:rsidR="004E4829" w:rsidRPr="007B5BE6" w:rsidRDefault="004E4829" w:rsidP="004E4829">
      <w:pPr>
        <w:pStyle w:val="NormalNumberedTextTLRI"/>
      </w:pPr>
      <w:r w:rsidRPr="007B5BE6">
        <w:t>Victoria has also adopted specialised policing approaches tailored to the circumstances of abuse of older people</w:t>
      </w:r>
      <w:r w:rsidR="00180440" w:rsidRPr="007B5BE6">
        <w:t>,</w:t>
      </w:r>
      <w:r w:rsidRPr="007B5BE6">
        <w:t xml:space="preserve"> incorporated in the overarching response to family violence</w:t>
      </w:r>
      <w:r w:rsidR="00EC761C" w:rsidRPr="007B5BE6">
        <w:t>. As part of this, family violence training</w:t>
      </w:r>
      <w:r w:rsidR="00533DA0" w:rsidRPr="007B5BE6">
        <w:t xml:space="preserve"> for all police officers</w:t>
      </w:r>
      <w:r w:rsidR="00EC761C" w:rsidRPr="007B5BE6">
        <w:t xml:space="preserve"> includes a component relating to the abuse of older people</w:t>
      </w:r>
      <w:r w:rsidR="00E15F29" w:rsidRPr="007B5BE6">
        <w:t>.</w:t>
      </w:r>
      <w:r w:rsidR="00F84CFA" w:rsidRPr="007B5BE6">
        <w:rPr>
          <w:rStyle w:val="FootnoteReference"/>
        </w:rPr>
        <w:footnoteReference w:id="880"/>
      </w:r>
      <w:r w:rsidRPr="007B5BE6">
        <w:t xml:space="preserve"> </w:t>
      </w:r>
      <w:r w:rsidR="00B56B48" w:rsidRPr="007B5BE6">
        <w:t>Frontline police officers, a</w:t>
      </w:r>
      <w:r w:rsidR="00DA7490" w:rsidRPr="007B5BE6">
        <w:t xml:space="preserve">t every family violence </w:t>
      </w:r>
      <w:r w:rsidR="00B468FE" w:rsidRPr="007B5BE6">
        <w:t xml:space="preserve">incident, </w:t>
      </w:r>
      <w:r w:rsidR="00A14EB8" w:rsidRPr="007B5BE6">
        <w:t xml:space="preserve">complete a risk assessment and make referrals to specialist services, including those relevant for older people. High-risk cases can be referred to </w:t>
      </w:r>
      <w:r w:rsidR="00B56B48" w:rsidRPr="007B5BE6">
        <w:t xml:space="preserve">specialist Family Violence Investigation Units (‘FVIU’). In the FVIUs, </w:t>
      </w:r>
      <w:r w:rsidRPr="007B5BE6">
        <w:t>dedicated police investigators undertake serious and complex investigations</w:t>
      </w:r>
      <w:r w:rsidR="009C14F5" w:rsidRPr="007B5BE6">
        <w:t xml:space="preserve"> and</w:t>
      </w:r>
      <w:r w:rsidRPr="007B5BE6">
        <w:t xml:space="preserve"> manage high-risk, complex and cold cases (some of which include complex matters involving abuse of older people)</w:t>
      </w:r>
      <w:r w:rsidR="00E15F29" w:rsidRPr="007B5BE6">
        <w:t xml:space="preserve">, and </w:t>
      </w:r>
      <w:r w:rsidRPr="007B5BE6">
        <w:t>support general duties police and other specialist unit</w:t>
      </w:r>
      <w:r w:rsidR="00180440" w:rsidRPr="007B5BE6">
        <w:t>s</w:t>
      </w:r>
      <w:r w:rsidRPr="007B5BE6">
        <w:t>.</w:t>
      </w:r>
      <w:r w:rsidR="00F84CFA" w:rsidRPr="007B5BE6">
        <w:rPr>
          <w:rStyle w:val="FootnoteReference"/>
        </w:rPr>
        <w:footnoteReference w:id="881"/>
      </w:r>
      <w:r w:rsidRPr="007B5BE6">
        <w:t xml:space="preserve"> </w:t>
      </w:r>
      <w:r w:rsidR="00D75A5F" w:rsidRPr="007B5BE6">
        <w:t>R</w:t>
      </w:r>
      <w:r w:rsidR="000D2BEF" w:rsidRPr="007B5BE6">
        <w:t>ecruit</w:t>
      </w:r>
      <w:r w:rsidR="00D75A5F" w:rsidRPr="007B5BE6">
        <w:t xml:space="preserve">s are trained about the </w:t>
      </w:r>
      <w:r w:rsidR="00872BAE" w:rsidRPr="007B5BE6">
        <w:t xml:space="preserve">forms of </w:t>
      </w:r>
      <w:r w:rsidRPr="007B5BE6">
        <w:t>family violence</w:t>
      </w:r>
      <w:r w:rsidR="00ED0271" w:rsidRPr="007B5BE6">
        <w:t xml:space="preserve"> experienced by </w:t>
      </w:r>
      <w:r w:rsidR="009E4FE8" w:rsidRPr="007B5BE6">
        <w:t>‘</w:t>
      </w:r>
      <w:r w:rsidRPr="007B5BE6">
        <w:t>priority communit</w:t>
      </w:r>
      <w:r w:rsidR="009E4FE8" w:rsidRPr="007B5BE6">
        <w:t xml:space="preserve">ies, </w:t>
      </w:r>
      <w:r w:rsidRPr="007B5BE6">
        <w:t>includ</w:t>
      </w:r>
      <w:r w:rsidR="009E4FE8" w:rsidRPr="007B5BE6">
        <w:t>ing</w:t>
      </w:r>
      <w:r w:rsidRPr="007B5BE6">
        <w:t xml:space="preserve"> senior</w:t>
      </w:r>
      <w:r w:rsidR="009E4FE8" w:rsidRPr="007B5BE6">
        <w:t>s, and the unique barriers they face to reporting violence’</w:t>
      </w:r>
      <w:r w:rsidRPr="007B5BE6">
        <w:t>.</w:t>
      </w:r>
      <w:r w:rsidR="009E4FE8" w:rsidRPr="007B5BE6">
        <w:rPr>
          <w:rStyle w:val="FootnoteReference"/>
        </w:rPr>
        <w:footnoteReference w:id="882"/>
      </w:r>
      <w:r w:rsidR="00C2612B" w:rsidRPr="007B5BE6">
        <w:t xml:space="preserve"> </w:t>
      </w:r>
      <w:r w:rsidRPr="007B5BE6">
        <w:t>Other initiatives in Victoria that are separate to the family violence response include:</w:t>
      </w:r>
    </w:p>
    <w:p w14:paraId="0D0D0A5E" w14:textId="774D24AD" w:rsidR="004E4829" w:rsidRPr="007B5BE6" w:rsidRDefault="0029116C" w:rsidP="001D36C8">
      <w:pPr>
        <w:pStyle w:val="DotPointTLRI"/>
      </w:pPr>
      <w:r w:rsidRPr="007B5BE6">
        <w:t>A</w:t>
      </w:r>
      <w:r w:rsidR="004E4829" w:rsidRPr="007B5BE6">
        <w:t xml:space="preserve"> ‘Financial Elder Abuse Trial’ (that ran between 2020 and 2022) involving a partnership between Victoria Police and the banking, aged care, health and legal sectors. An evaluation found the trial had many benefits for police and the community, including increased understanding of the prevalence of financial elder abuse and the response requirements</w:t>
      </w:r>
      <w:r w:rsidR="00272503" w:rsidRPr="007B5BE6">
        <w:t>,</w:t>
      </w:r>
      <w:r w:rsidR="004E4829" w:rsidRPr="007B5BE6">
        <w:t xml:space="preserve"> and increased reporting of abuse</w:t>
      </w:r>
      <w:r w:rsidR="00272503" w:rsidRPr="007B5BE6">
        <w:t xml:space="preserve">. It was reported that </w:t>
      </w:r>
      <w:r w:rsidR="004E4829" w:rsidRPr="007B5BE6">
        <w:t xml:space="preserve">many of </w:t>
      </w:r>
      <w:r w:rsidR="00272503" w:rsidRPr="007B5BE6">
        <w:t xml:space="preserve">the increased </w:t>
      </w:r>
      <w:r w:rsidR="00D56934" w:rsidRPr="007B5BE6">
        <w:t>reports</w:t>
      </w:r>
      <w:r w:rsidR="00272503" w:rsidRPr="007B5BE6">
        <w:t xml:space="preserve"> </w:t>
      </w:r>
      <w:r w:rsidR="004E4829" w:rsidRPr="007B5BE6">
        <w:t>came from third</w:t>
      </w:r>
      <w:r w:rsidR="00D56934" w:rsidRPr="007B5BE6">
        <w:t>-</w:t>
      </w:r>
      <w:r w:rsidR="004E4829" w:rsidRPr="007B5BE6">
        <w:t>party agencies</w:t>
      </w:r>
      <w:r w:rsidR="00D56934" w:rsidRPr="007B5BE6">
        <w:t xml:space="preserve"> that</w:t>
      </w:r>
      <w:r w:rsidR="004E4829" w:rsidRPr="007B5BE6">
        <w:t xml:space="preserve"> interact with older people, such as banks, care services and law firms. There is now a reporting option as part of Crime Stoppers in Victoria that is designed specifically for third-party reporting of </w:t>
      </w:r>
      <w:r w:rsidR="00A36B66" w:rsidRPr="007B5BE6">
        <w:t xml:space="preserve">the </w:t>
      </w:r>
      <w:r w:rsidR="004E4829" w:rsidRPr="007B5BE6">
        <w:t>abuse of older people.</w:t>
      </w:r>
    </w:p>
    <w:p w14:paraId="48538074" w14:textId="417CF315" w:rsidR="004E4829" w:rsidRPr="007B5BE6" w:rsidRDefault="004E4829" w:rsidP="001D36C8">
      <w:pPr>
        <w:pStyle w:val="DotPointTLRI"/>
      </w:pPr>
      <w:r w:rsidRPr="007B5BE6">
        <w:t>A Seniors Portfolio Reference Group (</w:t>
      </w:r>
      <w:r w:rsidR="00BD6E21" w:rsidRPr="007B5BE6">
        <w:t>‘</w:t>
      </w:r>
      <w:r w:rsidRPr="007B5BE6">
        <w:t>PRG</w:t>
      </w:r>
      <w:r w:rsidR="00BD6E21" w:rsidRPr="007B5BE6">
        <w:t>’</w:t>
      </w:r>
      <w:r w:rsidRPr="007B5BE6">
        <w:t>) chaired by Victoria Police, comprising 20 community, government agency and research partners to share information, discuss current issues, and explore and implement best practice options.</w:t>
      </w:r>
    </w:p>
    <w:p w14:paraId="4673C6D8" w14:textId="369837E3" w:rsidR="004E4829" w:rsidRPr="007B5BE6" w:rsidRDefault="004E4829" w:rsidP="001D36C8">
      <w:pPr>
        <w:pStyle w:val="DotPointTLRI"/>
      </w:pPr>
      <w:r w:rsidRPr="007B5BE6">
        <w:lastRenderedPageBreak/>
        <w:t>A partnership between Victoria Police and the aged care sector, which involves specialist police officers visiting aged care facilities to engage with work</w:t>
      </w:r>
      <w:r w:rsidR="00BD6E21" w:rsidRPr="007B5BE6">
        <w:t>er</w:t>
      </w:r>
      <w:r w:rsidRPr="007B5BE6">
        <w:t xml:space="preserve">s to educate them </w:t>
      </w:r>
      <w:r w:rsidR="00BD6E21" w:rsidRPr="007B5BE6">
        <w:t xml:space="preserve">about the </w:t>
      </w:r>
      <w:r w:rsidRPr="007B5BE6">
        <w:t xml:space="preserve">forms of abuse and </w:t>
      </w:r>
      <w:r w:rsidR="00BD6E21" w:rsidRPr="007B5BE6">
        <w:t xml:space="preserve">provide </w:t>
      </w:r>
      <w:r w:rsidRPr="007B5BE6">
        <w:t xml:space="preserve">advice on how to seek help if </w:t>
      </w:r>
      <w:r w:rsidR="00A36B66" w:rsidRPr="007B5BE6">
        <w:t>they</w:t>
      </w:r>
      <w:r w:rsidRPr="007B5BE6">
        <w:t xml:space="preserve"> witness</w:t>
      </w:r>
      <w:r w:rsidR="00A36B66" w:rsidRPr="007B5BE6">
        <w:t>,</w:t>
      </w:r>
      <w:r w:rsidRPr="007B5BE6">
        <w:t xml:space="preserve"> or have concerns</w:t>
      </w:r>
      <w:r w:rsidR="00A36B66" w:rsidRPr="007B5BE6">
        <w:t>,</w:t>
      </w:r>
      <w:r w:rsidRPr="007B5BE6">
        <w:t xml:space="preserve"> about abuse.</w:t>
      </w:r>
      <w:r w:rsidR="00F84CFA" w:rsidRPr="007B5BE6">
        <w:rPr>
          <w:rStyle w:val="FootnoteReference"/>
        </w:rPr>
        <w:footnoteReference w:id="883"/>
      </w:r>
      <w:r w:rsidRPr="007B5BE6">
        <w:t xml:space="preserve">  </w:t>
      </w:r>
    </w:p>
    <w:p w14:paraId="5D975801" w14:textId="01622A85" w:rsidR="004E4829" w:rsidRPr="007B5BE6" w:rsidRDefault="004E4829" w:rsidP="006736F3">
      <w:pPr>
        <w:pStyle w:val="Headingunnumbered"/>
        <w:spacing w:before="360"/>
      </w:pPr>
      <w:bookmarkStart w:id="641" w:name="_Toc212561843"/>
      <w:r w:rsidRPr="007B5BE6">
        <w:t>TLRI</w:t>
      </w:r>
      <w:r w:rsidR="0030684E" w:rsidRPr="007B5BE6">
        <w:t xml:space="preserve">’s </w:t>
      </w:r>
      <w:r w:rsidRPr="007B5BE6">
        <w:t>views and recommendations</w:t>
      </w:r>
      <w:bookmarkEnd w:id="641"/>
    </w:p>
    <w:p w14:paraId="3A6868AD" w14:textId="2CE28B5F" w:rsidR="00B64D5E" w:rsidRPr="007B5BE6" w:rsidRDefault="008164F7" w:rsidP="00B64D5E">
      <w:pPr>
        <w:pStyle w:val="NormalNumberedTextTLRI"/>
      </w:pPr>
      <w:r w:rsidRPr="007B5BE6">
        <w:t>The TLRI notes the</w:t>
      </w:r>
      <w:r w:rsidR="00946532" w:rsidRPr="007B5BE6">
        <w:t xml:space="preserve"> emphasis by stakeholders</w:t>
      </w:r>
      <w:r w:rsidRPr="007B5BE6">
        <w:t xml:space="preserve"> in interviews</w:t>
      </w:r>
      <w:r w:rsidR="00946532" w:rsidRPr="007B5BE6">
        <w:t xml:space="preserve"> on the</w:t>
      </w:r>
      <w:r w:rsidR="00206355" w:rsidRPr="007B5BE6">
        <w:t xml:space="preserve"> need to improve </w:t>
      </w:r>
      <w:r w:rsidR="005D76CA" w:rsidRPr="007B5BE6">
        <w:t>reporting, detecting and investigating the abuse of older Tasmanians</w:t>
      </w:r>
      <w:r w:rsidRPr="007B5BE6">
        <w:t>. Accordingly,</w:t>
      </w:r>
      <w:r w:rsidR="00946532" w:rsidRPr="007B5BE6">
        <w:t xml:space="preserve"> </w:t>
      </w:r>
      <w:r w:rsidR="00D96703" w:rsidRPr="007B5BE6">
        <w:t>t</w:t>
      </w:r>
      <w:r w:rsidR="004D6D33" w:rsidRPr="007B5BE6">
        <w:t xml:space="preserve">he TLRI </w:t>
      </w:r>
      <w:r w:rsidR="00877EF6" w:rsidRPr="007B5BE6">
        <w:t xml:space="preserve">has </w:t>
      </w:r>
      <w:r w:rsidR="00BC3BE2" w:rsidRPr="007B5BE6">
        <w:t>considered</w:t>
      </w:r>
      <w:r w:rsidR="004D6D33" w:rsidRPr="007B5BE6">
        <w:t xml:space="preserve"> </w:t>
      </w:r>
      <w:r w:rsidR="00BC3BE2" w:rsidRPr="007B5BE6">
        <w:t xml:space="preserve">additional </w:t>
      </w:r>
      <w:r w:rsidR="004D6D33" w:rsidRPr="007B5BE6">
        <w:t>ways to</w:t>
      </w:r>
      <w:r w:rsidR="00946532" w:rsidRPr="007B5BE6">
        <w:t xml:space="preserve"> </w:t>
      </w:r>
      <w:r w:rsidR="004D6D33" w:rsidRPr="007B5BE6">
        <w:t xml:space="preserve">support access to </w:t>
      </w:r>
      <w:r w:rsidR="00946532" w:rsidRPr="007B5BE6">
        <w:t xml:space="preserve">responses and </w:t>
      </w:r>
      <w:r w:rsidR="004D6D33" w:rsidRPr="007B5BE6">
        <w:t xml:space="preserve">protection </w:t>
      </w:r>
      <w:r w:rsidR="00946532" w:rsidRPr="007B5BE6">
        <w:t xml:space="preserve">under the </w:t>
      </w:r>
      <w:r w:rsidR="004D6D33" w:rsidRPr="007B5BE6">
        <w:t xml:space="preserve">law, including </w:t>
      </w:r>
      <w:r w:rsidR="00BC3BE2" w:rsidRPr="007B5BE6">
        <w:t>th</w:t>
      </w:r>
      <w:r w:rsidR="00882BAF" w:rsidRPr="007B5BE6">
        <w:t>ro</w:t>
      </w:r>
      <w:r w:rsidRPr="007B5BE6">
        <w:t xml:space="preserve">ugh reforms aimed at </w:t>
      </w:r>
      <w:r w:rsidR="005D76CA" w:rsidRPr="007B5BE6">
        <w:t xml:space="preserve">enhancing investigation and </w:t>
      </w:r>
      <w:r w:rsidR="004D6D33" w:rsidRPr="007B5BE6">
        <w:t>law enforcement</w:t>
      </w:r>
      <w:r w:rsidR="00CB1230" w:rsidRPr="007B5BE6">
        <w:t xml:space="preserve"> responses</w:t>
      </w:r>
      <w:r w:rsidR="005D76CA" w:rsidRPr="007B5BE6">
        <w:t>, and the experiences of older people in the justice system.</w:t>
      </w:r>
      <w:r w:rsidR="004D6D33" w:rsidRPr="007B5BE6">
        <w:t xml:space="preserve"> </w:t>
      </w:r>
    </w:p>
    <w:p w14:paraId="685393D3" w14:textId="4E7B9479" w:rsidR="003F606A" w:rsidRPr="007B5BE6" w:rsidRDefault="00B557CA" w:rsidP="00B64D5E">
      <w:pPr>
        <w:pStyle w:val="NormalNumberedTextTLRI"/>
      </w:pPr>
      <w:r w:rsidRPr="007B5BE6">
        <w:t xml:space="preserve">As noted, the recommendations made by the TLRI in this </w:t>
      </w:r>
      <w:r w:rsidR="007F64D6" w:rsidRPr="007B5BE6">
        <w:t>Research P</w:t>
      </w:r>
      <w:r w:rsidRPr="007B5BE6">
        <w:t xml:space="preserve">aper aim to provide an overarching </w:t>
      </w:r>
      <w:r w:rsidR="000D07B6" w:rsidRPr="007B5BE6">
        <w:t xml:space="preserve">safeguarding </w:t>
      </w:r>
      <w:r w:rsidR="00155A0A" w:rsidRPr="007B5BE6">
        <w:t>approach</w:t>
      </w:r>
      <w:r w:rsidR="005D76CA" w:rsidRPr="007B5BE6">
        <w:t>,</w:t>
      </w:r>
      <w:r w:rsidR="00155A0A" w:rsidRPr="007B5BE6">
        <w:t xml:space="preserve"> </w:t>
      </w:r>
      <w:r w:rsidR="009367CE" w:rsidRPr="007B5BE6">
        <w:t xml:space="preserve">through a centralised entity that </w:t>
      </w:r>
      <w:r w:rsidR="004C4203" w:rsidRPr="007B5BE6">
        <w:t xml:space="preserve">operates </w:t>
      </w:r>
      <w:r w:rsidR="0014676E" w:rsidRPr="007B5BE6">
        <w:t xml:space="preserve">as a </w:t>
      </w:r>
      <w:r w:rsidR="009367CE" w:rsidRPr="007B5BE6">
        <w:t xml:space="preserve">comprehensive and coordinated </w:t>
      </w:r>
      <w:r w:rsidRPr="007B5BE6">
        <w:t xml:space="preserve">response to </w:t>
      </w:r>
      <w:r w:rsidR="00CE6596" w:rsidRPr="007B5BE6">
        <w:t xml:space="preserve">concerns reported regarding </w:t>
      </w:r>
      <w:r w:rsidRPr="007B5BE6">
        <w:t>the abuse of older people. T</w:t>
      </w:r>
      <w:r w:rsidR="003F606A" w:rsidRPr="007B5BE6">
        <w:t xml:space="preserve">he TLRI </w:t>
      </w:r>
      <w:r w:rsidR="00981454" w:rsidRPr="007B5BE6">
        <w:t xml:space="preserve">intends </w:t>
      </w:r>
      <w:r w:rsidR="003F606A" w:rsidRPr="007B5BE6">
        <w:t>that</w:t>
      </w:r>
      <w:r w:rsidR="00D36977" w:rsidRPr="007B5BE6">
        <w:t xml:space="preserve"> through the</w:t>
      </w:r>
      <w:r w:rsidR="003F606A" w:rsidRPr="007B5BE6">
        <w:t xml:space="preserve"> implementation of </w:t>
      </w:r>
      <w:r w:rsidR="003F606A" w:rsidRPr="007B5BE6">
        <w:rPr>
          <w:b/>
          <w:bCs/>
        </w:rPr>
        <w:t xml:space="preserve">Recommendations </w:t>
      </w:r>
      <w:r w:rsidR="0093662D" w:rsidRPr="007B5BE6">
        <w:rPr>
          <w:b/>
          <w:bCs/>
        </w:rPr>
        <w:t>1–19</w:t>
      </w:r>
      <w:r w:rsidR="0093662D" w:rsidRPr="007B5BE6">
        <w:t xml:space="preserve"> </w:t>
      </w:r>
      <w:r w:rsidR="003F606A" w:rsidRPr="007B5BE6">
        <w:t xml:space="preserve">to </w:t>
      </w:r>
      <w:r w:rsidR="00981454" w:rsidRPr="007B5BE6">
        <w:t>create a</w:t>
      </w:r>
      <w:r w:rsidR="000D07B6" w:rsidRPr="007B5BE6">
        <w:t xml:space="preserve"> Commissioner</w:t>
      </w:r>
      <w:r w:rsidR="003F606A" w:rsidRPr="007B5BE6">
        <w:t xml:space="preserve"> </w:t>
      </w:r>
      <w:r w:rsidR="00981454" w:rsidRPr="007B5BE6">
        <w:t>for Older People</w:t>
      </w:r>
      <w:r w:rsidR="00D36977" w:rsidRPr="007B5BE6">
        <w:t xml:space="preserve">, there </w:t>
      </w:r>
      <w:r w:rsidR="003F606A" w:rsidRPr="007B5BE6">
        <w:t xml:space="preserve">will </w:t>
      </w:r>
      <w:r w:rsidR="00D36977" w:rsidRPr="007B5BE6">
        <w:t>be</w:t>
      </w:r>
      <w:r w:rsidR="003F606A" w:rsidRPr="007B5BE6">
        <w:t xml:space="preserve"> flow on benefits in terms of the way in which the existing laws operate</w:t>
      </w:r>
      <w:r w:rsidR="000A0231" w:rsidRPr="007B5BE6">
        <w:t>, including</w:t>
      </w:r>
      <w:r w:rsidR="00A36629" w:rsidRPr="007B5BE6">
        <w:t xml:space="preserve"> </w:t>
      </w:r>
      <w:r w:rsidR="004443C2" w:rsidRPr="007B5BE6">
        <w:t>a more effective investigative response.</w:t>
      </w:r>
      <w:r w:rsidR="002D4159" w:rsidRPr="007B5BE6">
        <w:t xml:space="preserve"> </w:t>
      </w:r>
      <w:r w:rsidR="000A0231" w:rsidRPr="007B5BE6">
        <w:t>As has been recognised, ‘effective investigative action should not be seen as a complete solution’ to the abuse of older people;</w:t>
      </w:r>
      <w:r w:rsidR="000A0231" w:rsidRPr="007B5BE6">
        <w:rPr>
          <w:rStyle w:val="FootnoteReference"/>
        </w:rPr>
        <w:footnoteReference w:id="884"/>
      </w:r>
      <w:r w:rsidR="000A0231" w:rsidRPr="007B5BE6">
        <w:t xml:space="preserve"> however</w:t>
      </w:r>
      <w:r w:rsidR="005D76CA" w:rsidRPr="007B5BE6">
        <w:t>,</w:t>
      </w:r>
      <w:r w:rsidR="000A0231" w:rsidRPr="007B5BE6">
        <w:t xml:space="preserve"> it </w:t>
      </w:r>
      <w:r w:rsidR="00540B8E" w:rsidRPr="007B5BE6">
        <w:t xml:space="preserve">is </w:t>
      </w:r>
      <w:r w:rsidR="000A0231" w:rsidRPr="007B5BE6">
        <w:t xml:space="preserve">still an important aspect of improving the </w:t>
      </w:r>
      <w:r w:rsidR="00540B8E" w:rsidRPr="007B5BE6">
        <w:t xml:space="preserve">current </w:t>
      </w:r>
      <w:r w:rsidR="000A0231" w:rsidRPr="007B5BE6">
        <w:t xml:space="preserve">legal </w:t>
      </w:r>
      <w:proofErr w:type="gramStart"/>
      <w:r w:rsidR="000A0231" w:rsidRPr="007B5BE6">
        <w:t>framework</w:t>
      </w:r>
      <w:r w:rsidR="00540B8E" w:rsidRPr="007B5BE6">
        <w:t xml:space="preserve"> as a whole,</w:t>
      </w:r>
      <w:r w:rsidR="000A0231" w:rsidRPr="007B5BE6">
        <w:t xml:space="preserve"> t</w:t>
      </w:r>
      <w:r w:rsidR="00540B8E" w:rsidRPr="007B5BE6">
        <w:t>o</w:t>
      </w:r>
      <w:proofErr w:type="gramEnd"/>
      <w:r w:rsidR="00540B8E" w:rsidRPr="007B5BE6">
        <w:t xml:space="preserve"> support its operation </w:t>
      </w:r>
      <w:r w:rsidR="000A0231" w:rsidRPr="007B5BE6">
        <w:t xml:space="preserve">as a safeguarding mechanism for older Tasmanians. </w:t>
      </w:r>
      <w:r w:rsidR="002D4159" w:rsidRPr="007B5BE6">
        <w:t xml:space="preserve">In particular, </w:t>
      </w:r>
      <w:r w:rsidR="00AF591F" w:rsidRPr="007B5BE6">
        <w:t>the TLRI</w:t>
      </w:r>
      <w:r w:rsidR="002D4159" w:rsidRPr="007B5BE6">
        <w:t xml:space="preserve"> considers that </w:t>
      </w:r>
      <w:r w:rsidR="005A3CBF" w:rsidRPr="007B5BE6">
        <w:t xml:space="preserve">a more thorough reporting and investigative framework </w:t>
      </w:r>
      <w:r w:rsidR="003609F8" w:rsidRPr="007B5BE6">
        <w:t xml:space="preserve">will be created through its recommendations to </w:t>
      </w:r>
      <w:r w:rsidR="002D4159" w:rsidRPr="007B5BE6">
        <w:t>provid</w:t>
      </w:r>
      <w:r w:rsidR="003609F8" w:rsidRPr="007B5BE6">
        <w:t>e</w:t>
      </w:r>
      <w:r w:rsidR="002D4159" w:rsidRPr="007B5BE6">
        <w:t xml:space="preserve"> a process for referrals to be made from the Helpline to the Commissioner </w:t>
      </w:r>
      <w:r w:rsidR="00A90C32" w:rsidRPr="007B5BE6">
        <w:t xml:space="preserve">for Older People </w:t>
      </w:r>
      <w:r w:rsidR="002D4159" w:rsidRPr="007B5BE6">
        <w:t xml:space="preserve">who can investigate </w:t>
      </w:r>
      <w:r w:rsidR="00FB77D5" w:rsidRPr="007B5BE6">
        <w:t>and</w:t>
      </w:r>
      <w:r w:rsidR="00D760E3" w:rsidRPr="007B5BE6">
        <w:t xml:space="preserve"> must refer the report or investigation (or part of the report or investigation) to Tasmania Police</w:t>
      </w:r>
      <w:r w:rsidR="00540B8E" w:rsidRPr="007B5BE6">
        <w:t xml:space="preserve"> </w:t>
      </w:r>
      <w:r w:rsidR="00FB77D5" w:rsidRPr="007B5BE6">
        <w:t>if the Commissioner</w:t>
      </w:r>
      <w:r w:rsidR="002D4159" w:rsidRPr="007B5BE6">
        <w:t xml:space="preserve"> </w:t>
      </w:r>
      <w:r w:rsidR="00540B8E" w:rsidRPr="007B5BE6">
        <w:t xml:space="preserve">considers there to be </w:t>
      </w:r>
      <w:r w:rsidR="002D4159" w:rsidRPr="007B5BE6">
        <w:t>evidence of the commission of a criminal offence.</w:t>
      </w:r>
      <w:r w:rsidR="00F84CFA" w:rsidRPr="007B5BE6">
        <w:rPr>
          <w:rStyle w:val="FootnoteReference"/>
        </w:rPr>
        <w:footnoteReference w:id="885"/>
      </w:r>
      <w:r w:rsidR="002D4159" w:rsidRPr="007B5BE6">
        <w:t xml:space="preserve"> </w:t>
      </w:r>
      <w:r w:rsidR="000A0231" w:rsidRPr="007B5BE6">
        <w:t>As noted</w:t>
      </w:r>
      <w:r w:rsidR="003609F8" w:rsidRPr="007B5BE6">
        <w:t xml:space="preserve"> at </w:t>
      </w:r>
      <w:r w:rsidR="00BD729C" w:rsidRPr="007B5BE6">
        <w:t>[4.5.35],</w:t>
      </w:r>
      <w:r w:rsidR="000A0231" w:rsidRPr="007B5BE6">
        <w:t xml:space="preserve"> t</w:t>
      </w:r>
      <w:r w:rsidR="002D4159" w:rsidRPr="007B5BE6">
        <w:t xml:space="preserve">his </w:t>
      </w:r>
      <w:r w:rsidR="0012531D" w:rsidRPr="007B5BE6">
        <w:t>may</w:t>
      </w:r>
      <w:r w:rsidR="002D4159" w:rsidRPr="007B5BE6">
        <w:t xml:space="preserve"> assist police to more readily identify circumstances where abuse </w:t>
      </w:r>
      <w:r w:rsidR="0094198B" w:rsidRPr="007B5BE6">
        <w:t xml:space="preserve">against an older person </w:t>
      </w:r>
      <w:r w:rsidR="002D4159" w:rsidRPr="007B5BE6">
        <w:t xml:space="preserve">constitutes criminal offending, and </w:t>
      </w:r>
      <w:r w:rsidR="003609F8" w:rsidRPr="007B5BE6">
        <w:t xml:space="preserve">thus </w:t>
      </w:r>
      <w:r w:rsidR="002D4159" w:rsidRPr="007B5BE6">
        <w:t>improve the operation of criminal justice response</w:t>
      </w:r>
      <w:r w:rsidR="003609F8" w:rsidRPr="007B5BE6">
        <w:t>s</w:t>
      </w:r>
      <w:r w:rsidR="002D4159" w:rsidRPr="007B5BE6">
        <w:t xml:space="preserve"> </w:t>
      </w:r>
      <w:r w:rsidR="00D45745" w:rsidRPr="007B5BE6">
        <w:t>via</w:t>
      </w:r>
      <w:r w:rsidR="002D4159" w:rsidRPr="007B5BE6">
        <w:t xml:space="preserve"> existing criminal offences.</w:t>
      </w:r>
      <w:r w:rsidR="004443C2" w:rsidRPr="007B5BE6">
        <w:t xml:space="preserve"> </w:t>
      </w:r>
    </w:p>
    <w:p w14:paraId="12DADD14" w14:textId="6B58AA9F" w:rsidR="00786BD0" w:rsidRPr="007B5BE6" w:rsidRDefault="004E4829" w:rsidP="004E4829">
      <w:pPr>
        <w:pStyle w:val="NormalNumberedTextTLRI"/>
      </w:pPr>
      <w:r w:rsidRPr="007B5BE6">
        <w:t>The</w:t>
      </w:r>
      <w:r w:rsidR="00D80ED8" w:rsidRPr="007B5BE6">
        <w:t xml:space="preserve"> </w:t>
      </w:r>
      <w:r w:rsidR="00B83762" w:rsidRPr="007B5BE6">
        <w:t>TLRI</w:t>
      </w:r>
      <w:r w:rsidR="00D45745" w:rsidRPr="007B5BE6">
        <w:t>’s</w:t>
      </w:r>
      <w:r w:rsidR="00D80ED8" w:rsidRPr="007B5BE6">
        <w:t xml:space="preserve"> </w:t>
      </w:r>
      <w:r w:rsidR="001D2300" w:rsidRPr="007B5BE6">
        <w:t>recommendations</w:t>
      </w:r>
      <w:r w:rsidRPr="007B5BE6">
        <w:t xml:space="preserve"> are aimed at increasing the ability for people to seek help </w:t>
      </w:r>
      <w:r w:rsidR="00007E69" w:rsidRPr="007B5BE6">
        <w:t xml:space="preserve">for experiences of, or concerns around, the abuse of older people, </w:t>
      </w:r>
      <w:r w:rsidRPr="007B5BE6">
        <w:t xml:space="preserve">while also providing better service delivery outcomes. As discussed at </w:t>
      </w:r>
      <w:r w:rsidR="00716170" w:rsidRPr="007B5BE6">
        <w:t>[4.5.47</w:t>
      </w:r>
      <w:r w:rsidR="00AD6083" w:rsidRPr="007B5BE6">
        <w:t>]–[4.5.51]</w:t>
      </w:r>
      <w:r w:rsidRPr="007B5BE6">
        <w:t xml:space="preserve">, the TLRI’s view is that the complexity of issues </w:t>
      </w:r>
      <w:r w:rsidR="001656B2" w:rsidRPr="007B5BE6">
        <w:t>is</w:t>
      </w:r>
      <w:r w:rsidRPr="007B5BE6">
        <w:t xml:space="preserve"> best addressed through targeted</w:t>
      </w:r>
      <w:r w:rsidR="00007E69" w:rsidRPr="007B5BE6">
        <w:t>,</w:t>
      </w:r>
      <w:r w:rsidRPr="007B5BE6">
        <w:t xml:space="preserve"> multi-faceted responses that can be tailored to the circumstances of </w:t>
      </w:r>
      <w:r w:rsidR="00007E69" w:rsidRPr="007B5BE6">
        <w:t>a</w:t>
      </w:r>
      <w:r w:rsidRPr="007B5BE6">
        <w:t xml:space="preserve"> case, which may in</w:t>
      </w:r>
      <w:r w:rsidR="00007E69" w:rsidRPr="007B5BE6">
        <w:t xml:space="preserve">clude the </w:t>
      </w:r>
      <w:r w:rsidRPr="007B5BE6">
        <w:t>involvement of agencies under</w:t>
      </w:r>
      <w:r w:rsidR="00FF0966" w:rsidRPr="007B5BE6">
        <w:t xml:space="preserve"> </w:t>
      </w:r>
      <w:r w:rsidR="00007E69" w:rsidRPr="007B5BE6">
        <w:t xml:space="preserve">both </w:t>
      </w:r>
      <w:r w:rsidR="00FF0966" w:rsidRPr="007B5BE6">
        <w:t>the</w:t>
      </w:r>
      <w:r w:rsidRPr="007B5BE6">
        <w:t xml:space="preserve"> justice system and human service systems. Police are central in </w:t>
      </w:r>
      <w:r w:rsidR="00767CC6" w:rsidRPr="007B5BE6">
        <w:t>such</w:t>
      </w:r>
      <w:r w:rsidRPr="007B5BE6">
        <w:t xml:space="preserve"> response</w:t>
      </w:r>
      <w:r w:rsidR="00767CC6" w:rsidRPr="007B5BE6">
        <w:t>s</w:t>
      </w:r>
      <w:r w:rsidRPr="007B5BE6">
        <w:t xml:space="preserve"> and an integral part of the frontline Tasmanian service system. Reflecting this, the TLRI’s view is that changes should be made to improve </w:t>
      </w:r>
      <w:r w:rsidR="00767CC6" w:rsidRPr="007B5BE6">
        <w:t xml:space="preserve">investigative and </w:t>
      </w:r>
      <w:r w:rsidRPr="007B5BE6">
        <w:t xml:space="preserve">law enforcement </w:t>
      </w:r>
      <w:r w:rsidR="00767CC6" w:rsidRPr="007B5BE6">
        <w:t xml:space="preserve">responses </w:t>
      </w:r>
      <w:r w:rsidRPr="007B5BE6">
        <w:t xml:space="preserve">to enable laws </w:t>
      </w:r>
      <w:r w:rsidR="000F624F" w:rsidRPr="007B5BE6">
        <w:t xml:space="preserve">that exist under the current legal framework </w:t>
      </w:r>
      <w:r w:rsidRPr="007B5BE6">
        <w:t xml:space="preserve">to </w:t>
      </w:r>
      <w:r w:rsidR="000F624F" w:rsidRPr="007B5BE6">
        <w:t>operate</w:t>
      </w:r>
      <w:r w:rsidRPr="007B5BE6">
        <w:t xml:space="preserve"> more effectively</w:t>
      </w:r>
      <w:r w:rsidR="000F624F" w:rsidRPr="007B5BE6">
        <w:t xml:space="preserve">, where available as a response to the </w:t>
      </w:r>
      <w:r w:rsidRPr="007B5BE6">
        <w:t xml:space="preserve">abuse of older people. Further, the TLRI’s view is that the implementation and effectiveness of legislative reforms (as set out in this </w:t>
      </w:r>
      <w:r w:rsidR="007B7C86" w:rsidRPr="007B5BE6">
        <w:t xml:space="preserve">Research </w:t>
      </w:r>
      <w:r w:rsidRPr="007B5BE6">
        <w:t xml:space="preserve">Paper) will require an appropriately skilled and resourced service system, including a more specialised response from police. </w:t>
      </w:r>
    </w:p>
    <w:p w14:paraId="3ED5BAD4" w14:textId="74BA8881" w:rsidR="004E4829" w:rsidRPr="007B5BE6" w:rsidRDefault="004E4829">
      <w:pPr>
        <w:pStyle w:val="NormalNumberedTextTLRI"/>
      </w:pPr>
      <w:r w:rsidRPr="007B5BE6">
        <w:t>Accordingly, the TLRI recommends th</w:t>
      </w:r>
      <w:r w:rsidR="00044783" w:rsidRPr="007B5BE6">
        <w:t>e creation of</w:t>
      </w:r>
      <w:r w:rsidRPr="007B5BE6">
        <w:t xml:space="preserve"> </w:t>
      </w:r>
      <w:r w:rsidRPr="007B5BE6">
        <w:rPr>
          <w:rFonts w:eastAsia="Times New Roman"/>
          <w:bCs/>
          <w:color w:val="000000"/>
          <w:szCs w:val="22"/>
          <w:lang w:val="en-US"/>
        </w:rPr>
        <w:t>s</w:t>
      </w:r>
      <w:r w:rsidRPr="007B5BE6">
        <w:rPr>
          <w:rFonts w:eastAsia="Times New Roman"/>
          <w:color w:val="000000"/>
          <w:szCs w:val="22"/>
          <w:lang w:val="en-US"/>
        </w:rPr>
        <w:t xml:space="preserve">pecialist roles in Tasmania Police </w:t>
      </w:r>
      <w:r w:rsidRPr="007B5BE6">
        <w:rPr>
          <w:rFonts w:eastAsia="Times New Roman"/>
          <w:bCs/>
          <w:color w:val="000000"/>
          <w:szCs w:val="22"/>
          <w:lang w:val="en-US"/>
        </w:rPr>
        <w:t>that</w:t>
      </w:r>
      <w:r w:rsidRPr="007B5BE6">
        <w:rPr>
          <w:rFonts w:eastAsia="Times New Roman"/>
          <w:color w:val="000000"/>
          <w:szCs w:val="22"/>
          <w:lang w:val="en-US"/>
        </w:rPr>
        <w:t xml:space="preserve"> focus on responding to the abuse, neglect and exploitation of older people</w:t>
      </w:r>
      <w:r w:rsidR="00103D05" w:rsidRPr="007B5BE6">
        <w:rPr>
          <w:rFonts w:eastAsia="Times New Roman"/>
          <w:color w:val="000000"/>
          <w:szCs w:val="22"/>
          <w:lang w:val="en-US"/>
        </w:rPr>
        <w:t xml:space="preserve"> through detection, investigation and prosecution</w:t>
      </w:r>
      <w:r w:rsidRPr="007B5BE6">
        <w:rPr>
          <w:rFonts w:eastAsia="Times New Roman"/>
          <w:color w:val="000000"/>
          <w:szCs w:val="22"/>
          <w:lang w:val="en-US"/>
        </w:rPr>
        <w:t>.</w:t>
      </w:r>
      <w:r w:rsidR="003270CC" w:rsidRPr="007B5BE6">
        <w:rPr>
          <w:rFonts w:eastAsia="Times New Roman"/>
          <w:color w:val="000000"/>
          <w:szCs w:val="22"/>
          <w:lang w:val="en-US"/>
        </w:rPr>
        <w:t xml:space="preserve"> The TLRI also notes the </w:t>
      </w:r>
      <w:r w:rsidR="00A42B62" w:rsidRPr="007B5BE6">
        <w:rPr>
          <w:rFonts w:eastAsia="Times New Roman"/>
          <w:color w:val="000000"/>
          <w:szCs w:val="22"/>
          <w:lang w:val="en-US"/>
        </w:rPr>
        <w:t xml:space="preserve">importance </w:t>
      </w:r>
      <w:r w:rsidR="0024697F" w:rsidRPr="007B5BE6">
        <w:rPr>
          <w:rFonts w:eastAsia="Times New Roman"/>
          <w:color w:val="000000"/>
          <w:szCs w:val="22"/>
          <w:lang w:val="en-US"/>
        </w:rPr>
        <w:t xml:space="preserve">of </w:t>
      </w:r>
      <w:r w:rsidR="00A42B62" w:rsidRPr="007B5BE6">
        <w:rPr>
          <w:rFonts w:eastAsia="Times New Roman"/>
          <w:color w:val="000000"/>
          <w:szCs w:val="22"/>
          <w:lang w:val="en-US"/>
        </w:rPr>
        <w:t>community and prevention work in policing</w:t>
      </w:r>
      <w:r w:rsidR="00F17D5D" w:rsidRPr="007B5BE6">
        <w:rPr>
          <w:rFonts w:eastAsia="Times New Roman"/>
          <w:color w:val="000000"/>
          <w:szCs w:val="22"/>
          <w:lang w:val="en-US"/>
        </w:rPr>
        <w:t xml:space="preserve"> service responses</w:t>
      </w:r>
      <w:r w:rsidR="003246DF" w:rsidRPr="007B5BE6">
        <w:rPr>
          <w:rFonts w:eastAsia="Times New Roman"/>
          <w:color w:val="000000"/>
          <w:szCs w:val="22"/>
          <w:lang w:val="en-US"/>
        </w:rPr>
        <w:t xml:space="preserve"> to </w:t>
      </w:r>
      <w:r w:rsidR="00044783" w:rsidRPr="007B5BE6">
        <w:rPr>
          <w:rFonts w:eastAsia="Times New Roman"/>
          <w:color w:val="000000"/>
          <w:szCs w:val="22"/>
          <w:lang w:val="en-US"/>
        </w:rPr>
        <w:t xml:space="preserve">the </w:t>
      </w:r>
      <w:r w:rsidR="003246DF" w:rsidRPr="007B5BE6">
        <w:rPr>
          <w:rFonts w:eastAsia="Times New Roman"/>
          <w:color w:val="000000"/>
          <w:szCs w:val="22"/>
          <w:lang w:val="en-US"/>
        </w:rPr>
        <w:t>abuse of older people. A</w:t>
      </w:r>
      <w:r w:rsidR="00C758D4" w:rsidRPr="007B5BE6">
        <w:rPr>
          <w:rFonts w:eastAsia="Times New Roman"/>
          <w:color w:val="000000"/>
          <w:szCs w:val="22"/>
          <w:lang w:val="en-US"/>
        </w:rPr>
        <w:t>cknowledg</w:t>
      </w:r>
      <w:r w:rsidR="003246DF" w:rsidRPr="007B5BE6">
        <w:rPr>
          <w:rFonts w:eastAsia="Times New Roman"/>
          <w:color w:val="000000"/>
          <w:szCs w:val="22"/>
          <w:lang w:val="en-US"/>
        </w:rPr>
        <w:t>ing</w:t>
      </w:r>
      <w:r w:rsidR="00C758D4" w:rsidRPr="007B5BE6">
        <w:rPr>
          <w:rFonts w:eastAsia="Times New Roman"/>
          <w:color w:val="000000"/>
          <w:szCs w:val="22"/>
          <w:lang w:val="en-US"/>
        </w:rPr>
        <w:t xml:space="preserve"> the community engagement work</w:t>
      </w:r>
      <w:r w:rsidR="0024697F" w:rsidRPr="007B5BE6">
        <w:rPr>
          <w:rFonts w:eastAsia="Times New Roman"/>
          <w:color w:val="000000"/>
          <w:szCs w:val="22"/>
          <w:lang w:val="en-US"/>
        </w:rPr>
        <w:t xml:space="preserve"> </w:t>
      </w:r>
      <w:r w:rsidR="001D73A2" w:rsidRPr="007B5BE6">
        <w:rPr>
          <w:rFonts w:eastAsia="Times New Roman"/>
          <w:color w:val="000000"/>
          <w:szCs w:val="22"/>
          <w:lang w:val="en-US"/>
        </w:rPr>
        <w:t xml:space="preserve">already being undertaken by Tasmania Police as discussed at </w:t>
      </w:r>
      <w:r w:rsidR="00C64BCF" w:rsidRPr="007B5BE6">
        <w:rPr>
          <w:rFonts w:eastAsia="Times New Roman"/>
          <w:color w:val="000000"/>
          <w:szCs w:val="22"/>
          <w:lang w:val="en-US"/>
        </w:rPr>
        <w:t>[3.5.3]</w:t>
      </w:r>
      <w:r w:rsidR="001D73A2" w:rsidRPr="007B5BE6">
        <w:rPr>
          <w:rFonts w:eastAsia="Times New Roman"/>
          <w:color w:val="000000"/>
          <w:szCs w:val="22"/>
          <w:lang w:val="en-US"/>
        </w:rPr>
        <w:t xml:space="preserve">, </w:t>
      </w:r>
      <w:r w:rsidR="003246DF" w:rsidRPr="007B5BE6">
        <w:rPr>
          <w:rFonts w:eastAsia="Times New Roman"/>
          <w:color w:val="000000"/>
          <w:szCs w:val="22"/>
          <w:lang w:val="en-US"/>
        </w:rPr>
        <w:t xml:space="preserve">there </w:t>
      </w:r>
      <w:r w:rsidR="00805973" w:rsidRPr="007B5BE6">
        <w:rPr>
          <w:rFonts w:eastAsia="Times New Roman"/>
          <w:color w:val="000000"/>
          <w:szCs w:val="22"/>
          <w:lang w:val="en-US"/>
        </w:rPr>
        <w:t>is the potential</w:t>
      </w:r>
      <w:r w:rsidR="003246DF" w:rsidRPr="007B5BE6">
        <w:rPr>
          <w:rFonts w:eastAsia="Times New Roman"/>
          <w:color w:val="000000"/>
          <w:szCs w:val="22"/>
          <w:lang w:val="en-US"/>
        </w:rPr>
        <w:t xml:space="preserve"> to consider how </w:t>
      </w:r>
      <w:r w:rsidR="008A29D2" w:rsidRPr="007B5BE6">
        <w:rPr>
          <w:rFonts w:eastAsia="Times New Roman"/>
          <w:color w:val="000000"/>
          <w:szCs w:val="22"/>
          <w:lang w:val="en-US"/>
        </w:rPr>
        <w:t xml:space="preserve">these aspects of operational policing </w:t>
      </w:r>
      <w:r w:rsidR="00A453AD" w:rsidRPr="007B5BE6">
        <w:rPr>
          <w:rFonts w:eastAsia="Times New Roman"/>
          <w:color w:val="000000"/>
          <w:szCs w:val="22"/>
          <w:lang w:val="en-US"/>
        </w:rPr>
        <w:t xml:space="preserve">work can be included in the scope </w:t>
      </w:r>
      <w:r w:rsidR="00805973" w:rsidRPr="007B5BE6">
        <w:rPr>
          <w:rFonts w:eastAsia="Times New Roman"/>
          <w:color w:val="000000"/>
          <w:szCs w:val="22"/>
          <w:lang w:val="en-US"/>
        </w:rPr>
        <w:t xml:space="preserve">and purpose </w:t>
      </w:r>
      <w:r w:rsidR="00A453AD" w:rsidRPr="007B5BE6">
        <w:rPr>
          <w:rFonts w:eastAsia="Times New Roman"/>
          <w:color w:val="000000"/>
          <w:szCs w:val="22"/>
          <w:lang w:val="en-US"/>
        </w:rPr>
        <w:t>of the recommended specialist roles.</w:t>
      </w:r>
      <w:r w:rsidR="003246DF" w:rsidRPr="007B5BE6">
        <w:rPr>
          <w:rFonts w:eastAsia="Times New Roman"/>
          <w:color w:val="000000"/>
          <w:szCs w:val="22"/>
          <w:lang w:val="en-US"/>
        </w:rPr>
        <w:t xml:space="preserve"> </w:t>
      </w:r>
      <w:r w:rsidR="00CA3369" w:rsidRPr="007B5BE6">
        <w:rPr>
          <w:rFonts w:eastAsia="Times New Roman"/>
          <w:color w:val="000000"/>
          <w:szCs w:val="22"/>
          <w:lang w:val="en-US"/>
        </w:rPr>
        <w:t>I</w:t>
      </w:r>
      <w:r w:rsidR="00075EC3" w:rsidRPr="007B5BE6">
        <w:rPr>
          <w:rFonts w:eastAsia="Times New Roman"/>
          <w:color w:val="000000"/>
          <w:szCs w:val="22"/>
          <w:lang w:val="en-US"/>
        </w:rPr>
        <w:t>n</w:t>
      </w:r>
      <w:r w:rsidR="00CA3369" w:rsidRPr="007B5BE6">
        <w:rPr>
          <w:rFonts w:eastAsia="Times New Roman"/>
          <w:color w:val="000000"/>
          <w:szCs w:val="22"/>
          <w:lang w:val="en-US"/>
        </w:rPr>
        <w:t xml:space="preserve"> </w:t>
      </w:r>
      <w:r w:rsidR="00075EC3" w:rsidRPr="007B5BE6">
        <w:rPr>
          <w:rFonts w:eastAsia="Times New Roman"/>
          <w:color w:val="000000"/>
          <w:szCs w:val="22"/>
          <w:lang w:val="en-US"/>
        </w:rPr>
        <w:t>develop</w:t>
      </w:r>
      <w:r w:rsidR="00D6744D" w:rsidRPr="007B5BE6">
        <w:rPr>
          <w:rFonts w:eastAsia="Times New Roman"/>
          <w:color w:val="000000"/>
          <w:szCs w:val="22"/>
          <w:lang w:val="en-US"/>
        </w:rPr>
        <w:t xml:space="preserve">ing the </w:t>
      </w:r>
      <w:r w:rsidR="00075EC3" w:rsidRPr="007B5BE6">
        <w:rPr>
          <w:rFonts w:eastAsia="Times New Roman"/>
          <w:color w:val="000000"/>
          <w:szCs w:val="22"/>
          <w:lang w:val="en-US"/>
        </w:rPr>
        <w:t>specialist roles, it is possible to draw</w:t>
      </w:r>
      <w:r w:rsidR="00485913" w:rsidRPr="007B5BE6">
        <w:rPr>
          <w:rFonts w:eastAsia="Times New Roman"/>
          <w:color w:val="000000"/>
          <w:szCs w:val="22"/>
          <w:lang w:val="en-US"/>
        </w:rPr>
        <w:t xml:space="preserve"> on the </w:t>
      </w:r>
      <w:r w:rsidR="00485913" w:rsidRPr="007B5BE6">
        <w:rPr>
          <w:rFonts w:eastAsia="Times New Roman"/>
          <w:color w:val="000000"/>
          <w:szCs w:val="22"/>
          <w:lang w:val="en-US"/>
        </w:rPr>
        <w:lastRenderedPageBreak/>
        <w:t xml:space="preserve">experience in Tasmania </w:t>
      </w:r>
      <w:r w:rsidR="00D6744D" w:rsidRPr="007B5BE6">
        <w:rPr>
          <w:rFonts w:eastAsia="Times New Roman"/>
          <w:color w:val="000000"/>
          <w:szCs w:val="22"/>
          <w:lang w:val="en-US"/>
        </w:rPr>
        <w:t>regarding</w:t>
      </w:r>
      <w:r w:rsidR="00485913" w:rsidRPr="007B5BE6">
        <w:rPr>
          <w:rFonts w:eastAsia="Times New Roman"/>
          <w:color w:val="000000"/>
          <w:szCs w:val="22"/>
          <w:lang w:val="en-US"/>
        </w:rPr>
        <w:t xml:space="preserve"> family </w:t>
      </w:r>
      <w:r w:rsidR="00103D05" w:rsidRPr="007B5BE6">
        <w:rPr>
          <w:rFonts w:eastAsia="Times New Roman"/>
          <w:color w:val="000000"/>
          <w:szCs w:val="22"/>
          <w:lang w:val="en-US"/>
        </w:rPr>
        <w:t>violence</w:t>
      </w:r>
      <w:r w:rsidR="00F17F2F" w:rsidRPr="007B5BE6">
        <w:rPr>
          <w:rFonts w:eastAsia="Times New Roman"/>
          <w:color w:val="000000"/>
          <w:szCs w:val="22"/>
          <w:lang w:val="en-US"/>
        </w:rPr>
        <w:t>,</w:t>
      </w:r>
      <w:r w:rsidR="00103D05" w:rsidRPr="007B5BE6">
        <w:rPr>
          <w:rFonts w:eastAsia="Times New Roman"/>
          <w:color w:val="000000"/>
          <w:szCs w:val="22"/>
          <w:lang w:val="en-US"/>
        </w:rPr>
        <w:t xml:space="preserve"> </w:t>
      </w:r>
      <w:r w:rsidR="00A66FB2" w:rsidRPr="007B5BE6">
        <w:rPr>
          <w:rFonts w:eastAsia="Times New Roman"/>
          <w:color w:val="000000"/>
          <w:szCs w:val="22"/>
          <w:lang w:val="en-US"/>
        </w:rPr>
        <w:t xml:space="preserve">including </w:t>
      </w:r>
      <w:r w:rsidR="00E307F4" w:rsidRPr="007B5BE6">
        <w:rPr>
          <w:rFonts w:eastAsia="Times New Roman"/>
          <w:color w:val="000000"/>
          <w:szCs w:val="22"/>
          <w:lang w:val="en-US"/>
        </w:rPr>
        <w:t>attitudinal change</w:t>
      </w:r>
      <w:r w:rsidR="00F17F2F" w:rsidRPr="007B5BE6">
        <w:rPr>
          <w:rFonts w:eastAsia="Times New Roman"/>
          <w:color w:val="000000"/>
          <w:szCs w:val="22"/>
          <w:lang w:val="en-US"/>
        </w:rPr>
        <w:t xml:space="preserve"> around</w:t>
      </w:r>
      <w:r w:rsidR="00485913" w:rsidRPr="007B5BE6">
        <w:rPr>
          <w:rFonts w:eastAsia="Times New Roman"/>
          <w:color w:val="000000"/>
          <w:szCs w:val="22"/>
          <w:lang w:val="en-US"/>
        </w:rPr>
        <w:t xml:space="preserve"> its seriousness</w:t>
      </w:r>
      <w:r w:rsidR="00F17F2F" w:rsidRPr="007B5BE6">
        <w:rPr>
          <w:rFonts w:eastAsia="Times New Roman"/>
          <w:color w:val="000000"/>
          <w:szCs w:val="22"/>
          <w:lang w:val="en-US"/>
        </w:rPr>
        <w:t>,</w:t>
      </w:r>
      <w:r w:rsidR="00485913" w:rsidRPr="007B5BE6">
        <w:rPr>
          <w:rFonts w:eastAsia="Times New Roman"/>
          <w:color w:val="000000"/>
          <w:szCs w:val="22"/>
          <w:lang w:val="en-US"/>
        </w:rPr>
        <w:t xml:space="preserve"> and the development of a more comprehensive </w:t>
      </w:r>
      <w:r w:rsidR="00A66FB2" w:rsidRPr="007B5BE6">
        <w:rPr>
          <w:rFonts w:eastAsia="Times New Roman"/>
          <w:color w:val="000000"/>
          <w:szCs w:val="22"/>
          <w:lang w:val="en-US"/>
        </w:rPr>
        <w:t xml:space="preserve">integrated </w:t>
      </w:r>
      <w:r w:rsidR="00485913" w:rsidRPr="007B5BE6">
        <w:rPr>
          <w:rFonts w:eastAsia="Times New Roman"/>
          <w:color w:val="000000"/>
          <w:szCs w:val="22"/>
          <w:lang w:val="en-US"/>
        </w:rPr>
        <w:t>justice (including criminal justice) response</w:t>
      </w:r>
      <w:r w:rsidR="00DB023A" w:rsidRPr="007B5BE6">
        <w:rPr>
          <w:rFonts w:eastAsia="Times New Roman"/>
          <w:color w:val="000000"/>
          <w:szCs w:val="22"/>
          <w:lang w:val="en-US"/>
        </w:rPr>
        <w:t>. It is noted, in this regard, that the</w:t>
      </w:r>
      <w:r w:rsidR="00027DE2" w:rsidRPr="007B5BE6">
        <w:rPr>
          <w:rFonts w:eastAsia="Times New Roman"/>
          <w:color w:val="000000"/>
          <w:szCs w:val="22"/>
          <w:lang w:val="en-US"/>
        </w:rPr>
        <w:t xml:space="preserve"> justice response is also </w:t>
      </w:r>
      <w:r w:rsidR="00653212" w:rsidRPr="007B5BE6">
        <w:rPr>
          <w:rFonts w:eastAsia="Times New Roman"/>
          <w:color w:val="000000"/>
          <w:szCs w:val="22"/>
          <w:lang w:val="en-US"/>
        </w:rPr>
        <w:t xml:space="preserve">supported by a human services </w:t>
      </w:r>
      <w:r w:rsidR="00027DE2" w:rsidRPr="007B5BE6">
        <w:rPr>
          <w:rFonts w:eastAsia="Times New Roman"/>
          <w:color w:val="000000"/>
          <w:szCs w:val="22"/>
          <w:lang w:val="en-US"/>
        </w:rPr>
        <w:t>response as part of the Tasmanian Government’s Safe at Home framework</w:t>
      </w:r>
      <w:r w:rsidR="00075EC3" w:rsidRPr="007B5BE6">
        <w:rPr>
          <w:rFonts w:eastAsia="Times New Roman"/>
          <w:color w:val="000000"/>
          <w:szCs w:val="22"/>
          <w:lang w:val="en-US"/>
        </w:rPr>
        <w:t xml:space="preserve">. </w:t>
      </w:r>
      <w:r w:rsidR="00CC4584" w:rsidRPr="007B5BE6">
        <w:rPr>
          <w:rFonts w:eastAsia="Times New Roman"/>
          <w:color w:val="000000"/>
          <w:szCs w:val="22"/>
          <w:lang w:val="en-US"/>
        </w:rPr>
        <w:t>Consultation</w:t>
      </w:r>
      <w:r w:rsidR="00075EC3" w:rsidRPr="007B5BE6">
        <w:rPr>
          <w:rFonts w:eastAsia="Times New Roman"/>
          <w:color w:val="000000"/>
          <w:szCs w:val="22"/>
          <w:lang w:val="en-US"/>
        </w:rPr>
        <w:t xml:space="preserve"> would be required </w:t>
      </w:r>
      <w:r w:rsidR="00257EC7" w:rsidRPr="007B5BE6">
        <w:rPr>
          <w:rFonts w:eastAsia="Times New Roman"/>
          <w:color w:val="000000"/>
          <w:szCs w:val="22"/>
          <w:lang w:val="en-US"/>
        </w:rPr>
        <w:t>with Tasmania Police</w:t>
      </w:r>
      <w:r w:rsidR="00103D05" w:rsidRPr="007B5BE6">
        <w:rPr>
          <w:rFonts w:eastAsia="Times New Roman"/>
          <w:color w:val="000000"/>
          <w:szCs w:val="22"/>
          <w:lang w:val="en-US"/>
        </w:rPr>
        <w:t xml:space="preserve"> and other stakeholders</w:t>
      </w:r>
      <w:r w:rsidR="00257EC7" w:rsidRPr="007B5BE6">
        <w:rPr>
          <w:rFonts w:eastAsia="Times New Roman"/>
          <w:color w:val="000000"/>
          <w:szCs w:val="22"/>
          <w:lang w:val="en-US"/>
        </w:rPr>
        <w:t xml:space="preserve"> in relation to </w:t>
      </w:r>
      <w:r w:rsidR="003F399D" w:rsidRPr="007B5BE6">
        <w:rPr>
          <w:rFonts w:eastAsia="Times New Roman"/>
          <w:color w:val="000000"/>
          <w:szCs w:val="22"/>
          <w:lang w:val="en-US"/>
        </w:rPr>
        <w:t>an appropriate structure for reforms, but the TLRI’s view</w:t>
      </w:r>
      <w:r w:rsidR="00AF12CB" w:rsidRPr="007B5BE6">
        <w:rPr>
          <w:rFonts w:eastAsia="Times New Roman"/>
          <w:color w:val="000000"/>
          <w:szCs w:val="22"/>
          <w:lang w:val="en-US"/>
        </w:rPr>
        <w:t xml:space="preserve"> is</w:t>
      </w:r>
      <w:r w:rsidR="003F399D" w:rsidRPr="007B5BE6">
        <w:rPr>
          <w:rFonts w:eastAsia="Times New Roman"/>
          <w:color w:val="000000"/>
          <w:szCs w:val="22"/>
          <w:lang w:val="en-US"/>
        </w:rPr>
        <w:t xml:space="preserve"> that consideration </w:t>
      </w:r>
      <w:r w:rsidR="00CC4584" w:rsidRPr="007B5BE6">
        <w:rPr>
          <w:rFonts w:eastAsia="Times New Roman"/>
          <w:color w:val="000000"/>
          <w:szCs w:val="22"/>
          <w:lang w:val="en-US"/>
        </w:rPr>
        <w:t>should</w:t>
      </w:r>
      <w:r w:rsidR="003F399D" w:rsidRPr="007B5BE6">
        <w:rPr>
          <w:rFonts w:eastAsia="Times New Roman"/>
          <w:color w:val="000000"/>
          <w:szCs w:val="22"/>
          <w:lang w:val="en-US"/>
        </w:rPr>
        <w:t xml:space="preserve"> </w:t>
      </w:r>
      <w:r w:rsidR="00CC4584" w:rsidRPr="007B5BE6">
        <w:rPr>
          <w:rFonts w:eastAsia="Times New Roman"/>
          <w:color w:val="000000"/>
          <w:szCs w:val="22"/>
          <w:lang w:val="en-US"/>
        </w:rPr>
        <w:t>b</w:t>
      </w:r>
      <w:r w:rsidR="003F399D" w:rsidRPr="007B5BE6">
        <w:rPr>
          <w:rFonts w:eastAsia="Times New Roman"/>
          <w:color w:val="000000"/>
          <w:szCs w:val="22"/>
          <w:lang w:val="en-US"/>
        </w:rPr>
        <w:t xml:space="preserve">e given to </w:t>
      </w:r>
      <w:r w:rsidR="00C14860" w:rsidRPr="007B5BE6">
        <w:rPr>
          <w:rFonts w:eastAsia="Times New Roman"/>
          <w:color w:val="000000"/>
          <w:szCs w:val="22"/>
          <w:lang w:val="en-US"/>
        </w:rPr>
        <w:t xml:space="preserve">the development of a </w:t>
      </w:r>
      <w:r w:rsidR="00027104" w:rsidRPr="007B5BE6">
        <w:rPr>
          <w:rFonts w:eastAsia="Times New Roman"/>
          <w:color w:val="000000"/>
          <w:szCs w:val="22"/>
          <w:lang w:val="en-US"/>
        </w:rPr>
        <w:t xml:space="preserve">dedicated unit </w:t>
      </w:r>
      <w:r w:rsidR="00C14860" w:rsidRPr="007B5BE6">
        <w:rPr>
          <w:rFonts w:eastAsia="Times New Roman"/>
          <w:color w:val="000000"/>
          <w:szCs w:val="22"/>
          <w:lang w:val="en-US"/>
        </w:rPr>
        <w:t xml:space="preserve">in Tasmania Police </w:t>
      </w:r>
      <w:r w:rsidR="00DB023A" w:rsidRPr="007B5BE6">
        <w:rPr>
          <w:rFonts w:eastAsia="Times New Roman"/>
          <w:color w:val="000000"/>
          <w:szCs w:val="22"/>
          <w:lang w:val="en-US"/>
        </w:rPr>
        <w:t xml:space="preserve">focused on the abuse of older people, </w:t>
      </w:r>
      <w:r w:rsidR="00C14860" w:rsidRPr="007B5BE6">
        <w:rPr>
          <w:rFonts w:eastAsia="Times New Roman"/>
          <w:color w:val="000000"/>
          <w:szCs w:val="22"/>
          <w:lang w:val="en-US"/>
        </w:rPr>
        <w:t xml:space="preserve">with specialist police </w:t>
      </w:r>
      <w:r w:rsidR="00733920" w:rsidRPr="007B5BE6">
        <w:rPr>
          <w:rFonts w:eastAsia="Times New Roman"/>
          <w:color w:val="000000"/>
          <w:szCs w:val="22"/>
          <w:lang w:val="en-US"/>
        </w:rPr>
        <w:t>prosecutors</w:t>
      </w:r>
      <w:r w:rsidR="00CC4584" w:rsidRPr="007B5BE6">
        <w:rPr>
          <w:rFonts w:eastAsia="Times New Roman"/>
          <w:color w:val="000000"/>
          <w:szCs w:val="22"/>
          <w:lang w:val="en-US"/>
        </w:rPr>
        <w:t xml:space="preserve"> (akin t</w:t>
      </w:r>
      <w:r w:rsidR="00536C86" w:rsidRPr="007B5BE6">
        <w:rPr>
          <w:rFonts w:eastAsia="Times New Roman"/>
          <w:color w:val="000000"/>
          <w:szCs w:val="22"/>
          <w:lang w:val="en-US"/>
        </w:rPr>
        <w:t>o</w:t>
      </w:r>
      <w:r w:rsidR="00CC4584" w:rsidRPr="007B5BE6">
        <w:rPr>
          <w:rFonts w:eastAsia="Times New Roman"/>
          <w:color w:val="000000"/>
          <w:szCs w:val="22"/>
          <w:lang w:val="en-US"/>
        </w:rPr>
        <w:t xml:space="preserve"> the </w:t>
      </w:r>
      <w:r w:rsidR="00536C86" w:rsidRPr="007B5BE6">
        <w:rPr>
          <w:rFonts w:eastAsia="Times New Roman"/>
          <w:color w:val="000000"/>
          <w:szCs w:val="22"/>
          <w:lang w:val="en-US"/>
        </w:rPr>
        <w:t xml:space="preserve">dedicated family violence unit </w:t>
      </w:r>
      <w:r w:rsidR="009D6B8A" w:rsidRPr="007B5BE6">
        <w:rPr>
          <w:rFonts w:eastAsia="Times New Roman"/>
          <w:color w:val="000000"/>
          <w:szCs w:val="22"/>
          <w:lang w:val="en-US"/>
        </w:rPr>
        <w:t xml:space="preserve">that has been developed and operates </w:t>
      </w:r>
      <w:r w:rsidR="00536C86" w:rsidRPr="007B5BE6">
        <w:rPr>
          <w:rFonts w:eastAsia="Times New Roman"/>
          <w:color w:val="000000"/>
          <w:szCs w:val="22"/>
          <w:lang w:val="en-US"/>
        </w:rPr>
        <w:t>in Tasmania Police with specialist family violence police prosecutors).</w:t>
      </w:r>
      <w:r w:rsidR="00B02871" w:rsidRPr="007B5BE6">
        <w:rPr>
          <w:rFonts w:eastAsia="Times New Roman"/>
          <w:color w:val="000000"/>
          <w:szCs w:val="22"/>
          <w:lang w:val="en-US"/>
        </w:rPr>
        <w:t xml:space="preserve"> </w:t>
      </w:r>
      <w:r w:rsidR="00D13AC0">
        <w:rPr>
          <w:rFonts w:eastAsia="Times New Roman"/>
          <w:color w:val="000000"/>
          <w:szCs w:val="22"/>
          <w:lang w:val="en-US"/>
        </w:rPr>
        <w:t xml:space="preserve">Further, acknowledging the </w:t>
      </w:r>
      <w:r w:rsidR="00462DF9">
        <w:rPr>
          <w:rFonts w:eastAsia="Times New Roman"/>
          <w:color w:val="000000"/>
          <w:szCs w:val="22"/>
          <w:lang w:val="en-US"/>
        </w:rPr>
        <w:t>training that recruits and police members receive</w:t>
      </w:r>
      <w:r w:rsidR="006445D6">
        <w:rPr>
          <w:rFonts w:eastAsia="Times New Roman"/>
          <w:color w:val="000000"/>
          <w:szCs w:val="22"/>
          <w:lang w:val="en-US"/>
        </w:rPr>
        <w:t xml:space="preserve"> </w:t>
      </w:r>
      <w:r w:rsidR="00A33393">
        <w:rPr>
          <w:rFonts w:eastAsia="Times New Roman"/>
          <w:color w:val="000000"/>
          <w:szCs w:val="22"/>
          <w:lang w:val="en-US"/>
        </w:rPr>
        <w:t xml:space="preserve">at present </w:t>
      </w:r>
      <w:r w:rsidR="006445D6">
        <w:rPr>
          <w:rFonts w:eastAsia="Times New Roman"/>
          <w:color w:val="000000"/>
          <w:szCs w:val="22"/>
          <w:lang w:val="en-US"/>
        </w:rPr>
        <w:t xml:space="preserve">is tailored </w:t>
      </w:r>
      <w:r w:rsidR="00C87D08">
        <w:rPr>
          <w:rFonts w:eastAsia="Times New Roman"/>
          <w:color w:val="000000"/>
          <w:szCs w:val="22"/>
          <w:lang w:val="en-US"/>
        </w:rPr>
        <w:t xml:space="preserve">to the </w:t>
      </w:r>
      <w:r w:rsidR="00A33393">
        <w:rPr>
          <w:rFonts w:eastAsia="Times New Roman"/>
          <w:color w:val="000000"/>
          <w:szCs w:val="22"/>
          <w:lang w:val="en-US"/>
        </w:rPr>
        <w:t xml:space="preserve">current </w:t>
      </w:r>
      <w:r w:rsidR="00C87D08">
        <w:rPr>
          <w:rFonts w:eastAsia="Times New Roman"/>
          <w:color w:val="000000"/>
          <w:szCs w:val="22"/>
          <w:lang w:val="en-US"/>
        </w:rPr>
        <w:t>legal framework, t</w:t>
      </w:r>
      <w:r w:rsidRPr="007B5BE6">
        <w:rPr>
          <w:rFonts w:eastAsia="Times New Roman"/>
          <w:color w:val="000000"/>
          <w:szCs w:val="22"/>
          <w:lang w:val="en-US"/>
        </w:rPr>
        <w:t xml:space="preserve">he TLRI also recommends that </w:t>
      </w:r>
      <w:r w:rsidR="00FE5AAD" w:rsidRPr="007B5BE6">
        <w:rPr>
          <w:rFonts w:eastAsia="Times New Roman"/>
          <w:color w:val="000000"/>
          <w:szCs w:val="22"/>
          <w:lang w:val="en-US"/>
        </w:rPr>
        <w:t xml:space="preserve">review of the </w:t>
      </w:r>
      <w:r w:rsidRPr="007B5BE6">
        <w:rPr>
          <w:rFonts w:eastAsia="Times New Roman"/>
          <w:color w:val="000000"/>
          <w:szCs w:val="22"/>
          <w:lang w:val="en-US"/>
        </w:rPr>
        <w:t xml:space="preserve">current training provided </w:t>
      </w:r>
      <w:r w:rsidR="007C02C5" w:rsidRPr="007B5BE6">
        <w:rPr>
          <w:rFonts w:eastAsia="Times New Roman"/>
          <w:color w:val="000000"/>
          <w:szCs w:val="22"/>
          <w:lang w:val="en-US"/>
        </w:rPr>
        <w:t xml:space="preserve">to Tasmania Police </w:t>
      </w:r>
      <w:r w:rsidRPr="007B5BE6">
        <w:rPr>
          <w:rFonts w:eastAsia="Times New Roman"/>
          <w:color w:val="000000"/>
          <w:szCs w:val="22"/>
          <w:lang w:val="en-US"/>
        </w:rPr>
        <w:t xml:space="preserve">to ensure that </w:t>
      </w:r>
      <w:r w:rsidR="00FE5AAD" w:rsidRPr="007B5BE6">
        <w:rPr>
          <w:rFonts w:eastAsia="Times New Roman"/>
          <w:color w:val="000000"/>
          <w:szCs w:val="22"/>
          <w:lang w:val="en-US"/>
        </w:rPr>
        <w:t xml:space="preserve">it </w:t>
      </w:r>
      <w:r w:rsidRPr="007B5BE6">
        <w:rPr>
          <w:rFonts w:eastAsia="Times New Roman"/>
          <w:color w:val="000000"/>
          <w:szCs w:val="22"/>
          <w:lang w:val="en-US"/>
        </w:rPr>
        <w:t>appropriate</w:t>
      </w:r>
      <w:r w:rsidR="00FE5AAD" w:rsidRPr="007B5BE6">
        <w:rPr>
          <w:rFonts w:eastAsia="Times New Roman"/>
          <w:color w:val="000000"/>
          <w:szCs w:val="22"/>
          <w:lang w:val="en-US"/>
        </w:rPr>
        <w:t>ly</w:t>
      </w:r>
      <w:r w:rsidR="00BA13D4" w:rsidRPr="007B5BE6">
        <w:rPr>
          <w:rFonts w:eastAsia="Times New Roman"/>
          <w:color w:val="000000"/>
          <w:szCs w:val="22"/>
          <w:lang w:val="en-US"/>
        </w:rPr>
        <w:t xml:space="preserve"> meet</w:t>
      </w:r>
      <w:r w:rsidR="00FE5AAD" w:rsidRPr="007B5BE6">
        <w:rPr>
          <w:rFonts w:eastAsia="Times New Roman"/>
          <w:color w:val="000000"/>
          <w:szCs w:val="22"/>
          <w:lang w:val="en-US"/>
        </w:rPr>
        <w:t>s</w:t>
      </w:r>
      <w:r w:rsidR="00BA13D4" w:rsidRPr="007B5BE6">
        <w:rPr>
          <w:rFonts w:eastAsia="Times New Roman"/>
          <w:color w:val="000000"/>
          <w:szCs w:val="22"/>
          <w:lang w:val="en-US"/>
        </w:rPr>
        <w:t xml:space="preserve"> the needs of police</w:t>
      </w:r>
      <w:r w:rsidR="00FE5AAD" w:rsidRPr="007B5BE6">
        <w:rPr>
          <w:rFonts w:eastAsia="Times New Roman"/>
          <w:color w:val="000000"/>
          <w:szCs w:val="22"/>
          <w:lang w:val="en-US"/>
        </w:rPr>
        <w:t xml:space="preserve">, enabling a </w:t>
      </w:r>
      <w:r w:rsidRPr="007B5BE6">
        <w:rPr>
          <w:rFonts w:eastAsia="Times New Roman"/>
          <w:color w:val="000000"/>
          <w:szCs w:val="22"/>
          <w:lang w:val="en-US"/>
        </w:rPr>
        <w:t xml:space="preserve">specialist lens to </w:t>
      </w:r>
      <w:r w:rsidR="00C70C80">
        <w:rPr>
          <w:rFonts w:eastAsia="Times New Roman"/>
          <w:color w:val="000000"/>
          <w:szCs w:val="22"/>
          <w:lang w:val="en-US"/>
        </w:rPr>
        <w:t xml:space="preserve">be brough to </w:t>
      </w:r>
      <w:r w:rsidRPr="007B5BE6">
        <w:rPr>
          <w:rFonts w:eastAsia="Times New Roman"/>
          <w:color w:val="000000"/>
          <w:szCs w:val="22"/>
          <w:lang w:val="en-US"/>
        </w:rPr>
        <w:t xml:space="preserve">the operational, investigative and prosecutorial responses to matters involving </w:t>
      </w:r>
      <w:r w:rsidR="007C02C5" w:rsidRPr="007B5BE6">
        <w:rPr>
          <w:rFonts w:eastAsia="Times New Roman"/>
          <w:color w:val="000000"/>
          <w:szCs w:val="22"/>
          <w:lang w:val="en-US"/>
        </w:rPr>
        <w:t xml:space="preserve">the </w:t>
      </w:r>
      <w:r w:rsidRPr="007B5BE6">
        <w:rPr>
          <w:rFonts w:eastAsia="Times New Roman"/>
          <w:color w:val="000000"/>
          <w:szCs w:val="22"/>
          <w:lang w:val="en-US"/>
        </w:rPr>
        <w:t>abuse of older people</w:t>
      </w:r>
      <w:r w:rsidR="003D7104" w:rsidRPr="007B5BE6">
        <w:rPr>
          <w:rFonts w:eastAsia="Times New Roman"/>
          <w:color w:val="000000"/>
          <w:szCs w:val="22"/>
          <w:lang w:val="en-US"/>
        </w:rPr>
        <w:t>.</w:t>
      </w:r>
      <w:r w:rsidR="00BA13D4" w:rsidRPr="007B5BE6">
        <w:rPr>
          <w:rFonts w:eastAsia="Times New Roman"/>
          <w:color w:val="000000"/>
          <w:szCs w:val="22"/>
          <w:lang w:val="en-US"/>
        </w:rPr>
        <w:t xml:space="preserve"> T</w:t>
      </w:r>
      <w:r w:rsidR="00FE5AAD" w:rsidRPr="007B5BE6">
        <w:rPr>
          <w:rFonts w:eastAsia="Times New Roman"/>
          <w:color w:val="000000"/>
          <w:szCs w:val="22"/>
          <w:lang w:val="en-US"/>
        </w:rPr>
        <w:t>asmania Police should be provided with appropriate re</w:t>
      </w:r>
      <w:r w:rsidR="00583C67" w:rsidRPr="007B5BE6">
        <w:rPr>
          <w:rFonts w:eastAsia="Times New Roman"/>
          <w:color w:val="000000"/>
          <w:szCs w:val="22"/>
          <w:lang w:val="en-US"/>
        </w:rPr>
        <w:t>sources</w:t>
      </w:r>
      <w:r w:rsidR="00FE5AAD" w:rsidRPr="007B5BE6">
        <w:rPr>
          <w:rFonts w:eastAsia="Times New Roman"/>
          <w:color w:val="000000"/>
          <w:szCs w:val="22"/>
          <w:lang w:val="en-US"/>
        </w:rPr>
        <w:t xml:space="preserve"> </w:t>
      </w:r>
      <w:r w:rsidR="00583C67" w:rsidRPr="007B5BE6">
        <w:rPr>
          <w:rFonts w:eastAsia="Times New Roman"/>
          <w:color w:val="000000"/>
          <w:szCs w:val="22"/>
          <w:lang w:val="en-US"/>
        </w:rPr>
        <w:t xml:space="preserve">to support the </w:t>
      </w:r>
      <w:proofErr w:type="gramStart"/>
      <w:r w:rsidR="00583C67" w:rsidRPr="007B5BE6">
        <w:rPr>
          <w:rFonts w:eastAsia="Times New Roman"/>
          <w:color w:val="000000"/>
          <w:szCs w:val="22"/>
          <w:lang w:val="en-US"/>
        </w:rPr>
        <w:t>TLRI’s recommended</w:t>
      </w:r>
      <w:proofErr w:type="gramEnd"/>
      <w:r w:rsidR="00583C67" w:rsidRPr="007B5BE6">
        <w:rPr>
          <w:rFonts w:eastAsia="Times New Roman"/>
          <w:color w:val="000000"/>
          <w:szCs w:val="22"/>
          <w:lang w:val="en-US"/>
        </w:rPr>
        <w:t xml:space="preserve"> reforms.</w:t>
      </w:r>
      <w:r w:rsidR="00FE5AAD" w:rsidRPr="007B5BE6">
        <w:rPr>
          <w:rFonts w:eastAsia="Times New Roman"/>
          <w:color w:val="000000"/>
          <w:szCs w:val="22"/>
          <w:lang w:val="en-US"/>
        </w:rPr>
        <w:t xml:space="preserve"> </w:t>
      </w:r>
    </w:p>
    <w:p w14:paraId="4F9A0665" w14:textId="37E01D74" w:rsidR="00DD2FF6" w:rsidRPr="007B5BE6" w:rsidRDefault="00DD2FF6" w:rsidP="00652F34">
      <w:pPr>
        <w:pStyle w:val="RecommendationBoxHeading"/>
        <w:ind w:left="0"/>
      </w:pPr>
      <w:r w:rsidRPr="007B5BE6">
        <w:rPr>
          <w:noProof/>
        </w:rPr>
        <mc:AlternateContent>
          <mc:Choice Requires="wps">
            <w:drawing>
              <wp:inline distT="0" distB="0" distL="0" distR="0" wp14:anchorId="2BD6B7A5" wp14:editId="4F2606E0">
                <wp:extent cx="5727065" cy="2618842"/>
                <wp:effectExtent l="0" t="0" r="6985" b="0"/>
                <wp:docPr id="142663128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618842"/>
                        </a:xfrm>
                        <a:prstGeom prst="rect">
                          <a:avLst/>
                        </a:prstGeom>
                        <a:solidFill>
                          <a:srgbClr val="E8E8E8"/>
                        </a:solidFill>
                      </wps:spPr>
                      <wps:txbx>
                        <w:txbxContent>
                          <w:p w14:paraId="75838F51" w14:textId="77777777" w:rsidR="00102AD7" w:rsidRPr="006F2DE6" w:rsidRDefault="00102AD7" w:rsidP="00102AD7">
                            <w:pPr>
                              <w:pStyle w:val="RecommendationBoxHeading"/>
                            </w:pPr>
                            <w:r w:rsidRPr="00102AD7">
                              <w:t>Recommendation</w:t>
                            </w:r>
                            <w:r w:rsidRPr="006F2DE6">
                              <w:t xml:space="preserve"> 28</w:t>
                            </w:r>
                          </w:p>
                          <w:p w14:paraId="531E0ED6" w14:textId="77777777" w:rsidR="00102AD7" w:rsidRPr="006F2DE6" w:rsidRDefault="00102AD7" w:rsidP="00102AD7">
                            <w:pPr>
                              <w:pStyle w:val="RecommendationBoxText"/>
                            </w:pPr>
                            <w:r w:rsidRPr="006F2DE6">
                              <w:t xml:space="preserve">Specialist roles in Tasmania Police should be created that focus on responding to the abuse, neglect and exploitation of older people through detection, investigation and prosecution, including consideration given to the introduction of a dedicated unit with specialist police prosecutors. The development of these roles and their scope and purpose should be informed by other recommendations of the TLRI, particularly: </w:t>
                            </w:r>
                          </w:p>
                          <w:p w14:paraId="432BFDAF" w14:textId="6FD1899B" w:rsidR="00102AD7" w:rsidRPr="00102AD7" w:rsidRDefault="00102AD7" w:rsidP="005A71B7">
                            <w:pPr>
                              <w:pStyle w:val="RecommendationBoxText"/>
                              <w:numPr>
                                <w:ilvl w:val="0"/>
                                <w:numId w:val="31"/>
                              </w:numPr>
                            </w:pPr>
                            <w:r w:rsidRPr="00102AD7">
                              <w:rPr>
                                <w:b/>
                                <w:bCs/>
                              </w:rPr>
                              <w:t>Recommendation 20</w:t>
                            </w:r>
                            <w:r w:rsidRPr="00102AD7">
                              <w:t xml:space="preserve"> (reform of the </w:t>
                            </w:r>
                            <w:r w:rsidRPr="00102AD7">
                              <w:rPr>
                                <w:i/>
                                <w:iCs/>
                              </w:rPr>
                              <w:t>Justices Act 1959</w:t>
                            </w:r>
                            <w:r w:rsidRPr="00102AD7">
                              <w:t xml:space="preserve"> (Tas) with a view to creating a specialised restraint order); and</w:t>
                            </w:r>
                          </w:p>
                          <w:p w14:paraId="09B00988" w14:textId="4F613CFC" w:rsidR="00102AD7" w:rsidRPr="00102AD7" w:rsidRDefault="00102AD7" w:rsidP="005A71B7">
                            <w:pPr>
                              <w:pStyle w:val="RecommendationBoxText"/>
                              <w:numPr>
                                <w:ilvl w:val="0"/>
                                <w:numId w:val="31"/>
                              </w:numPr>
                            </w:pPr>
                            <w:r w:rsidRPr="00102AD7">
                              <w:rPr>
                                <w:b/>
                                <w:bCs/>
                              </w:rPr>
                              <w:t>Recommendations 1–19</w:t>
                            </w:r>
                            <w:r w:rsidRPr="00102AD7">
                              <w:t xml:space="preserve"> (overarching safeguarding legislation through the creation of a Commissioner role and referral processes involving Tasmania Police). </w:t>
                            </w:r>
                          </w:p>
                          <w:p w14:paraId="416A498C" w14:textId="77777777" w:rsidR="00102AD7" w:rsidRPr="006F2DE6" w:rsidRDefault="00102AD7" w:rsidP="00102AD7">
                            <w:pPr>
                              <w:pStyle w:val="RecommendationBoxText"/>
                            </w:pPr>
                            <w:r w:rsidRPr="006F2DE6">
                              <w:t xml:space="preserve">Consideration of these matters </w:t>
                            </w:r>
                            <w:r w:rsidRPr="00102AD7">
                              <w:t>should</w:t>
                            </w:r>
                            <w:r w:rsidRPr="006F2DE6">
                              <w:t xml:space="preserve"> be informed by consultation with relevant stakeholders.</w:t>
                            </w:r>
                          </w:p>
                          <w:p w14:paraId="5A029A32" w14:textId="77777777" w:rsidR="00102AD7" w:rsidRPr="00DD2FF6" w:rsidRDefault="00102AD7" w:rsidP="00DD2FF6">
                            <w:pPr>
                              <w:pStyle w:val="RecommendationBoxText"/>
                            </w:pPr>
                          </w:p>
                          <w:p w14:paraId="0AD61055" w14:textId="77777777" w:rsidR="00DD2FF6" w:rsidRPr="00F77824" w:rsidRDefault="00DD2FF6" w:rsidP="00DD2FF6">
                            <w:pPr>
                              <w:pStyle w:val="RecommendationBoxText"/>
                              <w:ind w:left="0"/>
                              <w:rPr>
                                <w:rFonts w:eastAsia="Times"/>
                              </w:rPr>
                            </w:pPr>
                          </w:p>
                        </w:txbxContent>
                      </wps:txbx>
                      <wps:bodyPr wrap="square" lIns="0" tIns="0" rIns="0" bIns="0" rtlCol="0">
                        <a:noAutofit/>
                      </wps:bodyPr>
                    </wps:wsp>
                  </a:graphicData>
                </a:graphic>
              </wp:inline>
            </w:drawing>
          </mc:Choice>
          <mc:Fallback>
            <w:pict>
              <v:shape w14:anchorId="2BD6B7A5" id="_x0000_s1054" type="#_x0000_t202" style="width:450.95pt;height:20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" fillcolor="#e8e8e8" stroked="f">
                <v:textbox inset="0,0,0,0">
                  <w:txbxContent>
                    <w:p w14:paraId="75838F51" w14:textId="77777777" w:rsidR="00102AD7" w:rsidRPr="006F2DE6" w:rsidRDefault="00102AD7" w:rsidP="00102AD7">
                      <w:pPr>
                        <w:pStyle w:val="RecommendationBoxHeading"/>
                      </w:pPr>
                      <w:r w:rsidRPr="00102AD7">
                        <w:t>Recommendation</w:t>
                      </w:r>
                      <w:r w:rsidRPr="006F2DE6">
                        <w:t xml:space="preserve"> 28</w:t>
                      </w:r>
                    </w:p>
                    <w:p w14:paraId="531E0ED6" w14:textId="77777777" w:rsidR="00102AD7" w:rsidRPr="006F2DE6" w:rsidRDefault="00102AD7" w:rsidP="00102AD7">
                      <w:pPr>
                        <w:pStyle w:val="RecommendationBoxText"/>
                      </w:pPr>
                      <w:r w:rsidRPr="006F2DE6">
                        <w:t xml:space="preserve">Specialist roles in Tasmania Police should be created that focus on responding to the abuse, neglect and exploitation of older people through detection, investigation and prosecution, including consideration given to the introduction of a dedicated unit with specialist police prosecutors. The development of these roles and their scope and purpose should be informed by other recommendations of the TLRI, particularly: </w:t>
                      </w:r>
                    </w:p>
                    <w:p w14:paraId="432BFDAF" w14:textId="6FD1899B" w:rsidR="00102AD7" w:rsidRPr="00102AD7" w:rsidRDefault="00102AD7" w:rsidP="005A71B7">
                      <w:pPr>
                        <w:pStyle w:val="RecommendationBoxText"/>
                        <w:numPr>
                          <w:ilvl w:val="0"/>
                          <w:numId w:val="31"/>
                        </w:numPr>
                      </w:pPr>
                      <w:r w:rsidRPr="00102AD7">
                        <w:rPr>
                          <w:b/>
                          <w:bCs/>
                        </w:rPr>
                        <w:t>Recommendation 20</w:t>
                      </w:r>
                      <w:r w:rsidRPr="00102AD7">
                        <w:t xml:space="preserve"> (reform of the </w:t>
                      </w:r>
                      <w:r w:rsidRPr="00102AD7">
                        <w:rPr>
                          <w:i/>
                          <w:iCs/>
                        </w:rPr>
                        <w:t>Justices Act 1959</w:t>
                      </w:r>
                      <w:r w:rsidRPr="00102AD7">
                        <w:t xml:space="preserve"> (Tas) with a view to creating a specialised restraint order); and</w:t>
                      </w:r>
                    </w:p>
                    <w:p w14:paraId="09B00988" w14:textId="4F613CFC" w:rsidR="00102AD7" w:rsidRPr="00102AD7" w:rsidRDefault="00102AD7" w:rsidP="005A71B7">
                      <w:pPr>
                        <w:pStyle w:val="RecommendationBoxText"/>
                        <w:numPr>
                          <w:ilvl w:val="0"/>
                          <w:numId w:val="31"/>
                        </w:numPr>
                      </w:pPr>
                      <w:r w:rsidRPr="00102AD7">
                        <w:rPr>
                          <w:b/>
                          <w:bCs/>
                        </w:rPr>
                        <w:t>Recommendations 1–19</w:t>
                      </w:r>
                      <w:r w:rsidRPr="00102AD7">
                        <w:t xml:space="preserve"> (overarching safeguarding legislation through the creation of a Commissioner role and referral processes involving Tasmania Police). </w:t>
                      </w:r>
                    </w:p>
                    <w:p w14:paraId="416A498C" w14:textId="77777777" w:rsidR="00102AD7" w:rsidRPr="006F2DE6" w:rsidRDefault="00102AD7" w:rsidP="00102AD7">
                      <w:pPr>
                        <w:pStyle w:val="RecommendationBoxText"/>
                      </w:pPr>
                      <w:r w:rsidRPr="006F2DE6">
                        <w:t xml:space="preserve">Consideration of these matters </w:t>
                      </w:r>
                      <w:r w:rsidRPr="00102AD7">
                        <w:t>should</w:t>
                      </w:r>
                      <w:r w:rsidRPr="006F2DE6">
                        <w:t xml:space="preserve"> be informed by consultation with relevant stakeholders.</w:t>
                      </w:r>
                    </w:p>
                    <w:p w14:paraId="5A029A32" w14:textId="77777777" w:rsidR="00102AD7" w:rsidRPr="00DD2FF6" w:rsidRDefault="00102AD7" w:rsidP="00DD2FF6">
                      <w:pPr>
                        <w:pStyle w:val="RecommendationBoxText"/>
                      </w:pPr>
                    </w:p>
                    <w:p w14:paraId="0AD61055" w14:textId="77777777" w:rsidR="00DD2FF6" w:rsidRPr="00F77824" w:rsidRDefault="00DD2FF6" w:rsidP="00DD2FF6">
                      <w:pPr>
                        <w:pStyle w:val="RecommendationBoxText"/>
                        <w:ind w:left="0"/>
                        <w:rPr>
                          <w:rFonts w:eastAsia="Times"/>
                        </w:rPr>
                      </w:pPr>
                    </w:p>
                  </w:txbxContent>
                </v:textbox>
                <w10:anchorlock/>
              </v:shape>
            </w:pict>
          </mc:Fallback>
        </mc:AlternateContent>
      </w:r>
    </w:p>
    <w:p w14:paraId="6A883A45" w14:textId="3014BB60" w:rsidR="00102AD7" w:rsidRPr="007B5BE6" w:rsidRDefault="00102AD7" w:rsidP="004329B0">
      <w:pPr>
        <w:pStyle w:val="RecommendationBoxText"/>
        <w:ind w:left="0"/>
        <w:rPr>
          <w:b/>
        </w:rPr>
      </w:pPr>
      <w:r w:rsidRPr="007B5BE6">
        <w:rPr>
          <w:noProof/>
        </w:rPr>
        <mc:AlternateContent>
          <mc:Choice Requires="wps">
            <w:drawing>
              <wp:inline distT="0" distB="0" distL="0" distR="0" wp14:anchorId="266511DE" wp14:editId="26C527AE">
                <wp:extent cx="5727065" cy="1207008"/>
                <wp:effectExtent l="0" t="0" r="6985" b="0"/>
                <wp:docPr id="1294433687"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07008"/>
                        </a:xfrm>
                        <a:prstGeom prst="rect">
                          <a:avLst/>
                        </a:prstGeom>
                        <a:solidFill>
                          <a:srgbClr val="E8E8E8"/>
                        </a:solidFill>
                      </wps:spPr>
                      <wps:txbx>
                        <w:txbxContent>
                          <w:p w14:paraId="03C0D1F5" w14:textId="77777777" w:rsidR="00102AD7" w:rsidRPr="006F2DE6" w:rsidRDefault="00102AD7" w:rsidP="00102AD7">
                            <w:pPr>
                              <w:pStyle w:val="RecommendationBoxHeading"/>
                            </w:pPr>
                            <w:r w:rsidRPr="006F2DE6">
                              <w:t>Recommendation 29</w:t>
                            </w:r>
                          </w:p>
                          <w:p w14:paraId="17434F77" w14:textId="77777777" w:rsidR="00102AD7" w:rsidRPr="00102AD7" w:rsidRDefault="00102AD7" w:rsidP="00102AD7">
                            <w:pPr>
                              <w:pStyle w:val="RecommendationBoxText"/>
                            </w:pPr>
                            <w:r w:rsidRPr="00102AD7">
                              <w:t>The current training provided to Tasmania Police should be reviewed by Tasmania Police to ensure that it adequately meets the needs for police to have knowledge about the abuse of older people as part of operational, investigative and prosecutorial responses to matters involving the abuse of older people.</w:t>
                            </w:r>
                          </w:p>
                          <w:p w14:paraId="1A70BEB6" w14:textId="77777777" w:rsidR="00102AD7" w:rsidRPr="00DD2FF6" w:rsidRDefault="00102AD7" w:rsidP="00102AD7">
                            <w:pPr>
                              <w:pStyle w:val="RecommendationBoxText"/>
                            </w:pPr>
                          </w:p>
                          <w:p w14:paraId="7250FCBE" w14:textId="77777777" w:rsidR="00102AD7" w:rsidRPr="00F77824" w:rsidRDefault="00102AD7" w:rsidP="00102AD7">
                            <w:pPr>
                              <w:pStyle w:val="RecommendationBoxText"/>
                              <w:ind w:left="0"/>
                              <w:rPr>
                                <w:rFonts w:eastAsia="Times"/>
                              </w:rPr>
                            </w:pPr>
                          </w:p>
                        </w:txbxContent>
                      </wps:txbx>
                      <wps:bodyPr wrap="square" lIns="0" tIns="0" rIns="0" bIns="0" rtlCol="0">
                        <a:noAutofit/>
                      </wps:bodyPr>
                    </wps:wsp>
                  </a:graphicData>
                </a:graphic>
              </wp:inline>
            </w:drawing>
          </mc:Choice>
          <mc:Fallback>
            <w:pict>
              <v:shape w14:anchorId="266511DE" id="_x0000_s1055" type="#_x0000_t202" style="width:450.95pt;height:9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" fillcolor="#e8e8e8" stroked="f">
                <v:textbox inset="0,0,0,0">
                  <w:txbxContent>
                    <w:p w14:paraId="03C0D1F5" w14:textId="77777777" w:rsidR="00102AD7" w:rsidRPr="006F2DE6" w:rsidRDefault="00102AD7" w:rsidP="00102AD7">
                      <w:pPr>
                        <w:pStyle w:val="RecommendationBoxHeading"/>
                      </w:pPr>
                      <w:r w:rsidRPr="006F2DE6">
                        <w:t>Recommendation 29</w:t>
                      </w:r>
                    </w:p>
                    <w:p w14:paraId="17434F77" w14:textId="77777777" w:rsidR="00102AD7" w:rsidRPr="00102AD7" w:rsidRDefault="00102AD7" w:rsidP="00102AD7">
                      <w:pPr>
                        <w:pStyle w:val="RecommendationBoxText"/>
                      </w:pPr>
                      <w:r w:rsidRPr="00102AD7">
                        <w:t>The current training provided to Tasmania Police should be reviewed by Tasmania Police to ensure that it adequately meets the needs for police to have knowledge about the abuse of older people as part of operational, investigative and prosecutorial responses to matters involving the abuse of older people.</w:t>
                      </w:r>
                    </w:p>
                    <w:p w14:paraId="1A70BEB6" w14:textId="77777777" w:rsidR="00102AD7" w:rsidRPr="00DD2FF6" w:rsidRDefault="00102AD7" w:rsidP="00102AD7">
                      <w:pPr>
                        <w:pStyle w:val="RecommendationBoxText"/>
                      </w:pPr>
                    </w:p>
                    <w:p w14:paraId="7250FCBE" w14:textId="77777777" w:rsidR="00102AD7" w:rsidRPr="00F77824" w:rsidRDefault="00102AD7" w:rsidP="00102AD7">
                      <w:pPr>
                        <w:pStyle w:val="RecommendationBoxText"/>
                        <w:ind w:left="0"/>
                        <w:rPr>
                          <w:rFonts w:eastAsia="Times"/>
                        </w:rPr>
                      </w:pPr>
                    </w:p>
                  </w:txbxContent>
                </v:textbox>
                <w10:anchorlock/>
              </v:shape>
            </w:pict>
          </mc:Fallback>
        </mc:AlternateContent>
      </w:r>
    </w:p>
    <w:p w14:paraId="3793C02B" w14:textId="78105C1F" w:rsidR="00102AD7" w:rsidRPr="007B5BE6" w:rsidRDefault="00102AD7" w:rsidP="00652F34">
      <w:pPr>
        <w:pStyle w:val="RecommendationBoxHeading"/>
        <w:ind w:left="0"/>
        <w:rPr>
          <w:bCs/>
        </w:rPr>
      </w:pPr>
      <w:r w:rsidRPr="007B5BE6">
        <w:rPr>
          <w:noProof/>
        </w:rPr>
        <mc:AlternateContent>
          <mc:Choice Requires="wps">
            <w:drawing>
              <wp:inline distT="0" distB="0" distL="0" distR="0" wp14:anchorId="26AB08C6" wp14:editId="7E8E45D3">
                <wp:extent cx="5727065" cy="797357"/>
                <wp:effectExtent l="0" t="0" r="6985" b="3175"/>
                <wp:docPr id="2103518198"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797357"/>
                        </a:xfrm>
                        <a:prstGeom prst="rect">
                          <a:avLst/>
                        </a:prstGeom>
                        <a:solidFill>
                          <a:srgbClr val="E8E8E8"/>
                        </a:solidFill>
                      </wps:spPr>
                      <wps:txbx>
                        <w:txbxContent>
                          <w:p w14:paraId="0F635465" w14:textId="77777777" w:rsidR="00102AD7" w:rsidRPr="006F2DE6" w:rsidRDefault="00102AD7" w:rsidP="00102AD7">
                            <w:pPr>
                              <w:pStyle w:val="RecommendationBoxHeading"/>
                            </w:pPr>
                            <w:r w:rsidRPr="00102AD7">
                              <w:t>Recommendation</w:t>
                            </w:r>
                            <w:r w:rsidRPr="006F2DE6">
                              <w:t xml:space="preserve"> 30</w:t>
                            </w:r>
                          </w:p>
                          <w:p w14:paraId="70A94E7A" w14:textId="77777777" w:rsidR="00102AD7" w:rsidRPr="006F2DE6" w:rsidRDefault="00102AD7" w:rsidP="00102AD7">
                            <w:pPr>
                              <w:pStyle w:val="RecommendationBoxText"/>
                            </w:pPr>
                            <w:r w:rsidRPr="006F2DE6">
                              <w:t>Tasmania Police should be provided with appropriate resources to support these reforms.</w:t>
                            </w:r>
                          </w:p>
                          <w:p w14:paraId="60EAA135" w14:textId="77777777" w:rsidR="00102AD7" w:rsidRPr="00DD2FF6" w:rsidRDefault="00102AD7" w:rsidP="00102AD7">
                            <w:pPr>
                              <w:pStyle w:val="RecommendationBoxText"/>
                              <w:ind w:left="0"/>
                            </w:pPr>
                          </w:p>
                          <w:p w14:paraId="24376757" w14:textId="77777777" w:rsidR="00102AD7" w:rsidRPr="00F77824" w:rsidRDefault="00102AD7" w:rsidP="00102AD7">
                            <w:pPr>
                              <w:pStyle w:val="RecommendationBoxText"/>
                              <w:ind w:left="0"/>
                              <w:rPr>
                                <w:rFonts w:eastAsia="Times"/>
                              </w:rPr>
                            </w:pPr>
                          </w:p>
                        </w:txbxContent>
                      </wps:txbx>
                      <wps:bodyPr wrap="square" lIns="0" tIns="0" rIns="0" bIns="0" rtlCol="0">
                        <a:noAutofit/>
                      </wps:bodyPr>
                    </wps:wsp>
                  </a:graphicData>
                </a:graphic>
              </wp:inline>
            </w:drawing>
          </mc:Choice>
          <mc:Fallback>
            <w:pict>
              <v:shape w14:anchorId="26AB08C6" id="_x0000_s1056" type="#_x0000_t202" style="width:450.95pt;height:6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" fillcolor="#e8e8e8" stroked="f">
                <v:textbox inset="0,0,0,0">
                  <w:txbxContent>
                    <w:p w14:paraId="0F635465" w14:textId="77777777" w:rsidR="00102AD7" w:rsidRPr="006F2DE6" w:rsidRDefault="00102AD7" w:rsidP="00102AD7">
                      <w:pPr>
                        <w:pStyle w:val="RecommendationBoxHeading"/>
                      </w:pPr>
                      <w:r w:rsidRPr="00102AD7">
                        <w:t>Recommendation</w:t>
                      </w:r>
                      <w:r w:rsidRPr="006F2DE6">
                        <w:t xml:space="preserve"> 30</w:t>
                      </w:r>
                    </w:p>
                    <w:p w14:paraId="70A94E7A" w14:textId="77777777" w:rsidR="00102AD7" w:rsidRPr="006F2DE6" w:rsidRDefault="00102AD7" w:rsidP="00102AD7">
                      <w:pPr>
                        <w:pStyle w:val="RecommendationBoxText"/>
                      </w:pPr>
                      <w:r w:rsidRPr="006F2DE6">
                        <w:t>Tasmania Police should be provided with appropriate resources to support these reforms.</w:t>
                      </w:r>
                    </w:p>
                    <w:p w14:paraId="60EAA135" w14:textId="77777777" w:rsidR="00102AD7" w:rsidRPr="00DD2FF6" w:rsidRDefault="00102AD7" w:rsidP="00102AD7">
                      <w:pPr>
                        <w:pStyle w:val="RecommendationBoxText"/>
                        <w:ind w:left="0"/>
                      </w:pPr>
                    </w:p>
                    <w:p w14:paraId="24376757" w14:textId="77777777" w:rsidR="00102AD7" w:rsidRPr="00F77824" w:rsidRDefault="00102AD7" w:rsidP="00102AD7">
                      <w:pPr>
                        <w:pStyle w:val="RecommendationBoxText"/>
                        <w:ind w:left="0"/>
                        <w:rPr>
                          <w:rFonts w:eastAsia="Times"/>
                        </w:rPr>
                      </w:pPr>
                    </w:p>
                  </w:txbxContent>
                </v:textbox>
                <w10:anchorlock/>
              </v:shape>
            </w:pict>
          </mc:Fallback>
        </mc:AlternateContent>
      </w:r>
    </w:p>
    <w:p w14:paraId="3D8C2FDD" w14:textId="77777777" w:rsidR="00883FA2" w:rsidRPr="007B5BE6" w:rsidRDefault="00883FA2">
      <w:pPr>
        <w:spacing w:after="200" w:line="276" w:lineRule="auto"/>
        <w:jc w:val="left"/>
        <w:rPr>
          <w:rFonts w:eastAsia="Times" w:cs="Times New Roman"/>
          <w:szCs w:val="20"/>
        </w:rPr>
      </w:pPr>
      <w:r w:rsidRPr="007B5BE6">
        <w:br w:type="page"/>
      </w:r>
    </w:p>
    <w:p w14:paraId="073BCA56" w14:textId="7CF42714" w:rsidR="00052299" w:rsidRPr="007B5BE6" w:rsidRDefault="004E4829" w:rsidP="004E4829">
      <w:pPr>
        <w:pStyle w:val="NormalNumberedTextTLRI"/>
      </w:pPr>
      <w:r w:rsidRPr="007B5BE6">
        <w:lastRenderedPageBreak/>
        <w:t xml:space="preserve">Aligned with these recommendations, the TLRI reiterates its previous recommendation in </w:t>
      </w:r>
      <w:r w:rsidR="007456A5" w:rsidRPr="007B5BE6">
        <w:t xml:space="preserve">reviewing </w:t>
      </w:r>
      <w:r w:rsidRPr="007B5BE6">
        <w:t xml:space="preserve">the scope of an intermediary scheme to assist people with communication needs to participate in the criminal justice system, as well as the operation of the </w:t>
      </w:r>
      <w:r w:rsidR="00583C67" w:rsidRPr="007B5BE6">
        <w:t>‘</w:t>
      </w:r>
      <w:r w:rsidRPr="007B5BE6">
        <w:t>special hearing scheme</w:t>
      </w:r>
      <w:r w:rsidR="00583C67" w:rsidRPr="007B5BE6">
        <w:t>’</w:t>
      </w:r>
      <w:r w:rsidRPr="007B5BE6">
        <w:t xml:space="preserve"> in Tasmania.</w:t>
      </w:r>
      <w:r w:rsidR="00F84CFA" w:rsidRPr="007B5BE6">
        <w:rPr>
          <w:rStyle w:val="FootnoteReference"/>
        </w:rPr>
        <w:footnoteReference w:id="886"/>
      </w:r>
      <w:r w:rsidRPr="007B5BE6">
        <w:t xml:space="preserve"> In </w:t>
      </w:r>
      <w:r w:rsidR="009F21CA" w:rsidRPr="007B5BE6">
        <w:t>stakeholder interviews,</w:t>
      </w:r>
      <w:r w:rsidRPr="007B5BE6">
        <w:t xml:space="preserve"> the TLRI received feedback about </w:t>
      </w:r>
      <w:r w:rsidR="007D1240" w:rsidRPr="007B5BE6">
        <w:t>the</w:t>
      </w:r>
      <w:r w:rsidRPr="007B5BE6">
        <w:t xml:space="preserve"> support needs </w:t>
      </w:r>
      <w:r w:rsidR="007D1240" w:rsidRPr="007B5BE6">
        <w:t xml:space="preserve">in the legal process for </w:t>
      </w:r>
      <w:r w:rsidRPr="007B5BE6">
        <w:t>older people experiencing abuse, and the desirability of supporting an older p</w:t>
      </w:r>
      <w:r w:rsidR="007456A5" w:rsidRPr="007B5BE6">
        <w:t>erson</w:t>
      </w:r>
      <w:r w:rsidRPr="007B5BE6">
        <w:t xml:space="preserve"> by the use of an intermediary and/or other support measures.</w:t>
      </w:r>
      <w:r w:rsidR="00F84CFA" w:rsidRPr="007B5BE6">
        <w:rPr>
          <w:rStyle w:val="FootnoteReference"/>
        </w:rPr>
        <w:footnoteReference w:id="887"/>
      </w:r>
      <w:r w:rsidRPr="007B5BE6">
        <w:t xml:space="preserve"> While an intermediary scheme has been introduced in Tasmania, it only applies to certain court proceedings and does not apply in pre-court contexts.</w:t>
      </w:r>
      <w:r w:rsidR="00F84CFA" w:rsidRPr="007B5BE6">
        <w:rPr>
          <w:rStyle w:val="FootnoteReference"/>
        </w:rPr>
        <w:footnoteReference w:id="888"/>
      </w:r>
      <w:r w:rsidRPr="007B5BE6">
        <w:t xml:space="preserve"> </w:t>
      </w:r>
      <w:r w:rsidR="0023188B" w:rsidRPr="007B5BE6">
        <w:t xml:space="preserve">An evaluation of the </w:t>
      </w:r>
      <w:r w:rsidR="00BA23D5" w:rsidRPr="007B5BE6">
        <w:t xml:space="preserve">pilot </w:t>
      </w:r>
      <w:r w:rsidR="0023188B" w:rsidRPr="007B5BE6">
        <w:t xml:space="preserve">scheme </w:t>
      </w:r>
      <w:r w:rsidR="00BA23D5" w:rsidRPr="007B5BE6">
        <w:t xml:space="preserve">found a high level of support </w:t>
      </w:r>
      <w:r w:rsidR="007D1240" w:rsidRPr="007B5BE6">
        <w:t>for it,</w:t>
      </w:r>
      <w:r w:rsidR="00486BD0" w:rsidRPr="007B5BE6">
        <w:t xml:space="preserve"> </w:t>
      </w:r>
      <w:r w:rsidR="00BA23D5" w:rsidRPr="007B5BE6">
        <w:t>report</w:t>
      </w:r>
      <w:r w:rsidR="00DF6B9C" w:rsidRPr="007B5BE6">
        <w:t>ing</w:t>
      </w:r>
      <w:r w:rsidR="007D1240" w:rsidRPr="007B5BE6">
        <w:t xml:space="preserve"> that</w:t>
      </w:r>
      <w:r w:rsidR="00BA23D5" w:rsidRPr="007B5BE6">
        <w:t xml:space="preserve"> stakeholder</w:t>
      </w:r>
      <w:r w:rsidR="00A8145C" w:rsidRPr="007B5BE6">
        <w:t>s</w:t>
      </w:r>
      <w:r w:rsidR="008F3BFA" w:rsidRPr="007B5BE6">
        <w:t xml:space="preserve"> support</w:t>
      </w:r>
      <w:r w:rsidR="00A8145C" w:rsidRPr="007B5BE6">
        <w:t>ed</w:t>
      </w:r>
      <w:r w:rsidR="008F3BFA" w:rsidRPr="007B5BE6">
        <w:t xml:space="preserve"> </w:t>
      </w:r>
      <w:r w:rsidR="00DF6B9C" w:rsidRPr="007B5BE6">
        <w:t xml:space="preserve">consideration being given to </w:t>
      </w:r>
      <w:r w:rsidR="00273EE4" w:rsidRPr="007B5BE6">
        <w:t>expan</w:t>
      </w:r>
      <w:r w:rsidR="00DF6B9C" w:rsidRPr="007B5BE6">
        <w:t>ding</w:t>
      </w:r>
      <w:r w:rsidR="00273EE4" w:rsidRPr="007B5BE6">
        <w:t xml:space="preserve"> the </w:t>
      </w:r>
      <w:r w:rsidR="00582260" w:rsidRPr="007B5BE6">
        <w:t xml:space="preserve">use of intermediaries </w:t>
      </w:r>
      <w:r w:rsidR="00273EE4" w:rsidRPr="007B5BE6">
        <w:t>for</w:t>
      </w:r>
      <w:r w:rsidR="00582260" w:rsidRPr="007B5BE6">
        <w:t xml:space="preserve"> other vulnerable groups.</w:t>
      </w:r>
      <w:r w:rsidR="00AB5933" w:rsidRPr="007B5BE6">
        <w:rPr>
          <w:rStyle w:val="FootnoteReference"/>
        </w:rPr>
        <w:footnoteReference w:id="889"/>
      </w:r>
      <w:r w:rsidR="00582260" w:rsidRPr="007B5BE6">
        <w:t xml:space="preserve"> </w:t>
      </w:r>
    </w:p>
    <w:p w14:paraId="66A8EFAD" w14:textId="62E2599A" w:rsidR="004E4829" w:rsidRPr="007B5BE6" w:rsidRDefault="004E4829" w:rsidP="004E4829">
      <w:pPr>
        <w:pStyle w:val="NormalNumberedTextTLRI"/>
      </w:pPr>
      <w:r w:rsidRPr="007B5BE6">
        <w:t xml:space="preserve">In the context of this </w:t>
      </w:r>
      <w:r w:rsidR="00753AC5" w:rsidRPr="007B5BE6">
        <w:t>Research P</w:t>
      </w:r>
      <w:r w:rsidRPr="007B5BE6">
        <w:t xml:space="preserve">aper, the TLRI is particularly concerned to ensure that older people have access to an intermediary to assist </w:t>
      </w:r>
      <w:r w:rsidR="00856269" w:rsidRPr="007B5BE6">
        <w:t xml:space="preserve">with </w:t>
      </w:r>
      <w:r w:rsidRPr="007B5BE6">
        <w:t>communication with police and legal practitioners before any court proceedings, as well as in court</w:t>
      </w:r>
      <w:r w:rsidR="00273EE4" w:rsidRPr="007B5BE6">
        <w:t xml:space="preserve"> during legal proceedings</w:t>
      </w:r>
      <w:r w:rsidR="00B25F4B" w:rsidRPr="007B5BE6">
        <w:t>. This would</w:t>
      </w:r>
      <w:r w:rsidR="00C54666" w:rsidRPr="007B5BE6">
        <w:t xml:space="preserve"> also</w:t>
      </w:r>
      <w:r w:rsidR="00B25F4B" w:rsidRPr="007B5BE6">
        <w:t xml:space="preserve"> be fundamental </w:t>
      </w:r>
      <w:r w:rsidR="00C54666" w:rsidRPr="007B5BE6">
        <w:t xml:space="preserve">to </w:t>
      </w:r>
      <w:r w:rsidR="00B25F4B" w:rsidRPr="007B5BE6">
        <w:t xml:space="preserve">the operation of </w:t>
      </w:r>
      <w:r w:rsidR="00660631" w:rsidRPr="007B5BE6">
        <w:t>reforms recommended by the TLRI for a</w:t>
      </w:r>
      <w:r w:rsidR="00A72241" w:rsidRPr="007B5BE6">
        <w:t xml:space="preserve"> </w:t>
      </w:r>
      <w:r w:rsidR="00B25F4B" w:rsidRPr="007B5BE6">
        <w:t xml:space="preserve">specialised restraint order scheme </w:t>
      </w:r>
      <w:r w:rsidR="004856B3" w:rsidRPr="007B5BE6">
        <w:t>and court-ordered mediation pilot</w:t>
      </w:r>
      <w:r w:rsidR="00A72241" w:rsidRPr="007B5BE6">
        <w:t>, if implemented (</w:t>
      </w:r>
      <w:r w:rsidR="004856B3" w:rsidRPr="007B5BE6">
        <w:rPr>
          <w:b/>
          <w:bCs/>
        </w:rPr>
        <w:t xml:space="preserve">Recommendations </w:t>
      </w:r>
      <w:r w:rsidR="00A167D4" w:rsidRPr="007B5BE6">
        <w:rPr>
          <w:b/>
          <w:bCs/>
        </w:rPr>
        <w:t xml:space="preserve">20 and </w:t>
      </w:r>
      <w:r w:rsidR="00F74381" w:rsidRPr="007B5BE6">
        <w:rPr>
          <w:b/>
          <w:bCs/>
        </w:rPr>
        <w:t>21</w:t>
      </w:r>
      <w:r w:rsidR="00660631" w:rsidRPr="007B5BE6">
        <w:t>).</w:t>
      </w:r>
      <w:r w:rsidR="004856B3" w:rsidRPr="007B5BE6">
        <w:t xml:space="preserve"> </w:t>
      </w:r>
      <w:r w:rsidRPr="007B5BE6">
        <w:t xml:space="preserve">In addition, the TLRI’s view is that consideration should be given to providing access to an intermediary for older people with communication needs to assist </w:t>
      </w:r>
      <w:r w:rsidR="00856269" w:rsidRPr="007B5BE6">
        <w:t xml:space="preserve">with </w:t>
      </w:r>
      <w:r w:rsidRPr="007B5BE6">
        <w:t xml:space="preserve">communication before and during </w:t>
      </w:r>
      <w:r w:rsidR="00856269" w:rsidRPr="007B5BE6">
        <w:t>processes in other</w:t>
      </w:r>
      <w:r w:rsidRPr="007B5BE6">
        <w:t xml:space="preserve"> legal forums, such as in relation to TASCAT hearings.</w:t>
      </w:r>
    </w:p>
    <w:p w14:paraId="32251D3D" w14:textId="2E1BB44C" w:rsidR="00102AD7" w:rsidRPr="007B5BE6" w:rsidRDefault="00102AD7" w:rsidP="005F7BEF">
      <w:pPr>
        <w:pStyle w:val="NormalNumberedTextTLRI"/>
        <w:numPr>
          <w:ilvl w:val="0"/>
          <w:numId w:val="0"/>
        </w:numPr>
        <w:rPr>
          <w:b/>
          <w:bCs/>
        </w:rPr>
      </w:pPr>
      <w:r w:rsidRPr="007B5BE6">
        <w:rPr>
          <w:noProof/>
        </w:rPr>
        <mc:AlternateContent>
          <mc:Choice Requires="wps">
            <w:drawing>
              <wp:inline distT="0" distB="0" distL="0" distR="0" wp14:anchorId="77E08B31" wp14:editId="51E68B0C">
                <wp:extent cx="5727065" cy="1250899"/>
                <wp:effectExtent l="0" t="0" r="6985" b="6985"/>
                <wp:docPr id="936602539"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50899"/>
                        </a:xfrm>
                        <a:prstGeom prst="rect">
                          <a:avLst/>
                        </a:prstGeom>
                        <a:solidFill>
                          <a:srgbClr val="E8E8E8"/>
                        </a:solidFill>
                      </wps:spPr>
                      <wps:txbx>
                        <w:txbxContent>
                          <w:p w14:paraId="18635123" w14:textId="77777777" w:rsidR="00102AD7" w:rsidRPr="006F2DE6" w:rsidRDefault="00102AD7" w:rsidP="00102AD7">
                            <w:pPr>
                              <w:pStyle w:val="RecommendationBoxHeading"/>
                            </w:pPr>
                            <w:r w:rsidRPr="006F2DE6">
                              <w:t>Recommendation 31</w:t>
                            </w:r>
                          </w:p>
                          <w:p w14:paraId="352C72E6" w14:textId="77777777" w:rsidR="00102AD7" w:rsidRPr="006F2DE6" w:rsidRDefault="00102AD7" w:rsidP="00102AD7">
                            <w:pPr>
                              <w:pStyle w:val="RecommendationBoxText"/>
                            </w:pPr>
                            <w:r w:rsidRPr="006F2DE6">
                              <w:t>Consideration should be given to providing access to an intermediary for older people with communication needs to assist with communication before and during proceedings in other legal forums, such as in relation to civil protection order hearings and Tasmanian Civil and Administrative Tribunal (</w:t>
                            </w:r>
                            <w:r>
                              <w:t>‘</w:t>
                            </w:r>
                            <w:r w:rsidRPr="006F2DE6">
                              <w:t>TASCAT</w:t>
                            </w:r>
                            <w:r>
                              <w:t>’</w:t>
                            </w:r>
                            <w:r w:rsidRPr="006F2DE6">
                              <w:t>) hearings.</w:t>
                            </w:r>
                          </w:p>
                          <w:p w14:paraId="4C65D338" w14:textId="77777777" w:rsidR="00102AD7" w:rsidRPr="00DD2FF6" w:rsidRDefault="00102AD7" w:rsidP="00102AD7">
                            <w:pPr>
                              <w:pStyle w:val="RecommendationBoxText"/>
                              <w:ind w:left="0"/>
                            </w:pPr>
                          </w:p>
                          <w:p w14:paraId="7964D897" w14:textId="77777777" w:rsidR="00102AD7" w:rsidRPr="00F77824" w:rsidRDefault="00102AD7" w:rsidP="00102AD7">
                            <w:pPr>
                              <w:pStyle w:val="RecommendationBoxText"/>
                              <w:ind w:left="0"/>
                              <w:rPr>
                                <w:rFonts w:eastAsia="Times"/>
                              </w:rPr>
                            </w:pPr>
                          </w:p>
                        </w:txbxContent>
                      </wps:txbx>
                      <wps:bodyPr wrap="square" lIns="0" tIns="0" rIns="0" bIns="0" rtlCol="0">
                        <a:noAutofit/>
                      </wps:bodyPr>
                    </wps:wsp>
                  </a:graphicData>
                </a:graphic>
              </wp:inline>
            </w:drawing>
          </mc:Choice>
          <mc:Fallback>
            <w:pict>
              <v:shape w14:anchorId="77E08B31" id="_x0000_s1057" type="#_x0000_t202" style="width:450.95pt;height: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" fillcolor="#e8e8e8" stroked="f">
                <v:textbox inset="0,0,0,0">
                  <w:txbxContent>
                    <w:p w14:paraId="18635123" w14:textId="77777777" w:rsidR="00102AD7" w:rsidRPr="006F2DE6" w:rsidRDefault="00102AD7" w:rsidP="00102AD7">
                      <w:pPr>
                        <w:pStyle w:val="RecommendationBoxHeading"/>
                      </w:pPr>
                      <w:r w:rsidRPr="006F2DE6">
                        <w:t>Recommendation 31</w:t>
                      </w:r>
                    </w:p>
                    <w:p w14:paraId="352C72E6" w14:textId="77777777" w:rsidR="00102AD7" w:rsidRPr="006F2DE6" w:rsidRDefault="00102AD7" w:rsidP="00102AD7">
                      <w:pPr>
                        <w:pStyle w:val="RecommendationBoxText"/>
                      </w:pPr>
                      <w:r w:rsidRPr="006F2DE6">
                        <w:t>Consideration should be given to providing access to an intermediary for older people with communication needs to assist with communication before and during proceedings in other legal forums, such as in relation to civil protection order hearings and Tasmanian Civil and Administrative Tribunal (</w:t>
                      </w:r>
                      <w:r>
                        <w:t>‘</w:t>
                      </w:r>
                      <w:r w:rsidRPr="006F2DE6">
                        <w:t>TASCAT</w:t>
                      </w:r>
                      <w:r>
                        <w:t>’</w:t>
                      </w:r>
                      <w:r w:rsidRPr="006F2DE6">
                        <w:t>) hearings.</w:t>
                      </w:r>
                    </w:p>
                    <w:p w14:paraId="4C65D338" w14:textId="77777777" w:rsidR="00102AD7" w:rsidRPr="00DD2FF6" w:rsidRDefault="00102AD7" w:rsidP="00102AD7">
                      <w:pPr>
                        <w:pStyle w:val="RecommendationBoxText"/>
                        <w:ind w:left="0"/>
                      </w:pPr>
                    </w:p>
                    <w:p w14:paraId="7964D897" w14:textId="77777777" w:rsidR="00102AD7" w:rsidRPr="00F77824" w:rsidRDefault="00102AD7" w:rsidP="00102AD7">
                      <w:pPr>
                        <w:pStyle w:val="RecommendationBoxText"/>
                        <w:ind w:left="0"/>
                        <w:rPr>
                          <w:rFonts w:eastAsia="Times"/>
                        </w:rPr>
                      </w:pPr>
                    </w:p>
                  </w:txbxContent>
                </v:textbox>
                <w10:anchorlock/>
              </v:shape>
            </w:pict>
          </mc:Fallback>
        </mc:AlternateContent>
      </w:r>
    </w:p>
    <w:p w14:paraId="1F30D254" w14:textId="77777777" w:rsidR="00102AD7" w:rsidRPr="007B5BE6" w:rsidRDefault="00102AD7" w:rsidP="005F7BEF">
      <w:pPr>
        <w:pStyle w:val="NormalNumberedTextTLRI"/>
        <w:numPr>
          <w:ilvl w:val="0"/>
          <w:numId w:val="0"/>
        </w:numPr>
        <w:rPr>
          <w:b/>
          <w:bCs/>
        </w:rPr>
      </w:pPr>
    </w:p>
    <w:p w14:paraId="720C56DF" w14:textId="77777777" w:rsidR="00F450FE" w:rsidRPr="007B5BE6" w:rsidRDefault="00F450FE" w:rsidP="00CD4107">
      <w:pPr>
        <w:pStyle w:val="Headingunnumbered"/>
        <w:sectPr w:rsidR="00F450FE" w:rsidRPr="007B5BE6" w:rsidSect="003B4ABF">
          <w:headerReference w:type="default" r:id="rId33"/>
          <w:pgSz w:w="11906" w:h="16838"/>
          <w:pgMar w:top="1440" w:right="1440" w:bottom="1440" w:left="1440" w:header="708" w:footer="708" w:gutter="0"/>
          <w:cols w:space="708"/>
          <w:docGrid w:linePitch="360"/>
        </w:sectPr>
      </w:pPr>
    </w:p>
    <w:p w14:paraId="407A47FE" w14:textId="1089095D" w:rsidR="00604652" w:rsidRPr="007B5BE6" w:rsidRDefault="001C09C6" w:rsidP="006736F3">
      <w:pPr>
        <w:pStyle w:val="Headingunnumbered"/>
        <w:spacing w:before="360"/>
      </w:pPr>
      <w:bookmarkStart w:id="642" w:name="_Toc212561844"/>
      <w:r w:rsidRPr="007B5BE6">
        <w:lastRenderedPageBreak/>
        <w:t>Appendix A</w:t>
      </w:r>
      <w:r w:rsidR="00E008A7" w:rsidRPr="007B5BE6">
        <w:t xml:space="preserve">: </w:t>
      </w:r>
      <w:r w:rsidR="00604652" w:rsidRPr="007B5BE6">
        <w:t>Method</w:t>
      </w:r>
      <w:bookmarkEnd w:id="642"/>
    </w:p>
    <w:p w14:paraId="2334D220" w14:textId="5A55952C" w:rsidR="009A0E6E" w:rsidRPr="007B5BE6" w:rsidRDefault="007538CA" w:rsidP="006736F3">
      <w:pPr>
        <w:pStyle w:val="Sub-HeadingTLRI"/>
        <w:spacing w:before="360"/>
      </w:pPr>
      <w:bookmarkStart w:id="643" w:name="_Toc212561845"/>
      <w:r w:rsidRPr="007B5BE6">
        <w:t>Ethics approval and quantitative and qualitative data components</w:t>
      </w:r>
      <w:bookmarkEnd w:id="643"/>
    </w:p>
    <w:p w14:paraId="172AC5DF" w14:textId="12C53CC0" w:rsidR="00604652" w:rsidRPr="007B5BE6" w:rsidRDefault="00604652" w:rsidP="00F450FE">
      <w:pPr>
        <w:pStyle w:val="NormalNumberedTextTLRI"/>
        <w:numPr>
          <w:ilvl w:val="0"/>
          <w:numId w:val="0"/>
        </w:numPr>
      </w:pPr>
      <w:r w:rsidRPr="007B5BE6">
        <w:t>The method devised for conducting the study comprised quantitative and qualitative data components and was approved by the University of Tasmania’s Social Sciences Human Research Ethics Committee.</w:t>
      </w:r>
      <w:r w:rsidR="00354E7B" w:rsidRPr="007B5BE6">
        <w:rPr>
          <w:rStyle w:val="FootnoteReference"/>
        </w:rPr>
        <w:footnoteReference w:id="890"/>
      </w:r>
      <w:r w:rsidRPr="007B5BE6">
        <w:t xml:space="preserve"> </w:t>
      </w:r>
    </w:p>
    <w:p w14:paraId="5EF5C092" w14:textId="124CFF8A" w:rsidR="00604652" w:rsidRPr="007B5BE6" w:rsidRDefault="00604652" w:rsidP="00F450FE">
      <w:pPr>
        <w:pStyle w:val="NormalNumberedTextTLRI"/>
        <w:numPr>
          <w:ilvl w:val="0"/>
          <w:numId w:val="0"/>
        </w:numPr>
      </w:pPr>
      <w:r w:rsidRPr="007B5BE6">
        <w:t>The quantitative data component</w:t>
      </w:r>
      <w:r w:rsidR="00354E7B" w:rsidRPr="007B5BE6">
        <w:rPr>
          <w:rStyle w:val="FootnoteReference"/>
        </w:rPr>
        <w:footnoteReference w:id="891"/>
      </w:r>
      <w:r w:rsidRPr="007B5BE6">
        <w:t xml:space="preserve"> comprised:</w:t>
      </w:r>
    </w:p>
    <w:p w14:paraId="14E98299" w14:textId="1B667378" w:rsidR="00604652" w:rsidRPr="007B5BE6" w:rsidRDefault="00604652" w:rsidP="00A863BC">
      <w:pPr>
        <w:pStyle w:val="DotPointTLRI"/>
      </w:pPr>
      <w:r w:rsidRPr="007B5BE6">
        <w:t xml:space="preserve">de-identified data from the Department of Premier and Cabinet </w:t>
      </w:r>
      <w:r w:rsidR="008C769D" w:rsidRPr="007B5BE6">
        <w:t xml:space="preserve">(‘DPAC’) </w:t>
      </w:r>
      <w:r w:rsidRPr="007B5BE6">
        <w:t>on Tasmanian Elder Abuse Helpline</w:t>
      </w:r>
      <w:r w:rsidR="008A5521" w:rsidRPr="007B5BE6">
        <w:t xml:space="preserve"> (‘the Helpline’)</w:t>
      </w:r>
      <w:r w:rsidR="00354E7B" w:rsidRPr="007B5BE6">
        <w:rPr>
          <w:rStyle w:val="FootnoteReference"/>
        </w:rPr>
        <w:footnoteReference w:id="892"/>
      </w:r>
      <w:r w:rsidRPr="007B5BE6">
        <w:t xml:space="preserve"> (operated by Advocacy Tasmania) from 1 July 2022 </w:t>
      </w:r>
      <w:r w:rsidR="008A5521" w:rsidRPr="007B5BE6">
        <w:t xml:space="preserve">to </w:t>
      </w:r>
      <w:r w:rsidRPr="007B5BE6">
        <w:t>30 June 2023;</w:t>
      </w:r>
      <w:r w:rsidR="00152960" w:rsidRPr="007B5BE6">
        <w:rPr>
          <w:rStyle w:val="FootnoteReference"/>
        </w:rPr>
        <w:footnoteReference w:id="893"/>
      </w:r>
    </w:p>
    <w:p w14:paraId="5D43EE17" w14:textId="4CB4F455" w:rsidR="00604652" w:rsidRPr="007B5BE6" w:rsidRDefault="00604652" w:rsidP="00A863BC">
      <w:pPr>
        <w:pStyle w:val="DotPointTLRI"/>
      </w:pPr>
      <w:r w:rsidRPr="007B5BE6">
        <w:t>de-identified data from the Commonwealth Attorney-General’s Department (</w:t>
      </w:r>
      <w:r w:rsidR="008A5521" w:rsidRPr="007B5BE6">
        <w:t>‘</w:t>
      </w:r>
      <w:r w:rsidRPr="007B5BE6">
        <w:t>AGD</w:t>
      </w:r>
      <w:r w:rsidR="008A5521" w:rsidRPr="007B5BE6">
        <w:t>’</w:t>
      </w:r>
      <w:r w:rsidRPr="007B5BE6">
        <w:t xml:space="preserve">) on the Senior Assist program </w:t>
      </w:r>
      <w:r w:rsidR="008A5521" w:rsidRPr="007B5BE6">
        <w:t xml:space="preserve">(‘Senior Assist’) </w:t>
      </w:r>
      <w:r w:rsidRPr="007B5BE6">
        <w:t>(operated by Tasmania Legal Aid)</w:t>
      </w:r>
      <w:r w:rsidR="00354E7B" w:rsidRPr="007B5BE6">
        <w:rPr>
          <w:rStyle w:val="FootnoteReference"/>
        </w:rPr>
        <w:footnoteReference w:id="894"/>
      </w:r>
      <w:r w:rsidRPr="007B5BE6">
        <w:t xml:space="preserve"> from 1 July </w:t>
      </w:r>
      <w:r w:rsidR="00CB7527" w:rsidRPr="007B5BE6">
        <w:t xml:space="preserve">2023 </w:t>
      </w:r>
      <w:r w:rsidR="008A5521" w:rsidRPr="007B5BE6">
        <w:t>to</w:t>
      </w:r>
      <w:r w:rsidRPr="007B5BE6">
        <w:t xml:space="preserve"> 31 December 2023;</w:t>
      </w:r>
      <w:r w:rsidR="00354E7B" w:rsidRPr="007B5BE6">
        <w:rPr>
          <w:rStyle w:val="FootnoteReference"/>
        </w:rPr>
        <w:footnoteReference w:id="895"/>
      </w:r>
      <w:r w:rsidRPr="007B5BE6">
        <w:t xml:space="preserve"> and </w:t>
      </w:r>
    </w:p>
    <w:p w14:paraId="1211BF47" w14:textId="590AE362" w:rsidR="00604652" w:rsidRPr="007B5BE6" w:rsidRDefault="00604652" w:rsidP="00A863BC">
      <w:pPr>
        <w:pStyle w:val="DotPointTLRI"/>
      </w:pPr>
      <w:r w:rsidRPr="007B5BE6">
        <w:t>publicly available quantitative data collected from a range of sources.</w:t>
      </w:r>
      <w:r w:rsidR="00354E7B" w:rsidRPr="007B5BE6">
        <w:rPr>
          <w:rStyle w:val="FootnoteReference"/>
        </w:rPr>
        <w:footnoteReference w:id="896"/>
      </w:r>
      <w:r w:rsidRPr="007B5BE6">
        <w:t xml:space="preserve">  </w:t>
      </w:r>
    </w:p>
    <w:p w14:paraId="4DE3AEE1" w14:textId="77FAC072" w:rsidR="00604652" w:rsidRPr="007B5BE6" w:rsidRDefault="00604652" w:rsidP="00F450FE">
      <w:pPr>
        <w:pStyle w:val="NormalNumberedTextTLRI"/>
        <w:numPr>
          <w:ilvl w:val="0"/>
          <w:numId w:val="0"/>
        </w:numPr>
      </w:pPr>
      <w:r w:rsidRPr="007B5BE6">
        <w:lastRenderedPageBreak/>
        <w:t>The qualitative research component</w:t>
      </w:r>
      <w:r w:rsidR="00354E7B" w:rsidRPr="007B5BE6">
        <w:rPr>
          <w:rStyle w:val="FootnoteReference"/>
        </w:rPr>
        <w:footnoteReference w:id="897"/>
      </w:r>
      <w:r w:rsidRPr="007B5BE6">
        <w:t xml:space="preserve"> comprised 22 interviews with 34 representatives of key Tasmanian agencies and experts with knowledge and expertise in this area</w:t>
      </w:r>
      <w:r w:rsidR="00C36E2C" w:rsidRPr="007B5BE6">
        <w:t>, and</w:t>
      </w:r>
      <w:r w:rsidR="00D969A1" w:rsidRPr="007B5BE6">
        <w:t xml:space="preserve"> </w:t>
      </w:r>
      <w:r w:rsidR="006259EA" w:rsidRPr="007B5BE6">
        <w:t>one agency provided a written response in</w:t>
      </w:r>
      <w:r w:rsidR="00C36E2C" w:rsidRPr="007B5BE6">
        <w:t xml:space="preserve">stead </w:t>
      </w:r>
      <w:r w:rsidR="006259EA" w:rsidRPr="007B5BE6">
        <w:t>of an interview</w:t>
      </w:r>
      <w:r w:rsidR="00C36E2C" w:rsidRPr="007B5BE6">
        <w:t xml:space="preserve">. One </w:t>
      </w:r>
      <w:r w:rsidR="006259EA" w:rsidRPr="007B5BE6">
        <w:t xml:space="preserve">agency met with the TLRI for an informal discussion. </w:t>
      </w:r>
      <w:r w:rsidR="00A1207C" w:rsidRPr="007B5BE6">
        <w:t>See below for details about the recruitment of participants and conduct of interviews.</w:t>
      </w:r>
      <w:r w:rsidRPr="007B5BE6">
        <w:t xml:space="preserve"> </w:t>
      </w:r>
    </w:p>
    <w:p w14:paraId="58D7C7F0" w14:textId="4CA68166" w:rsidR="00CD4107" w:rsidRPr="007B5BE6" w:rsidRDefault="00CD4107" w:rsidP="006736F3">
      <w:pPr>
        <w:pStyle w:val="Sub-HeadingTLRI"/>
        <w:spacing w:before="360"/>
      </w:pPr>
      <w:bookmarkStart w:id="644" w:name="_Toc212561846"/>
      <w:r w:rsidRPr="007B5BE6">
        <w:t xml:space="preserve">Semi-structured interviews with </w:t>
      </w:r>
      <w:r w:rsidR="009A0E6E" w:rsidRPr="007B5BE6">
        <w:t xml:space="preserve">stakeholder </w:t>
      </w:r>
      <w:r w:rsidRPr="007B5BE6">
        <w:t>participants</w:t>
      </w:r>
      <w:bookmarkEnd w:id="644"/>
    </w:p>
    <w:p w14:paraId="691E1A4E" w14:textId="77777777" w:rsidR="00CD4107" w:rsidRPr="007B5BE6" w:rsidRDefault="00CD4107" w:rsidP="00CD4107">
      <w:pPr>
        <w:rPr>
          <w:b/>
          <w:bCs/>
        </w:rPr>
      </w:pPr>
      <w:r w:rsidRPr="007B5BE6">
        <w:rPr>
          <w:b/>
          <w:bCs/>
        </w:rPr>
        <w:t>Recruitment and conduct for interviews</w:t>
      </w:r>
    </w:p>
    <w:p w14:paraId="42E40431" w14:textId="23FB24B4" w:rsidR="00CD4107" w:rsidRPr="007B5BE6" w:rsidRDefault="00CD4107" w:rsidP="00CD4107">
      <w:r w:rsidRPr="007B5BE6">
        <w:t>Identification of relevant agencies and experts was informed by the TLRI’s discussions with external and internal stakeholders in the preliminary stages of the project. The TLRI approached 30 such agencies or experts as prospective interview participants.</w:t>
      </w:r>
      <w:r w:rsidR="00354E7B" w:rsidRPr="007B5BE6">
        <w:rPr>
          <w:rStyle w:val="FootnoteReference"/>
        </w:rPr>
        <w:footnoteReference w:id="898"/>
      </w:r>
    </w:p>
    <w:p w14:paraId="4081AE2F" w14:textId="03DB80AB" w:rsidR="00CD4107" w:rsidRPr="007B5BE6" w:rsidRDefault="00CD4107" w:rsidP="00CD4107">
      <w:r w:rsidRPr="007B5BE6">
        <w:t>The TLRI conducted a total of 2</w:t>
      </w:r>
      <w:r w:rsidR="00F52B2D" w:rsidRPr="007B5BE6">
        <w:t>2</w:t>
      </w:r>
      <w:r w:rsidRPr="007B5BE6">
        <w:t xml:space="preserve"> interviews with agency representatives and experts, which included group and individual interviews (one individual’s interview was split over two interview sessions). Across the 2</w:t>
      </w:r>
      <w:r w:rsidR="00F52B2D" w:rsidRPr="007B5BE6">
        <w:t>2</w:t>
      </w:r>
      <w:r w:rsidRPr="007B5BE6">
        <w:t xml:space="preserve"> interviews, 3</w:t>
      </w:r>
      <w:r w:rsidR="00F52B2D" w:rsidRPr="007B5BE6">
        <w:t>4</w:t>
      </w:r>
      <w:r w:rsidRPr="007B5BE6">
        <w:t xml:space="preserve"> individuals participated. In addition, one agency provided a written response in lieu of an interview, and one agency met with the TLRI for an informal discussion. Participants across the total 2</w:t>
      </w:r>
      <w:r w:rsidR="006259EA" w:rsidRPr="007B5BE6">
        <w:t>4</w:t>
      </w:r>
      <w:r w:rsidRPr="007B5BE6">
        <w:t xml:space="preserve"> activities within the qualitative research component included representatives from government departments, service providers (including legal, social and support services), peak bodies, academic/research institutions, advocacy organisations, and statutory entities.  </w:t>
      </w:r>
    </w:p>
    <w:p w14:paraId="4A040782" w14:textId="77777777" w:rsidR="00CD4107" w:rsidRPr="007B5BE6" w:rsidRDefault="00CD4107" w:rsidP="00CD4107">
      <w:r w:rsidRPr="007B5BE6">
        <w:t>Ahead of time, nominated interview participants were provided with some introductory information regarding the study, including the interview questions. Interviews were recorded in either note form or via transcription, which were subsequently verified by participants as an accurate record of the interview. Participants were required to provide signed consent regarding their participation, including whether they consent to be quoted verbatim and/or paraphrased in publication of the research results. All interview participants were deidentified, save for generic labels regarding their role.</w:t>
      </w:r>
    </w:p>
    <w:p w14:paraId="17A0D62E" w14:textId="2F72A574" w:rsidR="00CD4107" w:rsidRPr="007B5BE6" w:rsidRDefault="00CD4107" w:rsidP="00CD4107">
      <w:pPr>
        <w:rPr>
          <w:b/>
          <w:bCs/>
        </w:rPr>
      </w:pPr>
      <w:r w:rsidRPr="007B5BE6">
        <w:rPr>
          <w:b/>
          <w:bCs/>
        </w:rPr>
        <w:t xml:space="preserve">Questions and prompts for interviews </w:t>
      </w:r>
    </w:p>
    <w:p w14:paraId="5EC09B4D" w14:textId="6A3671D1" w:rsidR="006D4A21" w:rsidRPr="007B5BE6" w:rsidRDefault="00AB201B" w:rsidP="00D25A62">
      <w:pPr>
        <w:pStyle w:val="DotPointTLRI"/>
      </w:pPr>
      <w:r w:rsidRPr="007B5BE6">
        <w:t>What are the major gaps in the legal landscape from your point of view?</w:t>
      </w:r>
    </w:p>
    <w:p w14:paraId="1BF31340" w14:textId="77777777" w:rsidR="006D4A21" w:rsidRPr="007B5BE6" w:rsidRDefault="00AB201B" w:rsidP="00D25A62">
      <w:pPr>
        <w:pStyle w:val="DotPointTLRI"/>
      </w:pPr>
      <w:r w:rsidRPr="007B5BE6">
        <w:t>Having regard to those identified by the TLRI, are there any gaps that are missing?</w:t>
      </w:r>
    </w:p>
    <w:p w14:paraId="561B2FB3" w14:textId="77777777" w:rsidR="006D4A21" w:rsidRPr="007B5BE6" w:rsidRDefault="00AB201B" w:rsidP="00D25A62">
      <w:pPr>
        <w:pStyle w:val="DotPointTLRI"/>
      </w:pPr>
      <w:r w:rsidRPr="007B5BE6">
        <w:t>Are there are gaps in other service systems that are also relevant to identify and consider</w:t>
      </w:r>
      <w:r w:rsidR="006D4A21" w:rsidRPr="007B5BE6">
        <w:t>?</w:t>
      </w:r>
    </w:p>
    <w:p w14:paraId="69826660" w14:textId="77777777" w:rsidR="006D4A21" w:rsidRPr="007B5BE6" w:rsidRDefault="00AB201B" w:rsidP="00D25A62">
      <w:pPr>
        <w:pStyle w:val="DotPointTLRI"/>
      </w:pPr>
      <w:r w:rsidRPr="007B5BE6">
        <w:t xml:space="preserve">Given your experience in working with older Tasmanians who have or are at risk of experiencing abuse, how do the identified gaps operate in practice to limit the ability of the law to safeguard against abuse? </w:t>
      </w:r>
    </w:p>
    <w:p w14:paraId="7FD025AD" w14:textId="77777777" w:rsidR="006D4A21" w:rsidRPr="007B5BE6" w:rsidRDefault="00AB201B" w:rsidP="00D25A62">
      <w:pPr>
        <w:pStyle w:val="DotPointTLRI"/>
      </w:pPr>
      <w:r w:rsidRPr="007B5BE6">
        <w:t>Are there ways in which these gaps operate at key stages relevant to the operation of the law (for example detection, help-seeking by older Tasmanians and complaints by third parties, investigation, adjudication and response)?</w:t>
      </w:r>
    </w:p>
    <w:p w14:paraId="1381C168" w14:textId="77777777" w:rsidR="006D4A21" w:rsidRPr="007B5BE6" w:rsidRDefault="00AB201B" w:rsidP="00D25A62">
      <w:pPr>
        <w:pStyle w:val="DotPointTLRI"/>
      </w:pPr>
      <w:r w:rsidRPr="007B5BE6">
        <w:t xml:space="preserve">What approaches under the current legal landscape work well in practice for addressing and responding to abuse? </w:t>
      </w:r>
    </w:p>
    <w:p w14:paraId="259B5FDE" w14:textId="77777777" w:rsidR="006D4A21" w:rsidRPr="007B5BE6" w:rsidRDefault="00AB201B" w:rsidP="00D25A62">
      <w:pPr>
        <w:pStyle w:val="DotPointTLRI"/>
      </w:pPr>
      <w:r w:rsidRPr="007B5BE6">
        <w:t>Having regard to the key drivers of reform in other jurisdictions identified in the environmental scan, are there any that are missing?</w:t>
      </w:r>
    </w:p>
    <w:p w14:paraId="02EABE22" w14:textId="77777777" w:rsidR="006D4A21" w:rsidRPr="007B5BE6" w:rsidRDefault="00AB201B" w:rsidP="00D25A62">
      <w:pPr>
        <w:pStyle w:val="DotPointTLRI"/>
      </w:pPr>
      <w:r w:rsidRPr="007B5BE6">
        <w:lastRenderedPageBreak/>
        <w:t>What are the differences between the Tasmania and other jurisdictions that are necessary to have regard to in this environmental scan?</w:t>
      </w:r>
    </w:p>
    <w:p w14:paraId="0715DE3A" w14:textId="77777777" w:rsidR="00864B5E" w:rsidRPr="007B5BE6" w:rsidRDefault="00AB201B" w:rsidP="00D25A62">
      <w:pPr>
        <w:pStyle w:val="DotPointTLRI"/>
      </w:pPr>
      <w:r w:rsidRPr="007B5BE6">
        <w:t>What aspects identified in the environmental scan are or are not in existence in Tasmania?</w:t>
      </w:r>
    </w:p>
    <w:p w14:paraId="3A907EA7" w14:textId="76160D47" w:rsidR="006D4A21" w:rsidRPr="007B5BE6" w:rsidRDefault="00AB201B" w:rsidP="00D25A62">
      <w:pPr>
        <w:pStyle w:val="DotPointTLRI"/>
      </w:pPr>
      <w:r w:rsidRPr="007B5BE6">
        <w:t xml:space="preserve"> Are there any that aspects that would be appropriate or effective to consider in Tasmania to progress reforms to fill the identified gaps? </w:t>
      </w:r>
    </w:p>
    <w:p w14:paraId="53415208" w14:textId="77777777" w:rsidR="006D4A21" w:rsidRPr="007B5BE6" w:rsidRDefault="00AB201B" w:rsidP="00D25A62">
      <w:pPr>
        <w:pStyle w:val="DotPointTLRI"/>
      </w:pPr>
      <w:r w:rsidRPr="007B5BE6">
        <w:t>Having regard to current understandings of the prevalence of abuse, what are the risk factors specific to Tasmania associated with the occurrence and help-seeking (or reporting) of abuse?</w:t>
      </w:r>
    </w:p>
    <w:p w14:paraId="5F0B6FCE" w14:textId="36CC3606" w:rsidR="001C09C6" w:rsidRPr="007B5BE6" w:rsidRDefault="00AB201B" w:rsidP="00D25A62">
      <w:pPr>
        <w:pStyle w:val="DotPointTLRI"/>
      </w:pPr>
      <w:r w:rsidRPr="007B5BE6">
        <w:t>Can you provide any de-identified examples to illustrate how these risk factors operate in practice?</w:t>
      </w:r>
    </w:p>
    <w:p w14:paraId="0C03F6B8" w14:textId="02854896" w:rsidR="00625E09" w:rsidRPr="007B5BE6" w:rsidRDefault="00625E09" w:rsidP="00D55E3C">
      <w:pPr>
        <w:spacing w:before="240" w:after="240"/>
        <w:rPr>
          <w:b/>
          <w:bCs/>
        </w:rPr>
      </w:pPr>
      <w:r w:rsidRPr="007B5BE6">
        <w:rPr>
          <w:b/>
          <w:bCs/>
        </w:rPr>
        <w:t xml:space="preserve">Table </w:t>
      </w:r>
      <w:r w:rsidR="00C766B0" w:rsidRPr="007B5BE6">
        <w:rPr>
          <w:b/>
          <w:bCs/>
        </w:rPr>
        <w:t>A.1:</w:t>
      </w:r>
      <w:r w:rsidRPr="007B5BE6">
        <w:rPr>
          <w:b/>
          <w:bCs/>
        </w:rPr>
        <w:t xml:space="preserve"> </w:t>
      </w:r>
      <w:r w:rsidR="00556572" w:rsidRPr="007B5BE6">
        <w:rPr>
          <w:b/>
          <w:bCs/>
        </w:rPr>
        <w:t xml:space="preserve">Information for question </w:t>
      </w:r>
      <w:r w:rsidR="002B5FFE" w:rsidRPr="007B5BE6">
        <w:rPr>
          <w:b/>
          <w:bCs/>
        </w:rPr>
        <w:t xml:space="preserve">11: </w:t>
      </w:r>
      <w:r w:rsidRPr="007B5BE6">
        <w:rPr>
          <w:b/>
          <w:bCs/>
        </w:rPr>
        <w:t>(Some) risk</w:t>
      </w:r>
      <w:r w:rsidR="00312785" w:rsidRPr="007B5BE6">
        <w:rPr>
          <w:b/>
          <w:bCs/>
        </w:rPr>
        <w:t xml:space="preserve"> factors </w:t>
      </w:r>
      <w:r w:rsidR="004631DD" w:rsidRPr="007B5BE6">
        <w:rPr>
          <w:b/>
          <w:bCs/>
        </w:rPr>
        <w:t xml:space="preserve">regarding </w:t>
      </w:r>
      <w:r w:rsidRPr="007B5BE6">
        <w:rPr>
          <w:b/>
          <w:bCs/>
        </w:rPr>
        <w:t>current understandings of the prevalence of abuse</w:t>
      </w:r>
      <w:r w:rsidR="00354E7B" w:rsidRPr="007B5BE6">
        <w:rPr>
          <w:rStyle w:val="FootnoteReference"/>
          <w:b/>
          <w:bCs/>
        </w:rPr>
        <w:footnoteReference w:id="899"/>
      </w:r>
      <w:r w:rsidRPr="007B5BE6">
        <w:rPr>
          <w:b/>
          <w:bCs/>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513"/>
        <w:gridCol w:w="4513"/>
      </w:tblGrid>
      <w:tr w:rsidR="00694C18" w:rsidRPr="007B5BE6" w14:paraId="2E4E0768" w14:textId="77777777" w:rsidTr="0087458D">
        <w:tc>
          <w:tcPr>
            <w:tcW w:w="2500" w:type="pct"/>
            <w:tcBorders>
              <w:top w:val="single" w:sz="8" w:space="0" w:color="auto"/>
              <w:bottom w:val="single" w:sz="8" w:space="0" w:color="auto"/>
            </w:tcBorders>
          </w:tcPr>
          <w:p w14:paraId="23CC2AD8" w14:textId="741A2DD0" w:rsidR="00694C18" w:rsidRPr="007B5BE6" w:rsidRDefault="00530980" w:rsidP="0087458D">
            <w:pPr>
              <w:jc w:val="left"/>
              <w:rPr>
                <w:b/>
                <w:bCs/>
                <w:sz w:val="20"/>
                <w:szCs w:val="20"/>
              </w:rPr>
            </w:pPr>
            <w:r w:rsidRPr="007B5BE6">
              <w:rPr>
                <w:b/>
                <w:bCs/>
                <w:sz w:val="20"/>
                <w:szCs w:val="20"/>
              </w:rPr>
              <w:t xml:space="preserve">Occurrence and experiences of abuse </w:t>
            </w:r>
          </w:p>
        </w:tc>
        <w:tc>
          <w:tcPr>
            <w:tcW w:w="2500" w:type="pct"/>
            <w:tcBorders>
              <w:top w:val="single" w:sz="8" w:space="0" w:color="auto"/>
              <w:bottom w:val="single" w:sz="8" w:space="0" w:color="auto"/>
            </w:tcBorders>
          </w:tcPr>
          <w:p w14:paraId="6A94609B" w14:textId="4095276C" w:rsidR="00694C18" w:rsidRPr="007B5BE6" w:rsidRDefault="00530980" w:rsidP="0087458D">
            <w:pPr>
              <w:jc w:val="left"/>
              <w:rPr>
                <w:b/>
                <w:bCs/>
                <w:sz w:val="20"/>
                <w:szCs w:val="20"/>
              </w:rPr>
            </w:pPr>
            <w:r w:rsidRPr="007B5BE6">
              <w:rPr>
                <w:b/>
                <w:bCs/>
                <w:sz w:val="20"/>
                <w:szCs w:val="20"/>
              </w:rPr>
              <w:t xml:space="preserve">Help-seeking and reporting of abuse </w:t>
            </w:r>
          </w:p>
        </w:tc>
      </w:tr>
      <w:tr w:rsidR="00694C18" w:rsidRPr="007B5BE6" w14:paraId="4DF0CBFC" w14:textId="77777777" w:rsidTr="0087458D">
        <w:tc>
          <w:tcPr>
            <w:tcW w:w="2500" w:type="pct"/>
            <w:tcBorders>
              <w:top w:val="single" w:sz="8" w:space="0" w:color="auto"/>
            </w:tcBorders>
          </w:tcPr>
          <w:p w14:paraId="027EE199" w14:textId="54B5FB72" w:rsidR="00694C18" w:rsidRPr="007B5BE6" w:rsidRDefault="00530980" w:rsidP="0087458D">
            <w:pPr>
              <w:jc w:val="left"/>
              <w:rPr>
                <w:sz w:val="20"/>
                <w:szCs w:val="20"/>
              </w:rPr>
            </w:pPr>
            <w:r w:rsidRPr="007B5BE6">
              <w:rPr>
                <w:sz w:val="20"/>
                <w:szCs w:val="20"/>
              </w:rPr>
              <w:t>Increased dependence due to a decline in health (cognitive function, mental health</w:t>
            </w:r>
            <w:r w:rsidR="00611BD5" w:rsidRPr="007B5BE6">
              <w:rPr>
                <w:sz w:val="20"/>
                <w:szCs w:val="20"/>
              </w:rPr>
              <w:t>,</w:t>
            </w:r>
            <w:r w:rsidRPr="007B5BE6">
              <w:rPr>
                <w:sz w:val="20"/>
                <w:szCs w:val="20"/>
              </w:rPr>
              <w:t xml:space="preserve"> or physical health)</w:t>
            </w:r>
          </w:p>
        </w:tc>
        <w:tc>
          <w:tcPr>
            <w:tcW w:w="2500" w:type="pct"/>
            <w:tcBorders>
              <w:top w:val="single" w:sz="8" w:space="0" w:color="auto"/>
            </w:tcBorders>
          </w:tcPr>
          <w:p w14:paraId="58A162A1" w14:textId="450B6A6B" w:rsidR="00694C18" w:rsidRPr="007B5BE6" w:rsidRDefault="00F9413F" w:rsidP="0087458D">
            <w:pPr>
              <w:jc w:val="left"/>
              <w:rPr>
                <w:sz w:val="20"/>
                <w:szCs w:val="20"/>
              </w:rPr>
            </w:pPr>
            <w:r w:rsidRPr="007B5BE6">
              <w:rPr>
                <w:sz w:val="20"/>
                <w:szCs w:val="20"/>
              </w:rPr>
              <w:t>Shame and embarrassment, self-blame, and low self-esteem</w:t>
            </w:r>
          </w:p>
        </w:tc>
      </w:tr>
      <w:tr w:rsidR="00694C18" w:rsidRPr="007B5BE6" w14:paraId="08A07791" w14:textId="77777777" w:rsidTr="0087458D">
        <w:tc>
          <w:tcPr>
            <w:tcW w:w="2500" w:type="pct"/>
          </w:tcPr>
          <w:p w14:paraId="29CE5E8F" w14:textId="6261C17E" w:rsidR="00694C18" w:rsidRPr="007B5BE6" w:rsidRDefault="00530980" w:rsidP="0087458D">
            <w:pPr>
              <w:jc w:val="left"/>
              <w:rPr>
                <w:sz w:val="20"/>
                <w:szCs w:val="20"/>
              </w:rPr>
            </w:pPr>
            <w:r w:rsidRPr="007B5BE6">
              <w:rPr>
                <w:sz w:val="20"/>
                <w:szCs w:val="20"/>
              </w:rPr>
              <w:t xml:space="preserve">Disability </w:t>
            </w:r>
          </w:p>
        </w:tc>
        <w:tc>
          <w:tcPr>
            <w:tcW w:w="2500" w:type="pct"/>
          </w:tcPr>
          <w:p w14:paraId="6D0E6FE2" w14:textId="6F8FC21D" w:rsidR="00694C18" w:rsidRPr="007B5BE6" w:rsidRDefault="00366A41" w:rsidP="0087458D">
            <w:pPr>
              <w:jc w:val="left"/>
              <w:rPr>
                <w:sz w:val="20"/>
                <w:szCs w:val="20"/>
              </w:rPr>
            </w:pPr>
            <w:r w:rsidRPr="007B5BE6">
              <w:rPr>
                <w:sz w:val="20"/>
                <w:szCs w:val="20"/>
              </w:rPr>
              <w:t>Fear of consequences of disclosure for self</w:t>
            </w:r>
          </w:p>
        </w:tc>
      </w:tr>
      <w:tr w:rsidR="00694C18" w:rsidRPr="007B5BE6" w14:paraId="10E8940A" w14:textId="77777777" w:rsidTr="0087458D">
        <w:tc>
          <w:tcPr>
            <w:tcW w:w="2500" w:type="pct"/>
          </w:tcPr>
          <w:p w14:paraId="0F17B5F8" w14:textId="587661A4" w:rsidR="00694C18" w:rsidRPr="007B5BE6" w:rsidRDefault="00530980" w:rsidP="0087458D">
            <w:pPr>
              <w:jc w:val="left"/>
              <w:rPr>
                <w:sz w:val="20"/>
                <w:szCs w:val="20"/>
              </w:rPr>
            </w:pPr>
            <w:r w:rsidRPr="007B5BE6">
              <w:rPr>
                <w:sz w:val="20"/>
                <w:szCs w:val="20"/>
              </w:rPr>
              <w:t xml:space="preserve">Psychological distress, stress, or problems with coping </w:t>
            </w:r>
          </w:p>
        </w:tc>
        <w:tc>
          <w:tcPr>
            <w:tcW w:w="2500" w:type="pct"/>
          </w:tcPr>
          <w:p w14:paraId="1BAC98BA" w14:textId="48C83B8C" w:rsidR="00694C18" w:rsidRPr="007B5BE6" w:rsidRDefault="00366A41" w:rsidP="0087458D">
            <w:pPr>
              <w:jc w:val="left"/>
              <w:rPr>
                <w:sz w:val="20"/>
                <w:szCs w:val="20"/>
              </w:rPr>
            </w:pPr>
            <w:r w:rsidRPr="007B5BE6">
              <w:rPr>
                <w:sz w:val="20"/>
                <w:szCs w:val="20"/>
              </w:rPr>
              <w:t xml:space="preserve">Fear of consequences for disclosure for perpetrator </w:t>
            </w:r>
          </w:p>
        </w:tc>
      </w:tr>
      <w:tr w:rsidR="00694C18" w:rsidRPr="007B5BE6" w14:paraId="5A0C9874" w14:textId="77777777" w:rsidTr="0087458D">
        <w:tc>
          <w:tcPr>
            <w:tcW w:w="2500" w:type="pct"/>
          </w:tcPr>
          <w:p w14:paraId="4583F4A3" w14:textId="024C6655" w:rsidR="00694C18" w:rsidRPr="007B5BE6" w:rsidRDefault="00C04FD9" w:rsidP="0087458D">
            <w:pPr>
              <w:jc w:val="left"/>
              <w:rPr>
                <w:sz w:val="20"/>
                <w:szCs w:val="20"/>
              </w:rPr>
            </w:pPr>
            <w:r w:rsidRPr="007B5BE6">
              <w:rPr>
                <w:sz w:val="20"/>
                <w:szCs w:val="20"/>
              </w:rPr>
              <w:t xml:space="preserve">Absence of social connections—isolation or exclusion from friends or activities </w:t>
            </w:r>
          </w:p>
        </w:tc>
        <w:tc>
          <w:tcPr>
            <w:tcW w:w="2500" w:type="pct"/>
          </w:tcPr>
          <w:p w14:paraId="724CE31C" w14:textId="4171A9AF" w:rsidR="00694C18" w:rsidRPr="007B5BE6" w:rsidRDefault="00611767" w:rsidP="0087458D">
            <w:pPr>
              <w:jc w:val="left"/>
              <w:rPr>
                <w:sz w:val="20"/>
                <w:szCs w:val="20"/>
              </w:rPr>
            </w:pPr>
            <w:r w:rsidRPr="007B5BE6">
              <w:rPr>
                <w:sz w:val="20"/>
                <w:szCs w:val="20"/>
              </w:rPr>
              <w:t xml:space="preserve">Lack of knowledge of services </w:t>
            </w:r>
          </w:p>
        </w:tc>
      </w:tr>
      <w:tr w:rsidR="00694C18" w:rsidRPr="007B5BE6" w14:paraId="23FFCC3E" w14:textId="77777777" w:rsidTr="0087458D">
        <w:tc>
          <w:tcPr>
            <w:tcW w:w="2500" w:type="pct"/>
          </w:tcPr>
          <w:p w14:paraId="30418D62" w14:textId="7DF9D1BB" w:rsidR="00694C18" w:rsidRPr="007B5BE6" w:rsidRDefault="00D67087" w:rsidP="0087458D">
            <w:pPr>
              <w:jc w:val="left"/>
              <w:rPr>
                <w:sz w:val="20"/>
                <w:szCs w:val="20"/>
              </w:rPr>
            </w:pPr>
            <w:r w:rsidRPr="007B5BE6">
              <w:rPr>
                <w:sz w:val="20"/>
                <w:szCs w:val="20"/>
              </w:rPr>
              <w:t>Cultural and linguistic differences</w:t>
            </w:r>
          </w:p>
        </w:tc>
        <w:tc>
          <w:tcPr>
            <w:tcW w:w="2500" w:type="pct"/>
          </w:tcPr>
          <w:p w14:paraId="5DD9AA03" w14:textId="526DD2B7" w:rsidR="00694C18" w:rsidRPr="007B5BE6" w:rsidRDefault="00611767" w:rsidP="0087458D">
            <w:pPr>
              <w:jc w:val="left"/>
              <w:rPr>
                <w:sz w:val="20"/>
                <w:szCs w:val="20"/>
              </w:rPr>
            </w:pPr>
            <w:r w:rsidRPr="007B5BE6">
              <w:rPr>
                <w:sz w:val="20"/>
                <w:szCs w:val="20"/>
              </w:rPr>
              <w:t xml:space="preserve">Fear of authority </w:t>
            </w:r>
          </w:p>
        </w:tc>
      </w:tr>
      <w:tr w:rsidR="00C04FD9" w:rsidRPr="007B5BE6" w14:paraId="2A78D568" w14:textId="77777777" w:rsidTr="0087458D">
        <w:tc>
          <w:tcPr>
            <w:tcW w:w="2500" w:type="pct"/>
          </w:tcPr>
          <w:p w14:paraId="578D4CF7" w14:textId="2A693725" w:rsidR="00C04FD9" w:rsidRPr="007B5BE6" w:rsidRDefault="00D67087" w:rsidP="0087458D">
            <w:pPr>
              <w:jc w:val="left"/>
              <w:rPr>
                <w:sz w:val="20"/>
                <w:szCs w:val="20"/>
              </w:rPr>
            </w:pPr>
            <w:r w:rsidRPr="007B5BE6">
              <w:rPr>
                <w:sz w:val="20"/>
                <w:szCs w:val="20"/>
              </w:rPr>
              <w:t>Financial pressure</w:t>
            </w:r>
          </w:p>
        </w:tc>
        <w:tc>
          <w:tcPr>
            <w:tcW w:w="2500" w:type="pct"/>
          </w:tcPr>
          <w:p w14:paraId="62CE96B7" w14:textId="27639A80" w:rsidR="00C04FD9" w:rsidRPr="007B5BE6" w:rsidRDefault="00611767" w:rsidP="0087458D">
            <w:pPr>
              <w:jc w:val="left"/>
              <w:rPr>
                <w:sz w:val="20"/>
                <w:szCs w:val="20"/>
              </w:rPr>
            </w:pPr>
            <w:r w:rsidRPr="007B5BE6">
              <w:rPr>
                <w:sz w:val="20"/>
                <w:szCs w:val="20"/>
              </w:rPr>
              <w:t>Reluctance to engage with criminal justice processes</w:t>
            </w:r>
          </w:p>
        </w:tc>
      </w:tr>
      <w:tr w:rsidR="00C04FD9" w:rsidRPr="007B5BE6" w14:paraId="518E39C2" w14:textId="77777777" w:rsidTr="0087458D">
        <w:tc>
          <w:tcPr>
            <w:tcW w:w="2500" w:type="pct"/>
          </w:tcPr>
          <w:p w14:paraId="69A51B9B" w14:textId="728E6457" w:rsidR="00C04FD9" w:rsidRPr="007B5BE6" w:rsidRDefault="00D67087" w:rsidP="0087458D">
            <w:pPr>
              <w:jc w:val="left"/>
              <w:rPr>
                <w:sz w:val="20"/>
                <w:szCs w:val="20"/>
              </w:rPr>
            </w:pPr>
            <w:r w:rsidRPr="007B5BE6">
              <w:rPr>
                <w:sz w:val="20"/>
                <w:szCs w:val="20"/>
              </w:rPr>
              <w:t>Low financial literacy</w:t>
            </w:r>
            <w:r w:rsidR="00F9413F" w:rsidRPr="007B5BE6">
              <w:rPr>
                <w:sz w:val="20"/>
                <w:szCs w:val="20"/>
              </w:rPr>
              <w:t xml:space="preserve"> (not being included in key financial decision making</w:t>
            </w:r>
            <w:r w:rsidR="0045496C" w:rsidRPr="007B5BE6">
              <w:rPr>
                <w:sz w:val="20"/>
                <w:szCs w:val="20"/>
              </w:rPr>
              <w:t>)</w:t>
            </w:r>
            <w:r w:rsidR="00F9413F" w:rsidRPr="007B5BE6">
              <w:rPr>
                <w:sz w:val="20"/>
                <w:szCs w:val="20"/>
              </w:rPr>
              <w:t xml:space="preserve"> </w:t>
            </w:r>
          </w:p>
        </w:tc>
        <w:tc>
          <w:tcPr>
            <w:tcW w:w="2500" w:type="pct"/>
          </w:tcPr>
          <w:p w14:paraId="7E20F61A" w14:textId="26BD5363" w:rsidR="00C04FD9" w:rsidRPr="007B5BE6" w:rsidRDefault="00611767" w:rsidP="0087458D">
            <w:pPr>
              <w:jc w:val="left"/>
              <w:rPr>
                <w:sz w:val="20"/>
                <w:szCs w:val="20"/>
              </w:rPr>
            </w:pPr>
            <w:r w:rsidRPr="007B5BE6">
              <w:rPr>
                <w:sz w:val="20"/>
                <w:szCs w:val="20"/>
              </w:rPr>
              <w:t>Extent of social network</w:t>
            </w:r>
          </w:p>
        </w:tc>
      </w:tr>
      <w:tr w:rsidR="00C04FD9" w:rsidRPr="007B5BE6" w14:paraId="09F6CAD0" w14:textId="77777777" w:rsidTr="0087458D">
        <w:tc>
          <w:tcPr>
            <w:tcW w:w="2500" w:type="pct"/>
          </w:tcPr>
          <w:p w14:paraId="1461ED8A" w14:textId="5BAD12E6" w:rsidR="00C04FD9" w:rsidRPr="007B5BE6" w:rsidRDefault="00F9413F" w:rsidP="0087458D">
            <w:pPr>
              <w:jc w:val="left"/>
              <w:rPr>
                <w:sz w:val="20"/>
                <w:szCs w:val="20"/>
              </w:rPr>
            </w:pPr>
            <w:r w:rsidRPr="007B5BE6">
              <w:rPr>
                <w:sz w:val="20"/>
                <w:szCs w:val="20"/>
              </w:rPr>
              <w:t xml:space="preserve">Substance abuse </w:t>
            </w:r>
          </w:p>
        </w:tc>
        <w:tc>
          <w:tcPr>
            <w:tcW w:w="2500" w:type="pct"/>
          </w:tcPr>
          <w:p w14:paraId="0BE276DE" w14:textId="7F8F30D4" w:rsidR="00C04FD9" w:rsidRPr="007B5BE6" w:rsidRDefault="00611767" w:rsidP="0087458D">
            <w:pPr>
              <w:jc w:val="left"/>
              <w:rPr>
                <w:sz w:val="20"/>
                <w:szCs w:val="20"/>
              </w:rPr>
            </w:pPr>
            <w:r w:rsidRPr="007B5BE6">
              <w:rPr>
                <w:sz w:val="20"/>
                <w:szCs w:val="20"/>
              </w:rPr>
              <w:t>Emotional or familial ties with perpetrator</w:t>
            </w:r>
          </w:p>
        </w:tc>
      </w:tr>
      <w:tr w:rsidR="00F9413F" w:rsidRPr="007B5BE6" w14:paraId="6FAB1421" w14:textId="77777777" w:rsidTr="0087458D">
        <w:tc>
          <w:tcPr>
            <w:tcW w:w="2500" w:type="pct"/>
          </w:tcPr>
          <w:p w14:paraId="04F5C0B4" w14:textId="61845E2E" w:rsidR="00F9413F" w:rsidRPr="007B5BE6" w:rsidRDefault="00F9413F" w:rsidP="0087458D">
            <w:pPr>
              <w:jc w:val="left"/>
              <w:rPr>
                <w:sz w:val="20"/>
                <w:szCs w:val="20"/>
              </w:rPr>
            </w:pPr>
            <w:r w:rsidRPr="007B5BE6">
              <w:rPr>
                <w:sz w:val="20"/>
                <w:szCs w:val="20"/>
              </w:rPr>
              <w:t>Divorced or separated from partner</w:t>
            </w:r>
          </w:p>
        </w:tc>
        <w:tc>
          <w:tcPr>
            <w:tcW w:w="2500" w:type="pct"/>
          </w:tcPr>
          <w:p w14:paraId="62EE6BD1" w14:textId="547C1690" w:rsidR="00F9413F" w:rsidRPr="007B5BE6" w:rsidRDefault="00611BD5" w:rsidP="0087458D">
            <w:pPr>
              <w:jc w:val="left"/>
              <w:rPr>
                <w:sz w:val="20"/>
                <w:szCs w:val="20"/>
              </w:rPr>
            </w:pPr>
            <w:r w:rsidRPr="007B5BE6">
              <w:rPr>
                <w:sz w:val="20"/>
                <w:szCs w:val="20"/>
              </w:rPr>
              <w:t>Sense of being betrayed by perpetrator</w:t>
            </w:r>
          </w:p>
        </w:tc>
      </w:tr>
      <w:tr w:rsidR="00611BD5" w:rsidRPr="007B5BE6" w14:paraId="4D1597B5" w14:textId="77777777" w:rsidTr="0087458D">
        <w:tc>
          <w:tcPr>
            <w:tcW w:w="2500" w:type="pct"/>
          </w:tcPr>
          <w:p w14:paraId="50BF9AA5" w14:textId="65597FEE" w:rsidR="00611BD5" w:rsidRPr="007B5BE6" w:rsidRDefault="00611BD5" w:rsidP="0087458D">
            <w:pPr>
              <w:jc w:val="left"/>
              <w:rPr>
                <w:sz w:val="20"/>
                <w:szCs w:val="20"/>
              </w:rPr>
            </w:pPr>
            <w:r w:rsidRPr="007B5BE6">
              <w:rPr>
                <w:sz w:val="20"/>
                <w:szCs w:val="20"/>
              </w:rPr>
              <w:t xml:space="preserve">Dynamics with children/having </w:t>
            </w:r>
            <w:proofErr w:type="gramStart"/>
            <w:r w:rsidRPr="007B5BE6">
              <w:rPr>
                <w:sz w:val="20"/>
                <w:szCs w:val="20"/>
              </w:rPr>
              <w:t>step-children</w:t>
            </w:r>
            <w:proofErr w:type="gramEnd"/>
          </w:p>
        </w:tc>
        <w:tc>
          <w:tcPr>
            <w:tcW w:w="2500" w:type="pct"/>
          </w:tcPr>
          <w:p w14:paraId="619C87E0" w14:textId="2AEEA39F" w:rsidR="00611BD5" w:rsidRPr="007B5BE6" w:rsidRDefault="00611BD5" w:rsidP="0087458D">
            <w:pPr>
              <w:jc w:val="left"/>
              <w:rPr>
                <w:sz w:val="20"/>
                <w:szCs w:val="20"/>
              </w:rPr>
            </w:pPr>
            <w:r w:rsidRPr="007B5BE6">
              <w:rPr>
                <w:sz w:val="20"/>
                <w:szCs w:val="20"/>
              </w:rPr>
              <w:t>Dynamic of power and control (other abuse co-occurring with psychological abuse)</w:t>
            </w:r>
          </w:p>
        </w:tc>
      </w:tr>
      <w:tr w:rsidR="00611BD5" w:rsidRPr="007B5BE6" w14:paraId="1F95011B" w14:textId="77777777" w:rsidTr="0087458D">
        <w:tc>
          <w:tcPr>
            <w:tcW w:w="2500" w:type="pct"/>
          </w:tcPr>
          <w:p w14:paraId="2AF829A7" w14:textId="34668569" w:rsidR="00611BD5" w:rsidRPr="007B5BE6" w:rsidRDefault="00611BD5" w:rsidP="0087458D">
            <w:pPr>
              <w:jc w:val="left"/>
              <w:rPr>
                <w:sz w:val="20"/>
                <w:szCs w:val="20"/>
              </w:rPr>
            </w:pPr>
            <w:r w:rsidRPr="007B5BE6">
              <w:rPr>
                <w:sz w:val="20"/>
                <w:szCs w:val="20"/>
              </w:rPr>
              <w:t>Socio-economic disadvantage</w:t>
            </w:r>
          </w:p>
        </w:tc>
        <w:tc>
          <w:tcPr>
            <w:tcW w:w="2500" w:type="pct"/>
          </w:tcPr>
          <w:p w14:paraId="0D62BA62" w14:textId="2007D53E" w:rsidR="00611BD5" w:rsidRPr="007B5BE6" w:rsidRDefault="00611BD5" w:rsidP="0087458D">
            <w:pPr>
              <w:jc w:val="left"/>
              <w:rPr>
                <w:sz w:val="20"/>
                <w:szCs w:val="20"/>
              </w:rPr>
            </w:pPr>
            <w:r w:rsidRPr="007B5BE6">
              <w:rPr>
                <w:sz w:val="20"/>
                <w:szCs w:val="20"/>
              </w:rPr>
              <w:t>Type and severity of abuse experienced</w:t>
            </w:r>
          </w:p>
        </w:tc>
      </w:tr>
      <w:tr w:rsidR="00F9413F" w:rsidRPr="007B5BE6" w14:paraId="5633C81E" w14:textId="77777777" w:rsidTr="0087458D">
        <w:tc>
          <w:tcPr>
            <w:tcW w:w="2500" w:type="pct"/>
          </w:tcPr>
          <w:p w14:paraId="2C070717" w14:textId="0567F223" w:rsidR="00F9413F" w:rsidRPr="007B5BE6" w:rsidRDefault="00F9413F" w:rsidP="0087458D">
            <w:pPr>
              <w:jc w:val="left"/>
              <w:rPr>
                <w:sz w:val="20"/>
                <w:szCs w:val="20"/>
              </w:rPr>
            </w:pPr>
            <w:r w:rsidRPr="007B5BE6">
              <w:rPr>
                <w:sz w:val="20"/>
                <w:szCs w:val="20"/>
              </w:rPr>
              <w:t xml:space="preserve">Previous experiences of abuse </w:t>
            </w:r>
          </w:p>
        </w:tc>
        <w:tc>
          <w:tcPr>
            <w:tcW w:w="2500" w:type="pct"/>
          </w:tcPr>
          <w:p w14:paraId="24A7D8C5" w14:textId="220FD6F3" w:rsidR="00F9413F" w:rsidRPr="007B5BE6" w:rsidRDefault="00611BD5" w:rsidP="0087458D">
            <w:pPr>
              <w:jc w:val="left"/>
              <w:rPr>
                <w:sz w:val="20"/>
                <w:szCs w:val="20"/>
              </w:rPr>
            </w:pPr>
            <w:r w:rsidRPr="007B5BE6">
              <w:rPr>
                <w:sz w:val="20"/>
                <w:szCs w:val="20"/>
              </w:rPr>
              <w:t>Type of responses (legal or family/friends) sought for different types of abuse</w:t>
            </w:r>
          </w:p>
        </w:tc>
      </w:tr>
    </w:tbl>
    <w:p w14:paraId="7C216DED" w14:textId="77777777" w:rsidR="0092637E" w:rsidRPr="007B5BE6" w:rsidRDefault="0092637E" w:rsidP="00625E09">
      <w:pPr>
        <w:rPr>
          <w:b/>
          <w:bCs/>
        </w:rPr>
      </w:pPr>
    </w:p>
    <w:p w14:paraId="0B3F75F8" w14:textId="4F4D7836" w:rsidR="00D06C0F" w:rsidRPr="007B5BE6" w:rsidRDefault="00D06C0F" w:rsidP="00D06C0F"/>
    <w:p w14:paraId="5ABDF091" w14:textId="77777777" w:rsidR="003B4ABF" w:rsidRPr="007B5BE6" w:rsidRDefault="003B4ABF" w:rsidP="001C09C6">
      <w:pPr>
        <w:sectPr w:rsidR="003B4ABF" w:rsidRPr="007B5BE6" w:rsidSect="003B4ABF">
          <w:headerReference w:type="default" r:id="rId34"/>
          <w:pgSz w:w="11906" w:h="16838"/>
          <w:pgMar w:top="1440" w:right="1440" w:bottom="1440" w:left="1440" w:header="708" w:footer="708" w:gutter="0"/>
          <w:cols w:space="708"/>
          <w:docGrid w:linePitch="360"/>
        </w:sectPr>
      </w:pPr>
    </w:p>
    <w:p w14:paraId="2423D1CE" w14:textId="150E5921" w:rsidR="00D44A27" w:rsidRPr="007B5BE6" w:rsidRDefault="00C77857" w:rsidP="00C77857">
      <w:pPr>
        <w:pStyle w:val="Headingunnumbered"/>
      </w:pPr>
      <w:bookmarkStart w:id="645" w:name="_Toc212561847"/>
      <w:r w:rsidRPr="007B5BE6">
        <w:lastRenderedPageBreak/>
        <w:t xml:space="preserve">Appendix </w:t>
      </w:r>
      <w:r w:rsidR="007C5F04" w:rsidRPr="007B5BE6">
        <w:t>B</w:t>
      </w:r>
      <w:r w:rsidR="00E008A7" w:rsidRPr="007B5BE6">
        <w:t xml:space="preserve">: </w:t>
      </w:r>
      <w:r w:rsidR="00BC5CDC" w:rsidRPr="007B5BE6">
        <w:t>Cases in Tasmanian courts and tribunals</w:t>
      </w:r>
      <w:bookmarkEnd w:id="645"/>
    </w:p>
    <w:p w14:paraId="41C25C4E" w14:textId="605DD47F" w:rsidR="006465CC" w:rsidRPr="007B5BE6" w:rsidRDefault="006465CC" w:rsidP="00D55E3C">
      <w:pPr>
        <w:spacing w:before="240" w:after="240"/>
        <w:rPr>
          <w:b/>
          <w:bCs/>
        </w:rPr>
      </w:pPr>
      <w:r w:rsidRPr="007B5BE6">
        <w:rPr>
          <w:b/>
          <w:bCs/>
        </w:rPr>
        <w:t xml:space="preserve">Table </w:t>
      </w:r>
      <w:r w:rsidR="00C766B0" w:rsidRPr="007B5BE6">
        <w:rPr>
          <w:b/>
          <w:bCs/>
        </w:rPr>
        <w:t>B.1:</w:t>
      </w:r>
      <w:r w:rsidRPr="007B5BE6">
        <w:rPr>
          <w:b/>
          <w:bCs/>
        </w:rPr>
        <w:t xml:space="preserve"> Criminal and coronial cases involving </w:t>
      </w:r>
      <w:r w:rsidR="004F313F" w:rsidRPr="007B5BE6">
        <w:rPr>
          <w:b/>
          <w:bCs/>
        </w:rPr>
        <w:t xml:space="preserve">the </w:t>
      </w:r>
      <w:r w:rsidRPr="007B5BE6">
        <w:rPr>
          <w:b/>
          <w:bCs/>
        </w:rPr>
        <w:t>death of older Tasmanian</w:t>
      </w:r>
      <w:r w:rsidR="00EB3559" w:rsidRPr="007B5BE6">
        <w:rPr>
          <w:b/>
          <w:bCs/>
        </w:rPr>
        <w:t>s</w:t>
      </w:r>
      <w:r w:rsidRPr="007B5BE6">
        <w:rPr>
          <w:b/>
          <w:bCs/>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286"/>
        <w:gridCol w:w="3071"/>
        <w:gridCol w:w="3291"/>
        <w:gridCol w:w="4310"/>
      </w:tblGrid>
      <w:tr w:rsidR="006465CC" w:rsidRPr="007B5BE6" w14:paraId="2B833733" w14:textId="77777777" w:rsidTr="003F4DE9">
        <w:trPr>
          <w:tblHeader/>
        </w:trPr>
        <w:tc>
          <w:tcPr>
            <w:tcW w:w="1177" w:type="pct"/>
            <w:tcBorders>
              <w:top w:val="single" w:sz="8" w:space="0" w:color="auto"/>
              <w:bottom w:val="single" w:sz="8" w:space="0" w:color="auto"/>
            </w:tcBorders>
            <w:shd w:val="clear" w:color="auto" w:fill="FFFFFF" w:themeFill="background1"/>
          </w:tcPr>
          <w:p w14:paraId="2157FC9B" w14:textId="77777777" w:rsidR="006465CC" w:rsidRPr="007B5BE6" w:rsidRDefault="006465CC" w:rsidP="00E37E26">
            <w:pPr>
              <w:jc w:val="left"/>
              <w:rPr>
                <w:b/>
                <w:bCs/>
                <w:sz w:val="20"/>
                <w:szCs w:val="20"/>
              </w:rPr>
            </w:pPr>
            <w:r w:rsidRPr="007B5BE6">
              <w:rPr>
                <w:b/>
                <w:bCs/>
                <w:sz w:val="20"/>
                <w:szCs w:val="20"/>
              </w:rPr>
              <w:t>Older person and family members</w:t>
            </w:r>
          </w:p>
        </w:tc>
        <w:tc>
          <w:tcPr>
            <w:tcW w:w="1100" w:type="pct"/>
            <w:tcBorders>
              <w:top w:val="single" w:sz="8" w:space="0" w:color="auto"/>
              <w:bottom w:val="single" w:sz="8" w:space="0" w:color="auto"/>
            </w:tcBorders>
            <w:shd w:val="clear" w:color="auto" w:fill="FFFFFF" w:themeFill="background1"/>
          </w:tcPr>
          <w:p w14:paraId="47828699" w14:textId="77777777" w:rsidR="006465CC" w:rsidRPr="007B5BE6" w:rsidRDefault="006465CC" w:rsidP="00E37E26">
            <w:pPr>
              <w:jc w:val="left"/>
              <w:rPr>
                <w:b/>
                <w:bCs/>
                <w:sz w:val="20"/>
                <w:szCs w:val="20"/>
              </w:rPr>
            </w:pPr>
            <w:r w:rsidRPr="007B5BE6">
              <w:rPr>
                <w:b/>
                <w:bCs/>
                <w:sz w:val="20"/>
                <w:szCs w:val="20"/>
              </w:rPr>
              <w:t>Cause of death</w:t>
            </w:r>
          </w:p>
        </w:tc>
        <w:tc>
          <w:tcPr>
            <w:tcW w:w="1179" w:type="pct"/>
            <w:tcBorders>
              <w:top w:val="single" w:sz="8" w:space="0" w:color="auto"/>
              <w:bottom w:val="single" w:sz="8" w:space="0" w:color="auto"/>
            </w:tcBorders>
            <w:shd w:val="clear" w:color="auto" w:fill="FFFFFF" w:themeFill="background1"/>
          </w:tcPr>
          <w:p w14:paraId="75726F93" w14:textId="77777777" w:rsidR="006465CC" w:rsidRPr="007B5BE6" w:rsidRDefault="006465CC" w:rsidP="00E37E26">
            <w:pPr>
              <w:jc w:val="left"/>
              <w:rPr>
                <w:b/>
                <w:bCs/>
                <w:sz w:val="20"/>
                <w:szCs w:val="20"/>
              </w:rPr>
            </w:pPr>
            <w:r w:rsidRPr="007B5BE6">
              <w:rPr>
                <w:b/>
                <w:bCs/>
                <w:sz w:val="20"/>
                <w:szCs w:val="20"/>
              </w:rPr>
              <w:t>Circumstances: criminal jurisdiction</w:t>
            </w:r>
          </w:p>
        </w:tc>
        <w:tc>
          <w:tcPr>
            <w:tcW w:w="1544" w:type="pct"/>
            <w:tcBorders>
              <w:top w:val="single" w:sz="8" w:space="0" w:color="auto"/>
              <w:bottom w:val="single" w:sz="8" w:space="0" w:color="auto"/>
            </w:tcBorders>
            <w:shd w:val="clear" w:color="auto" w:fill="FFFFFF" w:themeFill="background1"/>
          </w:tcPr>
          <w:p w14:paraId="422F4BFE" w14:textId="77777777" w:rsidR="006465CC" w:rsidRPr="007B5BE6" w:rsidRDefault="006465CC" w:rsidP="00E37E26">
            <w:pPr>
              <w:jc w:val="left"/>
              <w:rPr>
                <w:b/>
                <w:bCs/>
                <w:sz w:val="20"/>
                <w:szCs w:val="20"/>
              </w:rPr>
            </w:pPr>
            <w:r w:rsidRPr="007B5BE6">
              <w:rPr>
                <w:b/>
                <w:bCs/>
                <w:sz w:val="20"/>
                <w:szCs w:val="20"/>
              </w:rPr>
              <w:t>Circumstances: coronial jurisdiction</w:t>
            </w:r>
          </w:p>
        </w:tc>
      </w:tr>
      <w:tr w:rsidR="006465CC" w:rsidRPr="007B5BE6" w14:paraId="29A128CF" w14:textId="77777777" w:rsidTr="003F4DE9">
        <w:tc>
          <w:tcPr>
            <w:tcW w:w="1177" w:type="pct"/>
            <w:tcBorders>
              <w:top w:val="single" w:sz="8" w:space="0" w:color="auto"/>
            </w:tcBorders>
          </w:tcPr>
          <w:p w14:paraId="63E976E4" w14:textId="77777777" w:rsidR="006465CC" w:rsidRPr="007B5BE6" w:rsidRDefault="006465CC" w:rsidP="004631DD">
            <w:pPr>
              <w:jc w:val="left"/>
              <w:rPr>
                <w:sz w:val="20"/>
                <w:szCs w:val="20"/>
              </w:rPr>
            </w:pPr>
            <w:r w:rsidRPr="007B5BE6">
              <w:rPr>
                <w:sz w:val="20"/>
                <w:szCs w:val="20"/>
              </w:rPr>
              <w:t xml:space="preserve">Older person: </w:t>
            </w:r>
          </w:p>
          <w:p w14:paraId="0E830117" w14:textId="001CCCCF" w:rsidR="006465CC" w:rsidRPr="007B5BE6" w:rsidRDefault="006465CC" w:rsidP="004631DD">
            <w:pPr>
              <w:pStyle w:val="DotPointTLRI"/>
              <w:jc w:val="left"/>
              <w:rPr>
                <w:sz w:val="20"/>
                <w:szCs w:val="20"/>
              </w:rPr>
            </w:pPr>
            <w:r w:rsidRPr="007B5BE6">
              <w:rPr>
                <w:sz w:val="20"/>
                <w:szCs w:val="20"/>
              </w:rPr>
              <w:t>Janet Lois Mackozdi (</w:t>
            </w:r>
            <w:r w:rsidR="001717BA" w:rsidRPr="007B5BE6">
              <w:rPr>
                <w:sz w:val="20"/>
                <w:szCs w:val="20"/>
              </w:rPr>
              <w:t>77 years old</w:t>
            </w:r>
            <w:r w:rsidRPr="007B5BE6">
              <w:rPr>
                <w:sz w:val="20"/>
                <w:szCs w:val="20"/>
              </w:rPr>
              <w:t>)</w:t>
            </w:r>
          </w:p>
          <w:p w14:paraId="52CD9749" w14:textId="77777777" w:rsidR="006465CC" w:rsidRPr="007B5BE6" w:rsidRDefault="006465CC" w:rsidP="004631DD">
            <w:pPr>
              <w:jc w:val="left"/>
              <w:rPr>
                <w:sz w:val="20"/>
                <w:szCs w:val="20"/>
              </w:rPr>
            </w:pPr>
            <w:r w:rsidRPr="007B5BE6">
              <w:rPr>
                <w:sz w:val="20"/>
                <w:szCs w:val="20"/>
              </w:rPr>
              <w:t>Family members:</w:t>
            </w:r>
          </w:p>
          <w:p w14:paraId="68B6561E" w14:textId="1D21CA3A" w:rsidR="001717BA" w:rsidRPr="007B5BE6" w:rsidRDefault="006465CC" w:rsidP="004631DD">
            <w:pPr>
              <w:pStyle w:val="DotPointTLRI"/>
              <w:jc w:val="left"/>
              <w:rPr>
                <w:sz w:val="20"/>
                <w:szCs w:val="20"/>
              </w:rPr>
            </w:pPr>
            <w:r w:rsidRPr="007B5BE6">
              <w:rPr>
                <w:sz w:val="20"/>
                <w:szCs w:val="20"/>
              </w:rPr>
              <w:t xml:space="preserve">Adult daughter </w:t>
            </w:r>
          </w:p>
          <w:p w14:paraId="71C97343" w14:textId="70B41E5B" w:rsidR="006465CC" w:rsidRPr="007B5BE6" w:rsidRDefault="006465CC" w:rsidP="004631DD">
            <w:pPr>
              <w:pStyle w:val="DotPointTLRI"/>
              <w:jc w:val="left"/>
            </w:pPr>
            <w:r w:rsidRPr="007B5BE6">
              <w:rPr>
                <w:sz w:val="20"/>
                <w:szCs w:val="20"/>
              </w:rPr>
              <w:t xml:space="preserve">Adult son-in-law </w:t>
            </w:r>
          </w:p>
        </w:tc>
        <w:tc>
          <w:tcPr>
            <w:tcW w:w="1100" w:type="pct"/>
            <w:tcBorders>
              <w:top w:val="single" w:sz="8" w:space="0" w:color="auto"/>
            </w:tcBorders>
          </w:tcPr>
          <w:p w14:paraId="5857B91D" w14:textId="77777777" w:rsidR="006465CC" w:rsidRPr="007B5BE6" w:rsidRDefault="006465CC" w:rsidP="004631DD">
            <w:pPr>
              <w:jc w:val="left"/>
              <w:rPr>
                <w:sz w:val="20"/>
                <w:szCs w:val="20"/>
              </w:rPr>
            </w:pPr>
            <w:r w:rsidRPr="007B5BE6">
              <w:rPr>
                <w:sz w:val="20"/>
                <w:szCs w:val="20"/>
              </w:rPr>
              <w:t>Hypothermia, from sleeping in a shipping container (advanced</w:t>
            </w:r>
            <w:r w:rsidRPr="007B5BE6">
              <w:t xml:space="preserve"> </w:t>
            </w:r>
            <w:r w:rsidRPr="007B5BE6">
              <w:rPr>
                <w:sz w:val="20"/>
                <w:szCs w:val="20"/>
              </w:rPr>
              <w:t>dementia, weighed 37.9kg; temperature in the shipping container between -1.0 and 2.9 degrees Celsius)</w:t>
            </w:r>
          </w:p>
          <w:p w14:paraId="38657D67" w14:textId="77777777" w:rsidR="006465CC" w:rsidRPr="007B5BE6" w:rsidRDefault="006465CC" w:rsidP="004631DD">
            <w:pPr>
              <w:jc w:val="left"/>
              <w:rPr>
                <w:sz w:val="20"/>
                <w:szCs w:val="20"/>
              </w:rPr>
            </w:pPr>
          </w:p>
          <w:p w14:paraId="2888B987" w14:textId="77777777" w:rsidR="006465CC" w:rsidRPr="007B5BE6" w:rsidRDefault="006465CC" w:rsidP="004631DD">
            <w:pPr>
              <w:jc w:val="left"/>
              <w:rPr>
                <w:sz w:val="20"/>
                <w:szCs w:val="20"/>
              </w:rPr>
            </w:pPr>
          </w:p>
        </w:tc>
        <w:tc>
          <w:tcPr>
            <w:tcW w:w="1179" w:type="pct"/>
            <w:tcBorders>
              <w:top w:val="single" w:sz="8" w:space="0" w:color="auto"/>
            </w:tcBorders>
          </w:tcPr>
          <w:p w14:paraId="2042331B" w14:textId="6CEA6471" w:rsidR="006465CC" w:rsidRPr="007B5BE6" w:rsidRDefault="006465CC" w:rsidP="004631DD">
            <w:pPr>
              <w:jc w:val="left"/>
              <w:rPr>
                <w:sz w:val="20"/>
                <w:szCs w:val="20"/>
              </w:rPr>
            </w:pPr>
            <w:r w:rsidRPr="007B5BE6">
              <w:rPr>
                <w:i/>
                <w:iCs/>
                <w:sz w:val="20"/>
                <w:szCs w:val="20"/>
              </w:rPr>
              <w:t>Supreme Court of Tasmania</w:t>
            </w:r>
            <w:r w:rsidRPr="007B5BE6">
              <w:rPr>
                <w:sz w:val="20"/>
                <w:szCs w:val="20"/>
              </w:rPr>
              <w:t xml:space="preserve"> </w:t>
            </w:r>
            <w:r w:rsidRPr="007B5BE6">
              <w:rPr>
                <w:i/>
                <w:iCs/>
                <w:sz w:val="20"/>
                <w:szCs w:val="20"/>
              </w:rPr>
              <w:t>(2015)</w:t>
            </w:r>
            <w:r w:rsidR="00354E7B" w:rsidRPr="007B5BE6">
              <w:rPr>
                <w:rStyle w:val="FootnoteReference"/>
                <w:sz w:val="20"/>
                <w:szCs w:val="20"/>
              </w:rPr>
              <w:footnoteReference w:id="900"/>
            </w:r>
          </w:p>
          <w:p w14:paraId="26AF5C17" w14:textId="77777777" w:rsidR="006465CC" w:rsidRPr="007B5BE6" w:rsidRDefault="006465CC" w:rsidP="004631DD">
            <w:pPr>
              <w:jc w:val="left"/>
              <w:rPr>
                <w:sz w:val="20"/>
                <w:szCs w:val="20"/>
              </w:rPr>
            </w:pPr>
            <w:r w:rsidRPr="007B5BE6">
              <w:rPr>
                <w:sz w:val="20"/>
                <w:szCs w:val="20"/>
              </w:rPr>
              <w:t>Guilty pleas to manslaughter</w:t>
            </w:r>
          </w:p>
          <w:p w14:paraId="306CAA8F" w14:textId="77777777" w:rsidR="006465CC" w:rsidRPr="007B5BE6" w:rsidRDefault="006465CC" w:rsidP="004631DD">
            <w:pPr>
              <w:jc w:val="left"/>
              <w:rPr>
                <w:sz w:val="20"/>
                <w:szCs w:val="20"/>
              </w:rPr>
            </w:pPr>
            <w:r w:rsidRPr="007B5BE6">
              <w:rPr>
                <w:sz w:val="20"/>
                <w:szCs w:val="20"/>
              </w:rPr>
              <w:t xml:space="preserve">Sentenced </w:t>
            </w:r>
            <w:proofErr w:type="gramStart"/>
            <w:r w:rsidRPr="007B5BE6">
              <w:rPr>
                <w:sz w:val="20"/>
                <w:szCs w:val="20"/>
              </w:rPr>
              <w:t>on the basis of</w:t>
            </w:r>
            <w:proofErr w:type="gramEnd"/>
            <w:r w:rsidRPr="007B5BE6">
              <w:rPr>
                <w:sz w:val="20"/>
                <w:szCs w:val="20"/>
              </w:rPr>
              <w:t xml:space="preserve"> ‘gross negligence’ </w:t>
            </w:r>
          </w:p>
          <w:p w14:paraId="53D7FF5F" w14:textId="77777777" w:rsidR="006465CC" w:rsidRPr="007B5BE6" w:rsidRDefault="006465CC" w:rsidP="004631DD">
            <w:pPr>
              <w:jc w:val="left"/>
              <w:rPr>
                <w:sz w:val="20"/>
                <w:szCs w:val="20"/>
              </w:rPr>
            </w:pPr>
            <w:r w:rsidRPr="007B5BE6">
              <w:rPr>
                <w:sz w:val="20"/>
                <w:szCs w:val="20"/>
              </w:rPr>
              <w:t>Circumstances ‘unique’</w:t>
            </w:r>
          </w:p>
          <w:p w14:paraId="206CCE08" w14:textId="77777777" w:rsidR="006465CC" w:rsidRPr="007B5BE6" w:rsidRDefault="006465CC" w:rsidP="004631DD">
            <w:pPr>
              <w:jc w:val="left"/>
              <w:rPr>
                <w:sz w:val="20"/>
                <w:szCs w:val="20"/>
              </w:rPr>
            </w:pPr>
            <w:r w:rsidRPr="007B5BE6">
              <w:rPr>
                <w:sz w:val="20"/>
                <w:szCs w:val="20"/>
              </w:rPr>
              <w:t xml:space="preserve">High level of care provided over a long period prior to death </w:t>
            </w:r>
          </w:p>
          <w:p w14:paraId="0928DFAD" w14:textId="77777777" w:rsidR="006465CC" w:rsidRPr="007B5BE6" w:rsidRDefault="006465CC" w:rsidP="004631DD">
            <w:pPr>
              <w:jc w:val="left"/>
              <w:rPr>
                <w:sz w:val="20"/>
                <w:szCs w:val="20"/>
              </w:rPr>
            </w:pPr>
            <w:r w:rsidRPr="007B5BE6">
              <w:rPr>
                <w:sz w:val="20"/>
                <w:szCs w:val="20"/>
              </w:rPr>
              <w:t xml:space="preserve">Relevant period over which events occurred was short ‘being one night … made an exceptionally bad decision’ </w:t>
            </w:r>
          </w:p>
          <w:p w14:paraId="0019B05D" w14:textId="5B5DCFC0" w:rsidR="006465CC" w:rsidRPr="007B5BE6" w:rsidRDefault="006465CC" w:rsidP="004631DD">
            <w:pPr>
              <w:jc w:val="left"/>
              <w:rPr>
                <w:sz w:val="20"/>
                <w:szCs w:val="20"/>
              </w:rPr>
            </w:pPr>
            <w:r w:rsidRPr="007B5BE6">
              <w:rPr>
                <w:sz w:val="20"/>
                <w:szCs w:val="20"/>
              </w:rPr>
              <w:t xml:space="preserve">Sentenced to two year’s </w:t>
            </w:r>
            <w:r w:rsidR="00F4166A" w:rsidRPr="007B5BE6">
              <w:rPr>
                <w:sz w:val="20"/>
                <w:szCs w:val="20"/>
              </w:rPr>
              <w:t xml:space="preserve">imprisonment </w:t>
            </w:r>
            <w:r w:rsidRPr="007B5BE6">
              <w:rPr>
                <w:sz w:val="20"/>
                <w:szCs w:val="20"/>
              </w:rPr>
              <w:t>wholly suspended on condition to be of good behaviour (not committing an offence punishable by imprisonment) for a period of two years.</w:t>
            </w:r>
          </w:p>
          <w:p w14:paraId="748FA252" w14:textId="77777777" w:rsidR="006465CC" w:rsidRPr="007B5BE6" w:rsidRDefault="006465CC" w:rsidP="004631DD">
            <w:pPr>
              <w:jc w:val="left"/>
              <w:rPr>
                <w:sz w:val="20"/>
                <w:szCs w:val="20"/>
              </w:rPr>
            </w:pPr>
          </w:p>
        </w:tc>
        <w:tc>
          <w:tcPr>
            <w:tcW w:w="1544" w:type="pct"/>
            <w:tcBorders>
              <w:top w:val="single" w:sz="8" w:space="0" w:color="auto"/>
            </w:tcBorders>
          </w:tcPr>
          <w:p w14:paraId="45530905" w14:textId="64565EA4" w:rsidR="006465CC" w:rsidRPr="007B5BE6" w:rsidRDefault="006465CC" w:rsidP="004631DD">
            <w:pPr>
              <w:jc w:val="left"/>
              <w:rPr>
                <w:sz w:val="20"/>
                <w:szCs w:val="20"/>
              </w:rPr>
            </w:pPr>
            <w:r w:rsidRPr="007B5BE6">
              <w:rPr>
                <w:i/>
                <w:iCs/>
                <w:sz w:val="20"/>
                <w:szCs w:val="20"/>
              </w:rPr>
              <w:t>Coroners Court of Tasmania</w:t>
            </w:r>
            <w:r w:rsidRPr="007B5BE6">
              <w:rPr>
                <w:sz w:val="20"/>
                <w:szCs w:val="20"/>
              </w:rPr>
              <w:t xml:space="preserve"> </w:t>
            </w:r>
            <w:r w:rsidRPr="007B5BE6">
              <w:rPr>
                <w:i/>
                <w:iCs/>
                <w:sz w:val="20"/>
                <w:szCs w:val="20"/>
              </w:rPr>
              <w:t>(2018)</w:t>
            </w:r>
            <w:r w:rsidR="00354E7B" w:rsidRPr="007B5BE6">
              <w:rPr>
                <w:rStyle w:val="FootnoteReference"/>
                <w:sz w:val="20"/>
                <w:szCs w:val="20"/>
              </w:rPr>
              <w:footnoteReference w:id="901"/>
            </w:r>
            <w:r w:rsidRPr="007B5BE6">
              <w:rPr>
                <w:sz w:val="20"/>
                <w:szCs w:val="20"/>
              </w:rPr>
              <w:t xml:space="preserve"> </w:t>
            </w:r>
          </w:p>
          <w:p w14:paraId="1D8DD538" w14:textId="77777777" w:rsidR="006465CC" w:rsidRPr="007B5BE6" w:rsidRDefault="006465CC" w:rsidP="004631DD">
            <w:pPr>
              <w:jc w:val="left"/>
              <w:rPr>
                <w:sz w:val="20"/>
                <w:szCs w:val="20"/>
              </w:rPr>
            </w:pPr>
            <w:r w:rsidRPr="007B5BE6">
              <w:rPr>
                <w:sz w:val="20"/>
                <w:szCs w:val="20"/>
              </w:rPr>
              <w:t xml:space="preserve">Neglect </w:t>
            </w:r>
          </w:p>
          <w:p w14:paraId="653974FF" w14:textId="77777777" w:rsidR="006465CC" w:rsidRPr="007B5BE6" w:rsidRDefault="006465CC" w:rsidP="004631DD">
            <w:pPr>
              <w:jc w:val="left"/>
              <w:rPr>
                <w:sz w:val="20"/>
                <w:szCs w:val="20"/>
              </w:rPr>
            </w:pPr>
            <w:r w:rsidRPr="007B5BE6">
              <w:rPr>
                <w:sz w:val="20"/>
                <w:szCs w:val="20"/>
              </w:rPr>
              <w:t>Care inadequate</w:t>
            </w:r>
          </w:p>
          <w:p w14:paraId="684A488E" w14:textId="77777777" w:rsidR="006465CC" w:rsidRPr="007B5BE6" w:rsidRDefault="006465CC" w:rsidP="004631DD">
            <w:pPr>
              <w:jc w:val="left"/>
              <w:rPr>
                <w:sz w:val="20"/>
                <w:szCs w:val="20"/>
              </w:rPr>
            </w:pPr>
            <w:r w:rsidRPr="007B5BE6">
              <w:rPr>
                <w:sz w:val="20"/>
                <w:szCs w:val="20"/>
              </w:rPr>
              <w:t xml:space="preserve">High care needs </w:t>
            </w:r>
          </w:p>
          <w:p w14:paraId="04CE5B56" w14:textId="77777777" w:rsidR="006465CC" w:rsidRPr="007B5BE6" w:rsidRDefault="006465CC" w:rsidP="004631DD">
            <w:pPr>
              <w:jc w:val="left"/>
              <w:rPr>
                <w:sz w:val="20"/>
                <w:szCs w:val="20"/>
              </w:rPr>
            </w:pPr>
            <w:r w:rsidRPr="007B5BE6">
              <w:rPr>
                <w:sz w:val="20"/>
                <w:szCs w:val="20"/>
              </w:rPr>
              <w:t xml:space="preserve">Decline in cognitive state and physical health due to inadequate care </w:t>
            </w:r>
          </w:p>
          <w:p w14:paraId="7B92AD5B" w14:textId="77777777" w:rsidR="006465CC" w:rsidRPr="007B5BE6" w:rsidRDefault="006465CC" w:rsidP="004631DD">
            <w:pPr>
              <w:jc w:val="left"/>
              <w:rPr>
                <w:sz w:val="20"/>
                <w:szCs w:val="20"/>
              </w:rPr>
            </w:pPr>
            <w:r w:rsidRPr="007B5BE6">
              <w:rPr>
                <w:sz w:val="20"/>
                <w:szCs w:val="20"/>
              </w:rPr>
              <w:t>Isolated from outside care and support and assistance</w:t>
            </w:r>
          </w:p>
          <w:p w14:paraId="45118853" w14:textId="77777777" w:rsidR="006465CC" w:rsidRPr="007B5BE6" w:rsidRDefault="006465CC" w:rsidP="004631DD">
            <w:pPr>
              <w:jc w:val="left"/>
              <w:rPr>
                <w:sz w:val="20"/>
                <w:szCs w:val="20"/>
              </w:rPr>
            </w:pPr>
            <w:r w:rsidRPr="007B5BE6">
              <w:rPr>
                <w:sz w:val="20"/>
                <w:szCs w:val="20"/>
              </w:rPr>
              <w:t>Refusal of carers to engage services and other behaviour intended to avoid scrutiny</w:t>
            </w:r>
          </w:p>
          <w:p w14:paraId="4CA7B331" w14:textId="647250AC" w:rsidR="006465CC" w:rsidRPr="007B5BE6" w:rsidRDefault="006465CC" w:rsidP="004631DD">
            <w:pPr>
              <w:jc w:val="left"/>
              <w:rPr>
                <w:sz w:val="20"/>
                <w:szCs w:val="20"/>
              </w:rPr>
            </w:pPr>
            <w:r w:rsidRPr="007B5BE6">
              <w:rPr>
                <w:sz w:val="20"/>
                <w:szCs w:val="20"/>
              </w:rPr>
              <w:t>Depletion of her financial assets and overriding financial decision</w:t>
            </w:r>
            <w:r w:rsidR="00BC1867" w:rsidRPr="007B5BE6">
              <w:rPr>
                <w:sz w:val="20"/>
                <w:szCs w:val="20"/>
              </w:rPr>
              <w:t xml:space="preserve"> </w:t>
            </w:r>
            <w:r w:rsidRPr="007B5BE6">
              <w:rPr>
                <w:sz w:val="20"/>
                <w:szCs w:val="20"/>
              </w:rPr>
              <w:t>making without appropriate legal instruments in context of:</w:t>
            </w:r>
          </w:p>
          <w:p w14:paraId="58922CE0" w14:textId="77777777" w:rsidR="006465CC" w:rsidRPr="007B5BE6" w:rsidRDefault="006465CC" w:rsidP="005A71B7">
            <w:pPr>
              <w:pStyle w:val="DotPointTLRI"/>
              <w:numPr>
                <w:ilvl w:val="0"/>
                <w:numId w:val="17"/>
              </w:numPr>
              <w:jc w:val="left"/>
              <w:rPr>
                <w:sz w:val="20"/>
                <w:szCs w:val="20"/>
              </w:rPr>
            </w:pPr>
            <w:r w:rsidRPr="007B5BE6">
              <w:rPr>
                <w:sz w:val="20"/>
                <w:szCs w:val="20"/>
              </w:rPr>
              <w:t xml:space="preserve">Lack of capacity to understand and make decisions about finances </w:t>
            </w:r>
          </w:p>
          <w:p w14:paraId="7AD0718D" w14:textId="77777777" w:rsidR="006465CC" w:rsidRPr="007B5BE6" w:rsidRDefault="006465CC" w:rsidP="005A71B7">
            <w:pPr>
              <w:pStyle w:val="DotPointTLRI"/>
              <w:numPr>
                <w:ilvl w:val="0"/>
                <w:numId w:val="17"/>
              </w:numPr>
              <w:jc w:val="left"/>
              <w:rPr>
                <w:sz w:val="20"/>
                <w:szCs w:val="20"/>
              </w:rPr>
            </w:pPr>
            <w:r w:rsidRPr="007B5BE6">
              <w:rPr>
                <w:sz w:val="20"/>
                <w:szCs w:val="20"/>
              </w:rPr>
              <w:t>Use of tactics by carers designed to reduce opportunities for detection and scrutiny</w:t>
            </w:r>
          </w:p>
        </w:tc>
      </w:tr>
      <w:tr w:rsidR="006465CC" w:rsidRPr="007B5BE6" w14:paraId="2FFEE945" w14:textId="77777777" w:rsidTr="00C36293">
        <w:tc>
          <w:tcPr>
            <w:tcW w:w="1177" w:type="pct"/>
          </w:tcPr>
          <w:p w14:paraId="26A746F9" w14:textId="77777777" w:rsidR="006465CC" w:rsidRPr="007B5BE6" w:rsidRDefault="006465CC" w:rsidP="00C36293">
            <w:pPr>
              <w:jc w:val="left"/>
              <w:rPr>
                <w:sz w:val="20"/>
                <w:szCs w:val="20"/>
              </w:rPr>
            </w:pPr>
            <w:r w:rsidRPr="007B5BE6">
              <w:rPr>
                <w:sz w:val="20"/>
                <w:szCs w:val="20"/>
              </w:rPr>
              <w:lastRenderedPageBreak/>
              <w:t xml:space="preserve">Older person: </w:t>
            </w:r>
          </w:p>
          <w:p w14:paraId="7A5A73A7" w14:textId="6A360847" w:rsidR="006465CC" w:rsidRPr="007B5BE6" w:rsidRDefault="006465CC" w:rsidP="00C36293">
            <w:pPr>
              <w:pStyle w:val="DotPointTLRI"/>
              <w:jc w:val="left"/>
              <w:rPr>
                <w:sz w:val="20"/>
                <w:szCs w:val="20"/>
              </w:rPr>
            </w:pPr>
            <w:r w:rsidRPr="007B5BE6">
              <w:rPr>
                <w:sz w:val="20"/>
                <w:szCs w:val="20"/>
              </w:rPr>
              <w:t>Dorothy Jean Atkins (</w:t>
            </w:r>
            <w:r w:rsidR="001462EA" w:rsidRPr="007B5BE6">
              <w:rPr>
                <w:sz w:val="20"/>
                <w:szCs w:val="20"/>
              </w:rPr>
              <w:t>83 years old</w:t>
            </w:r>
            <w:r w:rsidRPr="007B5BE6">
              <w:rPr>
                <w:sz w:val="20"/>
                <w:szCs w:val="20"/>
              </w:rPr>
              <w:t>)</w:t>
            </w:r>
          </w:p>
          <w:p w14:paraId="7B13CC85" w14:textId="77777777" w:rsidR="006465CC" w:rsidRPr="007B5BE6" w:rsidRDefault="006465CC" w:rsidP="00C36293">
            <w:pPr>
              <w:jc w:val="left"/>
              <w:rPr>
                <w:sz w:val="20"/>
                <w:szCs w:val="20"/>
              </w:rPr>
            </w:pPr>
          </w:p>
          <w:p w14:paraId="4199F816" w14:textId="77777777" w:rsidR="006465CC" w:rsidRPr="007B5BE6" w:rsidRDefault="006465CC" w:rsidP="00C36293">
            <w:pPr>
              <w:jc w:val="left"/>
              <w:rPr>
                <w:sz w:val="20"/>
                <w:szCs w:val="20"/>
              </w:rPr>
            </w:pPr>
            <w:r w:rsidRPr="007B5BE6">
              <w:rPr>
                <w:sz w:val="20"/>
                <w:szCs w:val="20"/>
              </w:rPr>
              <w:t>Family members:</w:t>
            </w:r>
          </w:p>
          <w:p w14:paraId="4ACF41E1" w14:textId="131D2FC1" w:rsidR="006465CC" w:rsidRPr="007B5BE6" w:rsidRDefault="006465CC" w:rsidP="00C36293">
            <w:pPr>
              <w:pStyle w:val="DotPointTLRI"/>
              <w:jc w:val="left"/>
              <w:rPr>
                <w:sz w:val="20"/>
                <w:szCs w:val="20"/>
              </w:rPr>
            </w:pPr>
            <w:r w:rsidRPr="007B5BE6">
              <w:rPr>
                <w:sz w:val="20"/>
                <w:szCs w:val="20"/>
              </w:rPr>
              <w:t xml:space="preserve">Adult son </w:t>
            </w:r>
            <w:r w:rsidR="0081472C" w:rsidRPr="007B5BE6">
              <w:rPr>
                <w:sz w:val="20"/>
                <w:szCs w:val="20"/>
              </w:rPr>
              <w:t xml:space="preserve">living with Mrs Atkins </w:t>
            </w:r>
          </w:p>
          <w:p w14:paraId="248233DE" w14:textId="63D028A0" w:rsidR="007809B7" w:rsidRPr="007B5BE6" w:rsidRDefault="007809B7" w:rsidP="00C36293">
            <w:pPr>
              <w:pStyle w:val="DotPointTLRI"/>
              <w:jc w:val="left"/>
              <w:rPr>
                <w:sz w:val="20"/>
                <w:szCs w:val="20"/>
              </w:rPr>
            </w:pPr>
            <w:r w:rsidRPr="007B5BE6">
              <w:rPr>
                <w:sz w:val="20"/>
                <w:szCs w:val="20"/>
              </w:rPr>
              <w:t>Adult son (appointed as carer)</w:t>
            </w:r>
          </w:p>
          <w:p w14:paraId="20F7B036" w14:textId="44C76C63" w:rsidR="006465CC" w:rsidRPr="007B5BE6" w:rsidRDefault="006465CC" w:rsidP="00C36293">
            <w:pPr>
              <w:pStyle w:val="DotPointTLRI"/>
              <w:jc w:val="left"/>
            </w:pPr>
            <w:r w:rsidRPr="007B5BE6">
              <w:rPr>
                <w:sz w:val="20"/>
                <w:szCs w:val="20"/>
              </w:rPr>
              <w:t>Adult daughter</w:t>
            </w:r>
            <w:r w:rsidR="0081472C" w:rsidRPr="007B5BE6">
              <w:t xml:space="preserve"> </w:t>
            </w:r>
            <w:r w:rsidRPr="007B5BE6">
              <w:t xml:space="preserve"> </w:t>
            </w:r>
          </w:p>
          <w:p w14:paraId="592FC3B5" w14:textId="77777777" w:rsidR="006465CC" w:rsidRPr="007B5BE6" w:rsidRDefault="006465CC" w:rsidP="00C36293">
            <w:pPr>
              <w:jc w:val="left"/>
              <w:rPr>
                <w:sz w:val="20"/>
                <w:szCs w:val="20"/>
              </w:rPr>
            </w:pPr>
          </w:p>
        </w:tc>
        <w:tc>
          <w:tcPr>
            <w:tcW w:w="1100" w:type="pct"/>
          </w:tcPr>
          <w:p w14:paraId="1873EA85" w14:textId="75D615FD" w:rsidR="006465CC" w:rsidRPr="007B5BE6" w:rsidRDefault="007809B7" w:rsidP="00C36293">
            <w:pPr>
              <w:jc w:val="left"/>
              <w:rPr>
                <w:sz w:val="20"/>
                <w:szCs w:val="20"/>
              </w:rPr>
            </w:pPr>
            <w:r w:rsidRPr="007B5BE6">
              <w:rPr>
                <w:sz w:val="20"/>
                <w:szCs w:val="20"/>
              </w:rPr>
              <w:t>Meningitis with sepsis with likely cause of infection an ulcer, and was very emaciated, with pressure sores and evidence of poor hygiene</w:t>
            </w:r>
          </w:p>
        </w:tc>
        <w:tc>
          <w:tcPr>
            <w:tcW w:w="1179" w:type="pct"/>
          </w:tcPr>
          <w:p w14:paraId="31F8BC25" w14:textId="77777777" w:rsidR="006465CC" w:rsidRPr="007B5BE6" w:rsidRDefault="006465CC" w:rsidP="00C36293">
            <w:pPr>
              <w:jc w:val="left"/>
              <w:rPr>
                <w:i/>
                <w:iCs/>
                <w:sz w:val="20"/>
                <w:szCs w:val="20"/>
              </w:rPr>
            </w:pPr>
            <w:r w:rsidRPr="007B5BE6">
              <w:rPr>
                <w:i/>
                <w:iCs/>
                <w:sz w:val="20"/>
                <w:szCs w:val="20"/>
              </w:rPr>
              <w:t>No criminal case</w:t>
            </w:r>
          </w:p>
        </w:tc>
        <w:tc>
          <w:tcPr>
            <w:tcW w:w="1544" w:type="pct"/>
          </w:tcPr>
          <w:p w14:paraId="2E56AA63" w14:textId="0525D0F0" w:rsidR="006465CC" w:rsidRPr="007B5BE6" w:rsidRDefault="006465CC" w:rsidP="00C36293">
            <w:pPr>
              <w:jc w:val="left"/>
              <w:rPr>
                <w:sz w:val="20"/>
                <w:szCs w:val="20"/>
              </w:rPr>
            </w:pPr>
            <w:r w:rsidRPr="007B5BE6">
              <w:rPr>
                <w:i/>
                <w:iCs/>
                <w:sz w:val="20"/>
                <w:szCs w:val="20"/>
              </w:rPr>
              <w:t>Coroners Court of Tasmania</w:t>
            </w:r>
            <w:r w:rsidRPr="007B5BE6">
              <w:rPr>
                <w:sz w:val="20"/>
                <w:szCs w:val="20"/>
              </w:rPr>
              <w:t xml:space="preserve"> </w:t>
            </w:r>
            <w:r w:rsidRPr="007B5BE6">
              <w:rPr>
                <w:i/>
                <w:iCs/>
                <w:sz w:val="20"/>
                <w:szCs w:val="20"/>
              </w:rPr>
              <w:t>(2018)</w:t>
            </w:r>
            <w:r w:rsidR="00F81E28" w:rsidRPr="007B5BE6">
              <w:rPr>
                <w:rStyle w:val="FootnoteReference"/>
                <w:sz w:val="20"/>
                <w:szCs w:val="20"/>
              </w:rPr>
              <w:footnoteReference w:id="902"/>
            </w:r>
            <w:r w:rsidRPr="007B5BE6">
              <w:rPr>
                <w:sz w:val="20"/>
                <w:szCs w:val="20"/>
              </w:rPr>
              <w:t xml:space="preserve"> </w:t>
            </w:r>
          </w:p>
          <w:p w14:paraId="4DD374BA" w14:textId="77777777" w:rsidR="006465CC" w:rsidRPr="007B5BE6" w:rsidRDefault="006465CC" w:rsidP="00C36293">
            <w:pPr>
              <w:jc w:val="left"/>
              <w:rPr>
                <w:sz w:val="20"/>
                <w:szCs w:val="20"/>
              </w:rPr>
            </w:pPr>
            <w:r w:rsidRPr="007B5BE6">
              <w:rPr>
                <w:sz w:val="20"/>
                <w:szCs w:val="20"/>
              </w:rPr>
              <w:t xml:space="preserve">Neglect </w:t>
            </w:r>
          </w:p>
          <w:p w14:paraId="4431D877" w14:textId="77777777" w:rsidR="006465CC" w:rsidRPr="007B5BE6" w:rsidRDefault="006465CC" w:rsidP="00A17D7A">
            <w:pPr>
              <w:jc w:val="left"/>
              <w:rPr>
                <w:sz w:val="20"/>
                <w:szCs w:val="20"/>
              </w:rPr>
            </w:pPr>
            <w:r w:rsidRPr="007B5BE6">
              <w:rPr>
                <w:sz w:val="20"/>
                <w:szCs w:val="20"/>
              </w:rPr>
              <w:t>Lived with son at time of death and he was long term carer</w:t>
            </w:r>
          </w:p>
          <w:p w14:paraId="05863B82" w14:textId="77777777" w:rsidR="000309A0" w:rsidRPr="007B5BE6" w:rsidRDefault="000309A0" w:rsidP="00A17D7A">
            <w:pPr>
              <w:jc w:val="left"/>
              <w:rPr>
                <w:sz w:val="20"/>
                <w:szCs w:val="20"/>
              </w:rPr>
            </w:pPr>
            <w:r w:rsidRPr="007B5BE6">
              <w:rPr>
                <w:sz w:val="20"/>
                <w:szCs w:val="20"/>
              </w:rPr>
              <w:t xml:space="preserve">Died from meningitis with sepsis with likely cause of infection an ulcer </w:t>
            </w:r>
          </w:p>
          <w:p w14:paraId="474A1F5A" w14:textId="305D4754" w:rsidR="006465CC" w:rsidRPr="007B5BE6" w:rsidRDefault="006465CC" w:rsidP="00A17D7A">
            <w:pPr>
              <w:jc w:val="left"/>
            </w:pPr>
            <w:r w:rsidRPr="007B5BE6">
              <w:rPr>
                <w:sz w:val="20"/>
                <w:szCs w:val="20"/>
              </w:rPr>
              <w:t xml:space="preserve">Very emaciated, with pressure sores, and evidence of poor hygiene </w:t>
            </w:r>
          </w:p>
          <w:p w14:paraId="01A19C89" w14:textId="67449D02" w:rsidR="006465CC" w:rsidRPr="007B5BE6" w:rsidRDefault="006465CC" w:rsidP="00A17D7A">
            <w:pPr>
              <w:jc w:val="left"/>
              <w:rPr>
                <w:sz w:val="20"/>
                <w:szCs w:val="20"/>
              </w:rPr>
            </w:pPr>
            <w:r w:rsidRPr="007B5BE6">
              <w:rPr>
                <w:sz w:val="20"/>
                <w:szCs w:val="20"/>
              </w:rPr>
              <w:t>No evidence of misuse of finances but that a system of check</w:t>
            </w:r>
            <w:r w:rsidR="00D70455" w:rsidRPr="007B5BE6">
              <w:rPr>
                <w:sz w:val="20"/>
                <w:szCs w:val="20"/>
              </w:rPr>
              <w:t>s</w:t>
            </w:r>
            <w:r w:rsidRPr="007B5BE6">
              <w:rPr>
                <w:sz w:val="20"/>
                <w:szCs w:val="20"/>
              </w:rPr>
              <w:t xml:space="preserve"> and balances in carers system was required to ensure that those who do not receive a reasonable standard of care can be identified</w:t>
            </w:r>
          </w:p>
        </w:tc>
      </w:tr>
      <w:tr w:rsidR="006465CC" w:rsidRPr="007B5BE6" w14:paraId="0E4ABECC" w14:textId="77777777" w:rsidTr="00C36293">
        <w:tc>
          <w:tcPr>
            <w:tcW w:w="1177" w:type="pct"/>
          </w:tcPr>
          <w:p w14:paraId="6147CA11" w14:textId="77777777" w:rsidR="006465CC" w:rsidRPr="007B5BE6" w:rsidRDefault="006465CC" w:rsidP="00C36293">
            <w:pPr>
              <w:jc w:val="left"/>
              <w:rPr>
                <w:sz w:val="20"/>
                <w:szCs w:val="20"/>
              </w:rPr>
            </w:pPr>
            <w:r w:rsidRPr="007B5BE6">
              <w:rPr>
                <w:sz w:val="20"/>
                <w:szCs w:val="20"/>
              </w:rPr>
              <w:t xml:space="preserve">Older person: </w:t>
            </w:r>
          </w:p>
          <w:p w14:paraId="1A1FD6E4" w14:textId="069A3D18" w:rsidR="006465CC" w:rsidRPr="007B5BE6" w:rsidRDefault="006465CC" w:rsidP="00C36293">
            <w:pPr>
              <w:pStyle w:val="DotPointTLRI"/>
              <w:jc w:val="left"/>
              <w:rPr>
                <w:sz w:val="20"/>
                <w:szCs w:val="20"/>
              </w:rPr>
            </w:pPr>
            <w:r w:rsidRPr="007B5BE6">
              <w:rPr>
                <w:sz w:val="20"/>
                <w:szCs w:val="20"/>
              </w:rPr>
              <w:t>Nelda Mavis Edwards (</w:t>
            </w:r>
            <w:r w:rsidR="004149A1" w:rsidRPr="007B5BE6">
              <w:rPr>
                <w:sz w:val="20"/>
                <w:szCs w:val="20"/>
              </w:rPr>
              <w:t>88 years old</w:t>
            </w:r>
            <w:r w:rsidRPr="007B5BE6">
              <w:rPr>
                <w:sz w:val="20"/>
                <w:szCs w:val="20"/>
              </w:rPr>
              <w:t>)</w:t>
            </w:r>
          </w:p>
          <w:p w14:paraId="5283A96A" w14:textId="77777777" w:rsidR="006465CC" w:rsidRPr="007B5BE6" w:rsidRDefault="006465CC" w:rsidP="00C36293">
            <w:pPr>
              <w:jc w:val="left"/>
              <w:rPr>
                <w:sz w:val="20"/>
                <w:szCs w:val="20"/>
              </w:rPr>
            </w:pPr>
          </w:p>
          <w:p w14:paraId="20073761" w14:textId="77777777" w:rsidR="006465CC" w:rsidRPr="007B5BE6" w:rsidRDefault="006465CC" w:rsidP="00C36293">
            <w:pPr>
              <w:jc w:val="left"/>
              <w:rPr>
                <w:sz w:val="20"/>
                <w:szCs w:val="20"/>
              </w:rPr>
            </w:pPr>
            <w:r w:rsidRPr="007B5BE6">
              <w:rPr>
                <w:sz w:val="20"/>
                <w:szCs w:val="20"/>
              </w:rPr>
              <w:t>Family members:</w:t>
            </w:r>
          </w:p>
          <w:p w14:paraId="4FE43EFB" w14:textId="6CCEB84F" w:rsidR="006465CC" w:rsidRPr="007B5BE6" w:rsidRDefault="006465CC" w:rsidP="00C36293">
            <w:pPr>
              <w:pStyle w:val="DotPointTLRI"/>
              <w:jc w:val="left"/>
              <w:rPr>
                <w:sz w:val="20"/>
                <w:szCs w:val="20"/>
              </w:rPr>
            </w:pPr>
            <w:r w:rsidRPr="007B5BE6">
              <w:rPr>
                <w:sz w:val="20"/>
                <w:szCs w:val="20"/>
              </w:rPr>
              <w:t>Adult son</w:t>
            </w:r>
          </w:p>
          <w:p w14:paraId="02510C9D" w14:textId="77777777" w:rsidR="006465CC" w:rsidRPr="007B5BE6" w:rsidRDefault="006465CC" w:rsidP="00C36293">
            <w:pPr>
              <w:jc w:val="left"/>
              <w:rPr>
                <w:sz w:val="20"/>
                <w:szCs w:val="20"/>
              </w:rPr>
            </w:pPr>
          </w:p>
        </w:tc>
        <w:tc>
          <w:tcPr>
            <w:tcW w:w="1100" w:type="pct"/>
          </w:tcPr>
          <w:p w14:paraId="7A5D85F3" w14:textId="77777777" w:rsidR="006465CC" w:rsidRPr="007B5BE6" w:rsidRDefault="006465CC" w:rsidP="00C36293">
            <w:pPr>
              <w:jc w:val="left"/>
              <w:rPr>
                <w:sz w:val="20"/>
                <w:szCs w:val="20"/>
              </w:rPr>
            </w:pPr>
            <w:r w:rsidRPr="007B5BE6">
              <w:rPr>
                <w:sz w:val="20"/>
                <w:szCs w:val="20"/>
              </w:rPr>
              <w:t>Drugs administered</w:t>
            </w:r>
          </w:p>
        </w:tc>
        <w:tc>
          <w:tcPr>
            <w:tcW w:w="1179" w:type="pct"/>
          </w:tcPr>
          <w:p w14:paraId="70E8ADD8" w14:textId="77777777" w:rsidR="006465CC" w:rsidRPr="007B5BE6" w:rsidRDefault="006465CC" w:rsidP="00C36293">
            <w:pPr>
              <w:jc w:val="left"/>
              <w:rPr>
                <w:sz w:val="20"/>
                <w:szCs w:val="20"/>
              </w:rPr>
            </w:pPr>
            <w:r w:rsidRPr="007B5BE6">
              <w:rPr>
                <w:i/>
                <w:iCs/>
                <w:sz w:val="20"/>
                <w:szCs w:val="20"/>
              </w:rPr>
              <w:t>No criminal case</w:t>
            </w:r>
          </w:p>
        </w:tc>
        <w:tc>
          <w:tcPr>
            <w:tcW w:w="1544" w:type="pct"/>
          </w:tcPr>
          <w:p w14:paraId="29621DE6" w14:textId="73EC885A" w:rsidR="006465CC" w:rsidRPr="007B5BE6" w:rsidRDefault="006465CC" w:rsidP="00C36293">
            <w:pPr>
              <w:jc w:val="left"/>
              <w:rPr>
                <w:sz w:val="20"/>
                <w:szCs w:val="20"/>
              </w:rPr>
            </w:pPr>
            <w:r w:rsidRPr="007B5BE6">
              <w:rPr>
                <w:i/>
                <w:iCs/>
                <w:sz w:val="20"/>
                <w:szCs w:val="20"/>
              </w:rPr>
              <w:t>Coroners Court of Tasmania</w:t>
            </w:r>
            <w:r w:rsidRPr="007B5BE6">
              <w:rPr>
                <w:sz w:val="20"/>
                <w:szCs w:val="20"/>
              </w:rPr>
              <w:t xml:space="preserve"> </w:t>
            </w:r>
            <w:r w:rsidRPr="007B5BE6">
              <w:rPr>
                <w:i/>
                <w:iCs/>
                <w:sz w:val="20"/>
                <w:szCs w:val="20"/>
              </w:rPr>
              <w:t>(2018)</w:t>
            </w:r>
            <w:r w:rsidR="00F81E28" w:rsidRPr="007B5BE6">
              <w:rPr>
                <w:rStyle w:val="FootnoteReference"/>
                <w:i/>
                <w:iCs/>
                <w:sz w:val="20"/>
                <w:szCs w:val="20"/>
              </w:rPr>
              <w:footnoteReference w:id="903"/>
            </w:r>
            <w:r w:rsidRPr="007B5BE6">
              <w:rPr>
                <w:sz w:val="20"/>
                <w:szCs w:val="20"/>
              </w:rPr>
              <w:t xml:space="preserve"> </w:t>
            </w:r>
          </w:p>
          <w:p w14:paraId="3421BFB8" w14:textId="77777777" w:rsidR="006465CC" w:rsidRPr="007B5BE6" w:rsidRDefault="006465CC" w:rsidP="00A17D7A">
            <w:pPr>
              <w:jc w:val="left"/>
              <w:rPr>
                <w:sz w:val="20"/>
                <w:szCs w:val="20"/>
              </w:rPr>
            </w:pPr>
            <w:r w:rsidRPr="007B5BE6">
              <w:rPr>
                <w:sz w:val="20"/>
                <w:szCs w:val="20"/>
              </w:rPr>
              <w:t>Administration of drugs with intention to cause death</w:t>
            </w:r>
          </w:p>
          <w:p w14:paraId="0DC4D468" w14:textId="77777777" w:rsidR="006465CC" w:rsidRPr="007B5BE6" w:rsidRDefault="006465CC" w:rsidP="00A17D7A">
            <w:pPr>
              <w:jc w:val="left"/>
              <w:rPr>
                <w:sz w:val="20"/>
                <w:szCs w:val="20"/>
              </w:rPr>
            </w:pPr>
            <w:r w:rsidRPr="007B5BE6">
              <w:rPr>
                <w:sz w:val="20"/>
                <w:szCs w:val="20"/>
              </w:rPr>
              <w:t>Son was medical practitioner who had been ‘treating both parents in immediate lead up to death’</w:t>
            </w:r>
          </w:p>
          <w:p w14:paraId="53155619" w14:textId="77777777" w:rsidR="006465CC" w:rsidRPr="007B5BE6" w:rsidRDefault="006465CC" w:rsidP="00A17D7A">
            <w:pPr>
              <w:jc w:val="left"/>
              <w:rPr>
                <w:sz w:val="20"/>
                <w:szCs w:val="20"/>
              </w:rPr>
            </w:pPr>
            <w:r w:rsidRPr="007B5BE6">
              <w:rPr>
                <w:sz w:val="20"/>
                <w:szCs w:val="20"/>
              </w:rPr>
              <w:lastRenderedPageBreak/>
              <w:t>Administered drugs as part of palliative care to his father and administered drugs to help with his mother’s sleep and back pain</w:t>
            </w:r>
          </w:p>
          <w:p w14:paraId="7494DF63" w14:textId="77777777" w:rsidR="006465CC" w:rsidRPr="007B5BE6" w:rsidRDefault="006465CC" w:rsidP="00A17D7A">
            <w:pPr>
              <w:jc w:val="left"/>
              <w:rPr>
                <w:sz w:val="20"/>
                <w:szCs w:val="20"/>
              </w:rPr>
            </w:pPr>
          </w:p>
        </w:tc>
      </w:tr>
      <w:tr w:rsidR="006465CC" w:rsidRPr="007B5BE6" w14:paraId="4D03AEA8" w14:textId="77777777" w:rsidTr="00C36293">
        <w:tc>
          <w:tcPr>
            <w:tcW w:w="1177" w:type="pct"/>
          </w:tcPr>
          <w:p w14:paraId="648645E3" w14:textId="77777777" w:rsidR="006465CC" w:rsidRPr="007B5BE6" w:rsidRDefault="006465CC" w:rsidP="00C36293">
            <w:pPr>
              <w:jc w:val="left"/>
              <w:rPr>
                <w:sz w:val="20"/>
                <w:szCs w:val="20"/>
              </w:rPr>
            </w:pPr>
            <w:r w:rsidRPr="007B5BE6">
              <w:rPr>
                <w:sz w:val="20"/>
                <w:szCs w:val="20"/>
              </w:rPr>
              <w:lastRenderedPageBreak/>
              <w:t xml:space="preserve">Older person: </w:t>
            </w:r>
          </w:p>
          <w:p w14:paraId="0E3414FF" w14:textId="059CD336" w:rsidR="006465CC" w:rsidRPr="007B5BE6" w:rsidRDefault="006465CC" w:rsidP="00C36293">
            <w:pPr>
              <w:pStyle w:val="DotPointTLRI"/>
              <w:jc w:val="left"/>
              <w:rPr>
                <w:sz w:val="20"/>
                <w:szCs w:val="20"/>
              </w:rPr>
            </w:pPr>
            <w:r w:rsidRPr="007B5BE6">
              <w:rPr>
                <w:sz w:val="20"/>
                <w:szCs w:val="20"/>
              </w:rPr>
              <w:t xml:space="preserve">Veronica </w:t>
            </w:r>
            <w:r w:rsidR="001D5CB1" w:rsidRPr="007B5BE6">
              <w:rPr>
                <w:sz w:val="20"/>
                <w:szCs w:val="20"/>
              </w:rPr>
              <w:t>Corstorphine</w:t>
            </w:r>
            <w:r w:rsidRPr="007B5BE6">
              <w:rPr>
                <w:sz w:val="20"/>
                <w:szCs w:val="20"/>
              </w:rPr>
              <w:t xml:space="preserve"> (</w:t>
            </w:r>
            <w:r w:rsidR="00737AD7" w:rsidRPr="007B5BE6">
              <w:rPr>
                <w:sz w:val="20"/>
                <w:szCs w:val="20"/>
              </w:rPr>
              <w:t>71 years old</w:t>
            </w:r>
            <w:r w:rsidRPr="007B5BE6">
              <w:rPr>
                <w:sz w:val="20"/>
                <w:szCs w:val="20"/>
              </w:rPr>
              <w:t>)</w:t>
            </w:r>
          </w:p>
          <w:p w14:paraId="7F1633F4" w14:textId="77777777" w:rsidR="006465CC" w:rsidRPr="007B5BE6" w:rsidRDefault="006465CC" w:rsidP="00C36293">
            <w:pPr>
              <w:jc w:val="left"/>
              <w:rPr>
                <w:sz w:val="20"/>
                <w:szCs w:val="20"/>
              </w:rPr>
            </w:pPr>
          </w:p>
          <w:p w14:paraId="11D4161F" w14:textId="77777777" w:rsidR="006465CC" w:rsidRPr="007B5BE6" w:rsidRDefault="006465CC" w:rsidP="00C36293">
            <w:pPr>
              <w:jc w:val="left"/>
              <w:rPr>
                <w:sz w:val="20"/>
                <w:szCs w:val="20"/>
              </w:rPr>
            </w:pPr>
            <w:r w:rsidRPr="007B5BE6">
              <w:rPr>
                <w:sz w:val="20"/>
                <w:szCs w:val="20"/>
              </w:rPr>
              <w:t>Family members:</w:t>
            </w:r>
          </w:p>
          <w:p w14:paraId="10616E1E" w14:textId="0CB9B9DA" w:rsidR="006465CC" w:rsidRPr="007B5BE6" w:rsidRDefault="006465CC" w:rsidP="00C36293">
            <w:pPr>
              <w:pStyle w:val="DotPointTLRI"/>
              <w:jc w:val="left"/>
            </w:pPr>
            <w:r w:rsidRPr="007B5BE6">
              <w:rPr>
                <w:sz w:val="20"/>
                <w:szCs w:val="20"/>
              </w:rPr>
              <w:t>Adult daughter</w:t>
            </w:r>
            <w:r w:rsidRPr="007B5BE6">
              <w:t xml:space="preserve"> </w:t>
            </w:r>
          </w:p>
          <w:p w14:paraId="04CA39FC" w14:textId="77777777" w:rsidR="006465CC" w:rsidRPr="007B5BE6" w:rsidRDefault="006465CC" w:rsidP="00C36293">
            <w:pPr>
              <w:jc w:val="left"/>
              <w:rPr>
                <w:sz w:val="20"/>
                <w:szCs w:val="20"/>
              </w:rPr>
            </w:pPr>
          </w:p>
        </w:tc>
        <w:tc>
          <w:tcPr>
            <w:tcW w:w="1100" w:type="pct"/>
          </w:tcPr>
          <w:p w14:paraId="5D1F3E27" w14:textId="77777777" w:rsidR="006465CC" w:rsidRPr="007B5BE6" w:rsidRDefault="006465CC" w:rsidP="00C36293">
            <w:pPr>
              <w:jc w:val="left"/>
              <w:rPr>
                <w:sz w:val="20"/>
                <w:szCs w:val="20"/>
              </w:rPr>
            </w:pPr>
            <w:r w:rsidRPr="007B5BE6">
              <w:rPr>
                <w:sz w:val="20"/>
                <w:szCs w:val="20"/>
              </w:rPr>
              <w:t>Smothered with pillow</w:t>
            </w:r>
          </w:p>
        </w:tc>
        <w:tc>
          <w:tcPr>
            <w:tcW w:w="1179" w:type="pct"/>
          </w:tcPr>
          <w:p w14:paraId="12A0548F" w14:textId="4BF4E7D4" w:rsidR="006465CC" w:rsidRPr="007B5BE6" w:rsidRDefault="006465CC" w:rsidP="00C36293">
            <w:pPr>
              <w:jc w:val="left"/>
              <w:rPr>
                <w:sz w:val="20"/>
                <w:szCs w:val="20"/>
              </w:rPr>
            </w:pPr>
            <w:r w:rsidRPr="007B5BE6">
              <w:rPr>
                <w:i/>
                <w:iCs/>
                <w:sz w:val="20"/>
                <w:szCs w:val="20"/>
              </w:rPr>
              <w:t>Supreme Court of Tasmania</w:t>
            </w:r>
            <w:r w:rsidRPr="007B5BE6">
              <w:rPr>
                <w:sz w:val="20"/>
                <w:szCs w:val="20"/>
              </w:rPr>
              <w:t xml:space="preserve"> </w:t>
            </w:r>
            <w:r w:rsidRPr="007B5BE6">
              <w:rPr>
                <w:i/>
                <w:iCs/>
                <w:sz w:val="20"/>
                <w:szCs w:val="20"/>
              </w:rPr>
              <w:t>(2015)</w:t>
            </w:r>
            <w:r w:rsidR="00F81E28" w:rsidRPr="007B5BE6">
              <w:rPr>
                <w:rStyle w:val="FootnoteReference"/>
                <w:sz w:val="20"/>
                <w:szCs w:val="20"/>
              </w:rPr>
              <w:footnoteReference w:id="904"/>
            </w:r>
          </w:p>
          <w:p w14:paraId="2BD8A520" w14:textId="77777777" w:rsidR="006465CC" w:rsidRPr="007B5BE6" w:rsidRDefault="006465CC" w:rsidP="00A17D7A">
            <w:pPr>
              <w:jc w:val="left"/>
              <w:rPr>
                <w:sz w:val="20"/>
                <w:szCs w:val="20"/>
              </w:rPr>
            </w:pPr>
            <w:r w:rsidRPr="007B5BE6">
              <w:rPr>
                <w:sz w:val="20"/>
                <w:szCs w:val="20"/>
              </w:rPr>
              <w:t>Convicted of murder</w:t>
            </w:r>
          </w:p>
          <w:p w14:paraId="314398CA" w14:textId="77777777" w:rsidR="006465CC" w:rsidRPr="007B5BE6" w:rsidRDefault="006465CC" w:rsidP="00A17D7A">
            <w:pPr>
              <w:jc w:val="left"/>
              <w:rPr>
                <w:sz w:val="20"/>
                <w:szCs w:val="20"/>
              </w:rPr>
            </w:pPr>
            <w:r w:rsidRPr="007B5BE6">
              <w:rPr>
                <w:sz w:val="20"/>
                <w:szCs w:val="20"/>
              </w:rPr>
              <w:t>Long standing personal antagonism between them and these tensions escalated and were the primary motivation for the killing</w:t>
            </w:r>
          </w:p>
          <w:p w14:paraId="094940E6" w14:textId="77777777" w:rsidR="006465CC" w:rsidRPr="007B5BE6" w:rsidRDefault="006465CC" w:rsidP="00A17D7A">
            <w:pPr>
              <w:jc w:val="left"/>
              <w:rPr>
                <w:sz w:val="20"/>
                <w:szCs w:val="20"/>
              </w:rPr>
            </w:pPr>
            <w:r w:rsidRPr="007B5BE6">
              <w:rPr>
                <w:sz w:val="20"/>
                <w:szCs w:val="20"/>
              </w:rPr>
              <w:t>No financial motivation but took money and jewellery after the murder</w:t>
            </w:r>
          </w:p>
          <w:p w14:paraId="5A4B5DEB" w14:textId="77777777" w:rsidR="006465CC" w:rsidRPr="007B5BE6" w:rsidRDefault="006465CC" w:rsidP="00A17D7A">
            <w:pPr>
              <w:jc w:val="left"/>
              <w:rPr>
                <w:sz w:val="20"/>
                <w:szCs w:val="20"/>
              </w:rPr>
            </w:pPr>
            <w:r w:rsidRPr="007B5BE6">
              <w:rPr>
                <w:sz w:val="20"/>
                <w:szCs w:val="20"/>
              </w:rPr>
              <w:t xml:space="preserve">Sentenced to imprisonment for 23 years </w:t>
            </w:r>
          </w:p>
        </w:tc>
        <w:tc>
          <w:tcPr>
            <w:tcW w:w="1544" w:type="pct"/>
          </w:tcPr>
          <w:p w14:paraId="185EDA36" w14:textId="5A7652F4" w:rsidR="006465CC" w:rsidRPr="007B5BE6" w:rsidRDefault="006465CC" w:rsidP="00C36293">
            <w:pPr>
              <w:jc w:val="left"/>
              <w:rPr>
                <w:sz w:val="20"/>
                <w:szCs w:val="20"/>
              </w:rPr>
            </w:pPr>
            <w:r w:rsidRPr="007B5BE6">
              <w:rPr>
                <w:i/>
                <w:iCs/>
                <w:sz w:val="20"/>
                <w:szCs w:val="20"/>
              </w:rPr>
              <w:t>Coroners Court of Tasmania</w:t>
            </w:r>
            <w:r w:rsidRPr="007B5BE6">
              <w:rPr>
                <w:sz w:val="20"/>
                <w:szCs w:val="20"/>
              </w:rPr>
              <w:t xml:space="preserve"> </w:t>
            </w:r>
            <w:r w:rsidRPr="007B5BE6">
              <w:rPr>
                <w:i/>
                <w:iCs/>
                <w:sz w:val="20"/>
                <w:szCs w:val="20"/>
              </w:rPr>
              <w:t>(2018)</w:t>
            </w:r>
            <w:r w:rsidR="00F81E28" w:rsidRPr="007B5BE6">
              <w:rPr>
                <w:rStyle w:val="FootnoteReference"/>
                <w:sz w:val="20"/>
                <w:szCs w:val="20"/>
              </w:rPr>
              <w:footnoteReference w:id="905"/>
            </w:r>
            <w:r w:rsidRPr="007B5BE6">
              <w:rPr>
                <w:sz w:val="20"/>
                <w:szCs w:val="20"/>
              </w:rPr>
              <w:t xml:space="preserve"> </w:t>
            </w:r>
          </w:p>
          <w:p w14:paraId="09E61B4B" w14:textId="77777777" w:rsidR="006465CC" w:rsidRPr="007B5BE6" w:rsidRDefault="006465CC" w:rsidP="00C36293">
            <w:pPr>
              <w:jc w:val="left"/>
              <w:rPr>
                <w:sz w:val="20"/>
                <w:szCs w:val="20"/>
              </w:rPr>
            </w:pPr>
            <w:r w:rsidRPr="007B5BE6">
              <w:rPr>
                <w:sz w:val="20"/>
                <w:szCs w:val="20"/>
              </w:rPr>
              <w:t>Smothered</w:t>
            </w:r>
          </w:p>
          <w:p w14:paraId="5BB1BF45" w14:textId="77777777" w:rsidR="006465CC" w:rsidRPr="007B5BE6" w:rsidRDefault="006465CC" w:rsidP="00C36293">
            <w:pPr>
              <w:jc w:val="left"/>
              <w:rPr>
                <w:sz w:val="20"/>
                <w:szCs w:val="20"/>
              </w:rPr>
            </w:pPr>
            <w:r w:rsidRPr="007B5BE6">
              <w:rPr>
                <w:sz w:val="20"/>
                <w:szCs w:val="20"/>
              </w:rPr>
              <w:t>Noted that the daughter had been convicted of murder and had used credit card to purchase airline tickets after her mother’s death</w:t>
            </w:r>
          </w:p>
        </w:tc>
      </w:tr>
    </w:tbl>
    <w:p w14:paraId="230B1A54" w14:textId="77777777" w:rsidR="001A1B04" w:rsidRPr="007B5BE6" w:rsidRDefault="001A1B04">
      <w:pPr>
        <w:spacing w:after="200" w:line="276" w:lineRule="auto"/>
        <w:jc w:val="left"/>
        <w:rPr>
          <w:b/>
          <w:bCs/>
        </w:rPr>
      </w:pPr>
      <w:r w:rsidRPr="007B5BE6">
        <w:rPr>
          <w:b/>
          <w:bCs/>
        </w:rPr>
        <w:br w:type="page"/>
      </w:r>
    </w:p>
    <w:p w14:paraId="02C3E63D" w14:textId="4B40D841" w:rsidR="00D44A27" w:rsidRPr="007B5BE6" w:rsidRDefault="00D44A27" w:rsidP="00D55E3C">
      <w:pPr>
        <w:spacing w:before="240" w:after="240"/>
        <w:rPr>
          <w:b/>
          <w:bCs/>
        </w:rPr>
      </w:pPr>
      <w:r w:rsidRPr="007B5BE6">
        <w:rPr>
          <w:b/>
          <w:bCs/>
        </w:rPr>
        <w:lastRenderedPageBreak/>
        <w:t xml:space="preserve">Table </w:t>
      </w:r>
      <w:r w:rsidR="00C766B0" w:rsidRPr="007B5BE6">
        <w:rPr>
          <w:b/>
          <w:bCs/>
        </w:rPr>
        <w:t>B.2:</w:t>
      </w:r>
      <w:r w:rsidRPr="007B5BE6">
        <w:rPr>
          <w:b/>
          <w:bCs/>
        </w:rPr>
        <w:t xml:space="preserve"> Case examples in the Tasmanian Civil and Administrative Tribunal </w:t>
      </w:r>
      <w:r w:rsidR="00DD43A7" w:rsidRPr="007B5BE6">
        <w:rPr>
          <w:b/>
          <w:bCs/>
        </w:rPr>
        <w:t>(</w:t>
      </w:r>
      <w:r w:rsidR="00DB6A21" w:rsidRPr="007B5BE6">
        <w:rPr>
          <w:b/>
          <w:bCs/>
        </w:rPr>
        <w:t>‘</w:t>
      </w:r>
      <w:r w:rsidR="00DD43A7" w:rsidRPr="007B5BE6">
        <w:rPr>
          <w:b/>
          <w:bCs/>
        </w:rPr>
        <w:t>TASCAT</w:t>
      </w:r>
      <w:r w:rsidR="00DB6A21" w:rsidRPr="007B5BE6">
        <w:rPr>
          <w:b/>
          <w:bCs/>
        </w:rPr>
        <w:t>’</w:t>
      </w:r>
      <w:r w:rsidR="00DD43A7" w:rsidRPr="007B5BE6">
        <w:rPr>
          <w:b/>
          <w:bCs/>
        </w:rPr>
        <w:t xml:space="preserve">) </w:t>
      </w:r>
      <w:r w:rsidRPr="007B5BE6">
        <w:rPr>
          <w:b/>
          <w:bCs/>
        </w:rPr>
        <w:t>Guardianship stream involving decision-making arrangements of older Tasmanian</w:t>
      </w:r>
      <w:r w:rsidR="00EB3559" w:rsidRPr="007B5BE6">
        <w:rPr>
          <w:b/>
          <w:bCs/>
        </w:rPr>
        <w: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8"/>
        <w:gridCol w:w="2835"/>
        <w:gridCol w:w="3118"/>
        <w:gridCol w:w="2977"/>
        <w:gridCol w:w="3610"/>
      </w:tblGrid>
      <w:tr w:rsidR="00D44A27" w:rsidRPr="007B5BE6" w14:paraId="22E16666" w14:textId="77777777" w:rsidTr="00AC1288">
        <w:trPr>
          <w:tblHeader/>
        </w:trPr>
        <w:tc>
          <w:tcPr>
            <w:tcW w:w="1418" w:type="dxa"/>
            <w:tcBorders>
              <w:top w:val="single" w:sz="8" w:space="0" w:color="auto"/>
              <w:bottom w:val="single" w:sz="8" w:space="0" w:color="auto"/>
            </w:tcBorders>
            <w:shd w:val="clear" w:color="auto" w:fill="FFFFFF" w:themeFill="background1"/>
          </w:tcPr>
          <w:p w14:paraId="306462F1" w14:textId="77777777" w:rsidR="00D44A27" w:rsidRPr="007B5BE6" w:rsidRDefault="00D44A27" w:rsidP="00E37E26">
            <w:pPr>
              <w:rPr>
                <w:b/>
                <w:bCs/>
                <w:sz w:val="20"/>
                <w:szCs w:val="20"/>
              </w:rPr>
            </w:pPr>
            <w:r w:rsidRPr="007B5BE6">
              <w:rPr>
                <w:b/>
                <w:bCs/>
                <w:sz w:val="20"/>
                <w:szCs w:val="20"/>
              </w:rPr>
              <w:t>Case name</w:t>
            </w:r>
          </w:p>
        </w:tc>
        <w:tc>
          <w:tcPr>
            <w:tcW w:w="2835" w:type="dxa"/>
            <w:tcBorders>
              <w:top w:val="single" w:sz="8" w:space="0" w:color="auto"/>
              <w:bottom w:val="single" w:sz="8" w:space="0" w:color="auto"/>
            </w:tcBorders>
            <w:shd w:val="clear" w:color="auto" w:fill="FFFFFF" w:themeFill="background1"/>
          </w:tcPr>
          <w:p w14:paraId="1634748C" w14:textId="77777777" w:rsidR="00D44A27" w:rsidRPr="007B5BE6" w:rsidRDefault="00D44A27" w:rsidP="00E37E26">
            <w:pPr>
              <w:rPr>
                <w:b/>
                <w:bCs/>
                <w:sz w:val="20"/>
                <w:szCs w:val="20"/>
              </w:rPr>
            </w:pPr>
            <w:r w:rsidRPr="007B5BE6">
              <w:rPr>
                <w:b/>
                <w:bCs/>
                <w:sz w:val="20"/>
                <w:szCs w:val="20"/>
              </w:rPr>
              <w:t>Nature of matter</w:t>
            </w:r>
          </w:p>
        </w:tc>
        <w:tc>
          <w:tcPr>
            <w:tcW w:w="3118" w:type="dxa"/>
            <w:tcBorders>
              <w:top w:val="single" w:sz="8" w:space="0" w:color="auto"/>
              <w:bottom w:val="single" w:sz="8" w:space="0" w:color="auto"/>
            </w:tcBorders>
            <w:shd w:val="clear" w:color="auto" w:fill="FFFFFF" w:themeFill="background1"/>
          </w:tcPr>
          <w:p w14:paraId="7567E3CA" w14:textId="77777777" w:rsidR="00D44A27" w:rsidRPr="007B5BE6" w:rsidRDefault="00D44A27" w:rsidP="00E37E26">
            <w:pPr>
              <w:rPr>
                <w:b/>
                <w:bCs/>
                <w:sz w:val="20"/>
                <w:szCs w:val="20"/>
              </w:rPr>
            </w:pPr>
            <w:r w:rsidRPr="007B5BE6">
              <w:rPr>
                <w:b/>
                <w:bCs/>
                <w:sz w:val="20"/>
                <w:szCs w:val="20"/>
              </w:rPr>
              <w:t>Circumstances</w:t>
            </w:r>
          </w:p>
        </w:tc>
        <w:tc>
          <w:tcPr>
            <w:tcW w:w="2977" w:type="dxa"/>
            <w:tcBorders>
              <w:top w:val="single" w:sz="8" w:space="0" w:color="auto"/>
              <w:bottom w:val="single" w:sz="8" w:space="0" w:color="auto"/>
            </w:tcBorders>
            <w:shd w:val="clear" w:color="auto" w:fill="FFFFFF" w:themeFill="background1"/>
          </w:tcPr>
          <w:p w14:paraId="2D9AC0C8" w14:textId="77777777" w:rsidR="00D44A27" w:rsidRPr="007B5BE6" w:rsidRDefault="00D44A27" w:rsidP="00E37E26">
            <w:pPr>
              <w:rPr>
                <w:b/>
                <w:bCs/>
                <w:sz w:val="20"/>
                <w:szCs w:val="20"/>
              </w:rPr>
            </w:pPr>
            <w:r w:rsidRPr="007B5BE6">
              <w:rPr>
                <w:b/>
                <w:bCs/>
                <w:sz w:val="20"/>
                <w:szCs w:val="20"/>
              </w:rPr>
              <w:t xml:space="preserve">Details indicative of abusive conduct </w:t>
            </w:r>
          </w:p>
        </w:tc>
        <w:tc>
          <w:tcPr>
            <w:tcW w:w="3610" w:type="dxa"/>
            <w:tcBorders>
              <w:top w:val="single" w:sz="8" w:space="0" w:color="auto"/>
              <w:bottom w:val="single" w:sz="8" w:space="0" w:color="auto"/>
            </w:tcBorders>
            <w:shd w:val="clear" w:color="auto" w:fill="FFFFFF" w:themeFill="background1"/>
          </w:tcPr>
          <w:p w14:paraId="24E29100" w14:textId="77777777" w:rsidR="00D44A27" w:rsidRPr="007B5BE6" w:rsidRDefault="00D44A27" w:rsidP="00E37E26">
            <w:pPr>
              <w:rPr>
                <w:b/>
                <w:bCs/>
                <w:sz w:val="20"/>
                <w:szCs w:val="20"/>
              </w:rPr>
            </w:pPr>
            <w:r w:rsidRPr="007B5BE6">
              <w:rPr>
                <w:b/>
                <w:bCs/>
                <w:sz w:val="20"/>
                <w:szCs w:val="20"/>
              </w:rPr>
              <w:t>Details relevant to responses under current legal framework</w:t>
            </w:r>
          </w:p>
        </w:tc>
      </w:tr>
      <w:tr w:rsidR="00D44A27" w:rsidRPr="007B5BE6" w14:paraId="7C2964A9" w14:textId="77777777" w:rsidTr="00AC1288">
        <w:tc>
          <w:tcPr>
            <w:tcW w:w="1418" w:type="dxa"/>
            <w:tcBorders>
              <w:top w:val="single" w:sz="8" w:space="0" w:color="auto"/>
            </w:tcBorders>
          </w:tcPr>
          <w:p w14:paraId="3C220FC7" w14:textId="026D25B7" w:rsidR="00D44A27" w:rsidRPr="007B5BE6" w:rsidRDefault="00D44A27" w:rsidP="00F529A3">
            <w:pPr>
              <w:jc w:val="left"/>
              <w:rPr>
                <w:sz w:val="20"/>
                <w:szCs w:val="20"/>
              </w:rPr>
            </w:pPr>
            <w:r w:rsidRPr="007B5BE6">
              <w:rPr>
                <w:sz w:val="20"/>
                <w:szCs w:val="20"/>
              </w:rPr>
              <w:t>FKD</w:t>
            </w:r>
            <w:r w:rsidR="00F81E28" w:rsidRPr="007B5BE6">
              <w:rPr>
                <w:rStyle w:val="FootnoteReference"/>
                <w:sz w:val="20"/>
                <w:szCs w:val="20"/>
              </w:rPr>
              <w:footnoteReference w:id="906"/>
            </w:r>
          </w:p>
        </w:tc>
        <w:tc>
          <w:tcPr>
            <w:tcW w:w="2835" w:type="dxa"/>
            <w:tcBorders>
              <w:top w:val="single" w:sz="8" w:space="0" w:color="auto"/>
            </w:tcBorders>
          </w:tcPr>
          <w:p w14:paraId="01C40C08" w14:textId="77777777" w:rsidR="00D44A27" w:rsidRPr="007B5BE6" w:rsidRDefault="00D44A27" w:rsidP="00F529A3">
            <w:pPr>
              <w:jc w:val="left"/>
              <w:rPr>
                <w:sz w:val="20"/>
                <w:szCs w:val="20"/>
              </w:rPr>
            </w:pPr>
            <w:r w:rsidRPr="007B5BE6">
              <w:rPr>
                <w:sz w:val="20"/>
                <w:szCs w:val="20"/>
              </w:rPr>
              <w:t>Review of administration order</w:t>
            </w:r>
          </w:p>
        </w:tc>
        <w:tc>
          <w:tcPr>
            <w:tcW w:w="3118" w:type="dxa"/>
            <w:tcBorders>
              <w:top w:val="single" w:sz="8" w:space="0" w:color="auto"/>
            </w:tcBorders>
          </w:tcPr>
          <w:p w14:paraId="590E2E00" w14:textId="2F182A68" w:rsidR="00D44A27" w:rsidRPr="007B5BE6" w:rsidRDefault="00D44A27" w:rsidP="00F529A3">
            <w:pPr>
              <w:jc w:val="left"/>
              <w:rPr>
                <w:sz w:val="20"/>
                <w:szCs w:val="20"/>
              </w:rPr>
            </w:pPr>
            <w:r w:rsidRPr="007B5BE6">
              <w:rPr>
                <w:sz w:val="20"/>
                <w:szCs w:val="20"/>
              </w:rPr>
              <w:t>Older person: has vascular dementia and living in aged care facility; owned house and financial assets</w:t>
            </w:r>
          </w:p>
          <w:p w14:paraId="10079E75" w14:textId="68D90123" w:rsidR="00D44A27" w:rsidRPr="007B5BE6" w:rsidRDefault="00D44A27" w:rsidP="00F529A3">
            <w:pPr>
              <w:jc w:val="left"/>
              <w:rPr>
                <w:sz w:val="20"/>
                <w:szCs w:val="20"/>
              </w:rPr>
            </w:pPr>
            <w:r w:rsidRPr="007B5BE6">
              <w:rPr>
                <w:sz w:val="20"/>
                <w:szCs w:val="20"/>
              </w:rPr>
              <w:t>Family: complex dynamics and lack of knowledge of effect of assets on aged care pension</w:t>
            </w:r>
          </w:p>
        </w:tc>
        <w:tc>
          <w:tcPr>
            <w:tcW w:w="2977" w:type="dxa"/>
            <w:tcBorders>
              <w:top w:val="single" w:sz="8" w:space="0" w:color="auto"/>
            </w:tcBorders>
          </w:tcPr>
          <w:p w14:paraId="0F569A91" w14:textId="77777777" w:rsidR="00D44A27" w:rsidRPr="007B5BE6" w:rsidRDefault="00D44A27" w:rsidP="00F529A3">
            <w:pPr>
              <w:jc w:val="left"/>
              <w:rPr>
                <w:sz w:val="20"/>
                <w:szCs w:val="20"/>
              </w:rPr>
            </w:pPr>
            <w:r w:rsidRPr="007B5BE6">
              <w:rPr>
                <w:sz w:val="20"/>
                <w:szCs w:val="20"/>
              </w:rPr>
              <w:t xml:space="preserve">Conduct: </w:t>
            </w:r>
          </w:p>
          <w:p w14:paraId="087458AA" w14:textId="3B0728EF" w:rsidR="00D44A27" w:rsidRPr="007B5BE6" w:rsidRDefault="00D44A27" w:rsidP="00F529A3">
            <w:pPr>
              <w:jc w:val="left"/>
              <w:rPr>
                <w:sz w:val="20"/>
                <w:szCs w:val="20"/>
              </w:rPr>
            </w:pPr>
            <w:r w:rsidRPr="007B5BE6">
              <w:rPr>
                <w:sz w:val="20"/>
                <w:szCs w:val="20"/>
              </w:rPr>
              <w:t>Adult child who had lived with FKD had stolen money and items, not reported to police by other family member as ‘did not want to get police involved’</w:t>
            </w:r>
          </w:p>
          <w:p w14:paraId="727A16C5" w14:textId="77777777" w:rsidR="00D44A27" w:rsidRPr="007B5BE6" w:rsidRDefault="00D44A27" w:rsidP="00F529A3">
            <w:pPr>
              <w:jc w:val="left"/>
              <w:rPr>
                <w:sz w:val="20"/>
                <w:szCs w:val="20"/>
              </w:rPr>
            </w:pPr>
            <w:r w:rsidRPr="007B5BE6">
              <w:rPr>
                <w:sz w:val="20"/>
                <w:szCs w:val="20"/>
              </w:rPr>
              <w:t>(Relationships: adult children)</w:t>
            </w:r>
          </w:p>
        </w:tc>
        <w:tc>
          <w:tcPr>
            <w:tcW w:w="3610" w:type="dxa"/>
            <w:tcBorders>
              <w:top w:val="single" w:sz="8" w:space="0" w:color="auto"/>
            </w:tcBorders>
          </w:tcPr>
          <w:p w14:paraId="50C8796E" w14:textId="77777777" w:rsidR="00D44A27" w:rsidRPr="007B5BE6" w:rsidRDefault="00D44A27" w:rsidP="00F529A3">
            <w:pPr>
              <w:jc w:val="left"/>
              <w:rPr>
                <w:sz w:val="20"/>
                <w:szCs w:val="20"/>
              </w:rPr>
            </w:pPr>
            <w:r w:rsidRPr="007B5BE6">
              <w:rPr>
                <w:sz w:val="20"/>
                <w:szCs w:val="20"/>
              </w:rPr>
              <w:t>TASCAT decision: Guardian replaced with public guardian</w:t>
            </w:r>
          </w:p>
          <w:p w14:paraId="35E74029" w14:textId="77777777" w:rsidR="00D44A27" w:rsidRPr="007B5BE6" w:rsidRDefault="00D44A27" w:rsidP="00F529A3">
            <w:pPr>
              <w:jc w:val="left"/>
              <w:rPr>
                <w:sz w:val="20"/>
                <w:szCs w:val="20"/>
              </w:rPr>
            </w:pPr>
            <w:r w:rsidRPr="007B5BE6">
              <w:rPr>
                <w:sz w:val="20"/>
                <w:szCs w:val="20"/>
              </w:rPr>
              <w:t>Refers to possible responses under current laws</w:t>
            </w:r>
          </w:p>
          <w:p w14:paraId="03953E83" w14:textId="77777777" w:rsidR="00D44A27" w:rsidRPr="007B5BE6" w:rsidRDefault="00D44A27" w:rsidP="00F529A3">
            <w:pPr>
              <w:jc w:val="left"/>
              <w:rPr>
                <w:sz w:val="20"/>
                <w:szCs w:val="20"/>
              </w:rPr>
            </w:pPr>
            <w:r w:rsidRPr="007B5BE6">
              <w:rPr>
                <w:sz w:val="20"/>
                <w:szCs w:val="20"/>
              </w:rPr>
              <w:t xml:space="preserve">Family dynamics impact on reporting to police </w:t>
            </w:r>
          </w:p>
          <w:p w14:paraId="0F8BE45C" w14:textId="77777777" w:rsidR="00D44A27" w:rsidRPr="007B5BE6" w:rsidRDefault="00D44A27" w:rsidP="00F529A3">
            <w:pPr>
              <w:jc w:val="left"/>
              <w:rPr>
                <w:sz w:val="20"/>
                <w:szCs w:val="20"/>
              </w:rPr>
            </w:pPr>
            <w:r w:rsidRPr="007B5BE6">
              <w:rPr>
                <w:sz w:val="20"/>
                <w:szCs w:val="20"/>
              </w:rPr>
              <w:t>Conflicted position of guardian</w:t>
            </w:r>
          </w:p>
          <w:p w14:paraId="04C45CD1" w14:textId="77777777" w:rsidR="00D44A27" w:rsidRPr="007B5BE6" w:rsidRDefault="00D44A27" w:rsidP="00F529A3">
            <w:pPr>
              <w:jc w:val="left"/>
            </w:pPr>
          </w:p>
        </w:tc>
      </w:tr>
      <w:tr w:rsidR="00D44A27" w:rsidRPr="007B5BE6" w14:paraId="2647EC61" w14:textId="77777777" w:rsidTr="00C36293">
        <w:tc>
          <w:tcPr>
            <w:tcW w:w="1418" w:type="dxa"/>
          </w:tcPr>
          <w:p w14:paraId="5B07A413" w14:textId="0CD3C47F" w:rsidR="00D44A27" w:rsidRPr="007B5BE6" w:rsidRDefault="00D44A27" w:rsidP="00C36293">
            <w:pPr>
              <w:jc w:val="left"/>
              <w:rPr>
                <w:sz w:val="20"/>
                <w:szCs w:val="20"/>
              </w:rPr>
            </w:pPr>
            <w:r w:rsidRPr="007B5BE6">
              <w:rPr>
                <w:sz w:val="20"/>
                <w:szCs w:val="20"/>
              </w:rPr>
              <w:t>GBL</w:t>
            </w:r>
            <w:r w:rsidR="00F81E28" w:rsidRPr="007B5BE6">
              <w:rPr>
                <w:rStyle w:val="FootnoteReference"/>
                <w:sz w:val="20"/>
                <w:szCs w:val="20"/>
              </w:rPr>
              <w:footnoteReference w:id="907"/>
            </w:r>
          </w:p>
        </w:tc>
        <w:tc>
          <w:tcPr>
            <w:tcW w:w="2835" w:type="dxa"/>
          </w:tcPr>
          <w:p w14:paraId="4F2E5055" w14:textId="77777777" w:rsidR="00D44A27" w:rsidRPr="007B5BE6" w:rsidRDefault="00D44A27" w:rsidP="00C36293">
            <w:pPr>
              <w:jc w:val="left"/>
              <w:rPr>
                <w:sz w:val="20"/>
                <w:szCs w:val="20"/>
              </w:rPr>
            </w:pPr>
            <w:r w:rsidRPr="007B5BE6">
              <w:rPr>
                <w:sz w:val="20"/>
              </w:rPr>
              <w:t>Application for guardianship and administration</w:t>
            </w:r>
          </w:p>
        </w:tc>
        <w:tc>
          <w:tcPr>
            <w:tcW w:w="3118" w:type="dxa"/>
          </w:tcPr>
          <w:p w14:paraId="3ECCA824" w14:textId="161CF518" w:rsidR="00D44A27" w:rsidRPr="007B5BE6" w:rsidRDefault="00D44A27" w:rsidP="00C36293">
            <w:pPr>
              <w:jc w:val="left"/>
              <w:rPr>
                <w:sz w:val="20"/>
                <w:szCs w:val="20"/>
              </w:rPr>
            </w:pPr>
            <w:r w:rsidRPr="007B5BE6">
              <w:rPr>
                <w:sz w:val="20"/>
                <w:szCs w:val="20"/>
              </w:rPr>
              <w:t>Older person: has vascular dementia; owned house and financial assets; large amounts of cash in house; distrust of Public Trustee and Guardian</w:t>
            </w:r>
          </w:p>
          <w:p w14:paraId="4C5B500F" w14:textId="55450371" w:rsidR="00D44A27" w:rsidRPr="007B5BE6" w:rsidRDefault="00D44A27" w:rsidP="00C36293">
            <w:pPr>
              <w:jc w:val="left"/>
              <w:rPr>
                <w:sz w:val="20"/>
                <w:szCs w:val="20"/>
              </w:rPr>
            </w:pPr>
            <w:r w:rsidRPr="007B5BE6">
              <w:rPr>
                <w:sz w:val="20"/>
                <w:szCs w:val="20"/>
              </w:rPr>
              <w:t>Family: difficult relationship with children and believed they want to put him in nursing home; daughters did not want to be guardian; suggestion of family mediation</w:t>
            </w:r>
          </w:p>
        </w:tc>
        <w:tc>
          <w:tcPr>
            <w:tcW w:w="2977" w:type="dxa"/>
          </w:tcPr>
          <w:p w14:paraId="661B2743" w14:textId="77777777" w:rsidR="00D44A27" w:rsidRPr="007B5BE6" w:rsidRDefault="00D44A27" w:rsidP="00C36293">
            <w:pPr>
              <w:jc w:val="left"/>
              <w:rPr>
                <w:sz w:val="20"/>
                <w:szCs w:val="20"/>
              </w:rPr>
            </w:pPr>
            <w:r w:rsidRPr="007B5BE6">
              <w:rPr>
                <w:sz w:val="20"/>
                <w:szCs w:val="20"/>
              </w:rPr>
              <w:t xml:space="preserve">Conduct: </w:t>
            </w:r>
          </w:p>
          <w:p w14:paraId="3ABE310C" w14:textId="77777777" w:rsidR="00D44A27" w:rsidRPr="007B5BE6" w:rsidRDefault="00D44A27" w:rsidP="00C36293">
            <w:pPr>
              <w:jc w:val="left"/>
              <w:rPr>
                <w:sz w:val="20"/>
                <w:szCs w:val="20"/>
              </w:rPr>
            </w:pPr>
            <w:r w:rsidRPr="007B5BE6">
              <w:rPr>
                <w:sz w:val="20"/>
                <w:szCs w:val="20"/>
              </w:rPr>
              <w:t>GBL had loaned $50,000 to a woman; concerns of risk of financial abuse from another individual who was living rent free in house</w:t>
            </w:r>
          </w:p>
          <w:p w14:paraId="2D6C6EEE" w14:textId="77777777" w:rsidR="00D44A27" w:rsidRPr="007B5BE6" w:rsidRDefault="00D44A27" w:rsidP="00A17D7A">
            <w:pPr>
              <w:jc w:val="left"/>
              <w:rPr>
                <w:sz w:val="20"/>
                <w:szCs w:val="20"/>
              </w:rPr>
            </w:pPr>
            <w:r w:rsidRPr="007B5BE6">
              <w:rPr>
                <w:sz w:val="20"/>
                <w:szCs w:val="20"/>
              </w:rPr>
              <w:t>(Relationship: friend/ acquaintance)</w:t>
            </w:r>
          </w:p>
          <w:p w14:paraId="33E86492" w14:textId="77777777" w:rsidR="00D44A27" w:rsidRPr="007B5BE6" w:rsidRDefault="00D44A27" w:rsidP="00A17D7A">
            <w:pPr>
              <w:jc w:val="left"/>
              <w:rPr>
                <w:sz w:val="20"/>
                <w:szCs w:val="20"/>
              </w:rPr>
            </w:pPr>
          </w:p>
        </w:tc>
        <w:tc>
          <w:tcPr>
            <w:tcW w:w="3610" w:type="dxa"/>
          </w:tcPr>
          <w:p w14:paraId="75671325" w14:textId="77777777" w:rsidR="00D44A27" w:rsidRPr="007B5BE6" w:rsidRDefault="00D44A27" w:rsidP="00C36293">
            <w:pPr>
              <w:jc w:val="left"/>
              <w:rPr>
                <w:sz w:val="20"/>
                <w:szCs w:val="20"/>
              </w:rPr>
            </w:pPr>
            <w:r w:rsidRPr="007B5BE6">
              <w:rPr>
                <w:sz w:val="20"/>
                <w:szCs w:val="20"/>
              </w:rPr>
              <w:t xml:space="preserve">TASCAT decision: Public guardian appointed </w:t>
            </w:r>
          </w:p>
          <w:p w14:paraId="0E56780B" w14:textId="77777777" w:rsidR="00D44A27" w:rsidRPr="007B5BE6" w:rsidRDefault="00D44A27" w:rsidP="00C36293">
            <w:pPr>
              <w:jc w:val="left"/>
              <w:rPr>
                <w:sz w:val="20"/>
                <w:szCs w:val="20"/>
              </w:rPr>
            </w:pPr>
            <w:r w:rsidRPr="007B5BE6">
              <w:rPr>
                <w:sz w:val="20"/>
                <w:szCs w:val="20"/>
              </w:rPr>
              <w:t>Risk of GBL giving assets/money to more people</w:t>
            </w:r>
          </w:p>
        </w:tc>
      </w:tr>
      <w:tr w:rsidR="00D44A27" w:rsidRPr="007B5BE6" w14:paraId="08D1E495" w14:textId="77777777" w:rsidTr="00C36293">
        <w:tc>
          <w:tcPr>
            <w:tcW w:w="1418" w:type="dxa"/>
          </w:tcPr>
          <w:p w14:paraId="3044096D" w14:textId="6AB58286" w:rsidR="00D44A27" w:rsidRPr="007B5BE6" w:rsidRDefault="00D44A27" w:rsidP="00C36293">
            <w:pPr>
              <w:jc w:val="left"/>
              <w:rPr>
                <w:sz w:val="20"/>
                <w:szCs w:val="20"/>
              </w:rPr>
            </w:pPr>
            <w:r w:rsidRPr="007B5BE6">
              <w:rPr>
                <w:sz w:val="20"/>
                <w:szCs w:val="20"/>
              </w:rPr>
              <w:lastRenderedPageBreak/>
              <w:t>CT</w:t>
            </w:r>
            <w:r w:rsidR="00CC2941" w:rsidRPr="007B5BE6">
              <w:rPr>
                <w:rStyle w:val="FootnoteReference"/>
                <w:sz w:val="20"/>
                <w:szCs w:val="20"/>
              </w:rPr>
              <w:footnoteReference w:id="908"/>
            </w:r>
          </w:p>
        </w:tc>
        <w:tc>
          <w:tcPr>
            <w:tcW w:w="2835" w:type="dxa"/>
          </w:tcPr>
          <w:p w14:paraId="3D2A5950" w14:textId="77777777" w:rsidR="00D44A27" w:rsidRPr="007B5BE6" w:rsidRDefault="00D44A27" w:rsidP="00C36293">
            <w:pPr>
              <w:jc w:val="left"/>
              <w:rPr>
                <w:sz w:val="20"/>
                <w:szCs w:val="20"/>
              </w:rPr>
            </w:pPr>
            <w:r w:rsidRPr="007B5BE6">
              <w:rPr>
                <w:sz w:val="20"/>
              </w:rPr>
              <w:t>Review of enduring powers of attorney (EPOA) and enduring guardianship (EG)</w:t>
            </w:r>
          </w:p>
        </w:tc>
        <w:tc>
          <w:tcPr>
            <w:tcW w:w="3118" w:type="dxa"/>
          </w:tcPr>
          <w:p w14:paraId="1CB12D2E" w14:textId="62FD195A" w:rsidR="00D44A27" w:rsidRPr="007B5BE6" w:rsidRDefault="00D44A27" w:rsidP="00C36293">
            <w:pPr>
              <w:jc w:val="left"/>
              <w:rPr>
                <w:sz w:val="20"/>
                <w:szCs w:val="20"/>
              </w:rPr>
            </w:pPr>
            <w:r w:rsidRPr="007B5BE6">
              <w:rPr>
                <w:sz w:val="20"/>
                <w:szCs w:val="20"/>
              </w:rPr>
              <w:t xml:space="preserve">Older person: executed a deed of revocation of EPOA and EG from his children to LD who he had known for 10 months; </w:t>
            </w:r>
            <w:r w:rsidRPr="007B5BE6">
              <w:rPr>
                <w:sz w:val="20"/>
              </w:rPr>
              <w:t>CT had changed powers as was concerned his children would not make decisions that he wanted them to, enjoyed LD company</w:t>
            </w:r>
          </w:p>
          <w:p w14:paraId="541EEC64" w14:textId="199FC7BB" w:rsidR="00D44A27" w:rsidRPr="007B5BE6" w:rsidRDefault="00D44A27" w:rsidP="00C36293">
            <w:pPr>
              <w:jc w:val="left"/>
              <w:rPr>
                <w:sz w:val="20"/>
                <w:szCs w:val="20"/>
              </w:rPr>
            </w:pPr>
            <w:r w:rsidRPr="007B5BE6">
              <w:rPr>
                <w:sz w:val="20"/>
                <w:szCs w:val="20"/>
              </w:rPr>
              <w:t>Family: children applied to TASCAT for invalidation of revocation deeds on the basis that did not have capacity and was induced to make them by undue influence</w:t>
            </w:r>
          </w:p>
        </w:tc>
        <w:tc>
          <w:tcPr>
            <w:tcW w:w="2977" w:type="dxa"/>
          </w:tcPr>
          <w:p w14:paraId="415F9863" w14:textId="77777777" w:rsidR="00D44A27" w:rsidRPr="007B5BE6" w:rsidRDefault="00D44A27" w:rsidP="00A17D7A">
            <w:pPr>
              <w:jc w:val="left"/>
              <w:rPr>
                <w:sz w:val="20"/>
                <w:szCs w:val="20"/>
              </w:rPr>
            </w:pPr>
            <w:r w:rsidRPr="007B5BE6">
              <w:rPr>
                <w:sz w:val="20"/>
                <w:szCs w:val="20"/>
              </w:rPr>
              <w:t xml:space="preserve">Conduct: </w:t>
            </w:r>
          </w:p>
          <w:p w14:paraId="0B65E290" w14:textId="77777777" w:rsidR="00D44A27" w:rsidRPr="007B5BE6" w:rsidRDefault="00D44A27" w:rsidP="00A17D7A">
            <w:pPr>
              <w:jc w:val="left"/>
              <w:rPr>
                <w:sz w:val="20"/>
                <w:szCs w:val="20"/>
              </w:rPr>
            </w:pPr>
            <w:r w:rsidRPr="007B5BE6">
              <w:rPr>
                <w:sz w:val="20"/>
                <w:szCs w:val="20"/>
              </w:rPr>
              <w:t>Nurse had been concerned about ‘elder abuse’; LD taken control of CT’s life and was ‘aggressive’</w:t>
            </w:r>
          </w:p>
          <w:p w14:paraId="5EB1648F" w14:textId="77777777" w:rsidR="00D44A27" w:rsidRPr="007B5BE6" w:rsidRDefault="00D44A27" w:rsidP="00A17D7A">
            <w:pPr>
              <w:jc w:val="left"/>
              <w:rPr>
                <w:sz w:val="20"/>
                <w:szCs w:val="20"/>
              </w:rPr>
            </w:pPr>
          </w:p>
          <w:p w14:paraId="566BAF45" w14:textId="77777777" w:rsidR="00D44A27" w:rsidRPr="007B5BE6" w:rsidRDefault="00D44A27" w:rsidP="00A17D7A">
            <w:pPr>
              <w:jc w:val="left"/>
              <w:rPr>
                <w:sz w:val="20"/>
                <w:szCs w:val="20"/>
              </w:rPr>
            </w:pPr>
            <w:r w:rsidRPr="007B5BE6">
              <w:rPr>
                <w:sz w:val="20"/>
                <w:szCs w:val="20"/>
              </w:rPr>
              <w:t>(Relationship: friend/ acquaintance)</w:t>
            </w:r>
          </w:p>
          <w:p w14:paraId="7C2FC46D" w14:textId="77777777" w:rsidR="00D44A27" w:rsidRPr="007B5BE6" w:rsidRDefault="00D44A27" w:rsidP="00A17D7A">
            <w:pPr>
              <w:jc w:val="left"/>
              <w:rPr>
                <w:sz w:val="20"/>
                <w:szCs w:val="20"/>
              </w:rPr>
            </w:pPr>
          </w:p>
          <w:p w14:paraId="4F8F8C0C" w14:textId="77777777" w:rsidR="00D44A27" w:rsidRPr="007B5BE6" w:rsidRDefault="00D44A27" w:rsidP="00A17D7A">
            <w:pPr>
              <w:jc w:val="left"/>
              <w:rPr>
                <w:sz w:val="20"/>
                <w:szCs w:val="20"/>
              </w:rPr>
            </w:pPr>
          </w:p>
        </w:tc>
        <w:tc>
          <w:tcPr>
            <w:tcW w:w="3610" w:type="dxa"/>
          </w:tcPr>
          <w:p w14:paraId="50FC8B57" w14:textId="77777777" w:rsidR="00D44A27" w:rsidRPr="007B5BE6" w:rsidRDefault="00D44A27" w:rsidP="00C36293">
            <w:pPr>
              <w:jc w:val="left"/>
              <w:rPr>
                <w:sz w:val="20"/>
                <w:szCs w:val="20"/>
              </w:rPr>
            </w:pPr>
            <w:r w:rsidRPr="007B5BE6">
              <w:rPr>
                <w:sz w:val="20"/>
                <w:szCs w:val="20"/>
              </w:rPr>
              <w:t xml:space="preserve">TASCAT decision: application for revocation dismissed </w:t>
            </w:r>
          </w:p>
          <w:p w14:paraId="037A606D" w14:textId="77777777" w:rsidR="00D44A27" w:rsidRPr="007B5BE6" w:rsidRDefault="00D44A27" w:rsidP="00C36293">
            <w:pPr>
              <w:jc w:val="left"/>
              <w:rPr>
                <w:sz w:val="20"/>
                <w:szCs w:val="20"/>
              </w:rPr>
            </w:pPr>
            <w:r w:rsidRPr="007B5BE6">
              <w:rPr>
                <w:sz w:val="20"/>
                <w:szCs w:val="20"/>
              </w:rPr>
              <w:t>LD has capacity and no evidence of undue influence</w:t>
            </w:r>
          </w:p>
        </w:tc>
      </w:tr>
      <w:tr w:rsidR="00D44A27" w:rsidRPr="007B5BE6" w14:paraId="35A64B4B" w14:textId="77777777" w:rsidTr="00C36293">
        <w:tc>
          <w:tcPr>
            <w:tcW w:w="1418" w:type="dxa"/>
          </w:tcPr>
          <w:p w14:paraId="773AD755" w14:textId="3A2A7409" w:rsidR="00D44A27" w:rsidRPr="007B5BE6" w:rsidRDefault="00D44A27" w:rsidP="00C36293">
            <w:pPr>
              <w:jc w:val="left"/>
              <w:rPr>
                <w:sz w:val="20"/>
                <w:szCs w:val="20"/>
              </w:rPr>
            </w:pPr>
            <w:r w:rsidRPr="007B5BE6">
              <w:rPr>
                <w:sz w:val="20"/>
                <w:szCs w:val="20"/>
              </w:rPr>
              <w:t>OU</w:t>
            </w:r>
            <w:r w:rsidR="00CC2941" w:rsidRPr="007B5BE6">
              <w:rPr>
                <w:rStyle w:val="FootnoteReference"/>
                <w:sz w:val="20"/>
                <w:szCs w:val="20"/>
              </w:rPr>
              <w:footnoteReference w:id="909"/>
            </w:r>
          </w:p>
        </w:tc>
        <w:tc>
          <w:tcPr>
            <w:tcW w:w="2835" w:type="dxa"/>
          </w:tcPr>
          <w:p w14:paraId="2763C25B" w14:textId="77777777" w:rsidR="00D44A27" w:rsidRPr="007B5BE6" w:rsidRDefault="00D44A27" w:rsidP="00C36293">
            <w:pPr>
              <w:jc w:val="left"/>
              <w:rPr>
                <w:sz w:val="20"/>
                <w:szCs w:val="20"/>
              </w:rPr>
            </w:pPr>
            <w:r w:rsidRPr="007B5BE6">
              <w:rPr>
                <w:sz w:val="20"/>
              </w:rPr>
              <w:t>Application for review of administration</w:t>
            </w:r>
          </w:p>
        </w:tc>
        <w:tc>
          <w:tcPr>
            <w:tcW w:w="3118" w:type="dxa"/>
          </w:tcPr>
          <w:p w14:paraId="3923D4E2" w14:textId="2356745A" w:rsidR="00D44A27" w:rsidRPr="007B5BE6" w:rsidRDefault="00D44A27" w:rsidP="00A17D7A">
            <w:pPr>
              <w:jc w:val="left"/>
              <w:rPr>
                <w:sz w:val="20"/>
                <w:szCs w:val="20"/>
              </w:rPr>
            </w:pPr>
            <w:r w:rsidRPr="007B5BE6">
              <w:rPr>
                <w:sz w:val="20"/>
                <w:szCs w:val="20"/>
              </w:rPr>
              <w:t>Older person: has dementia; son previously appointed as EPOA and EG; revoked by mother when their relationship deteriorated at the same time as a deterioration in her cognition and mental health; made allegations that her son had engaged in fraudulent investments; Public Guardian appointed as limited guardian and Public Trustee as administrator, including authority to seek legal advice on behalf of OU regarding allegations of misappropriation of funds</w:t>
            </w:r>
          </w:p>
          <w:p w14:paraId="2EAAA1F1" w14:textId="41106BE3" w:rsidR="00D44A27" w:rsidRPr="007B5BE6" w:rsidRDefault="00D44A27" w:rsidP="00A17D7A">
            <w:pPr>
              <w:jc w:val="left"/>
              <w:rPr>
                <w:sz w:val="20"/>
                <w:szCs w:val="20"/>
              </w:rPr>
            </w:pPr>
            <w:r w:rsidRPr="007B5BE6">
              <w:rPr>
                <w:sz w:val="20"/>
                <w:szCs w:val="20"/>
              </w:rPr>
              <w:t xml:space="preserve">Family: son </w:t>
            </w:r>
            <w:r w:rsidRPr="007B5BE6">
              <w:rPr>
                <w:sz w:val="20"/>
              </w:rPr>
              <w:t xml:space="preserve">sought review of orders and wanted to have results of </w:t>
            </w:r>
            <w:r w:rsidRPr="007B5BE6">
              <w:rPr>
                <w:sz w:val="20"/>
              </w:rPr>
              <w:lastRenderedPageBreak/>
              <w:t>investigation into possible misappropriation cleared to establish that he should be EPOA and EG</w:t>
            </w:r>
          </w:p>
        </w:tc>
        <w:tc>
          <w:tcPr>
            <w:tcW w:w="2977" w:type="dxa"/>
          </w:tcPr>
          <w:p w14:paraId="63136B19" w14:textId="77777777" w:rsidR="00D44A27" w:rsidRPr="007B5BE6" w:rsidRDefault="00D44A27" w:rsidP="00A17D7A">
            <w:pPr>
              <w:jc w:val="left"/>
              <w:rPr>
                <w:sz w:val="20"/>
                <w:szCs w:val="20"/>
              </w:rPr>
            </w:pPr>
            <w:r w:rsidRPr="007B5BE6">
              <w:rPr>
                <w:sz w:val="20"/>
                <w:szCs w:val="20"/>
              </w:rPr>
              <w:lastRenderedPageBreak/>
              <w:t xml:space="preserve">Conduct: </w:t>
            </w:r>
          </w:p>
          <w:p w14:paraId="7B008208" w14:textId="77777777" w:rsidR="00D44A27" w:rsidRPr="007B5BE6" w:rsidRDefault="00D44A27" w:rsidP="00A17D7A">
            <w:pPr>
              <w:jc w:val="left"/>
              <w:rPr>
                <w:sz w:val="20"/>
                <w:szCs w:val="20"/>
              </w:rPr>
            </w:pPr>
            <w:r w:rsidRPr="007B5BE6">
              <w:rPr>
                <w:sz w:val="20"/>
              </w:rPr>
              <w:t>Re</w:t>
            </w:r>
            <w:r w:rsidRPr="007B5BE6">
              <w:rPr>
                <w:sz w:val="20"/>
                <w:szCs w:val="20"/>
              </w:rPr>
              <w:t>lationship with son had reconciled; evidence that relationship deterioration with son and allegations coincided with change in behaviour, including paranoia and trauma from past violent relationship with son’s father which son helped her escape from.</w:t>
            </w:r>
          </w:p>
          <w:p w14:paraId="5D8978F2" w14:textId="77777777" w:rsidR="00D44A27" w:rsidRPr="007B5BE6" w:rsidRDefault="00D44A27" w:rsidP="00C36293">
            <w:pPr>
              <w:jc w:val="left"/>
              <w:rPr>
                <w:sz w:val="20"/>
                <w:szCs w:val="20"/>
              </w:rPr>
            </w:pPr>
            <w:r w:rsidRPr="007B5BE6">
              <w:rPr>
                <w:sz w:val="20"/>
                <w:szCs w:val="20"/>
              </w:rPr>
              <w:t xml:space="preserve">(Relationship: adult child) </w:t>
            </w:r>
          </w:p>
          <w:p w14:paraId="7DF1C87B" w14:textId="77777777" w:rsidR="00D44A27" w:rsidRPr="007B5BE6" w:rsidRDefault="00D44A27" w:rsidP="00A17D7A">
            <w:pPr>
              <w:jc w:val="left"/>
              <w:rPr>
                <w:sz w:val="20"/>
                <w:szCs w:val="20"/>
              </w:rPr>
            </w:pPr>
            <w:r w:rsidRPr="007B5BE6">
              <w:rPr>
                <w:sz w:val="20"/>
                <w:szCs w:val="20"/>
              </w:rPr>
              <w:t xml:space="preserve"> </w:t>
            </w:r>
          </w:p>
        </w:tc>
        <w:tc>
          <w:tcPr>
            <w:tcW w:w="3610" w:type="dxa"/>
          </w:tcPr>
          <w:p w14:paraId="3FA51E74" w14:textId="77777777" w:rsidR="00D44A27" w:rsidRPr="007B5BE6" w:rsidRDefault="00D44A27" w:rsidP="00C36293">
            <w:pPr>
              <w:jc w:val="left"/>
              <w:rPr>
                <w:sz w:val="20"/>
                <w:szCs w:val="20"/>
              </w:rPr>
            </w:pPr>
            <w:r w:rsidRPr="007B5BE6">
              <w:rPr>
                <w:sz w:val="20"/>
                <w:szCs w:val="20"/>
              </w:rPr>
              <w:t>TASCAT decision: Son appointed as EPOA and EG</w:t>
            </w:r>
          </w:p>
          <w:p w14:paraId="3C8E2713" w14:textId="5B7ADA28" w:rsidR="00D44A27" w:rsidRPr="007B5BE6" w:rsidRDefault="00D44A27" w:rsidP="00C36293">
            <w:pPr>
              <w:jc w:val="left"/>
              <w:rPr>
                <w:sz w:val="20"/>
                <w:szCs w:val="20"/>
              </w:rPr>
            </w:pPr>
            <w:r w:rsidRPr="007B5BE6">
              <w:rPr>
                <w:sz w:val="20"/>
                <w:szCs w:val="20"/>
              </w:rPr>
              <w:t>No evidence of misappropriation of funds by son</w:t>
            </w:r>
          </w:p>
          <w:p w14:paraId="347DE310" w14:textId="77777777" w:rsidR="00D44A27" w:rsidRPr="007B5BE6" w:rsidRDefault="00D44A27" w:rsidP="00C36293">
            <w:pPr>
              <w:jc w:val="left"/>
              <w:rPr>
                <w:sz w:val="20"/>
                <w:szCs w:val="20"/>
              </w:rPr>
            </w:pPr>
          </w:p>
          <w:p w14:paraId="5C7CAA83" w14:textId="77777777" w:rsidR="00D44A27" w:rsidRPr="007B5BE6" w:rsidRDefault="00D44A27" w:rsidP="00C36293">
            <w:pPr>
              <w:jc w:val="left"/>
              <w:rPr>
                <w:sz w:val="20"/>
                <w:szCs w:val="20"/>
              </w:rPr>
            </w:pPr>
          </w:p>
        </w:tc>
      </w:tr>
      <w:tr w:rsidR="00D44A27" w:rsidRPr="007B5BE6" w14:paraId="07D3A2FC" w14:textId="77777777" w:rsidTr="00C36293">
        <w:tc>
          <w:tcPr>
            <w:tcW w:w="1418" w:type="dxa"/>
          </w:tcPr>
          <w:p w14:paraId="47A33EB5" w14:textId="221CE606" w:rsidR="00D44A27" w:rsidRPr="007B5BE6" w:rsidRDefault="00D44A27" w:rsidP="00C36293">
            <w:pPr>
              <w:jc w:val="left"/>
              <w:rPr>
                <w:sz w:val="20"/>
                <w:szCs w:val="20"/>
              </w:rPr>
            </w:pPr>
            <w:r w:rsidRPr="007B5BE6">
              <w:rPr>
                <w:sz w:val="20"/>
                <w:szCs w:val="20"/>
              </w:rPr>
              <w:t>XBD</w:t>
            </w:r>
            <w:r w:rsidR="00CC2941" w:rsidRPr="007B5BE6">
              <w:rPr>
                <w:rStyle w:val="FootnoteReference"/>
                <w:sz w:val="20"/>
                <w:szCs w:val="20"/>
              </w:rPr>
              <w:footnoteReference w:id="910"/>
            </w:r>
          </w:p>
        </w:tc>
        <w:tc>
          <w:tcPr>
            <w:tcW w:w="2835" w:type="dxa"/>
          </w:tcPr>
          <w:p w14:paraId="5CA98403" w14:textId="77777777" w:rsidR="00D44A27" w:rsidRPr="007B5BE6" w:rsidRDefault="00D44A27" w:rsidP="00C36293">
            <w:pPr>
              <w:jc w:val="left"/>
              <w:rPr>
                <w:sz w:val="20"/>
                <w:szCs w:val="20"/>
              </w:rPr>
            </w:pPr>
            <w:r w:rsidRPr="007B5BE6">
              <w:rPr>
                <w:sz w:val="20"/>
              </w:rPr>
              <w:t>Application for administration</w:t>
            </w:r>
          </w:p>
        </w:tc>
        <w:tc>
          <w:tcPr>
            <w:tcW w:w="3118" w:type="dxa"/>
          </w:tcPr>
          <w:p w14:paraId="6E3A5442" w14:textId="4B0A6292" w:rsidR="00D44A27" w:rsidRPr="007B5BE6" w:rsidRDefault="00D44A27" w:rsidP="00C36293">
            <w:pPr>
              <w:jc w:val="left"/>
              <w:rPr>
                <w:sz w:val="20"/>
                <w:szCs w:val="20"/>
              </w:rPr>
            </w:pPr>
            <w:r w:rsidRPr="007B5BE6">
              <w:rPr>
                <w:sz w:val="20"/>
                <w:szCs w:val="20"/>
              </w:rPr>
              <w:t xml:space="preserve">Older person: had appointed partner and </w:t>
            </w:r>
            <w:proofErr w:type="gramStart"/>
            <w:r w:rsidRPr="007B5BE6">
              <w:rPr>
                <w:sz w:val="20"/>
                <w:szCs w:val="20"/>
              </w:rPr>
              <w:t>step-daughter</w:t>
            </w:r>
            <w:proofErr w:type="gramEnd"/>
            <w:r w:rsidRPr="007B5BE6">
              <w:rPr>
                <w:sz w:val="20"/>
                <w:szCs w:val="20"/>
              </w:rPr>
              <w:t xml:space="preserve"> as administrators but revoked due to XBD not having capacity; opposed his children being new administrators and Public Trustee had been appointed</w:t>
            </w:r>
          </w:p>
          <w:p w14:paraId="4EBF5AC4" w14:textId="24856792" w:rsidR="00D44A27" w:rsidRPr="007B5BE6" w:rsidRDefault="00D44A27" w:rsidP="00A17D7A">
            <w:pPr>
              <w:jc w:val="left"/>
              <w:rPr>
                <w:sz w:val="20"/>
                <w:szCs w:val="20"/>
              </w:rPr>
            </w:pPr>
            <w:r w:rsidRPr="007B5BE6">
              <w:rPr>
                <w:sz w:val="20"/>
                <w:szCs w:val="20"/>
              </w:rPr>
              <w:t xml:space="preserve">Family: application for administration by </w:t>
            </w:r>
            <w:proofErr w:type="gramStart"/>
            <w:r w:rsidRPr="007B5BE6">
              <w:rPr>
                <w:sz w:val="20"/>
                <w:szCs w:val="20"/>
              </w:rPr>
              <w:t>step-daughter’s</w:t>
            </w:r>
            <w:proofErr w:type="gramEnd"/>
            <w:r w:rsidRPr="007B5BE6">
              <w:rPr>
                <w:sz w:val="20"/>
                <w:szCs w:val="20"/>
              </w:rPr>
              <w:t xml:space="preserve"> partner – supported by XBD’s lawyer and advocate) and opposed by XBD’s daughter</w:t>
            </w:r>
          </w:p>
        </w:tc>
        <w:tc>
          <w:tcPr>
            <w:tcW w:w="2977" w:type="dxa"/>
          </w:tcPr>
          <w:p w14:paraId="1E09F589" w14:textId="77777777" w:rsidR="00D44A27" w:rsidRPr="007B5BE6" w:rsidRDefault="00D44A27" w:rsidP="00C36293">
            <w:pPr>
              <w:jc w:val="left"/>
              <w:rPr>
                <w:sz w:val="20"/>
                <w:szCs w:val="20"/>
              </w:rPr>
            </w:pPr>
            <w:r w:rsidRPr="007B5BE6">
              <w:rPr>
                <w:sz w:val="20"/>
                <w:szCs w:val="20"/>
              </w:rPr>
              <w:t xml:space="preserve">Conduct: </w:t>
            </w:r>
          </w:p>
          <w:p w14:paraId="7F1D448F" w14:textId="4D3F2982" w:rsidR="00D44A27" w:rsidRPr="007B5BE6" w:rsidRDefault="00D44A27" w:rsidP="00C36293">
            <w:pPr>
              <w:jc w:val="left"/>
              <w:rPr>
                <w:sz w:val="20"/>
                <w:szCs w:val="20"/>
              </w:rPr>
            </w:pPr>
            <w:r w:rsidRPr="007B5BE6">
              <w:rPr>
                <w:sz w:val="20"/>
                <w:szCs w:val="20"/>
              </w:rPr>
              <w:t>Evidence of financial impropriety by partner and step-daughter (partner used XBD’s pension to pay accounts and had access to bank account), car transferred to daughter in law and then reversed, plans to transfer ownership of XBD’s home to step- daughter) and step-daughter’s partner would have stood to gain if transaction went ahead; step-daughter’s partner had been involved in sale of XBD’s motor vehicle (paid to step-daughter and then into XBD mortgage)</w:t>
            </w:r>
          </w:p>
          <w:p w14:paraId="20DC2035" w14:textId="7547C6FD" w:rsidR="00D44A27" w:rsidRPr="007B5BE6" w:rsidRDefault="00D44A27" w:rsidP="00C36293">
            <w:pPr>
              <w:jc w:val="left"/>
              <w:rPr>
                <w:sz w:val="20"/>
                <w:szCs w:val="20"/>
              </w:rPr>
            </w:pPr>
            <w:r w:rsidRPr="007B5BE6">
              <w:rPr>
                <w:sz w:val="20"/>
                <w:szCs w:val="20"/>
              </w:rPr>
              <w:t>Concerns about XBD’s vulnerability to influence and suggestibility; daughter gave evidence that XBD had been subject to ‘elder abuse’, suggested conflict of interest with step-daughter’s partner and influence of partner and step-daughter</w:t>
            </w:r>
          </w:p>
          <w:p w14:paraId="37CC4747" w14:textId="77777777" w:rsidR="00D44A27" w:rsidRPr="007B5BE6" w:rsidRDefault="00D44A27" w:rsidP="00C36293">
            <w:pPr>
              <w:jc w:val="left"/>
              <w:rPr>
                <w:sz w:val="20"/>
                <w:szCs w:val="20"/>
              </w:rPr>
            </w:pPr>
            <w:r w:rsidRPr="007B5BE6">
              <w:rPr>
                <w:sz w:val="20"/>
                <w:szCs w:val="20"/>
              </w:rPr>
              <w:lastRenderedPageBreak/>
              <w:t>(Relationships: partner, adult step-child and partner of adult step-child)</w:t>
            </w:r>
          </w:p>
        </w:tc>
        <w:tc>
          <w:tcPr>
            <w:tcW w:w="3610" w:type="dxa"/>
          </w:tcPr>
          <w:p w14:paraId="32D74736" w14:textId="500BB8EE" w:rsidR="00D44A27" w:rsidRPr="007B5BE6" w:rsidRDefault="00D44A27" w:rsidP="00C36293">
            <w:pPr>
              <w:jc w:val="left"/>
              <w:rPr>
                <w:sz w:val="20"/>
                <w:szCs w:val="20"/>
              </w:rPr>
            </w:pPr>
            <w:r w:rsidRPr="007B5BE6">
              <w:rPr>
                <w:sz w:val="20"/>
                <w:szCs w:val="20"/>
              </w:rPr>
              <w:lastRenderedPageBreak/>
              <w:t xml:space="preserve">TASCAT decision: </w:t>
            </w:r>
            <w:r w:rsidRPr="007B5BE6">
              <w:rPr>
                <w:sz w:val="20"/>
              </w:rPr>
              <w:t>applicant (step-daughter’s partner) met criteria for appointment and that just because potential for conflict of interest does not mean actual conflict of interest</w:t>
            </w:r>
          </w:p>
        </w:tc>
      </w:tr>
      <w:tr w:rsidR="00D44A27" w:rsidRPr="007B5BE6" w14:paraId="06A46FBE" w14:textId="77777777" w:rsidTr="00C36293">
        <w:tc>
          <w:tcPr>
            <w:tcW w:w="1418" w:type="dxa"/>
          </w:tcPr>
          <w:p w14:paraId="5D205225" w14:textId="047D027F" w:rsidR="00D44A27" w:rsidRPr="007B5BE6" w:rsidRDefault="00D44A27" w:rsidP="00C36293">
            <w:pPr>
              <w:jc w:val="left"/>
              <w:rPr>
                <w:sz w:val="20"/>
                <w:szCs w:val="20"/>
              </w:rPr>
            </w:pPr>
            <w:r w:rsidRPr="007B5BE6">
              <w:rPr>
                <w:sz w:val="20"/>
                <w:szCs w:val="20"/>
              </w:rPr>
              <w:t>IFE</w:t>
            </w:r>
            <w:r w:rsidR="00CC2941" w:rsidRPr="007B5BE6">
              <w:rPr>
                <w:rStyle w:val="FootnoteReference"/>
                <w:sz w:val="20"/>
                <w:szCs w:val="20"/>
              </w:rPr>
              <w:footnoteReference w:id="911"/>
            </w:r>
            <w:r w:rsidRPr="007B5BE6">
              <w:rPr>
                <w:sz w:val="20"/>
                <w:szCs w:val="20"/>
              </w:rPr>
              <w:t xml:space="preserve"> </w:t>
            </w:r>
          </w:p>
        </w:tc>
        <w:tc>
          <w:tcPr>
            <w:tcW w:w="2835" w:type="dxa"/>
          </w:tcPr>
          <w:p w14:paraId="3BFC42EA" w14:textId="77777777" w:rsidR="00D44A27" w:rsidRPr="007B5BE6" w:rsidRDefault="00D44A27" w:rsidP="00C36293">
            <w:pPr>
              <w:jc w:val="left"/>
              <w:rPr>
                <w:sz w:val="20"/>
                <w:szCs w:val="20"/>
              </w:rPr>
            </w:pPr>
            <w:r w:rsidRPr="007B5BE6">
              <w:rPr>
                <w:sz w:val="20"/>
              </w:rPr>
              <w:t>Emergency request: application for emergency administration order</w:t>
            </w:r>
          </w:p>
        </w:tc>
        <w:tc>
          <w:tcPr>
            <w:tcW w:w="3118" w:type="dxa"/>
          </w:tcPr>
          <w:p w14:paraId="579FCCF2" w14:textId="77777777" w:rsidR="00D44A27" w:rsidRPr="007B5BE6" w:rsidRDefault="00D44A27" w:rsidP="00C36293">
            <w:pPr>
              <w:jc w:val="left"/>
              <w:rPr>
                <w:sz w:val="20"/>
                <w:szCs w:val="20"/>
              </w:rPr>
            </w:pPr>
            <w:r w:rsidRPr="007B5BE6">
              <w:rPr>
                <w:sz w:val="20"/>
                <w:szCs w:val="20"/>
              </w:rPr>
              <w:t>Older person: IFE’s husband had passed away and his estate was to transfer to her</w:t>
            </w:r>
          </w:p>
          <w:p w14:paraId="288633C3" w14:textId="6F4A4555" w:rsidR="00D44A27" w:rsidRPr="007B5BE6" w:rsidRDefault="00D44A27" w:rsidP="00C36293">
            <w:pPr>
              <w:jc w:val="left"/>
              <w:rPr>
                <w:sz w:val="20"/>
                <w:szCs w:val="20"/>
              </w:rPr>
            </w:pPr>
            <w:r w:rsidRPr="007B5BE6">
              <w:rPr>
                <w:sz w:val="20"/>
                <w:szCs w:val="20"/>
              </w:rPr>
              <w:t xml:space="preserve">Family: </w:t>
            </w:r>
            <w:r w:rsidR="00387D83" w:rsidRPr="007B5BE6">
              <w:rPr>
                <w:sz w:val="20"/>
                <w:szCs w:val="20"/>
              </w:rPr>
              <w:t xml:space="preserve">son </w:t>
            </w:r>
            <w:r w:rsidRPr="007B5BE6">
              <w:rPr>
                <w:sz w:val="20"/>
                <w:szCs w:val="20"/>
              </w:rPr>
              <w:t>applied for emergency order claiming she had dementia without any evidence of this</w:t>
            </w:r>
          </w:p>
        </w:tc>
        <w:tc>
          <w:tcPr>
            <w:tcW w:w="2977" w:type="dxa"/>
          </w:tcPr>
          <w:p w14:paraId="3F7C7D22" w14:textId="77777777" w:rsidR="00D44A27" w:rsidRPr="007B5BE6" w:rsidRDefault="00D44A27" w:rsidP="00C36293">
            <w:pPr>
              <w:jc w:val="left"/>
              <w:rPr>
                <w:sz w:val="20"/>
                <w:szCs w:val="20"/>
              </w:rPr>
            </w:pPr>
            <w:r w:rsidRPr="007B5BE6">
              <w:rPr>
                <w:sz w:val="20"/>
                <w:szCs w:val="20"/>
              </w:rPr>
              <w:t xml:space="preserve">Conduct: </w:t>
            </w:r>
          </w:p>
          <w:p w14:paraId="25D94B28" w14:textId="77777777" w:rsidR="00D44A27" w:rsidRPr="007B5BE6" w:rsidRDefault="00D44A27" w:rsidP="00C36293">
            <w:pPr>
              <w:jc w:val="left"/>
              <w:rPr>
                <w:sz w:val="20"/>
                <w:szCs w:val="20"/>
              </w:rPr>
            </w:pPr>
            <w:r w:rsidRPr="007B5BE6">
              <w:rPr>
                <w:sz w:val="20"/>
                <w:szCs w:val="20"/>
              </w:rPr>
              <w:t>Claim IFE had dementia justifying emergency administration order over her estate (no evidence of dementia)</w:t>
            </w:r>
          </w:p>
          <w:p w14:paraId="1C251427" w14:textId="77777777" w:rsidR="00D44A27" w:rsidRPr="007B5BE6" w:rsidRDefault="00D44A27" w:rsidP="00C36293">
            <w:pPr>
              <w:jc w:val="left"/>
              <w:rPr>
                <w:sz w:val="20"/>
                <w:szCs w:val="20"/>
              </w:rPr>
            </w:pPr>
            <w:r w:rsidRPr="007B5BE6">
              <w:rPr>
                <w:sz w:val="20"/>
                <w:szCs w:val="20"/>
              </w:rPr>
              <w:t>(Relationship: adult child)</w:t>
            </w:r>
          </w:p>
        </w:tc>
        <w:tc>
          <w:tcPr>
            <w:tcW w:w="3610" w:type="dxa"/>
          </w:tcPr>
          <w:p w14:paraId="5582CEBE" w14:textId="77777777" w:rsidR="00D44A27" w:rsidRPr="007B5BE6" w:rsidRDefault="00D44A27" w:rsidP="00C36293">
            <w:pPr>
              <w:jc w:val="left"/>
              <w:rPr>
                <w:sz w:val="20"/>
                <w:szCs w:val="20"/>
              </w:rPr>
            </w:pPr>
            <w:r w:rsidRPr="007B5BE6">
              <w:rPr>
                <w:sz w:val="20"/>
                <w:szCs w:val="20"/>
              </w:rPr>
              <w:t xml:space="preserve">TASCAT decision: application dismissed </w:t>
            </w:r>
          </w:p>
          <w:p w14:paraId="1642402B" w14:textId="77777777" w:rsidR="00D44A27" w:rsidRPr="007B5BE6" w:rsidRDefault="00D44A27" w:rsidP="00C36293">
            <w:pPr>
              <w:jc w:val="left"/>
              <w:rPr>
                <w:sz w:val="20"/>
                <w:szCs w:val="20"/>
              </w:rPr>
            </w:pPr>
            <w:r w:rsidRPr="007B5BE6">
              <w:rPr>
                <w:sz w:val="20"/>
              </w:rPr>
              <w:t>No reasons for emergency administration order</w:t>
            </w:r>
          </w:p>
        </w:tc>
      </w:tr>
      <w:tr w:rsidR="00D44A27" w:rsidRPr="007B5BE6" w14:paraId="56888592" w14:textId="77777777" w:rsidTr="00C36293">
        <w:tc>
          <w:tcPr>
            <w:tcW w:w="1418" w:type="dxa"/>
          </w:tcPr>
          <w:p w14:paraId="6D5F6F63" w14:textId="6ECECC42" w:rsidR="00D44A27" w:rsidRPr="007B5BE6" w:rsidRDefault="00D44A27" w:rsidP="00C36293">
            <w:pPr>
              <w:jc w:val="left"/>
              <w:rPr>
                <w:sz w:val="20"/>
                <w:szCs w:val="20"/>
              </w:rPr>
            </w:pPr>
            <w:r w:rsidRPr="007B5BE6">
              <w:rPr>
                <w:sz w:val="20"/>
                <w:szCs w:val="20"/>
              </w:rPr>
              <w:t>IET</w:t>
            </w:r>
            <w:r w:rsidR="00CC2941" w:rsidRPr="007B5BE6">
              <w:rPr>
                <w:rStyle w:val="FootnoteReference"/>
                <w:sz w:val="20"/>
                <w:szCs w:val="20"/>
              </w:rPr>
              <w:footnoteReference w:id="912"/>
            </w:r>
          </w:p>
        </w:tc>
        <w:tc>
          <w:tcPr>
            <w:tcW w:w="2835" w:type="dxa"/>
          </w:tcPr>
          <w:p w14:paraId="01411EFB" w14:textId="77777777" w:rsidR="00D44A27" w:rsidRPr="007B5BE6" w:rsidRDefault="00D44A27" w:rsidP="00C36293">
            <w:pPr>
              <w:jc w:val="left"/>
              <w:rPr>
                <w:sz w:val="20"/>
                <w:szCs w:val="20"/>
              </w:rPr>
            </w:pPr>
            <w:r w:rsidRPr="007B5BE6">
              <w:rPr>
                <w:sz w:val="20"/>
              </w:rPr>
              <w:t>Review of guardianship</w:t>
            </w:r>
          </w:p>
        </w:tc>
        <w:tc>
          <w:tcPr>
            <w:tcW w:w="3118" w:type="dxa"/>
          </w:tcPr>
          <w:p w14:paraId="3A4E39F5" w14:textId="5BF59972" w:rsidR="00D44A27" w:rsidRPr="007B5BE6" w:rsidRDefault="00D44A27" w:rsidP="00C36293">
            <w:pPr>
              <w:jc w:val="left"/>
              <w:rPr>
                <w:sz w:val="20"/>
                <w:szCs w:val="20"/>
              </w:rPr>
            </w:pPr>
            <w:r w:rsidRPr="007B5BE6">
              <w:rPr>
                <w:sz w:val="20"/>
                <w:szCs w:val="20"/>
              </w:rPr>
              <w:t>Older person: IET under guardianship order appointing Public Guardian; Public Guardian applied for revocation on basis not needed</w:t>
            </w:r>
          </w:p>
          <w:p w14:paraId="66123D60" w14:textId="306611E5" w:rsidR="00D44A27" w:rsidRPr="007B5BE6" w:rsidRDefault="00D44A27" w:rsidP="00C36293">
            <w:pPr>
              <w:jc w:val="left"/>
              <w:rPr>
                <w:sz w:val="20"/>
                <w:szCs w:val="20"/>
              </w:rPr>
            </w:pPr>
            <w:r w:rsidRPr="007B5BE6">
              <w:rPr>
                <w:sz w:val="20"/>
                <w:szCs w:val="20"/>
              </w:rPr>
              <w:t>Family: daughter has tried to communicate with IET’s lawyer, the AG and multiple politicians on the basis that the guardian was preventing her seeing her mother</w:t>
            </w:r>
          </w:p>
        </w:tc>
        <w:tc>
          <w:tcPr>
            <w:tcW w:w="2977" w:type="dxa"/>
          </w:tcPr>
          <w:p w14:paraId="64C97B37" w14:textId="77777777" w:rsidR="00D44A27" w:rsidRPr="007B5BE6" w:rsidRDefault="00D44A27" w:rsidP="00C36293">
            <w:pPr>
              <w:jc w:val="left"/>
              <w:rPr>
                <w:sz w:val="20"/>
                <w:szCs w:val="20"/>
              </w:rPr>
            </w:pPr>
            <w:r w:rsidRPr="007B5BE6">
              <w:rPr>
                <w:sz w:val="20"/>
                <w:szCs w:val="20"/>
              </w:rPr>
              <w:t>Conduct: Daughter has tried to communicate with her lawyer, the AG and multiple politicians on the basis that the Public Guardian was preventing her seeing her mother; IET had given clear and consistent instructions that did not wish to see daughter DT.</w:t>
            </w:r>
          </w:p>
          <w:p w14:paraId="2088EA0A" w14:textId="77777777" w:rsidR="00D44A27" w:rsidRPr="007B5BE6" w:rsidRDefault="00D44A27" w:rsidP="00C36293">
            <w:pPr>
              <w:jc w:val="left"/>
              <w:rPr>
                <w:sz w:val="20"/>
                <w:szCs w:val="20"/>
              </w:rPr>
            </w:pPr>
            <w:r w:rsidRPr="007B5BE6">
              <w:rPr>
                <w:sz w:val="20"/>
                <w:szCs w:val="20"/>
              </w:rPr>
              <w:t>(Relationship: adult child)</w:t>
            </w:r>
          </w:p>
        </w:tc>
        <w:tc>
          <w:tcPr>
            <w:tcW w:w="3610" w:type="dxa"/>
          </w:tcPr>
          <w:p w14:paraId="3F873B2E" w14:textId="77777777" w:rsidR="00D44A27" w:rsidRPr="007B5BE6" w:rsidRDefault="00D44A27" w:rsidP="00C36293">
            <w:pPr>
              <w:jc w:val="left"/>
              <w:rPr>
                <w:sz w:val="20"/>
                <w:szCs w:val="20"/>
              </w:rPr>
            </w:pPr>
            <w:r w:rsidRPr="007B5BE6">
              <w:rPr>
                <w:sz w:val="20"/>
                <w:szCs w:val="20"/>
              </w:rPr>
              <w:t xml:space="preserve">TASCAT decision: order revoked </w:t>
            </w:r>
          </w:p>
          <w:p w14:paraId="41F61A5E" w14:textId="7FEC9727" w:rsidR="00D44A27" w:rsidRPr="007B5BE6" w:rsidRDefault="00D44A27" w:rsidP="00C36293">
            <w:pPr>
              <w:jc w:val="left"/>
              <w:rPr>
                <w:sz w:val="20"/>
                <w:szCs w:val="20"/>
              </w:rPr>
            </w:pPr>
            <w:r w:rsidRPr="007B5BE6">
              <w:rPr>
                <w:sz w:val="20"/>
                <w:szCs w:val="20"/>
              </w:rPr>
              <w:t>Evidence that Public Guardian has not made decisions for IET not to see her daughter; IET has made these decisions and that Public Guardian is abiding by IET’s wishes not to see daughter DT and that IET has capacity to make decisions</w:t>
            </w:r>
          </w:p>
          <w:p w14:paraId="195E6D01" w14:textId="77777777" w:rsidR="00D44A27" w:rsidRPr="007B5BE6" w:rsidRDefault="00D44A27" w:rsidP="00C36293">
            <w:pPr>
              <w:jc w:val="left"/>
              <w:rPr>
                <w:sz w:val="20"/>
                <w:szCs w:val="20"/>
              </w:rPr>
            </w:pPr>
          </w:p>
        </w:tc>
      </w:tr>
      <w:tr w:rsidR="00D44A27" w:rsidRPr="007B5BE6" w14:paraId="6710BE82" w14:textId="77777777" w:rsidTr="00C36293">
        <w:tc>
          <w:tcPr>
            <w:tcW w:w="1418" w:type="dxa"/>
          </w:tcPr>
          <w:p w14:paraId="4E791372" w14:textId="4026E6ED" w:rsidR="00D44A27" w:rsidRPr="007B5BE6" w:rsidRDefault="00D44A27" w:rsidP="00C36293">
            <w:pPr>
              <w:jc w:val="left"/>
              <w:rPr>
                <w:sz w:val="20"/>
                <w:szCs w:val="20"/>
              </w:rPr>
            </w:pPr>
            <w:r w:rsidRPr="007B5BE6">
              <w:rPr>
                <w:sz w:val="20"/>
                <w:szCs w:val="20"/>
              </w:rPr>
              <w:t>OX</w:t>
            </w:r>
            <w:r w:rsidR="00CC2941" w:rsidRPr="007B5BE6">
              <w:rPr>
                <w:rStyle w:val="FootnoteReference"/>
                <w:sz w:val="20"/>
                <w:szCs w:val="20"/>
              </w:rPr>
              <w:footnoteReference w:id="913"/>
            </w:r>
          </w:p>
        </w:tc>
        <w:tc>
          <w:tcPr>
            <w:tcW w:w="2835" w:type="dxa"/>
          </w:tcPr>
          <w:p w14:paraId="15EBDB5A" w14:textId="77777777" w:rsidR="00D44A27" w:rsidRPr="007B5BE6" w:rsidRDefault="00D44A27" w:rsidP="00C36293">
            <w:pPr>
              <w:jc w:val="left"/>
              <w:rPr>
                <w:sz w:val="20"/>
              </w:rPr>
            </w:pPr>
            <w:r w:rsidRPr="007B5BE6">
              <w:rPr>
                <w:sz w:val="20"/>
              </w:rPr>
              <w:t>Application for emergency orders</w:t>
            </w:r>
          </w:p>
        </w:tc>
        <w:tc>
          <w:tcPr>
            <w:tcW w:w="3118" w:type="dxa"/>
          </w:tcPr>
          <w:p w14:paraId="144AC47E" w14:textId="4F5AC5CA" w:rsidR="00D44A27" w:rsidRPr="007B5BE6" w:rsidRDefault="00D44A27" w:rsidP="00A17D7A">
            <w:pPr>
              <w:jc w:val="left"/>
              <w:rPr>
                <w:sz w:val="20"/>
                <w:szCs w:val="20"/>
              </w:rPr>
            </w:pPr>
            <w:r w:rsidRPr="007B5BE6">
              <w:rPr>
                <w:sz w:val="20"/>
                <w:szCs w:val="20"/>
              </w:rPr>
              <w:t>Older person: has advanced dementia, lives with son EX; THS application for emergency administrative and guardianship orders</w:t>
            </w:r>
          </w:p>
          <w:p w14:paraId="1360E37A" w14:textId="243C8666" w:rsidR="00D44A27" w:rsidRPr="007B5BE6" w:rsidRDefault="00D44A27" w:rsidP="00C36293">
            <w:pPr>
              <w:jc w:val="left"/>
              <w:rPr>
                <w:sz w:val="20"/>
                <w:szCs w:val="20"/>
              </w:rPr>
            </w:pPr>
            <w:r w:rsidRPr="007B5BE6">
              <w:rPr>
                <w:sz w:val="20"/>
                <w:szCs w:val="20"/>
              </w:rPr>
              <w:lastRenderedPageBreak/>
              <w:t>Family: Son EX thinks OX is being poisoned and that is causing OX’s dementia</w:t>
            </w:r>
          </w:p>
        </w:tc>
        <w:tc>
          <w:tcPr>
            <w:tcW w:w="2977" w:type="dxa"/>
          </w:tcPr>
          <w:p w14:paraId="070380A9" w14:textId="6FB27CC4" w:rsidR="00D44A27" w:rsidRPr="007B5BE6" w:rsidRDefault="00D44A27" w:rsidP="00C36293">
            <w:pPr>
              <w:jc w:val="left"/>
              <w:rPr>
                <w:sz w:val="20"/>
                <w:szCs w:val="20"/>
              </w:rPr>
            </w:pPr>
            <w:r w:rsidRPr="007B5BE6">
              <w:rPr>
                <w:sz w:val="20"/>
                <w:szCs w:val="20"/>
              </w:rPr>
              <w:lastRenderedPageBreak/>
              <w:t xml:space="preserve">Conduct: </w:t>
            </w:r>
            <w:r w:rsidRPr="007B5BE6">
              <w:rPr>
                <w:sz w:val="20"/>
              </w:rPr>
              <w:t xml:space="preserve">OX socially isolated and unable to seek external assistance because of being socially isolated; </w:t>
            </w:r>
            <w:r w:rsidRPr="007B5BE6">
              <w:rPr>
                <w:sz w:val="20"/>
                <w:szCs w:val="20"/>
              </w:rPr>
              <w:t xml:space="preserve">bruises found on OX; THS concern for safety of OX and dementia staff who have left the house on an occasion after verbal </w:t>
            </w:r>
            <w:r w:rsidRPr="007B5BE6">
              <w:rPr>
                <w:sz w:val="20"/>
                <w:szCs w:val="20"/>
              </w:rPr>
              <w:lastRenderedPageBreak/>
              <w:t>abuse by EX and contacted Tasmania Police to raise concerns for OX safety but advised could take no action without orders from the Tribunal</w:t>
            </w:r>
          </w:p>
          <w:p w14:paraId="2C6B95DC" w14:textId="77777777" w:rsidR="00D44A27" w:rsidRPr="007B5BE6" w:rsidRDefault="00D44A27" w:rsidP="00C36293">
            <w:pPr>
              <w:jc w:val="left"/>
              <w:rPr>
                <w:sz w:val="20"/>
                <w:szCs w:val="20"/>
              </w:rPr>
            </w:pPr>
            <w:r w:rsidRPr="007B5BE6">
              <w:rPr>
                <w:sz w:val="20"/>
                <w:szCs w:val="20"/>
              </w:rPr>
              <w:t>(Relationship: adult child)</w:t>
            </w:r>
          </w:p>
        </w:tc>
        <w:tc>
          <w:tcPr>
            <w:tcW w:w="3610" w:type="dxa"/>
          </w:tcPr>
          <w:p w14:paraId="3660D0D2" w14:textId="77777777" w:rsidR="00D44A27" w:rsidRPr="007B5BE6" w:rsidRDefault="00D44A27" w:rsidP="00C36293">
            <w:pPr>
              <w:jc w:val="left"/>
              <w:rPr>
                <w:sz w:val="20"/>
                <w:szCs w:val="20"/>
              </w:rPr>
            </w:pPr>
            <w:r w:rsidRPr="007B5BE6">
              <w:rPr>
                <w:sz w:val="20"/>
                <w:szCs w:val="20"/>
              </w:rPr>
              <w:lastRenderedPageBreak/>
              <w:t xml:space="preserve">TASCAT decision: emergency order made </w:t>
            </w:r>
          </w:p>
          <w:p w14:paraId="3B37CF19" w14:textId="77777777" w:rsidR="00D44A27" w:rsidRPr="007B5BE6" w:rsidRDefault="00D44A27" w:rsidP="00C36293">
            <w:pPr>
              <w:jc w:val="left"/>
              <w:rPr>
                <w:sz w:val="20"/>
                <w:szCs w:val="20"/>
              </w:rPr>
            </w:pPr>
          </w:p>
        </w:tc>
      </w:tr>
      <w:tr w:rsidR="00D44A27" w:rsidRPr="007B5BE6" w14:paraId="4A07DFED" w14:textId="77777777" w:rsidTr="00C36293">
        <w:tc>
          <w:tcPr>
            <w:tcW w:w="1418" w:type="dxa"/>
          </w:tcPr>
          <w:p w14:paraId="0869658F" w14:textId="4B180AA1" w:rsidR="00D44A27" w:rsidRPr="007B5BE6" w:rsidRDefault="00D44A27" w:rsidP="00C36293">
            <w:pPr>
              <w:jc w:val="left"/>
              <w:rPr>
                <w:sz w:val="20"/>
                <w:szCs w:val="20"/>
              </w:rPr>
            </w:pPr>
            <w:r w:rsidRPr="007B5BE6">
              <w:rPr>
                <w:sz w:val="20"/>
                <w:szCs w:val="20"/>
              </w:rPr>
              <w:t>SFK</w:t>
            </w:r>
            <w:r w:rsidR="00CC2941" w:rsidRPr="007B5BE6">
              <w:rPr>
                <w:rStyle w:val="FootnoteReference"/>
                <w:sz w:val="20"/>
                <w:szCs w:val="20"/>
              </w:rPr>
              <w:footnoteReference w:id="914"/>
            </w:r>
          </w:p>
        </w:tc>
        <w:tc>
          <w:tcPr>
            <w:tcW w:w="2835" w:type="dxa"/>
          </w:tcPr>
          <w:p w14:paraId="4E69DABE" w14:textId="77777777" w:rsidR="00D44A27" w:rsidRPr="007B5BE6" w:rsidRDefault="00D44A27" w:rsidP="00C36293">
            <w:pPr>
              <w:jc w:val="left"/>
              <w:rPr>
                <w:sz w:val="20"/>
              </w:rPr>
            </w:pPr>
            <w:r w:rsidRPr="007B5BE6">
              <w:rPr>
                <w:sz w:val="20"/>
              </w:rPr>
              <w:t>Application for guardianship and administration</w:t>
            </w:r>
          </w:p>
        </w:tc>
        <w:tc>
          <w:tcPr>
            <w:tcW w:w="3118" w:type="dxa"/>
          </w:tcPr>
          <w:p w14:paraId="4DF982EA" w14:textId="59E49B9E" w:rsidR="00D44A27" w:rsidRPr="007B5BE6" w:rsidRDefault="00D44A27" w:rsidP="00C36293">
            <w:pPr>
              <w:jc w:val="left"/>
              <w:rPr>
                <w:sz w:val="20"/>
                <w:szCs w:val="20"/>
              </w:rPr>
            </w:pPr>
            <w:r w:rsidRPr="007B5BE6">
              <w:rPr>
                <w:sz w:val="20"/>
                <w:szCs w:val="20"/>
              </w:rPr>
              <w:t>Older person: SFK mild and fluctuating amnesia – experiencing deficits in planning and reasoning of skills and susceptibility to influence, evidence that affected capacity to make reasonable judgments about complex financial and legal decisions but does not affect ability to make reasonable personal decisions</w:t>
            </w:r>
          </w:p>
          <w:p w14:paraId="78202751" w14:textId="77777777" w:rsidR="00D44A27" w:rsidRPr="007B5BE6" w:rsidRDefault="00D44A27" w:rsidP="00C36293">
            <w:pPr>
              <w:jc w:val="left"/>
              <w:rPr>
                <w:sz w:val="20"/>
                <w:szCs w:val="20"/>
              </w:rPr>
            </w:pPr>
            <w:r w:rsidRPr="007B5BE6">
              <w:rPr>
                <w:sz w:val="20"/>
                <w:szCs w:val="20"/>
              </w:rPr>
              <w:t>Family: N/A</w:t>
            </w:r>
          </w:p>
        </w:tc>
        <w:tc>
          <w:tcPr>
            <w:tcW w:w="2977" w:type="dxa"/>
          </w:tcPr>
          <w:p w14:paraId="0491463D" w14:textId="33A28853" w:rsidR="00D44A27" w:rsidRPr="007B5BE6" w:rsidRDefault="00D44A27" w:rsidP="00C36293">
            <w:pPr>
              <w:jc w:val="left"/>
              <w:rPr>
                <w:sz w:val="20"/>
                <w:szCs w:val="20"/>
              </w:rPr>
            </w:pPr>
            <w:r w:rsidRPr="007B5BE6">
              <w:rPr>
                <w:sz w:val="20"/>
                <w:szCs w:val="20"/>
              </w:rPr>
              <w:t>Conduct: Concerns expressed about others influencing financial matters of SFK involving large sums of money where SFK is unaware of what is happening</w:t>
            </w:r>
          </w:p>
          <w:p w14:paraId="544056B8" w14:textId="77777777" w:rsidR="00D44A27" w:rsidRPr="007B5BE6" w:rsidRDefault="00D44A27" w:rsidP="00C36293">
            <w:pPr>
              <w:jc w:val="left"/>
              <w:rPr>
                <w:sz w:val="20"/>
                <w:szCs w:val="20"/>
              </w:rPr>
            </w:pPr>
            <w:r w:rsidRPr="007B5BE6">
              <w:rPr>
                <w:sz w:val="20"/>
                <w:szCs w:val="20"/>
              </w:rPr>
              <w:t>(Relationship: N/A)</w:t>
            </w:r>
          </w:p>
        </w:tc>
        <w:tc>
          <w:tcPr>
            <w:tcW w:w="3610" w:type="dxa"/>
          </w:tcPr>
          <w:p w14:paraId="434BB267" w14:textId="1C9AF044" w:rsidR="00D44A27" w:rsidRPr="007B5BE6" w:rsidRDefault="00D44A27" w:rsidP="00C36293">
            <w:pPr>
              <w:jc w:val="left"/>
              <w:rPr>
                <w:sz w:val="20"/>
                <w:szCs w:val="20"/>
              </w:rPr>
            </w:pPr>
            <w:r w:rsidRPr="007B5BE6">
              <w:rPr>
                <w:sz w:val="20"/>
                <w:szCs w:val="20"/>
              </w:rPr>
              <w:t>TASCAT decision: amnesia does not meet criteria of disability – amnesia is an effect of disability, there is no diagnosis of an underlying cause for it; therefore, does not meet legislative criteria</w:t>
            </w:r>
          </w:p>
        </w:tc>
      </w:tr>
      <w:tr w:rsidR="00D44A27" w:rsidRPr="007B5BE6" w14:paraId="444E9E77" w14:textId="77777777" w:rsidTr="00C36293">
        <w:tc>
          <w:tcPr>
            <w:tcW w:w="1418" w:type="dxa"/>
          </w:tcPr>
          <w:p w14:paraId="2B265E04" w14:textId="3E1B71FD" w:rsidR="00D44A27" w:rsidRPr="007B5BE6" w:rsidRDefault="00D44A27" w:rsidP="00C36293">
            <w:pPr>
              <w:jc w:val="left"/>
              <w:rPr>
                <w:sz w:val="20"/>
                <w:szCs w:val="20"/>
              </w:rPr>
            </w:pPr>
            <w:r w:rsidRPr="007B5BE6">
              <w:rPr>
                <w:sz w:val="20"/>
                <w:szCs w:val="20"/>
              </w:rPr>
              <w:t>KT</w:t>
            </w:r>
            <w:r w:rsidR="00CC2941" w:rsidRPr="007B5BE6">
              <w:rPr>
                <w:rStyle w:val="FootnoteReference"/>
                <w:sz w:val="20"/>
                <w:szCs w:val="20"/>
              </w:rPr>
              <w:footnoteReference w:id="915"/>
            </w:r>
          </w:p>
        </w:tc>
        <w:tc>
          <w:tcPr>
            <w:tcW w:w="2835" w:type="dxa"/>
          </w:tcPr>
          <w:p w14:paraId="79F18DE6" w14:textId="77777777" w:rsidR="00D44A27" w:rsidRPr="007B5BE6" w:rsidRDefault="00D44A27" w:rsidP="00C36293">
            <w:pPr>
              <w:jc w:val="left"/>
              <w:rPr>
                <w:sz w:val="20"/>
              </w:rPr>
            </w:pPr>
            <w:r w:rsidRPr="007B5BE6">
              <w:rPr>
                <w:sz w:val="20"/>
              </w:rPr>
              <w:t>Emergency request for administration order</w:t>
            </w:r>
          </w:p>
        </w:tc>
        <w:tc>
          <w:tcPr>
            <w:tcW w:w="3118" w:type="dxa"/>
          </w:tcPr>
          <w:p w14:paraId="42DDB793" w14:textId="5D93EE2B" w:rsidR="00D44A27" w:rsidRPr="007B5BE6" w:rsidRDefault="00D44A27" w:rsidP="00C36293">
            <w:pPr>
              <w:jc w:val="left"/>
              <w:rPr>
                <w:sz w:val="20"/>
                <w:szCs w:val="20"/>
              </w:rPr>
            </w:pPr>
            <w:r w:rsidRPr="007B5BE6">
              <w:rPr>
                <w:sz w:val="20"/>
                <w:szCs w:val="20"/>
              </w:rPr>
              <w:t>Older person:</w:t>
            </w:r>
            <w:r w:rsidRPr="007B5BE6">
              <w:t xml:space="preserve"> </w:t>
            </w:r>
            <w:r w:rsidRPr="007B5BE6">
              <w:rPr>
                <w:sz w:val="20"/>
                <w:szCs w:val="20"/>
              </w:rPr>
              <w:t>KT has mild cognitive impairment which is deteriorating; resided between her home and son NX’s home, KT had previously said no to financial assistance to NX because had previously given NX money and this had not been paid back</w:t>
            </w:r>
          </w:p>
          <w:p w14:paraId="4ED86887" w14:textId="26429C54" w:rsidR="00D44A27" w:rsidRPr="007B5BE6" w:rsidRDefault="00D44A27" w:rsidP="00C36293">
            <w:pPr>
              <w:pStyle w:val="NormalNumberedTextTLRI"/>
              <w:numPr>
                <w:ilvl w:val="0"/>
                <w:numId w:val="0"/>
              </w:numPr>
              <w:jc w:val="left"/>
              <w:rPr>
                <w:sz w:val="20"/>
              </w:rPr>
            </w:pPr>
            <w:r w:rsidRPr="007B5BE6">
              <w:rPr>
                <w:sz w:val="20"/>
              </w:rPr>
              <w:t xml:space="preserve">Family: NX (son) had transferred $219,000 from KT’s bank account into his bank account; evidence that </w:t>
            </w:r>
            <w:r w:rsidRPr="007B5BE6">
              <w:rPr>
                <w:sz w:val="20"/>
              </w:rPr>
              <w:lastRenderedPageBreak/>
              <w:t>NX had debts; other son of KT applied for emergency order as concern money being used to pay off debts, NX said was being used for ‘debt relief’</w:t>
            </w:r>
          </w:p>
          <w:p w14:paraId="5F2EF2FC" w14:textId="77777777" w:rsidR="00D44A27" w:rsidRPr="007B5BE6" w:rsidRDefault="00D44A27" w:rsidP="00C36293">
            <w:pPr>
              <w:jc w:val="left"/>
              <w:rPr>
                <w:sz w:val="20"/>
                <w:szCs w:val="20"/>
              </w:rPr>
            </w:pPr>
          </w:p>
        </w:tc>
        <w:tc>
          <w:tcPr>
            <w:tcW w:w="2977" w:type="dxa"/>
          </w:tcPr>
          <w:p w14:paraId="272C95A0" w14:textId="48200064" w:rsidR="00D44A27" w:rsidRPr="007B5BE6" w:rsidRDefault="00D44A27" w:rsidP="00C36293">
            <w:pPr>
              <w:jc w:val="left"/>
              <w:rPr>
                <w:sz w:val="20"/>
              </w:rPr>
            </w:pPr>
            <w:r w:rsidRPr="007B5BE6">
              <w:rPr>
                <w:sz w:val="20"/>
                <w:szCs w:val="20"/>
              </w:rPr>
              <w:lastRenderedPageBreak/>
              <w:t xml:space="preserve">Conduct: KT cognitive impairment and decline in KT’s ability to understand things; concern that KT had entered into transaction that she did not know nature of implications and </w:t>
            </w:r>
            <w:r w:rsidRPr="007B5BE6">
              <w:rPr>
                <w:sz w:val="20"/>
              </w:rPr>
              <w:t>fear that money would be lost and remaining money in her life savings was at risk</w:t>
            </w:r>
          </w:p>
          <w:p w14:paraId="7474DA10" w14:textId="77777777" w:rsidR="00D44A27" w:rsidRPr="007B5BE6" w:rsidRDefault="00D44A27" w:rsidP="00C36293">
            <w:pPr>
              <w:jc w:val="left"/>
              <w:rPr>
                <w:sz w:val="20"/>
                <w:szCs w:val="20"/>
              </w:rPr>
            </w:pPr>
            <w:r w:rsidRPr="007B5BE6">
              <w:rPr>
                <w:sz w:val="20"/>
                <w:szCs w:val="20"/>
              </w:rPr>
              <w:t>(Relationship: adult child)</w:t>
            </w:r>
          </w:p>
        </w:tc>
        <w:tc>
          <w:tcPr>
            <w:tcW w:w="3610" w:type="dxa"/>
          </w:tcPr>
          <w:p w14:paraId="41DE87D5" w14:textId="77777777" w:rsidR="00D44A27" w:rsidRPr="007B5BE6" w:rsidRDefault="00D44A27" w:rsidP="00C36293">
            <w:pPr>
              <w:jc w:val="left"/>
              <w:rPr>
                <w:sz w:val="20"/>
                <w:szCs w:val="20"/>
              </w:rPr>
            </w:pPr>
            <w:r w:rsidRPr="007B5BE6">
              <w:rPr>
                <w:sz w:val="20"/>
                <w:szCs w:val="20"/>
              </w:rPr>
              <w:t xml:space="preserve">TASCAT decision: emergency administration order made </w:t>
            </w:r>
          </w:p>
          <w:p w14:paraId="110DBF23" w14:textId="50543E40" w:rsidR="00D44A27" w:rsidRPr="007B5BE6" w:rsidRDefault="00D44A27" w:rsidP="00C36293">
            <w:pPr>
              <w:pStyle w:val="NormalNumberedTextTLRI"/>
              <w:numPr>
                <w:ilvl w:val="0"/>
                <w:numId w:val="0"/>
              </w:numPr>
              <w:jc w:val="left"/>
              <w:rPr>
                <w:sz w:val="20"/>
              </w:rPr>
            </w:pPr>
            <w:r w:rsidRPr="007B5BE6">
              <w:rPr>
                <w:sz w:val="20"/>
              </w:rPr>
              <w:t>Ground for making administrative order as KT has a cognitive impairment affecting ability to make reasonable judgments about financial and legal matters</w:t>
            </w:r>
          </w:p>
          <w:p w14:paraId="576A6380" w14:textId="21649DD8" w:rsidR="00D44A27" w:rsidRPr="007B5BE6" w:rsidRDefault="00D44A27" w:rsidP="00C36293">
            <w:pPr>
              <w:pStyle w:val="NormalNumberedTextTLRI"/>
              <w:numPr>
                <w:ilvl w:val="0"/>
                <w:numId w:val="0"/>
              </w:numPr>
              <w:jc w:val="left"/>
              <w:rPr>
                <w:sz w:val="20"/>
              </w:rPr>
            </w:pPr>
            <w:r w:rsidRPr="007B5BE6">
              <w:rPr>
                <w:sz w:val="20"/>
              </w:rPr>
              <w:t xml:space="preserve">Emergency administration orders needed to ensure her estate is protected, Public Trustee appointed as emergency </w:t>
            </w:r>
            <w:r w:rsidRPr="007B5BE6">
              <w:rPr>
                <w:sz w:val="20"/>
              </w:rPr>
              <w:lastRenderedPageBreak/>
              <w:t>administrator and given plenary powers to do what is necessary to investigate possible misappropriation of funds from KT’s estate, recover funds and protect balance of savings</w:t>
            </w:r>
          </w:p>
          <w:p w14:paraId="277811C6" w14:textId="25D2A44F" w:rsidR="00D44A27" w:rsidRPr="007B5BE6" w:rsidRDefault="00D44A27" w:rsidP="00C36293">
            <w:pPr>
              <w:jc w:val="left"/>
              <w:rPr>
                <w:sz w:val="20"/>
                <w:szCs w:val="20"/>
              </w:rPr>
            </w:pPr>
            <w:r w:rsidRPr="007B5BE6">
              <w:rPr>
                <w:sz w:val="20"/>
              </w:rPr>
              <w:t>Evidence from Public Trustee that beyond the scope for Public Trustee to rectify the situation or retrieve money but can protect other assets and not sure whether could provide any assistance under emergency order</w:t>
            </w:r>
          </w:p>
        </w:tc>
      </w:tr>
      <w:tr w:rsidR="00D44A27" w:rsidRPr="007B5BE6" w14:paraId="500699F8" w14:textId="77777777" w:rsidTr="00C36293">
        <w:tc>
          <w:tcPr>
            <w:tcW w:w="1418" w:type="dxa"/>
          </w:tcPr>
          <w:p w14:paraId="1722044A" w14:textId="12E8910D" w:rsidR="00D44A27" w:rsidRPr="007B5BE6" w:rsidRDefault="00D44A27" w:rsidP="00C36293">
            <w:pPr>
              <w:jc w:val="left"/>
              <w:rPr>
                <w:sz w:val="20"/>
                <w:szCs w:val="20"/>
              </w:rPr>
            </w:pPr>
            <w:r w:rsidRPr="007B5BE6">
              <w:rPr>
                <w:sz w:val="20"/>
                <w:szCs w:val="20"/>
              </w:rPr>
              <w:lastRenderedPageBreak/>
              <w:t>HBI</w:t>
            </w:r>
            <w:r w:rsidR="00CC2941" w:rsidRPr="007B5BE6">
              <w:rPr>
                <w:rStyle w:val="FootnoteReference"/>
                <w:sz w:val="20"/>
                <w:szCs w:val="20"/>
              </w:rPr>
              <w:footnoteReference w:id="916"/>
            </w:r>
          </w:p>
        </w:tc>
        <w:tc>
          <w:tcPr>
            <w:tcW w:w="2835" w:type="dxa"/>
          </w:tcPr>
          <w:p w14:paraId="0F0B422F" w14:textId="77777777" w:rsidR="00D44A27" w:rsidRPr="007B5BE6" w:rsidRDefault="00D44A27" w:rsidP="00C36293">
            <w:pPr>
              <w:jc w:val="left"/>
              <w:rPr>
                <w:sz w:val="20"/>
              </w:rPr>
            </w:pPr>
            <w:r w:rsidRPr="007B5BE6">
              <w:rPr>
                <w:sz w:val="20"/>
              </w:rPr>
              <w:t>Application to review enduring powers of attorney</w:t>
            </w:r>
          </w:p>
        </w:tc>
        <w:tc>
          <w:tcPr>
            <w:tcW w:w="3118" w:type="dxa"/>
          </w:tcPr>
          <w:p w14:paraId="3DF6BA80" w14:textId="6CEF9D40" w:rsidR="00D44A27" w:rsidRPr="007B5BE6" w:rsidRDefault="00D44A27" w:rsidP="00C36293">
            <w:pPr>
              <w:jc w:val="left"/>
              <w:rPr>
                <w:sz w:val="20"/>
                <w:szCs w:val="20"/>
              </w:rPr>
            </w:pPr>
            <w:r w:rsidRPr="007B5BE6">
              <w:rPr>
                <w:sz w:val="20"/>
                <w:szCs w:val="20"/>
              </w:rPr>
              <w:t>Older person: HBI appointed his wife UCI as EPOA and now in enduring phase; UCI has acted as attorney for HBI and managed all of HBI’s financial affairs; HBI has two adult sons and was previously in business with one son HKI, HKI continues to own and operate the business interstate. HBI and UCI receive weekly payments from a trust operated and controlled by HKI</w:t>
            </w:r>
          </w:p>
          <w:p w14:paraId="3D5D8788" w14:textId="77777777" w:rsidR="00D44A27" w:rsidRPr="007B5BE6" w:rsidRDefault="00D44A27" w:rsidP="00C36293">
            <w:pPr>
              <w:jc w:val="left"/>
              <w:rPr>
                <w:sz w:val="20"/>
                <w:szCs w:val="20"/>
              </w:rPr>
            </w:pPr>
            <w:r w:rsidRPr="007B5BE6">
              <w:rPr>
                <w:sz w:val="20"/>
                <w:szCs w:val="20"/>
              </w:rPr>
              <w:t xml:space="preserve">Family: UCI and HBI’s son HKI are estranged; dispute between UCI and HKI, regarding the execution of a deed of variation to a family trust, for no consideration, which resulted in HBI relinquishing his role as guardian, appointer and trustee under the trust, leaving HKI as the </w:t>
            </w:r>
            <w:r w:rsidRPr="007B5BE6">
              <w:rPr>
                <w:sz w:val="20"/>
                <w:szCs w:val="20"/>
              </w:rPr>
              <w:lastRenderedPageBreak/>
              <w:t xml:space="preserve">sole guardian, appointer and trustee of the trust; UCI evidence that deed of variation substantially impacted on HBI’s financial position; UCI </w:t>
            </w:r>
            <w:r w:rsidRPr="007B5BE6">
              <w:rPr>
                <w:sz w:val="20"/>
              </w:rPr>
              <w:t>sought to have it revoked on the basis it was made when HBI did not have capacity and sought to be appointed as administrator; evidence of complex financial arrangements regarding Family Trust between HBI and HBI’s sons; transfers of HBI’s assets made by UCI</w:t>
            </w:r>
          </w:p>
        </w:tc>
        <w:tc>
          <w:tcPr>
            <w:tcW w:w="2977" w:type="dxa"/>
          </w:tcPr>
          <w:p w14:paraId="48254DBD" w14:textId="77777777" w:rsidR="00D44A27" w:rsidRPr="007B5BE6" w:rsidRDefault="00D44A27" w:rsidP="00C36293">
            <w:pPr>
              <w:jc w:val="left"/>
              <w:rPr>
                <w:sz w:val="20"/>
              </w:rPr>
            </w:pPr>
            <w:r w:rsidRPr="007B5BE6">
              <w:rPr>
                <w:sz w:val="20"/>
                <w:szCs w:val="20"/>
              </w:rPr>
              <w:lastRenderedPageBreak/>
              <w:t>Conduct: improper conduct of UCI as EPOA; questioning of bona fides of UCI’s actions and evidence in seeking EPOA to be declared invalid on the basis that he did not have mental capacity; UCI was significantly involved in organisation and finalisation of EPOA and had operated under it in doing so made significant financial decisions for HBI impacting significantly on his estate</w:t>
            </w:r>
          </w:p>
          <w:p w14:paraId="5A2423A0" w14:textId="77777777" w:rsidR="00D44A27" w:rsidRPr="007B5BE6" w:rsidRDefault="00D44A27" w:rsidP="00C36293">
            <w:pPr>
              <w:jc w:val="left"/>
              <w:rPr>
                <w:sz w:val="20"/>
                <w:szCs w:val="20"/>
              </w:rPr>
            </w:pPr>
            <w:r w:rsidRPr="007B5BE6">
              <w:rPr>
                <w:sz w:val="20"/>
                <w:szCs w:val="20"/>
              </w:rPr>
              <w:t>(Relationship: partner)</w:t>
            </w:r>
          </w:p>
        </w:tc>
        <w:tc>
          <w:tcPr>
            <w:tcW w:w="3610" w:type="dxa"/>
          </w:tcPr>
          <w:p w14:paraId="37779468" w14:textId="77777777" w:rsidR="00D44A27" w:rsidRPr="007B5BE6" w:rsidRDefault="00D44A27" w:rsidP="00C36293">
            <w:pPr>
              <w:jc w:val="left"/>
              <w:rPr>
                <w:sz w:val="20"/>
                <w:szCs w:val="20"/>
              </w:rPr>
            </w:pPr>
            <w:r w:rsidRPr="007B5BE6">
              <w:rPr>
                <w:sz w:val="20"/>
                <w:szCs w:val="20"/>
              </w:rPr>
              <w:t>TASCAT decision: EPOA revoked and Public Trustee appointed as administrator</w:t>
            </w:r>
          </w:p>
          <w:p w14:paraId="0185271D" w14:textId="2234BC66" w:rsidR="00D44A27" w:rsidRPr="007B5BE6" w:rsidRDefault="00D44A27" w:rsidP="00C36293">
            <w:pPr>
              <w:jc w:val="left"/>
              <w:rPr>
                <w:sz w:val="20"/>
                <w:szCs w:val="20"/>
              </w:rPr>
            </w:pPr>
            <w:r w:rsidRPr="007B5BE6">
              <w:rPr>
                <w:sz w:val="20"/>
                <w:szCs w:val="20"/>
              </w:rPr>
              <w:t>Evidence to indicate mismanagement by UCI of HBI’s estate</w:t>
            </w:r>
          </w:p>
          <w:p w14:paraId="6C3A2207" w14:textId="31D444C1" w:rsidR="00D44A27" w:rsidRPr="007B5BE6" w:rsidRDefault="00D44A27" w:rsidP="00C36293">
            <w:pPr>
              <w:jc w:val="left"/>
              <w:rPr>
                <w:sz w:val="20"/>
                <w:szCs w:val="20"/>
              </w:rPr>
            </w:pPr>
            <w:r w:rsidRPr="007B5BE6">
              <w:rPr>
                <w:sz w:val="20"/>
                <w:szCs w:val="20"/>
              </w:rPr>
              <w:t xml:space="preserve">Fundamental lack of understanding by UCI of the role of an attorney </w:t>
            </w:r>
          </w:p>
          <w:p w14:paraId="0D3863FA" w14:textId="5C6B767E" w:rsidR="00D44A27" w:rsidRPr="007B5BE6" w:rsidRDefault="00D44A27" w:rsidP="00C36293">
            <w:pPr>
              <w:jc w:val="left"/>
              <w:rPr>
                <w:sz w:val="20"/>
                <w:szCs w:val="20"/>
              </w:rPr>
            </w:pPr>
            <w:r w:rsidRPr="007B5BE6">
              <w:rPr>
                <w:sz w:val="20"/>
                <w:szCs w:val="20"/>
              </w:rPr>
              <w:t>Conflict between the interests of HBI and UCI and also between HBI and HKI relating to potential claims against the trust</w:t>
            </w:r>
          </w:p>
          <w:p w14:paraId="47602F62" w14:textId="08544C00" w:rsidR="00D44A27" w:rsidRPr="007B5BE6" w:rsidRDefault="00D44A27" w:rsidP="00C36293">
            <w:pPr>
              <w:jc w:val="left"/>
              <w:rPr>
                <w:sz w:val="20"/>
                <w:szCs w:val="20"/>
              </w:rPr>
            </w:pPr>
            <w:r w:rsidRPr="007B5BE6">
              <w:rPr>
                <w:sz w:val="20"/>
                <w:szCs w:val="20"/>
              </w:rPr>
              <w:t xml:space="preserve">Acknowledged investigations be made regarding HBI’s gifting of his entitlements under the trust in light and the detrimental impact it had had on HBI’s financial position. The events predate the EPOA being reviewed and it </w:t>
            </w:r>
            <w:r w:rsidRPr="007B5BE6">
              <w:rPr>
                <w:sz w:val="20"/>
                <w:szCs w:val="20"/>
              </w:rPr>
              <w:lastRenderedPageBreak/>
              <w:t>is a matter for the administrator to consider</w:t>
            </w:r>
          </w:p>
        </w:tc>
      </w:tr>
    </w:tbl>
    <w:p w14:paraId="5CD99D00" w14:textId="77777777" w:rsidR="0080542C" w:rsidRPr="007B5BE6" w:rsidRDefault="00C77857" w:rsidP="00D44A27">
      <w:pPr>
        <w:sectPr w:rsidR="0080542C" w:rsidRPr="007B5BE6" w:rsidSect="0004485D">
          <w:pgSz w:w="16838" w:h="11906" w:orient="landscape"/>
          <w:pgMar w:top="1440" w:right="1440" w:bottom="1440" w:left="1440" w:header="708" w:footer="708" w:gutter="0"/>
          <w:cols w:space="708"/>
          <w:docGrid w:linePitch="360"/>
        </w:sectPr>
      </w:pPr>
      <w:r w:rsidRPr="007B5BE6">
        <w:lastRenderedPageBreak/>
        <w:br w:type="page"/>
      </w:r>
    </w:p>
    <w:p w14:paraId="2C940CF0" w14:textId="2FE3ACAC" w:rsidR="00BC215C" w:rsidRPr="007B5BE6" w:rsidRDefault="003B4ABF" w:rsidP="007C4F42">
      <w:pPr>
        <w:pStyle w:val="Headingunnumbered"/>
        <w:spacing w:before="360"/>
      </w:pPr>
      <w:bookmarkStart w:id="646" w:name="_Toc212561848"/>
      <w:r w:rsidRPr="007B5BE6">
        <w:lastRenderedPageBreak/>
        <w:t xml:space="preserve">Appendix </w:t>
      </w:r>
      <w:r w:rsidR="00C77857" w:rsidRPr="007B5BE6">
        <w:t>C</w:t>
      </w:r>
      <w:r w:rsidR="00AE6198" w:rsidRPr="007B5BE6">
        <w:t>: Summary of</w:t>
      </w:r>
      <w:r w:rsidR="00F619F2" w:rsidRPr="007B5BE6">
        <w:t xml:space="preserve"> </w:t>
      </w:r>
      <w:r w:rsidR="00E008A7" w:rsidRPr="007B5BE6">
        <w:t>policy background and context</w:t>
      </w:r>
      <w:bookmarkEnd w:id="646"/>
      <w:r w:rsidR="00F619F2" w:rsidRPr="007B5BE6">
        <w:t xml:space="preserve"> </w:t>
      </w:r>
    </w:p>
    <w:p w14:paraId="454D0869" w14:textId="77777777" w:rsidR="00D60D55" w:rsidRPr="007B5BE6" w:rsidRDefault="00D60D55" w:rsidP="007C4F42">
      <w:pPr>
        <w:pStyle w:val="Sub-HeadingTLRI"/>
        <w:spacing w:before="360"/>
      </w:pPr>
      <w:bookmarkStart w:id="647" w:name="_Toc212561849"/>
      <w:r w:rsidRPr="007B5BE6">
        <w:t>Australian Law Reform Commission: Elder Abuse–A National Legal Response (2017)</w:t>
      </w:r>
      <w:bookmarkEnd w:id="647"/>
    </w:p>
    <w:p w14:paraId="3748864D" w14:textId="05B84992" w:rsidR="00D60D55" w:rsidRPr="007B5BE6" w:rsidRDefault="00D60D55" w:rsidP="002D3C93">
      <w:r w:rsidRPr="007B5BE6">
        <w:t xml:space="preserve">The ALRC’s 2017 final report, </w:t>
      </w:r>
      <w:r w:rsidRPr="007B5BE6">
        <w:rPr>
          <w:i/>
          <w:iCs/>
        </w:rPr>
        <w:t>Elder Abuse–A National Legal Response</w:t>
      </w:r>
      <w:r w:rsidR="009379A7" w:rsidRPr="007B5BE6">
        <w:rPr>
          <w:rStyle w:val="FootnoteReference"/>
        </w:rPr>
        <w:footnoteReference w:id="917"/>
      </w:r>
      <w:r w:rsidRPr="007B5BE6">
        <w:t xml:space="preserve"> provides important context as the framework within which Tasmanian responses to the abuse of older people have been developed, as well as those in other Australian states and territories. A key recommendation and a foundational policy outcome of the ALRC’s report was that all governments in Australia work together to develop a national plan to combat abuse of older people that identified the goals of safeguarding at-risk adults and improving responses.</w:t>
      </w:r>
      <w:r w:rsidR="00F31193" w:rsidRPr="007B5BE6">
        <w:rPr>
          <w:rStyle w:val="FootnoteReference"/>
        </w:rPr>
        <w:footnoteReference w:id="918"/>
      </w:r>
      <w:r w:rsidRPr="007B5BE6">
        <w:t xml:space="preserve"> Accordingly, it has spearheaded the national policy response and a program of reforms over the past decade focused on recognising, preventing and responding to the abuse of older people. </w:t>
      </w:r>
    </w:p>
    <w:p w14:paraId="74550FDC" w14:textId="29ADE321" w:rsidR="00D60D55" w:rsidRPr="007B5BE6" w:rsidRDefault="00D60D55" w:rsidP="002D3C93">
      <w:r w:rsidRPr="007B5BE6">
        <w:t>The ALRC examined laws relating to aged care, powers of attorney and guardianship, family agreements, superannuation, wills, banking, health and disability, social security, the criminal law and safeguarding laws and agencies</w:t>
      </w:r>
      <w:r w:rsidR="00F31193" w:rsidRPr="007B5BE6">
        <w:rPr>
          <w:rStyle w:val="FootnoteReference"/>
        </w:rPr>
        <w:footnoteReference w:id="919"/>
      </w:r>
      <w:r w:rsidRPr="007B5BE6">
        <w:t xml:space="preserve"> and made 43 recommendations for law reform. These were aimed at achieving the difficult balance of protecting and safeguarding older people from abuse, while upholding their dignity, autonomy and supporting their choices and wishes.</w:t>
      </w:r>
      <w:r w:rsidR="00F31193" w:rsidRPr="007B5BE6">
        <w:rPr>
          <w:rStyle w:val="FootnoteReference"/>
        </w:rPr>
        <w:footnoteReference w:id="920"/>
      </w:r>
      <w:r w:rsidRPr="007B5BE6">
        <w:t xml:space="preserve"> </w:t>
      </w:r>
    </w:p>
    <w:p w14:paraId="7E4E6D98" w14:textId="77777777" w:rsidR="00D60D55" w:rsidRPr="007B5BE6" w:rsidRDefault="00D60D55" w:rsidP="002D3C93">
      <w:r w:rsidRPr="007B5BE6">
        <w:t>Regarding ‘safeguarding adults at risk’ the ALRC noted that there are already existing legislative frameworks and designated roles (such as public advocates, guardians or commissioners) who have a role in investigating abuse, and that these often particularly relate to people with impaired decision-making capacity. However, it was observed that there can be other adults who are vulnerable to abuse, including older people, who are not covered under existing frameworks and should be better protected. These</w:t>
      </w:r>
      <w:r w:rsidRPr="007B5BE6" w:rsidDel="00E27C46">
        <w:t xml:space="preserve"> </w:t>
      </w:r>
      <w:r w:rsidRPr="007B5BE6">
        <w:t>were ‘gaps’ identified in the current legislative framework. There were concerns expressed in relation to adults for whom the current measures may be inadequate.</w:t>
      </w:r>
    </w:p>
    <w:p w14:paraId="21CF5808" w14:textId="77777777" w:rsidR="00D60D55" w:rsidRPr="007B5BE6" w:rsidRDefault="00D60D55" w:rsidP="002D3C93">
      <w:r w:rsidRPr="007B5BE6">
        <w:t>In this context, there were two areas of focus of particular relevance to the scope of this Research Paper.</w:t>
      </w:r>
    </w:p>
    <w:p w14:paraId="71F0CE54" w14:textId="7432C337" w:rsidR="00CE4D9D" w:rsidRPr="007B5BE6" w:rsidRDefault="00D60D55" w:rsidP="00C36104">
      <w:pPr>
        <w:pStyle w:val="DotPointTLRI"/>
      </w:pPr>
      <w:r w:rsidRPr="007B5BE6">
        <w:t>The ALRC made eight recommendations on ‘safeguarding adults at risk’ aimed at addressing the gaps</w:t>
      </w:r>
      <w:r w:rsidR="00F31193" w:rsidRPr="007B5BE6">
        <w:rPr>
          <w:rStyle w:val="FootnoteReference"/>
        </w:rPr>
        <w:footnoteReference w:id="921"/>
      </w:r>
      <w:r w:rsidRPr="007B5BE6">
        <w:t xml:space="preserve"> where older people are ‘at risk’ but not protected due to the limitations of existing legal frameworks, as well as situations where the current measures may be inadequate. These included the establishment of adult safeguarding laws in each state and territory and agencies with roles of safeguarding and support ‘at-risk adults’, with a range of elements to support this approach.</w:t>
      </w:r>
      <w:r w:rsidR="00F31193" w:rsidRPr="007B5BE6">
        <w:rPr>
          <w:rStyle w:val="FootnoteReference"/>
        </w:rPr>
        <w:footnoteReference w:id="922"/>
      </w:r>
    </w:p>
    <w:p w14:paraId="499F89C9" w14:textId="08E7E911" w:rsidR="00D60D55" w:rsidRPr="007B5BE6" w:rsidRDefault="00D60D55" w:rsidP="00C36104">
      <w:pPr>
        <w:pStyle w:val="DotPointTLRI"/>
      </w:pPr>
      <w:r w:rsidRPr="007B5BE6">
        <w:t>The ALRC considered the scope of criminal justice responses, outlining key issues raised by stakeholders including the need to create specific offences for ‘elder abuse’, ‘elder neglect’ and ‘misuse of powers of attorney’, additional support for vulnerable witnesses, and improved police responses. In addressing these concerns, the ALRC noted that the laws relevant to the abuse of older people are principally dealt with at the state and territory level rather than the Commonwealth.</w:t>
      </w:r>
      <w:r w:rsidR="00F31193" w:rsidRPr="007B5BE6">
        <w:rPr>
          <w:rStyle w:val="FootnoteReference"/>
        </w:rPr>
        <w:footnoteReference w:id="923"/>
      </w:r>
    </w:p>
    <w:p w14:paraId="2EA92E8F" w14:textId="69E8C009" w:rsidR="00CE4D9D" w:rsidRPr="007B5BE6" w:rsidRDefault="00D60D55" w:rsidP="002D3C93">
      <w:r w:rsidRPr="007B5BE6">
        <w:lastRenderedPageBreak/>
        <w:t>The ALRC’s approach and recommendations on these issues are discussed in detail in the TLRI’s recommendations for reform.</w:t>
      </w:r>
      <w:r w:rsidR="00F31193" w:rsidRPr="007B5BE6">
        <w:rPr>
          <w:rStyle w:val="FootnoteReference"/>
        </w:rPr>
        <w:footnoteReference w:id="924"/>
      </w:r>
    </w:p>
    <w:p w14:paraId="2ADB91BF" w14:textId="3E2864A0" w:rsidR="00D60D55" w:rsidRPr="007B5BE6" w:rsidRDefault="00D60D55" w:rsidP="007C4F42">
      <w:pPr>
        <w:pStyle w:val="Sub-HeadingTLRI"/>
        <w:spacing w:before="360"/>
      </w:pPr>
      <w:bookmarkStart w:id="648" w:name="_Toc212561850"/>
      <w:r w:rsidRPr="007B5BE6">
        <w:t>National policy framework</w:t>
      </w:r>
      <w:bookmarkEnd w:id="648"/>
      <w:r w:rsidRPr="007B5BE6">
        <w:t xml:space="preserve"> </w:t>
      </w:r>
    </w:p>
    <w:p w14:paraId="44731AD6" w14:textId="77777777" w:rsidR="00D60D55" w:rsidRPr="007B5BE6" w:rsidRDefault="00D60D55" w:rsidP="00614A43">
      <w:pPr>
        <w:rPr>
          <w:b/>
          <w:bCs/>
        </w:rPr>
      </w:pPr>
      <w:r w:rsidRPr="007B5BE6">
        <w:rPr>
          <w:b/>
          <w:bCs/>
        </w:rPr>
        <w:t>National Plan to Respond to the Abuse of Older Australians (Elder Abuse) 2019–2023</w:t>
      </w:r>
    </w:p>
    <w:p w14:paraId="44ED8308" w14:textId="00B23F96" w:rsidR="00D60D55" w:rsidRPr="007B5BE6" w:rsidRDefault="00D60D55" w:rsidP="002D3C93">
      <w:r w:rsidRPr="007B5BE6">
        <w:t>Implementing the ALRC’s recommendation (Recommendation 3</w:t>
      </w:r>
      <w:r w:rsidR="00A159BE">
        <w:t>-</w:t>
      </w:r>
      <w:r w:rsidRPr="007B5BE6">
        <w:t xml:space="preserve">1), the </w:t>
      </w:r>
      <w:r w:rsidRPr="007B5BE6">
        <w:rPr>
          <w:i/>
          <w:iCs/>
        </w:rPr>
        <w:t xml:space="preserve">National Plan to Respond to the Abuse of Older Australians (Elder Abuse) 2019–2023 </w:t>
      </w:r>
      <w:r w:rsidRPr="007B5BE6">
        <w:t>was developed and published in 2019</w:t>
      </w:r>
      <w:r w:rsidRPr="007B5BE6">
        <w:rPr>
          <w:i/>
          <w:iCs/>
        </w:rPr>
        <w:t xml:space="preserve">. </w:t>
      </w:r>
      <w:r w:rsidRPr="007B5BE6">
        <w:t>Strengthening safeguards for vulnerable older adults was included as a priority area</w:t>
      </w:r>
      <w:r w:rsidR="00F31193" w:rsidRPr="007B5BE6">
        <w:rPr>
          <w:rStyle w:val="FootnoteReference"/>
        </w:rPr>
        <w:footnoteReference w:id="925"/>
      </w:r>
      <w:r w:rsidRPr="007B5BE6">
        <w:t xml:space="preserve"> and relevant to this Research Paper Initiative 5.1 was to</w:t>
      </w:r>
      <w:r w:rsidR="006819D8" w:rsidRPr="007B5BE6">
        <w:t xml:space="preserve"> </w:t>
      </w:r>
      <w:r w:rsidRPr="007B5BE6">
        <w:t>‘[r]eview state and territory legislation to identify gaps in safeguarding provisions.’</w:t>
      </w:r>
      <w:r w:rsidR="00F31193" w:rsidRPr="007B5BE6">
        <w:rPr>
          <w:rStyle w:val="FootnoteReference"/>
        </w:rPr>
        <w:footnoteReference w:id="926"/>
      </w:r>
    </w:p>
    <w:p w14:paraId="66C8ABE9" w14:textId="77777777" w:rsidR="00D60D55" w:rsidRPr="007B5BE6" w:rsidRDefault="00D60D55" w:rsidP="002D3C93">
      <w:r w:rsidRPr="007B5BE6">
        <w:t xml:space="preserve">Other key Commonwealth Government initiatives formed as part of the national policy approach informed by the ALRC’s review and recommendations include: </w:t>
      </w:r>
    </w:p>
    <w:p w14:paraId="3B77F9F6" w14:textId="7944BD31" w:rsidR="00D60D55" w:rsidRPr="007B5BE6" w:rsidRDefault="00D60D55" w:rsidP="00C36104">
      <w:pPr>
        <w:pStyle w:val="DotPointTLRI"/>
      </w:pPr>
      <w:r w:rsidRPr="007B5BE6">
        <w:t>Elder Abuse Action Australia (EAAA) and a related project, Compass: Guiding Action on Elder Abuse (Compass).  EAAA was established as specialist organisation to act to a ‘national voice’ eliminate the abuse of older Australians through advocacy, policy development, research and capacity building to raise community awareness and improve the lives of older people.</w:t>
      </w:r>
      <w:r w:rsidR="00F31193" w:rsidRPr="007B5BE6">
        <w:rPr>
          <w:rStyle w:val="FootnoteReference"/>
        </w:rPr>
        <w:footnoteReference w:id="927"/>
      </w:r>
      <w:r w:rsidRPr="007B5BE6">
        <w:t xml:space="preserve"> It has created Compass, a national website that provides information to help older people ‘navigate the complex issue of elder abuse and to guide action to end the problem’,</w:t>
      </w:r>
      <w:r w:rsidR="00F31193" w:rsidRPr="007B5BE6">
        <w:rPr>
          <w:rStyle w:val="FootnoteReference"/>
        </w:rPr>
        <w:footnoteReference w:id="928"/>
      </w:r>
      <w:r w:rsidRPr="007B5BE6" w:rsidDel="0022129E">
        <w:t xml:space="preserve"> </w:t>
      </w:r>
      <w:r w:rsidRPr="007B5BE6">
        <w:t>organises the Australian Elder Abuse Conference and engages in advocacy work at a state and federal level.</w:t>
      </w:r>
    </w:p>
    <w:p w14:paraId="69F0CC6E" w14:textId="0F9C9470" w:rsidR="00D60D55" w:rsidRPr="007B5BE6" w:rsidRDefault="00D60D55" w:rsidP="005A26E3">
      <w:pPr>
        <w:pStyle w:val="DotPointTLRI"/>
        <w:spacing w:before="120" w:after="100" w:afterAutospacing="1"/>
      </w:pPr>
      <w:r w:rsidRPr="007B5BE6">
        <w:t xml:space="preserve">The Australian Human Rights Commission, which provides an important leadership role in generating research to inform policy and responses to abuse of older people.  The National Age Discrimination Commissioner sits within the Australian Human Rights Commission, a statutory position under the </w:t>
      </w:r>
      <w:r w:rsidRPr="007B5BE6">
        <w:rPr>
          <w:i/>
        </w:rPr>
        <w:t>Age Discrimination Act 2004</w:t>
      </w:r>
      <w:r w:rsidRPr="007B5BE6">
        <w:t xml:space="preserve"> (Cth). The role is responsible for ‘addressing barriers to equality and participation caused by age discrimination and protecting Australians of all ages from discrimination on the basis of age in employment, education, accommodation and the provision of goods and services’.</w:t>
      </w:r>
      <w:r w:rsidR="00987433" w:rsidRPr="007B5BE6">
        <w:rPr>
          <w:rStyle w:val="FootnoteReference"/>
        </w:rPr>
        <w:footnoteReference w:id="929"/>
      </w:r>
    </w:p>
    <w:p w14:paraId="55DF89DA" w14:textId="77777777" w:rsidR="00D60D55" w:rsidRPr="007B5BE6" w:rsidRDefault="00D60D55" w:rsidP="005A26E3">
      <w:pPr>
        <w:spacing w:before="120" w:after="100" w:afterAutospacing="1"/>
        <w:rPr>
          <w:b/>
          <w:bCs/>
        </w:rPr>
      </w:pPr>
      <w:r w:rsidRPr="007B5BE6">
        <w:rPr>
          <w:b/>
          <w:bCs/>
        </w:rPr>
        <w:t>Evaluation of the 2019–2023 National Plan (2024)</w:t>
      </w:r>
    </w:p>
    <w:p w14:paraId="7BB84DA1" w14:textId="732F6CAA" w:rsidR="00D60D55" w:rsidRPr="007B5BE6" w:rsidRDefault="00D60D55" w:rsidP="005A26E3">
      <w:pPr>
        <w:spacing w:before="120" w:after="100" w:afterAutospacing="1"/>
      </w:pPr>
      <w:r w:rsidRPr="007B5BE6">
        <w:t>An evaluation of the 2019–2023 National Plan was undertaken by the Australian Institute of Family Studies (AIFS), in collaboration with the National Ag</w:t>
      </w:r>
      <w:r w:rsidR="0079740C" w:rsidRPr="007B5BE6">
        <w:t>e</w:t>
      </w:r>
      <w:r w:rsidRPr="007B5BE6">
        <w:t>ing Research Institute (NARI). The 2024 evaluation report examined how safeguarding reforms operated in specific jurisdictions, focusing on innovations that provided strong measures to address elder abuse, themes capturing successes in services, programs and initiatives and how to overcome barriers in responding to people affected by elder abuse.</w:t>
      </w:r>
      <w:r w:rsidR="00987433" w:rsidRPr="007B5BE6">
        <w:rPr>
          <w:rStyle w:val="FootnoteReference"/>
        </w:rPr>
        <w:footnoteReference w:id="930"/>
      </w:r>
      <w:r w:rsidRPr="007B5BE6">
        <w:t xml:space="preserve"> The evaluation also identified 11 key themes and issues and of most relevance to this </w:t>
      </w:r>
      <w:r w:rsidRPr="007B5BE6">
        <w:lastRenderedPageBreak/>
        <w:t>Research Paper were the following six themes and issues</w:t>
      </w:r>
      <w:r w:rsidR="0011062D" w:rsidRPr="007B5BE6">
        <w:t xml:space="preserve"> under ‘Priority Area 5: Strengthening safeguards for vulnerable older adults’</w:t>
      </w:r>
      <w:r w:rsidRPr="007B5BE6">
        <w:t>:</w:t>
      </w:r>
      <w:r w:rsidR="00987433" w:rsidRPr="007B5BE6">
        <w:rPr>
          <w:rStyle w:val="FootnoteReference"/>
        </w:rPr>
        <w:footnoteReference w:id="931"/>
      </w:r>
    </w:p>
    <w:p w14:paraId="688706BB" w14:textId="65CBFCC0" w:rsidR="00D60D55" w:rsidRPr="007B5BE6" w:rsidRDefault="00D60D55" w:rsidP="00C36104">
      <w:pPr>
        <w:pStyle w:val="DotPointTLRI"/>
      </w:pPr>
      <w:r w:rsidRPr="007B5BE6">
        <w:t>‘A call for an establishment of adult safeguarding units in all states’.</w:t>
      </w:r>
      <w:r w:rsidR="00987433" w:rsidRPr="007B5BE6">
        <w:rPr>
          <w:rStyle w:val="FootnoteReference"/>
        </w:rPr>
        <w:footnoteReference w:id="932"/>
      </w:r>
    </w:p>
    <w:p w14:paraId="1F1A2DD8" w14:textId="0F2A7951" w:rsidR="00D60D55" w:rsidRPr="007B5BE6" w:rsidRDefault="00D60D55" w:rsidP="00C36104">
      <w:pPr>
        <w:pStyle w:val="DotPointTLRI"/>
      </w:pPr>
      <w:r w:rsidRPr="007B5BE6">
        <w:t>‘Include financial institutions in safeguarding networks’</w:t>
      </w:r>
      <w:r w:rsidR="003130C1" w:rsidRPr="007B5BE6">
        <w:t>.</w:t>
      </w:r>
      <w:r w:rsidR="00987433" w:rsidRPr="007B5BE6">
        <w:rPr>
          <w:rStyle w:val="FootnoteReference"/>
        </w:rPr>
        <w:footnoteReference w:id="933"/>
      </w:r>
    </w:p>
    <w:p w14:paraId="4A5D7F40" w14:textId="569F974B" w:rsidR="00D60D55" w:rsidRPr="007B5BE6" w:rsidRDefault="00D60D55" w:rsidP="00C36104">
      <w:pPr>
        <w:pStyle w:val="DotPointTLRI"/>
      </w:pPr>
      <w:r w:rsidRPr="007B5BE6">
        <w:t>‘Mandatory reporting – no consensus position’.</w:t>
      </w:r>
      <w:r w:rsidR="00987433" w:rsidRPr="007B5BE6">
        <w:rPr>
          <w:rStyle w:val="FootnoteReference"/>
        </w:rPr>
        <w:footnoteReference w:id="934"/>
      </w:r>
    </w:p>
    <w:p w14:paraId="7FE79489" w14:textId="355009CF" w:rsidR="00D60D55" w:rsidRPr="007B5BE6" w:rsidRDefault="00D60D55" w:rsidP="00C36104">
      <w:pPr>
        <w:pStyle w:val="DotPointTLRI"/>
      </w:pPr>
      <w:r w:rsidRPr="007B5BE6">
        <w:t>‘Criminalisation of elder abuse may help to secure justice for victim</w:t>
      </w:r>
      <w:r w:rsidR="004F1B83" w:rsidRPr="007B5BE6">
        <w:t>-</w:t>
      </w:r>
      <w:r w:rsidRPr="007B5BE6">
        <w:t>survivors and deter perpetration’.</w:t>
      </w:r>
      <w:r w:rsidR="00987433" w:rsidRPr="007B5BE6">
        <w:rPr>
          <w:rStyle w:val="FootnoteReference"/>
        </w:rPr>
        <w:footnoteReference w:id="935"/>
      </w:r>
    </w:p>
    <w:p w14:paraId="723A4740" w14:textId="468C128D" w:rsidR="00D60D55" w:rsidRPr="007B5BE6" w:rsidRDefault="00D60D55" w:rsidP="00C36104">
      <w:pPr>
        <w:pStyle w:val="DotPointTLRI"/>
      </w:pPr>
      <w:r w:rsidRPr="007B5BE6">
        <w:t>‘Social isolation contributes to vulnerability’.</w:t>
      </w:r>
      <w:r w:rsidR="00987433" w:rsidRPr="007B5BE6">
        <w:rPr>
          <w:rStyle w:val="FootnoteReference"/>
        </w:rPr>
        <w:footnoteReference w:id="936"/>
      </w:r>
    </w:p>
    <w:p w14:paraId="40CC4947" w14:textId="620EA4B6" w:rsidR="00D60D55" w:rsidRPr="007B5BE6" w:rsidRDefault="00D60D55" w:rsidP="00C36104">
      <w:pPr>
        <w:pStyle w:val="DotPointTLRI"/>
      </w:pPr>
      <w:r w:rsidRPr="007B5BE6">
        <w:t>‘Socio-economic disadvantage exacerbates elder abuse’.</w:t>
      </w:r>
      <w:r w:rsidR="00987433" w:rsidRPr="007B5BE6">
        <w:rPr>
          <w:rStyle w:val="FootnoteReference"/>
        </w:rPr>
        <w:footnoteReference w:id="937"/>
      </w:r>
    </w:p>
    <w:p w14:paraId="7823F956" w14:textId="0A90D7D7" w:rsidR="00D60D55" w:rsidRPr="007B5BE6" w:rsidRDefault="00D60D55" w:rsidP="00C36104">
      <w:pPr>
        <w:pStyle w:val="DotPointTLRI"/>
      </w:pPr>
      <w:r w:rsidRPr="007B5BE6">
        <w:t>‘There are concerns that not enough is being done to tackle increasing levels of commercial predation’.</w:t>
      </w:r>
      <w:r w:rsidR="00987433" w:rsidRPr="007B5BE6">
        <w:rPr>
          <w:rStyle w:val="FootnoteReference"/>
        </w:rPr>
        <w:footnoteReference w:id="938"/>
      </w:r>
    </w:p>
    <w:p w14:paraId="17216290" w14:textId="2B612A3F" w:rsidR="00D60D55" w:rsidRPr="007B5BE6" w:rsidRDefault="00D60D55" w:rsidP="002D3C93">
      <w:r w:rsidRPr="007B5BE6">
        <w:t>Overall, the evaluation found that the ‘first National Plan implemented a range of initiatives and has provided a solid foundation’</w:t>
      </w:r>
      <w:r w:rsidR="00987433" w:rsidRPr="007B5BE6">
        <w:rPr>
          <w:rStyle w:val="FootnoteReference"/>
        </w:rPr>
        <w:footnoteReference w:id="939"/>
      </w:r>
      <w:r w:rsidRPr="007B5BE6">
        <w:t xml:space="preserve"> for the next National Plan. However, it concluded that, although understanding of abuse and effective responses has improved, further work was needed. This included a greater focus on the needs of diverse communities and older people with disabilities, prevention efforts and centring older people’s voices in developing responses to abuse, particularly those with lived experience.</w:t>
      </w:r>
      <w:r w:rsidR="00987433" w:rsidRPr="007B5BE6">
        <w:rPr>
          <w:rStyle w:val="FootnoteReference"/>
        </w:rPr>
        <w:footnoteReference w:id="940"/>
      </w:r>
    </w:p>
    <w:p w14:paraId="76CEEDC6" w14:textId="3F9B9EB5" w:rsidR="00D60D55" w:rsidRPr="007B5BE6" w:rsidRDefault="00D60D55" w:rsidP="00614A43">
      <w:pPr>
        <w:rPr>
          <w:b/>
          <w:bCs/>
        </w:rPr>
      </w:pPr>
      <w:r w:rsidRPr="007B5BE6">
        <w:rPr>
          <w:b/>
          <w:bCs/>
        </w:rPr>
        <w:t>Draft National Plan to End the Abuse and Mistreatment of Older People (2024–2034)</w:t>
      </w:r>
    </w:p>
    <w:p w14:paraId="7B84BF5C" w14:textId="17331308" w:rsidR="00D60D55" w:rsidRPr="007B5BE6" w:rsidRDefault="00D60D55" w:rsidP="002D3C93">
      <w:r w:rsidRPr="007B5BE6">
        <w:t xml:space="preserve">Informed by the evaluation, a new National Plan is under development, with a draft of the </w:t>
      </w:r>
      <w:r w:rsidRPr="007B5BE6">
        <w:rPr>
          <w:i/>
          <w:iCs/>
        </w:rPr>
        <w:t>National Pan to End the Abuse and Mistreatment of Older People 2024–2034</w:t>
      </w:r>
      <w:r w:rsidRPr="007B5BE6">
        <w:t xml:space="preserve">, released for public consultation on 12 December 2024. The draft plan is framed by key concepts (regarding types of abuse and mistreatment </w:t>
      </w:r>
      <w:r w:rsidRPr="007B5BE6">
        <w:lastRenderedPageBreak/>
        <w:t>that are now commonly recognised</w:t>
      </w:r>
      <w:r w:rsidR="00191ADF" w:rsidRPr="007B5BE6">
        <w:rPr>
          <w:rStyle w:val="FootnoteReference"/>
        </w:rPr>
        <w:footnoteReference w:id="941"/>
      </w:r>
      <w:r w:rsidRPr="007B5BE6">
        <w:t xml:space="preserve"> and abuse types that where understanding is still emerging)</w:t>
      </w:r>
      <w:r w:rsidR="00191ADF" w:rsidRPr="007B5BE6">
        <w:rPr>
          <w:rStyle w:val="FootnoteReference"/>
        </w:rPr>
        <w:footnoteReference w:id="942"/>
      </w:r>
      <w:r w:rsidRPr="007B5BE6">
        <w:t xml:space="preserve"> as well as five principles. These are:</w:t>
      </w:r>
    </w:p>
    <w:p w14:paraId="2EAE2522" w14:textId="77777777" w:rsidR="00D60D55" w:rsidRPr="007B5BE6" w:rsidRDefault="00D60D55" w:rsidP="00C36104">
      <w:pPr>
        <w:pStyle w:val="DotPointTLRI"/>
      </w:pPr>
      <w:r w:rsidRPr="007B5BE6">
        <w:t xml:space="preserve">Principle 1: ‘Taking a human rights approach’, underpinned by human rights in the following areas: dignity and independence, </w:t>
      </w:r>
      <w:r w:rsidRPr="007B5BE6">
        <w:rPr>
          <w:i/>
          <w:iCs/>
        </w:rPr>
        <w:t>liberty and security</w:t>
      </w:r>
      <w:r w:rsidRPr="007B5BE6">
        <w:t>, living and care, equality and non-discrimination, privacy and relationships, participation and self-fulfilment.</w:t>
      </w:r>
    </w:p>
    <w:p w14:paraId="69D354CD" w14:textId="77777777" w:rsidR="00D60D55" w:rsidRPr="007B5BE6" w:rsidRDefault="00D60D55" w:rsidP="00C36104">
      <w:pPr>
        <w:pStyle w:val="DotPointTLRI"/>
      </w:pPr>
      <w:r w:rsidRPr="007B5BE6">
        <w:t>Principle 2: Combatting ageism.</w:t>
      </w:r>
    </w:p>
    <w:p w14:paraId="6B69394D" w14:textId="77777777" w:rsidR="00D60D55" w:rsidRPr="007B5BE6" w:rsidRDefault="00D60D55" w:rsidP="00C36104">
      <w:pPr>
        <w:pStyle w:val="DotPointTLRI"/>
      </w:pPr>
      <w:r w:rsidRPr="007B5BE6">
        <w:t>Principle 3: Listening to and learning from the experiences of older people and diverse communities.</w:t>
      </w:r>
    </w:p>
    <w:p w14:paraId="3EC83057" w14:textId="77777777" w:rsidR="00D60D55" w:rsidRPr="007B5BE6" w:rsidRDefault="00D60D55" w:rsidP="00C36104">
      <w:pPr>
        <w:pStyle w:val="DotPointTLRI"/>
      </w:pPr>
      <w:r w:rsidRPr="007B5BE6">
        <w:t>Principle 4: A strong focus on prevention and early intervention.</w:t>
      </w:r>
    </w:p>
    <w:p w14:paraId="20F34CB4" w14:textId="77777777" w:rsidR="00D60D55" w:rsidRPr="007B5BE6" w:rsidRDefault="00D60D55" w:rsidP="00C36104">
      <w:pPr>
        <w:pStyle w:val="DotPointTLRI"/>
      </w:pPr>
      <w:r w:rsidRPr="007B5BE6">
        <w:t>Principle 5: Supporting individual decision making, autonomy and dignity.</w:t>
      </w:r>
    </w:p>
    <w:p w14:paraId="30D259BA" w14:textId="77777777" w:rsidR="00D60D55" w:rsidRPr="007B5BE6" w:rsidRDefault="00D60D55" w:rsidP="00C36104">
      <w:pPr>
        <w:pStyle w:val="DotPointTLRI"/>
      </w:pPr>
      <w:r w:rsidRPr="007B5BE6">
        <w:t xml:space="preserve">Principle 6: A person-centred and trauma-informed approach. </w:t>
      </w:r>
    </w:p>
    <w:p w14:paraId="10C9013A" w14:textId="42D64CC8" w:rsidR="00D60D55" w:rsidRPr="007B5BE6" w:rsidRDefault="00D60D55" w:rsidP="002D3C93">
      <w:r w:rsidRPr="007B5BE6">
        <w:t>The principles are designed to work as a common set of values and goals that unify and align 25 priority actions in the draft Plan, under four ‘Focus Areas’. Of most relevance to this Research Paper, is Focus area 2 ‘Enhance legal frameworks and adult safeguarding responses’,</w:t>
      </w:r>
      <w:r w:rsidR="00191ADF" w:rsidRPr="007B5BE6">
        <w:rPr>
          <w:rStyle w:val="FootnoteReference"/>
        </w:rPr>
        <w:footnoteReference w:id="943"/>
      </w:r>
      <w:r w:rsidRPr="007B5BE6">
        <w:t xml:space="preserve"> with priority 2.4 identifying as a priority action the ‘strengthening of safeguarding frameworks and clarify pathways for abuse and mistreatment to be reported and addressed’.</w:t>
      </w:r>
      <w:r w:rsidR="00191ADF" w:rsidRPr="007B5BE6">
        <w:rPr>
          <w:rStyle w:val="FootnoteReference"/>
        </w:rPr>
        <w:footnoteReference w:id="944"/>
      </w:r>
      <w:r w:rsidRPr="007B5BE6">
        <w:t xml:space="preserve"> </w:t>
      </w:r>
    </w:p>
    <w:p w14:paraId="0451407B" w14:textId="52F1A9A2" w:rsidR="00D60D55" w:rsidRPr="007B5BE6" w:rsidRDefault="00D60D55" w:rsidP="002D3C93">
      <w:r w:rsidRPr="007B5BE6">
        <w:t>Other priority areas for enhancing legal frameworks and adult safeguarding responses also focus on financial abuse by ‘exploring enhancements to the role of institutions’ in prevention and response and continuing to ‘raise awareness about the importance of planning ahead for decision making in later years and rights and obligations in relation to enduring instruments’.</w:t>
      </w:r>
      <w:r w:rsidR="00191ADF" w:rsidRPr="007B5BE6">
        <w:rPr>
          <w:rStyle w:val="FootnoteReference"/>
        </w:rPr>
        <w:footnoteReference w:id="945"/>
      </w:r>
      <w:r w:rsidRPr="007B5BE6">
        <w:t xml:space="preserve"> The strong focus on financial abuse at the national level is also reflected in new initiatives, such as the establishment of the Elder Financial Abuse Collaborative, led by the Australian Human Rights Commission. The Collaborative is a ‘collection of representatives from the banking and financial services and peak community organisations sectors, to work together to improve the prevention and response to financial elder abuse.’</w:t>
      </w:r>
      <w:r w:rsidR="00191ADF" w:rsidRPr="007B5BE6">
        <w:rPr>
          <w:rStyle w:val="FootnoteReference"/>
        </w:rPr>
        <w:footnoteReference w:id="946"/>
      </w:r>
      <w:r w:rsidRPr="007B5BE6">
        <w:t xml:space="preserve"> </w:t>
      </w:r>
    </w:p>
    <w:p w14:paraId="6B303771" w14:textId="33F9E6FA" w:rsidR="00191ADF" w:rsidRPr="007B5BE6" w:rsidRDefault="00D60D55" w:rsidP="002D3C93">
      <w:r w:rsidRPr="007B5BE6">
        <w:lastRenderedPageBreak/>
        <w:t>The draft National Plan also emphasises the importance of understanding the experiences of and risk factors for abuse of older people in diverse communities to inform responses, with the Commonwealth Government commissioning research on the abuse and mistreatment of LGBTIQA+ older people</w:t>
      </w:r>
      <w:r w:rsidR="00191ADF" w:rsidRPr="007B5BE6">
        <w:rPr>
          <w:rStyle w:val="FootnoteReference"/>
        </w:rPr>
        <w:footnoteReference w:id="947"/>
      </w:r>
      <w:r w:rsidRPr="007B5BE6">
        <w:t xml:space="preserve"> and of experiences and needs of Aboriginal and Torres Strait Islander older people.</w:t>
      </w:r>
      <w:r w:rsidR="00191ADF" w:rsidRPr="007B5BE6">
        <w:rPr>
          <w:rStyle w:val="FootnoteReference"/>
        </w:rPr>
        <w:footnoteReference w:id="948"/>
      </w:r>
      <w:r w:rsidRPr="007B5BE6">
        <w:t xml:space="preserve"> </w:t>
      </w:r>
    </w:p>
    <w:p w14:paraId="3573A551" w14:textId="16D27C1F" w:rsidR="00D60D55" w:rsidRPr="007B5BE6" w:rsidRDefault="00D60D55" w:rsidP="007C4F42">
      <w:pPr>
        <w:pStyle w:val="Sub-HeadingTLRI"/>
        <w:spacing w:before="360"/>
      </w:pPr>
      <w:bookmarkStart w:id="649" w:name="_Toc212561851"/>
      <w:r w:rsidRPr="007B5BE6">
        <w:t>Tasmanian policy framework</w:t>
      </w:r>
      <w:bookmarkEnd w:id="649"/>
    </w:p>
    <w:p w14:paraId="3099E08E" w14:textId="3FD55914" w:rsidR="00D60D55" w:rsidRPr="007B5BE6" w:rsidRDefault="007145B0" w:rsidP="00835C04">
      <w:pPr>
        <w:rPr>
          <w:b/>
          <w:bCs/>
        </w:rPr>
      </w:pPr>
      <w:r w:rsidRPr="007B5BE6">
        <w:rPr>
          <w:b/>
          <w:bCs/>
        </w:rPr>
        <w:t>Tasmanian s</w:t>
      </w:r>
      <w:r w:rsidR="00D60D55" w:rsidRPr="007B5BE6">
        <w:rPr>
          <w:b/>
          <w:bCs/>
        </w:rPr>
        <w:t xml:space="preserve">trategies focused on preventing of abuse of older </w:t>
      </w:r>
      <w:r w:rsidRPr="007B5BE6">
        <w:rPr>
          <w:b/>
          <w:bCs/>
        </w:rPr>
        <w:t>peo</w:t>
      </w:r>
      <w:r w:rsidR="00B078CA" w:rsidRPr="007B5BE6">
        <w:rPr>
          <w:b/>
          <w:bCs/>
        </w:rPr>
        <w:t>p</w:t>
      </w:r>
      <w:r w:rsidRPr="007B5BE6">
        <w:rPr>
          <w:b/>
          <w:bCs/>
        </w:rPr>
        <w:t>le</w:t>
      </w:r>
    </w:p>
    <w:p w14:paraId="1A48700B" w14:textId="77777777" w:rsidR="00D60D55" w:rsidRPr="007B5BE6" w:rsidRDefault="00D60D55" w:rsidP="002D3C93">
      <w:r w:rsidRPr="007B5BE6">
        <w:t xml:space="preserve">In line with the development of national policy, the Tasmanian Government has undertaken considerable policy work towards prevention of and responses to abuse of older Tasmanians. The Tasmanian Government’s approach responding to and preventing the abuse of older people is set out in three successive strategies, released in 2011, 2019 and 2023. </w:t>
      </w:r>
    </w:p>
    <w:p w14:paraId="67FF2245" w14:textId="39FD3859" w:rsidR="00D60D55" w:rsidRPr="007B5BE6" w:rsidRDefault="00D60D55" w:rsidP="002D3C93">
      <w:r w:rsidRPr="007B5BE6">
        <w:t>Consistent with the national policy framework,</w:t>
      </w:r>
      <w:r w:rsidRPr="007B5BE6">
        <w:rPr>
          <w:rStyle w:val="FootnoteReference"/>
        </w:rPr>
        <w:t xml:space="preserve"> </w:t>
      </w:r>
      <w:r w:rsidRPr="007B5BE6">
        <w:t xml:space="preserve">Tasmania’s policy framework has a focus on addressing attitudes towards ageing and older people and raising awareness and recognition of abuse. Ageism as a driver of abuse of older people is a consistent theme of Tasmania’s current and previous strategies and current </w:t>
      </w:r>
      <w:r w:rsidR="00F41CD7" w:rsidRPr="007B5BE6">
        <w:t>A</w:t>
      </w:r>
      <w:r w:rsidRPr="007B5BE6">
        <w:t xml:space="preserve">ction </w:t>
      </w:r>
      <w:r w:rsidR="00F41CD7" w:rsidRPr="007B5BE6">
        <w:t>P</w:t>
      </w:r>
      <w:r w:rsidRPr="007B5BE6">
        <w:t>lan.</w:t>
      </w:r>
      <w:r w:rsidR="005340F7" w:rsidRPr="007B5BE6">
        <w:rPr>
          <w:rStyle w:val="FootnoteReference"/>
        </w:rPr>
        <w:footnoteReference w:id="949"/>
      </w:r>
      <w:r w:rsidRPr="007B5BE6">
        <w:t xml:space="preserve"> Awareness</w:t>
      </w:r>
      <w:r w:rsidR="00290F9D" w:rsidRPr="007B5BE6">
        <w:t xml:space="preserve"> </w:t>
      </w:r>
      <w:r w:rsidRPr="007B5BE6">
        <w:t>raising has also consistently been a priority area in current and previous strategies, supported by actions directed to improving community awareness of what the abuse of older people is and what supports are currently available in response</w:t>
      </w:r>
      <w:r w:rsidR="004D1F32" w:rsidRPr="007B5BE6">
        <w:rPr>
          <w:rStyle w:val="FootnoteReference"/>
        </w:rPr>
        <w:footnoteReference w:id="950"/>
      </w:r>
      <w:r w:rsidRPr="007B5BE6">
        <w:t xml:space="preserve"> and funding of agencies that have a focus on awareness</w:t>
      </w:r>
      <w:r w:rsidR="00290F9D" w:rsidRPr="007B5BE6">
        <w:t xml:space="preserve"> </w:t>
      </w:r>
      <w:r w:rsidRPr="007B5BE6">
        <w:t xml:space="preserve">raising as part of the specialist services response to the abuse of older Tasmanians (see </w:t>
      </w:r>
      <w:r w:rsidR="0056618F" w:rsidRPr="007B5BE6">
        <w:t>Part 3 at [</w:t>
      </w:r>
      <w:r w:rsidRPr="007B5BE6">
        <w:t>3.</w:t>
      </w:r>
      <w:r w:rsidR="0056618F" w:rsidRPr="007B5BE6">
        <w:t>4]</w:t>
      </w:r>
      <w:r w:rsidRPr="007B5BE6">
        <w:t>). The two more recent strategies (2019 and 2023) have reflected a shift towards including a focus on safeguarding as part of the policy driving responses to abuse of older Tasmanians.</w:t>
      </w:r>
    </w:p>
    <w:p w14:paraId="41D2ADD2" w14:textId="77777777" w:rsidR="00D60D55" w:rsidRPr="007B5BE6" w:rsidRDefault="00D60D55" w:rsidP="00614A43">
      <w:pPr>
        <w:rPr>
          <w:i/>
          <w:iCs/>
        </w:rPr>
      </w:pPr>
      <w:r w:rsidRPr="007B5BE6">
        <w:rPr>
          <w:i/>
          <w:iCs/>
        </w:rPr>
        <w:t>Protecting Older Tasmanians from Abuse: Tasmania’s Elder Abuse Prevention Strategy (2011)</w:t>
      </w:r>
    </w:p>
    <w:p w14:paraId="4A633BB0" w14:textId="2C2288FD" w:rsidR="00D60D55" w:rsidRPr="007B5BE6" w:rsidRDefault="00D60D55" w:rsidP="002D3C93">
      <w:r w:rsidRPr="007B5BE6">
        <w:t xml:space="preserve">This strategy was focused on raising awareness with the aim preventing the abuse of older people, with four key themes as follows: Awareness, Empowerment, Action and Support. Key initiatives implemented as part of this strategy were the establishment of the </w:t>
      </w:r>
      <w:r w:rsidR="008A5521" w:rsidRPr="007B5BE6">
        <w:t xml:space="preserve">Tasmanian </w:t>
      </w:r>
      <w:r w:rsidRPr="007B5BE6">
        <w:t>Elder Abuse Helpline</w:t>
      </w:r>
      <w:r w:rsidR="008A5521" w:rsidRPr="007B5BE6">
        <w:t xml:space="preserve"> (the Helpline’)</w:t>
      </w:r>
      <w:r w:rsidR="004D1F32" w:rsidRPr="007B5BE6">
        <w:t xml:space="preserve">, </w:t>
      </w:r>
      <w:r w:rsidRPr="007B5BE6">
        <w:t>service provider education and training and funding of activities as part of World Elder Abuse Awareness Day.</w:t>
      </w:r>
      <w:r w:rsidR="004D1F32" w:rsidRPr="007B5BE6">
        <w:rPr>
          <w:rStyle w:val="FootnoteReference"/>
        </w:rPr>
        <w:footnoteReference w:id="951"/>
      </w:r>
    </w:p>
    <w:p w14:paraId="5BF5A614" w14:textId="0AC70D2C" w:rsidR="00D60D55" w:rsidRPr="007B5BE6" w:rsidRDefault="00D60D55" w:rsidP="007C1446">
      <w:pPr>
        <w:rPr>
          <w:i/>
          <w:iCs/>
        </w:rPr>
      </w:pPr>
      <w:r w:rsidRPr="007B5BE6">
        <w:rPr>
          <w:i/>
          <w:iCs/>
        </w:rPr>
        <w:t>Respect and Protect Older Tasmanians: Tasmania’s Elder Abuse Prevention Strategy 2019–2022, (2019)</w:t>
      </w:r>
    </w:p>
    <w:p w14:paraId="79F1309E" w14:textId="4F074434" w:rsidR="00D60D55" w:rsidRPr="007B5BE6" w:rsidRDefault="00D60D55" w:rsidP="002D3C93">
      <w:r w:rsidRPr="007B5BE6">
        <w:t>In the 2019 strategy, a key development was the evidence found of the ‘need to review current safeguarding practices in Tasmania’.</w:t>
      </w:r>
      <w:r w:rsidR="004D1F32" w:rsidRPr="007B5BE6">
        <w:rPr>
          <w:rStyle w:val="FootnoteReference"/>
        </w:rPr>
        <w:footnoteReference w:id="952"/>
      </w:r>
      <w:r w:rsidRPr="007B5BE6">
        <w:t xml:space="preserve"> As a result, this strategy added the new theme of ‘Safeguards’ to the existing four themes. This was said to herald a ‘future focus … on safeguarding and working across government and the community to determine the best way … [to] protect older Tasmanians from abuse and harm’.</w:t>
      </w:r>
      <w:r w:rsidR="004D1F32" w:rsidRPr="007B5BE6">
        <w:rPr>
          <w:rStyle w:val="FootnoteReference"/>
        </w:rPr>
        <w:footnoteReference w:id="953"/>
      </w:r>
      <w:r w:rsidRPr="007B5BE6">
        <w:t xml:space="preserve"> The approach in the second strategy was also informed by </w:t>
      </w:r>
      <w:r w:rsidRPr="007B5BE6">
        <w:rPr>
          <w:i/>
          <w:iCs/>
        </w:rPr>
        <w:t xml:space="preserve">Guiding Principles that </w:t>
      </w:r>
      <w:r w:rsidRPr="007B5BE6">
        <w:rPr>
          <w:i/>
          <w:iCs/>
        </w:rPr>
        <w:lastRenderedPageBreak/>
        <w:t>Protect and Respect Older Tasmanians</w:t>
      </w:r>
      <w:r w:rsidRPr="007B5BE6">
        <w:t xml:space="preserve"> (the </w:t>
      </w:r>
      <w:r w:rsidRPr="007B5BE6">
        <w:rPr>
          <w:i/>
          <w:iCs/>
        </w:rPr>
        <w:t>Guiding Principles)</w:t>
      </w:r>
      <w:r w:rsidRPr="007B5BE6">
        <w:t xml:space="preserve">, which had been developed by the Council of the Ageing (COTA) Tasmania, in partnership with the Tasmanian Government and in consultation with government and non-government agencies. These </w:t>
      </w:r>
      <w:r w:rsidRPr="007B5BE6">
        <w:rPr>
          <w:i/>
          <w:iCs/>
        </w:rPr>
        <w:t>Guiding Principles</w:t>
      </w:r>
      <w:r w:rsidRPr="007B5BE6">
        <w:t xml:space="preserve"> were: </w:t>
      </w:r>
    </w:p>
    <w:p w14:paraId="34E3180F" w14:textId="77777777" w:rsidR="00D60D55" w:rsidRPr="007B5BE6" w:rsidRDefault="00D60D55" w:rsidP="00C36104">
      <w:pPr>
        <w:pStyle w:val="DotPointTLRI"/>
      </w:pPr>
      <w:r w:rsidRPr="007B5BE6">
        <w:t xml:space="preserve">‘Independence and freedom to participate socially and economically’. </w:t>
      </w:r>
    </w:p>
    <w:p w14:paraId="071EB844" w14:textId="77777777" w:rsidR="00D60D55" w:rsidRPr="007B5BE6" w:rsidRDefault="00D60D55" w:rsidP="00C36104">
      <w:pPr>
        <w:pStyle w:val="DotPointTLRI"/>
      </w:pPr>
      <w:r w:rsidRPr="007B5BE6">
        <w:t>‘Dignity and choice’.</w:t>
      </w:r>
    </w:p>
    <w:p w14:paraId="408FC0C0" w14:textId="77777777" w:rsidR="00D60D55" w:rsidRPr="007B5BE6" w:rsidRDefault="00D60D55" w:rsidP="00C36104">
      <w:pPr>
        <w:pStyle w:val="DotPointTLRI"/>
      </w:pPr>
      <w:r w:rsidRPr="007B5BE6">
        <w:t>Standards of living and care’.</w:t>
      </w:r>
    </w:p>
    <w:p w14:paraId="65E25A7E" w14:textId="58C36B32" w:rsidR="00D60D55" w:rsidRPr="007B5BE6" w:rsidRDefault="00D60D55" w:rsidP="00C36104">
      <w:pPr>
        <w:pStyle w:val="DotPointTLRI"/>
      </w:pPr>
      <w:r w:rsidRPr="007B5BE6">
        <w:t>Participation and self-fulfilment’.</w:t>
      </w:r>
      <w:r w:rsidR="004D1F32" w:rsidRPr="007B5BE6">
        <w:rPr>
          <w:rStyle w:val="FootnoteReference"/>
        </w:rPr>
        <w:footnoteReference w:id="954"/>
      </w:r>
      <w:r w:rsidRPr="007B5BE6">
        <w:t xml:space="preserve"> </w:t>
      </w:r>
    </w:p>
    <w:p w14:paraId="37B67E53" w14:textId="77777777" w:rsidR="00D60D55" w:rsidRPr="007B5BE6" w:rsidRDefault="00D60D55" w:rsidP="007C1446">
      <w:pPr>
        <w:rPr>
          <w:i/>
          <w:iCs/>
        </w:rPr>
      </w:pPr>
      <w:r w:rsidRPr="007B5BE6">
        <w:rPr>
          <w:i/>
          <w:iCs/>
        </w:rPr>
        <w:t>Lifelong Respect: Tasmania’s Strategy to End the Abuse of Older People (Elder Abuse) 2023–2029 (2023)</w:t>
      </w:r>
    </w:p>
    <w:p w14:paraId="6F18F4DD" w14:textId="67FAF230" w:rsidR="00D60D55" w:rsidRPr="007B5BE6" w:rsidRDefault="00D60D55" w:rsidP="002D3C93">
      <w:r w:rsidRPr="007B5BE6">
        <w:t>The current strategy was developed with a Statewide Elder Abuse Prevention Committee (SEAPAC) established to provide ‘advice and feedback … including representing the lived experience of many older Tasmanians’.</w:t>
      </w:r>
      <w:r w:rsidR="004D1F32" w:rsidRPr="007B5BE6">
        <w:rPr>
          <w:rStyle w:val="FootnoteReference"/>
        </w:rPr>
        <w:footnoteReference w:id="955"/>
      </w:r>
      <w:r w:rsidRPr="007B5BE6">
        <w:t xml:space="preserve">  In place of themes under the two previous strategies, the current strategy identifies four priority areas: </w:t>
      </w:r>
    </w:p>
    <w:p w14:paraId="2B76C3C3" w14:textId="77777777" w:rsidR="00D60D55" w:rsidRPr="007B5BE6" w:rsidRDefault="00D60D55" w:rsidP="00C36104">
      <w:pPr>
        <w:pStyle w:val="DotPointTLRI"/>
      </w:pPr>
      <w:r w:rsidRPr="007B5BE6">
        <w:t>Awareness</w:t>
      </w:r>
    </w:p>
    <w:p w14:paraId="0640E4E3" w14:textId="77777777" w:rsidR="00D60D55" w:rsidRPr="007B5BE6" w:rsidRDefault="00D60D55" w:rsidP="00C36104">
      <w:pPr>
        <w:pStyle w:val="DotPointTLRI"/>
      </w:pPr>
      <w:r w:rsidRPr="007B5BE6">
        <w:t>Self-determination</w:t>
      </w:r>
    </w:p>
    <w:p w14:paraId="0299922A" w14:textId="77777777" w:rsidR="00D60D55" w:rsidRPr="007B5BE6" w:rsidRDefault="00D60D55" w:rsidP="00C36104">
      <w:pPr>
        <w:pStyle w:val="DotPointTLRI"/>
      </w:pPr>
      <w:r w:rsidRPr="007B5BE6">
        <w:t xml:space="preserve">Responsiveness </w:t>
      </w:r>
    </w:p>
    <w:p w14:paraId="5889037D" w14:textId="77777777" w:rsidR="00D60D55" w:rsidRPr="007B5BE6" w:rsidRDefault="00D60D55" w:rsidP="00C36104">
      <w:pPr>
        <w:pStyle w:val="DotPointTLRI"/>
      </w:pPr>
      <w:r w:rsidRPr="007B5BE6">
        <w:t xml:space="preserve">Safeguarding. </w:t>
      </w:r>
    </w:p>
    <w:p w14:paraId="0DE25725" w14:textId="362880BA" w:rsidR="00D60D55" w:rsidRPr="007B5BE6" w:rsidRDefault="00D60D55" w:rsidP="002D3C93">
      <w:r w:rsidRPr="007B5BE6">
        <w:t>The current strategy is also underpinned by ‘recognition of the importance of incorporating the voice of lived experience in developing informed responses to the abuse of older Tasmanians’.</w:t>
      </w:r>
      <w:r w:rsidR="004D1F32" w:rsidRPr="007B5BE6">
        <w:rPr>
          <w:rStyle w:val="FootnoteReference"/>
        </w:rPr>
        <w:footnoteReference w:id="956"/>
      </w:r>
      <w:r w:rsidRPr="007B5BE6">
        <w:t xml:space="preserve"> Of relevance to this Research Paper is the priority of safeguarding which is set out in Table </w:t>
      </w:r>
      <w:r w:rsidR="00932136" w:rsidRPr="007B5BE6">
        <w:t>C.1</w:t>
      </w:r>
      <w:r w:rsidRPr="007B5BE6">
        <w:t>.</w:t>
      </w:r>
    </w:p>
    <w:p w14:paraId="3F35D160" w14:textId="3DC37C09" w:rsidR="00D60D55" w:rsidRPr="007B5BE6" w:rsidRDefault="00D60D55" w:rsidP="00D55E3C">
      <w:pPr>
        <w:spacing w:before="240" w:after="240"/>
        <w:rPr>
          <w:b/>
          <w:bCs/>
        </w:rPr>
      </w:pPr>
      <w:r w:rsidRPr="007B5BE6">
        <w:rPr>
          <w:b/>
          <w:bCs/>
        </w:rPr>
        <w:t xml:space="preserve">Table </w:t>
      </w:r>
      <w:r w:rsidR="00932136" w:rsidRPr="007B5BE6">
        <w:rPr>
          <w:b/>
          <w:bCs/>
        </w:rPr>
        <w:t>C.1:</w:t>
      </w:r>
      <w:r w:rsidRPr="007B5BE6">
        <w:rPr>
          <w:b/>
          <w:bCs/>
        </w:rPr>
        <w:t xml:space="preserve"> </w:t>
      </w:r>
      <w:r w:rsidRPr="007B5BE6">
        <w:rPr>
          <w:b/>
          <w:bCs/>
          <w:i/>
          <w:iCs/>
        </w:rPr>
        <w:t>Lifelong Respect: Tasmania’s Strategy to End the Abuse of Older People (Elder Abuse) 2023–2029</w:t>
      </w:r>
      <w:r w:rsidRPr="007B5BE6">
        <w:rPr>
          <w:b/>
          <w:bCs/>
        </w:rPr>
        <w:t>: Priority Area 4 Safeguarding, Actions and Outcomes</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260"/>
        <w:gridCol w:w="2977"/>
        <w:gridCol w:w="2789"/>
      </w:tblGrid>
      <w:tr w:rsidR="00D60D55" w:rsidRPr="007B5BE6" w14:paraId="2D38DC7D" w14:textId="77777777" w:rsidTr="00AC1288">
        <w:trPr>
          <w:tblHeader/>
        </w:trPr>
        <w:tc>
          <w:tcPr>
            <w:tcW w:w="1806" w:type="pct"/>
            <w:tcBorders>
              <w:top w:val="single" w:sz="8" w:space="0" w:color="auto"/>
              <w:bottom w:val="single" w:sz="8" w:space="0" w:color="auto"/>
            </w:tcBorders>
            <w:shd w:val="clear" w:color="auto" w:fill="FFFFFF" w:themeFill="background1"/>
          </w:tcPr>
          <w:p w14:paraId="0EAE2CCA" w14:textId="77777777" w:rsidR="00D60D55" w:rsidRPr="007B5BE6" w:rsidRDefault="00D60D55" w:rsidP="00A17D7A">
            <w:pPr>
              <w:jc w:val="left"/>
              <w:rPr>
                <w:b/>
                <w:bCs/>
                <w:sz w:val="20"/>
                <w:szCs w:val="20"/>
              </w:rPr>
            </w:pPr>
            <w:r w:rsidRPr="007B5BE6">
              <w:rPr>
                <w:b/>
                <w:bCs/>
                <w:sz w:val="20"/>
                <w:szCs w:val="20"/>
              </w:rPr>
              <w:t xml:space="preserve">Description </w:t>
            </w:r>
          </w:p>
        </w:tc>
        <w:tc>
          <w:tcPr>
            <w:tcW w:w="1649" w:type="pct"/>
            <w:tcBorders>
              <w:top w:val="single" w:sz="8" w:space="0" w:color="auto"/>
              <w:bottom w:val="single" w:sz="8" w:space="0" w:color="auto"/>
            </w:tcBorders>
            <w:shd w:val="clear" w:color="auto" w:fill="FFFFFF" w:themeFill="background1"/>
          </w:tcPr>
          <w:p w14:paraId="4AF8FDD9" w14:textId="77777777" w:rsidR="00D60D55" w:rsidRPr="007B5BE6" w:rsidRDefault="00D60D55" w:rsidP="00A17D7A">
            <w:pPr>
              <w:jc w:val="left"/>
              <w:rPr>
                <w:b/>
                <w:bCs/>
                <w:sz w:val="20"/>
                <w:szCs w:val="20"/>
              </w:rPr>
            </w:pPr>
            <w:r w:rsidRPr="007B5BE6">
              <w:rPr>
                <w:b/>
                <w:bCs/>
                <w:sz w:val="20"/>
                <w:szCs w:val="20"/>
              </w:rPr>
              <w:t xml:space="preserve">Actions </w:t>
            </w:r>
          </w:p>
        </w:tc>
        <w:tc>
          <w:tcPr>
            <w:tcW w:w="1545" w:type="pct"/>
            <w:tcBorders>
              <w:top w:val="single" w:sz="8" w:space="0" w:color="auto"/>
              <w:bottom w:val="single" w:sz="8" w:space="0" w:color="auto"/>
            </w:tcBorders>
            <w:shd w:val="clear" w:color="auto" w:fill="FFFFFF" w:themeFill="background1"/>
          </w:tcPr>
          <w:p w14:paraId="4D2F5E13" w14:textId="77777777" w:rsidR="00D60D55" w:rsidRPr="007B5BE6" w:rsidRDefault="00D60D55" w:rsidP="00A17D7A">
            <w:pPr>
              <w:jc w:val="left"/>
              <w:rPr>
                <w:b/>
                <w:bCs/>
                <w:sz w:val="20"/>
                <w:szCs w:val="20"/>
              </w:rPr>
            </w:pPr>
            <w:r w:rsidRPr="007B5BE6">
              <w:rPr>
                <w:b/>
                <w:bCs/>
                <w:sz w:val="20"/>
                <w:szCs w:val="20"/>
              </w:rPr>
              <w:t>Outcomes</w:t>
            </w:r>
          </w:p>
        </w:tc>
      </w:tr>
      <w:tr w:rsidR="00D60D55" w:rsidRPr="007B5BE6" w14:paraId="5B38715D" w14:textId="77777777" w:rsidTr="00AC1288">
        <w:tc>
          <w:tcPr>
            <w:tcW w:w="1806" w:type="pct"/>
            <w:tcBorders>
              <w:top w:val="single" w:sz="8" w:space="0" w:color="auto"/>
            </w:tcBorders>
          </w:tcPr>
          <w:p w14:paraId="796F7C3A" w14:textId="77777777" w:rsidR="00D60D55" w:rsidRPr="007B5BE6" w:rsidRDefault="00D60D55" w:rsidP="00F529A3">
            <w:pPr>
              <w:jc w:val="left"/>
              <w:rPr>
                <w:sz w:val="20"/>
                <w:szCs w:val="20"/>
              </w:rPr>
            </w:pPr>
            <w:r w:rsidRPr="007B5BE6">
              <w:rPr>
                <w:b/>
                <w:bCs/>
                <w:sz w:val="20"/>
                <w:szCs w:val="20"/>
              </w:rPr>
              <w:t>Priority Area Four: Safeguarding</w:t>
            </w:r>
            <w:r w:rsidRPr="007B5BE6">
              <w:rPr>
                <w:sz w:val="20"/>
                <w:szCs w:val="20"/>
              </w:rPr>
              <w:t xml:space="preserve"> </w:t>
            </w:r>
          </w:p>
          <w:p w14:paraId="44FDAE96" w14:textId="77777777" w:rsidR="00D60D55" w:rsidRPr="007B5BE6" w:rsidRDefault="00D60D55" w:rsidP="00F529A3">
            <w:pPr>
              <w:jc w:val="left"/>
              <w:rPr>
                <w:sz w:val="20"/>
                <w:szCs w:val="20"/>
              </w:rPr>
            </w:pPr>
            <w:r w:rsidRPr="007B5BE6">
              <w:rPr>
                <w:sz w:val="20"/>
                <w:szCs w:val="20"/>
              </w:rPr>
              <w:t xml:space="preserve">The whole community takes responsibility for safeguarding older Tasmanians and they live safely and free from any form of abuse. </w:t>
            </w:r>
          </w:p>
          <w:p w14:paraId="531F9186" w14:textId="20ECBBB9" w:rsidR="00D60D55" w:rsidRPr="007B5BE6" w:rsidRDefault="00D60D55" w:rsidP="00F529A3">
            <w:pPr>
              <w:jc w:val="left"/>
              <w:rPr>
                <w:sz w:val="20"/>
                <w:szCs w:val="20"/>
              </w:rPr>
            </w:pPr>
            <w:r w:rsidRPr="007B5BE6">
              <w:rPr>
                <w:sz w:val="20"/>
                <w:szCs w:val="20"/>
              </w:rPr>
              <w:t>Work across government and community to determine the best ways to protect older Tasmanians from abuse and harm. This will include ensuring that a range of safeguarding initiatives are in place to reinforce the safety of older Tasmanians across a service continuum of prevention, early intervention and response.</w:t>
            </w:r>
          </w:p>
        </w:tc>
        <w:tc>
          <w:tcPr>
            <w:tcW w:w="1649" w:type="pct"/>
            <w:tcBorders>
              <w:top w:val="single" w:sz="8" w:space="0" w:color="auto"/>
            </w:tcBorders>
          </w:tcPr>
          <w:p w14:paraId="7D1EA422" w14:textId="77777777" w:rsidR="00D60D55" w:rsidRPr="007B5BE6" w:rsidRDefault="00D60D55" w:rsidP="00F529A3">
            <w:pPr>
              <w:jc w:val="left"/>
              <w:rPr>
                <w:sz w:val="20"/>
                <w:szCs w:val="20"/>
              </w:rPr>
            </w:pPr>
            <w:r w:rsidRPr="007B5BE6">
              <w:rPr>
                <w:sz w:val="20"/>
                <w:szCs w:val="20"/>
              </w:rPr>
              <w:t xml:space="preserve">Build on and continue the work already underway to review and improve future safeguarding policies and frameworks for older Tasmanians. </w:t>
            </w:r>
          </w:p>
          <w:p w14:paraId="1B8BA01E" w14:textId="672B286C" w:rsidR="00D60D55" w:rsidRPr="007B5BE6" w:rsidRDefault="00D60D55" w:rsidP="00F529A3">
            <w:pPr>
              <w:jc w:val="left"/>
              <w:rPr>
                <w:sz w:val="20"/>
                <w:szCs w:val="20"/>
              </w:rPr>
            </w:pPr>
            <w:r w:rsidRPr="007B5BE6">
              <w:rPr>
                <w:sz w:val="20"/>
                <w:szCs w:val="20"/>
              </w:rPr>
              <w:t xml:space="preserve">Strengthen existing and develop new initiatives to safeguard all older Tasmanians against abuse. </w:t>
            </w:r>
          </w:p>
          <w:p w14:paraId="568A6ACD" w14:textId="77777777" w:rsidR="00D60D55" w:rsidRPr="007B5BE6" w:rsidRDefault="00D60D55" w:rsidP="00F529A3">
            <w:pPr>
              <w:jc w:val="left"/>
              <w:rPr>
                <w:sz w:val="20"/>
                <w:szCs w:val="20"/>
              </w:rPr>
            </w:pPr>
            <w:r w:rsidRPr="007B5BE6">
              <w:rPr>
                <w:sz w:val="20"/>
                <w:szCs w:val="20"/>
              </w:rPr>
              <w:t xml:space="preserve">Promote the improved safeguards to Tasmania’s diverse communities with a focus on empowering community members to recognise, respond to and prevent abuse, and to counteract its underlying drivers. </w:t>
            </w:r>
          </w:p>
        </w:tc>
        <w:tc>
          <w:tcPr>
            <w:tcW w:w="1545" w:type="pct"/>
            <w:tcBorders>
              <w:top w:val="single" w:sz="8" w:space="0" w:color="auto"/>
            </w:tcBorders>
          </w:tcPr>
          <w:p w14:paraId="17301464" w14:textId="77777777" w:rsidR="00D60D55" w:rsidRPr="007B5BE6" w:rsidRDefault="00D60D55" w:rsidP="00F529A3">
            <w:pPr>
              <w:jc w:val="left"/>
              <w:rPr>
                <w:sz w:val="20"/>
                <w:szCs w:val="20"/>
              </w:rPr>
            </w:pPr>
            <w:r w:rsidRPr="007B5BE6">
              <w:rPr>
                <w:sz w:val="20"/>
                <w:szCs w:val="20"/>
              </w:rPr>
              <w:t>The community contributes to and participates in identifying and developing ways to safeguard older Tasmanians from abuse.</w:t>
            </w:r>
          </w:p>
          <w:p w14:paraId="2A8AF29B" w14:textId="77777777" w:rsidR="00D60D55" w:rsidRPr="007B5BE6" w:rsidRDefault="00D60D55" w:rsidP="00F529A3">
            <w:pPr>
              <w:jc w:val="left"/>
              <w:rPr>
                <w:sz w:val="20"/>
                <w:szCs w:val="20"/>
              </w:rPr>
            </w:pPr>
            <w:r w:rsidRPr="007B5BE6">
              <w:rPr>
                <w:sz w:val="20"/>
                <w:szCs w:val="20"/>
              </w:rPr>
              <w:t>Culturally appropriate, accepted and widely recognised safeguarding measures are in place and functioning to ensure older Tasmanians can live from free abuse.</w:t>
            </w:r>
          </w:p>
          <w:p w14:paraId="2F89F994" w14:textId="77777777" w:rsidR="00D60D55" w:rsidRPr="007B5BE6" w:rsidRDefault="00D60D55" w:rsidP="00F529A3">
            <w:pPr>
              <w:jc w:val="left"/>
              <w:rPr>
                <w:sz w:val="20"/>
                <w:szCs w:val="20"/>
              </w:rPr>
            </w:pPr>
          </w:p>
        </w:tc>
      </w:tr>
    </w:tbl>
    <w:p w14:paraId="00402D69" w14:textId="77777777" w:rsidR="002D3C93" w:rsidRPr="007B5BE6" w:rsidRDefault="002D3C93" w:rsidP="002D3C93"/>
    <w:p w14:paraId="1F61EB62" w14:textId="24B78E95" w:rsidR="00D60D55" w:rsidRPr="007B5BE6" w:rsidRDefault="00D60D55" w:rsidP="002D3C93">
      <w:r w:rsidRPr="007B5BE6">
        <w:lastRenderedPageBreak/>
        <w:t xml:space="preserve">The </w:t>
      </w:r>
      <w:r w:rsidR="00203CE3" w:rsidRPr="007B5BE6">
        <w:t>‘</w:t>
      </w:r>
      <w:r w:rsidRPr="007B5BE6">
        <w:t>Guiding Principles</w:t>
      </w:r>
      <w:r w:rsidR="00203CE3" w:rsidRPr="007B5BE6">
        <w:t>’</w:t>
      </w:r>
      <w:r w:rsidRPr="007B5BE6">
        <w:t>, which were developed as part of the second strategy, have continued as a foundation of the current strategy in an amended format, as follows:</w:t>
      </w:r>
    </w:p>
    <w:p w14:paraId="0A8FC5FA" w14:textId="29059D0A" w:rsidR="00D60D55" w:rsidRPr="007B5BE6" w:rsidRDefault="00D60D55" w:rsidP="00C36104">
      <w:pPr>
        <w:pStyle w:val="DotPointTLRI"/>
      </w:pPr>
      <w:r w:rsidRPr="007B5BE6">
        <w:t>‘Independence, freedom and agency’, including living free from harm, right to family life, fulfilment, respect and participating in their communities.</w:t>
      </w:r>
      <w:r w:rsidR="004D1F32" w:rsidRPr="007B5BE6">
        <w:rPr>
          <w:rStyle w:val="FootnoteReference"/>
        </w:rPr>
        <w:footnoteReference w:id="957"/>
      </w:r>
    </w:p>
    <w:p w14:paraId="48AAC436" w14:textId="65E412FF" w:rsidR="00D60D55" w:rsidRPr="007B5BE6" w:rsidRDefault="00D60D55" w:rsidP="00C36104">
      <w:pPr>
        <w:pStyle w:val="DotPointTLRI"/>
      </w:pPr>
      <w:r w:rsidRPr="007B5BE6">
        <w:t>‘Empowerment’, including having choice and self-determination and being safe and free from exploitation and abuse, having access to appropriate supports and having inherent dignity respected.</w:t>
      </w:r>
      <w:r w:rsidR="004D1F32" w:rsidRPr="007B5BE6">
        <w:rPr>
          <w:rStyle w:val="FootnoteReference"/>
        </w:rPr>
        <w:footnoteReference w:id="958"/>
      </w:r>
    </w:p>
    <w:p w14:paraId="5A3634E4" w14:textId="77962E5C" w:rsidR="00D60D55" w:rsidRPr="007B5BE6" w:rsidRDefault="00D60D55" w:rsidP="00C36104">
      <w:pPr>
        <w:pStyle w:val="DotPointTLRI"/>
      </w:pPr>
      <w:r w:rsidRPr="007B5BE6">
        <w:t>‘Dignity and respect’, including independence, dignity and making decisions about their own lives, respected by family and community and not discriminated against and have what they need to promote physical, mental and emotional wellbeing.</w:t>
      </w:r>
      <w:r w:rsidR="004D1F32" w:rsidRPr="007B5BE6">
        <w:rPr>
          <w:rStyle w:val="FootnoteReference"/>
        </w:rPr>
        <w:footnoteReference w:id="959"/>
      </w:r>
    </w:p>
    <w:p w14:paraId="6C97F088" w14:textId="794D93A3" w:rsidR="00D60D55" w:rsidRPr="007B5BE6" w:rsidRDefault="00D60D55" w:rsidP="00C36104">
      <w:pPr>
        <w:pStyle w:val="DotPointTLRI"/>
      </w:pPr>
      <w:r w:rsidRPr="007B5BE6">
        <w:t>‘Diversity and inclusion’, including rights to express and present themselves relative to culture, community and identity.’</w:t>
      </w:r>
      <w:r w:rsidR="004D1F32" w:rsidRPr="007B5BE6">
        <w:rPr>
          <w:rStyle w:val="FootnoteReference"/>
        </w:rPr>
        <w:footnoteReference w:id="960"/>
      </w:r>
      <w:r w:rsidRPr="007B5BE6">
        <w:t xml:space="preserve">  </w:t>
      </w:r>
    </w:p>
    <w:p w14:paraId="1BF38C37" w14:textId="60B6FCBA" w:rsidR="00D60D55" w:rsidRPr="007B5BE6" w:rsidRDefault="00D60D55" w:rsidP="002D3C93">
      <w:r w:rsidRPr="007B5BE6">
        <w:t xml:space="preserve">The </w:t>
      </w:r>
      <w:r w:rsidR="00123FB6" w:rsidRPr="007B5BE6">
        <w:t>‘</w:t>
      </w:r>
      <w:r w:rsidRPr="007B5BE6">
        <w:t>Guiding Principles</w:t>
      </w:r>
      <w:r w:rsidR="00123FB6" w:rsidRPr="007B5BE6">
        <w:t>’</w:t>
      </w:r>
      <w:r w:rsidRPr="007B5BE6">
        <w:t xml:space="preserve"> were developed by the Council of the Ageing (</w:t>
      </w:r>
      <w:r w:rsidR="00123FB6" w:rsidRPr="007B5BE6">
        <w:t>‘</w:t>
      </w:r>
      <w:r w:rsidRPr="007B5BE6">
        <w:t>COTA</w:t>
      </w:r>
      <w:r w:rsidR="00123FB6" w:rsidRPr="007B5BE6">
        <w:t>’</w:t>
      </w:r>
      <w:r w:rsidRPr="007B5BE6">
        <w:t xml:space="preserve">) Tasmania in partnership with the Tasmanian Government and </w:t>
      </w:r>
      <w:r w:rsidR="00094F4C" w:rsidRPr="007B5BE6">
        <w:t>are described as having</w:t>
      </w:r>
      <w:r w:rsidRPr="007B5BE6">
        <w:t xml:space="preserve"> been </w:t>
      </w:r>
      <w:r w:rsidR="004F2B36" w:rsidRPr="007B5BE6">
        <w:t>‘</w:t>
      </w:r>
      <w:r w:rsidRPr="007B5BE6">
        <w:t>adapted from the United Nations Principles for Older Persons and the South Australian Charter of the Rights and Freedom</w:t>
      </w:r>
      <w:r w:rsidR="00A97046" w:rsidRPr="007B5BE6">
        <w:t>s</w:t>
      </w:r>
      <w:r w:rsidRPr="007B5BE6">
        <w:t xml:space="preserve"> of Older People</w:t>
      </w:r>
      <w:r w:rsidR="004F2B36" w:rsidRPr="007B5BE6">
        <w:t>’</w:t>
      </w:r>
      <w:r w:rsidRPr="007B5BE6">
        <w:t>.</w:t>
      </w:r>
      <w:r w:rsidR="004D1F32" w:rsidRPr="007B5BE6">
        <w:rPr>
          <w:rStyle w:val="FootnoteReference"/>
        </w:rPr>
        <w:footnoteReference w:id="961"/>
      </w:r>
    </w:p>
    <w:p w14:paraId="6956E8BA" w14:textId="77777777" w:rsidR="00D60D55" w:rsidRPr="007B5BE6" w:rsidRDefault="00D60D55" w:rsidP="00C558FA">
      <w:pPr>
        <w:pStyle w:val="Sub-HeadingTLRI"/>
        <w:spacing w:before="360"/>
      </w:pPr>
      <w:bookmarkStart w:id="650" w:name="_Toc212561852"/>
      <w:r w:rsidRPr="007B5BE6">
        <w:t>A Respectful, Age-friendly Island: Older Tasmanians Action Plan 2025–2029</w:t>
      </w:r>
      <w:bookmarkEnd w:id="650"/>
    </w:p>
    <w:p w14:paraId="462B241A" w14:textId="19B2C899" w:rsidR="00D60D55" w:rsidRPr="007B5BE6" w:rsidRDefault="00D60D55" w:rsidP="002D3C93">
      <w:r w:rsidRPr="007B5BE6">
        <w:t xml:space="preserve">Aligned with, and as part of implementation of, its strategy to respond to and prevent the abuse of older Tasmanians in December 2024 the Tasmanian Government released an Action Plan, </w:t>
      </w:r>
      <w:r w:rsidRPr="007B5BE6">
        <w:rPr>
          <w:i/>
          <w:iCs/>
        </w:rPr>
        <w:t>A Respectful, Age-friendly Island: Older Tasmanians Action Plan 2025–2029</w:t>
      </w:r>
      <w:r w:rsidRPr="007B5BE6">
        <w:t>, aimed at creating an ‘environment that supports the well-being, potential and value of older Tasmanians and addresses the unique challenges associated with ageing in Tasmania’.</w:t>
      </w:r>
      <w:r w:rsidR="004D1F32" w:rsidRPr="007B5BE6">
        <w:rPr>
          <w:rStyle w:val="FootnoteReference"/>
        </w:rPr>
        <w:footnoteReference w:id="962"/>
      </w:r>
      <w:r w:rsidRPr="007B5BE6">
        <w:t xml:space="preserve"> </w:t>
      </w:r>
    </w:p>
    <w:p w14:paraId="0014CEF1" w14:textId="571CC103" w:rsidR="00D60D55" w:rsidRPr="007B5BE6" w:rsidRDefault="00D60D55" w:rsidP="002D3C93">
      <w:r w:rsidRPr="007B5BE6">
        <w:t>The Action Plan has a broad focus, encompassing ‘social, structural, cultural and environmental determinants of ageing’ and the promotion of wellbeing and participation for older Tasmanians.</w:t>
      </w:r>
      <w:r w:rsidR="004D1F32" w:rsidRPr="007B5BE6">
        <w:rPr>
          <w:rStyle w:val="FootnoteReference"/>
        </w:rPr>
        <w:footnoteReference w:id="963"/>
      </w:r>
      <w:r w:rsidRPr="007B5BE6">
        <w:t xml:space="preserve"> Further, it reflects the Tasmanian Government’s commitment to achieving Closing the Gap outcomes in priority reforms by the plan’s actions and initiatives being ‘culturally respectful and inclusive of Aboriginal people, including by acknowledging </w:t>
      </w:r>
      <w:r w:rsidR="00353DA9" w:rsidRPr="007B5BE6">
        <w:t xml:space="preserve">that </w:t>
      </w:r>
      <w:r w:rsidRPr="007B5BE6">
        <w:t>Aboriginal people are considered ‘older’ at the age of 50 years, and adjusting policies and practices, including eligibility criteria, accordingly.</w:t>
      </w:r>
      <w:r w:rsidR="004D1F32" w:rsidRPr="007B5BE6">
        <w:rPr>
          <w:rStyle w:val="FootnoteReference"/>
        </w:rPr>
        <w:footnoteReference w:id="964"/>
      </w:r>
      <w:r w:rsidRPr="007B5BE6">
        <w:t xml:space="preserve"> </w:t>
      </w:r>
    </w:p>
    <w:p w14:paraId="3953B0B1" w14:textId="3469C7EF" w:rsidR="00D60D55" w:rsidRPr="007B5BE6" w:rsidRDefault="00D60D55" w:rsidP="002D3C93">
      <w:r w:rsidRPr="007B5BE6">
        <w:lastRenderedPageBreak/>
        <w:t>The vision for the Action Plan is for a ‘respectful, age-friendly island where older Tasmanians are valued, connected and supported’.</w:t>
      </w:r>
      <w:r w:rsidR="004D1F32" w:rsidRPr="007B5BE6">
        <w:rPr>
          <w:rStyle w:val="FootnoteReference"/>
        </w:rPr>
        <w:footnoteReference w:id="965"/>
      </w:r>
      <w:r w:rsidRPr="007B5BE6">
        <w:t xml:space="preserve"> This is aimed to be achieved by older Tasmanians:</w:t>
      </w:r>
    </w:p>
    <w:p w14:paraId="5AAE5888" w14:textId="77777777" w:rsidR="00D60D55" w:rsidRPr="007B5BE6" w:rsidRDefault="00D60D55" w:rsidP="00C36104">
      <w:pPr>
        <w:pStyle w:val="DotPointTLRI"/>
      </w:pPr>
      <w:r w:rsidRPr="007B5BE6">
        <w:t>feeling valued and respected by reducing ageism in all forms and feeling safe, respected and free from abuse;</w:t>
      </w:r>
    </w:p>
    <w:p w14:paraId="6D8745E6" w14:textId="77777777" w:rsidR="00D60D55" w:rsidRPr="007B5BE6" w:rsidRDefault="00D60D55" w:rsidP="00C36104">
      <w:pPr>
        <w:pStyle w:val="DotPointTLRI"/>
      </w:pPr>
      <w:r w:rsidRPr="007B5BE6">
        <w:t>being connected and engaged by feeling that their potential is nurtured and harness to contribute and achieve; and</w:t>
      </w:r>
    </w:p>
    <w:p w14:paraId="7991895A" w14:textId="1E203057" w:rsidR="00D60D55" w:rsidRPr="007B5BE6" w:rsidRDefault="00D60D55" w:rsidP="00C36104">
      <w:pPr>
        <w:pStyle w:val="DotPointTLRI"/>
      </w:pPr>
      <w:r w:rsidRPr="007B5BE6">
        <w:t>enabled and supported by feeling they are recognised, valued and their needs are met.</w:t>
      </w:r>
      <w:r w:rsidR="004D1F32" w:rsidRPr="007B5BE6">
        <w:rPr>
          <w:rStyle w:val="FootnoteReference"/>
        </w:rPr>
        <w:footnoteReference w:id="966"/>
      </w:r>
    </w:p>
    <w:p w14:paraId="0D71A396" w14:textId="03D19546" w:rsidR="007C25F5" w:rsidRPr="007B5BE6" w:rsidRDefault="00D60D55" w:rsidP="007C25F5">
      <w:r w:rsidRPr="007B5BE6">
        <w:t>In the Action Plan, there is a significant focus on the abuse of older people. This is reflected in a focus on addressing ageism as a factor that is linked to perpetration of abuse and barriers to help-seeking or responses.</w:t>
      </w:r>
      <w:r w:rsidR="004D1F32" w:rsidRPr="007B5BE6">
        <w:rPr>
          <w:rStyle w:val="FootnoteReference"/>
        </w:rPr>
        <w:footnoteReference w:id="967"/>
      </w:r>
      <w:r w:rsidRPr="007B5BE6">
        <w:t xml:space="preserve"> Recognising, preventing and addressing the abuse of older Tasmanians is identified as a priority, with the aim of ensuring self-determination and empowerment for older Tasmanians as they age.</w:t>
      </w:r>
      <w:r w:rsidR="004D1F32" w:rsidRPr="007B5BE6">
        <w:rPr>
          <w:rStyle w:val="FootnoteReference"/>
        </w:rPr>
        <w:footnoteReference w:id="968"/>
      </w:r>
      <w:r w:rsidRPr="007B5BE6">
        <w:t xml:space="preserve"> Under the focus area of ‘recognising, responding and preventing the abuse of older Tasmanians’, there are </w:t>
      </w:r>
      <w:r w:rsidR="004A139B" w:rsidRPr="007B5BE6">
        <w:t xml:space="preserve">10 </w:t>
      </w:r>
      <w:r w:rsidRPr="007B5BE6">
        <w:t xml:space="preserve">actions identified under the categories of ‘raising awareness’ (four actions), ‘preventing and responding’ (four actions) and ‘safeguarding’ (two actions). These </w:t>
      </w:r>
      <w:r w:rsidR="004A139B" w:rsidRPr="007B5BE6">
        <w:t>10</w:t>
      </w:r>
      <w:r w:rsidRPr="007B5BE6">
        <w:t xml:space="preserve"> actions are set out in Table </w:t>
      </w:r>
      <w:r w:rsidR="00932136" w:rsidRPr="007B5BE6">
        <w:t>C.2.</w:t>
      </w:r>
      <w:r w:rsidRPr="007B5BE6">
        <w:t xml:space="preserve"> </w:t>
      </w:r>
    </w:p>
    <w:p w14:paraId="21FFD884" w14:textId="73F5C582" w:rsidR="003456AF" w:rsidRPr="007B5BE6" w:rsidRDefault="003456AF" w:rsidP="00F76BC6">
      <w:pPr>
        <w:spacing w:before="240" w:after="240"/>
        <w:rPr>
          <w:b/>
          <w:i/>
        </w:rPr>
      </w:pPr>
      <w:r w:rsidRPr="007B5BE6">
        <w:rPr>
          <w:b/>
        </w:rPr>
        <w:t xml:space="preserve">Table </w:t>
      </w:r>
      <w:r w:rsidR="00932136" w:rsidRPr="007B5BE6">
        <w:rPr>
          <w:b/>
          <w:bCs/>
        </w:rPr>
        <w:t>C.2:</w:t>
      </w:r>
      <w:r w:rsidRPr="007B5BE6">
        <w:t xml:space="preserve"> </w:t>
      </w:r>
      <w:r w:rsidRPr="007B5BE6">
        <w:rPr>
          <w:b/>
        </w:rPr>
        <w:t>Focus areas and actions</w:t>
      </w:r>
      <w:r w:rsidRPr="007B5BE6">
        <w:rPr>
          <w:b/>
          <w:bCs/>
        </w:rPr>
        <w:t xml:space="preserve"> (Focus Area: Recognising, responding, and preventing the abuse of older Tasmanians):</w:t>
      </w:r>
      <w:r w:rsidRPr="007B5BE6">
        <w:rPr>
          <w:b/>
        </w:rPr>
        <w:t xml:space="preserve"> </w:t>
      </w:r>
      <w:r w:rsidRPr="007B5BE6">
        <w:rPr>
          <w:b/>
          <w:i/>
        </w:rPr>
        <w:t>A Respectful, Age-friendly Island: Older Tasmanians Action Plan 2025–2029</w:t>
      </w:r>
    </w:p>
    <w:tbl>
      <w:tblPr>
        <w:tblStyle w:val="TableGrid"/>
        <w:tblW w:w="4950" w:type="pct"/>
        <w:tblBorders>
          <w:left w:val="none" w:sz="0" w:space="0" w:color="auto"/>
          <w:right w:val="none" w:sz="0" w:space="0" w:color="auto"/>
        </w:tblBorders>
        <w:tblLook w:val="04A0" w:firstRow="1" w:lastRow="0" w:firstColumn="1" w:lastColumn="0" w:noHBand="0" w:noVBand="1"/>
      </w:tblPr>
      <w:tblGrid>
        <w:gridCol w:w="8936"/>
      </w:tblGrid>
      <w:tr w:rsidR="003456AF" w:rsidRPr="007B5BE6" w14:paraId="07F14D31" w14:textId="77777777" w:rsidTr="002B4998">
        <w:trPr>
          <w:tblHeader/>
        </w:trPr>
        <w:tc>
          <w:tcPr>
            <w:tcW w:w="5000" w:type="pct"/>
            <w:tcBorders>
              <w:top w:val="single" w:sz="8" w:space="0" w:color="auto"/>
              <w:bottom w:val="single" w:sz="8" w:space="0" w:color="auto"/>
            </w:tcBorders>
            <w:shd w:val="clear" w:color="auto" w:fill="FFFFFF" w:themeFill="background1"/>
          </w:tcPr>
          <w:p w14:paraId="6F220A48" w14:textId="77777777" w:rsidR="003456AF" w:rsidRPr="007B5BE6" w:rsidRDefault="003456AF" w:rsidP="00C36293">
            <w:pPr>
              <w:jc w:val="left"/>
              <w:rPr>
                <w:b/>
                <w:bCs/>
                <w:sz w:val="20"/>
                <w:szCs w:val="20"/>
              </w:rPr>
            </w:pPr>
            <w:r w:rsidRPr="007B5BE6">
              <w:rPr>
                <w:b/>
                <w:bCs/>
                <w:sz w:val="20"/>
                <w:szCs w:val="20"/>
              </w:rPr>
              <w:t>Action</w:t>
            </w:r>
          </w:p>
        </w:tc>
      </w:tr>
      <w:tr w:rsidR="003456AF" w:rsidRPr="007B5BE6" w14:paraId="4CA44EF0" w14:textId="77777777" w:rsidTr="002B4998">
        <w:tc>
          <w:tcPr>
            <w:tcW w:w="5000" w:type="pct"/>
            <w:tcBorders>
              <w:top w:val="single" w:sz="8" w:space="0" w:color="auto"/>
            </w:tcBorders>
          </w:tcPr>
          <w:p w14:paraId="4F2B0CF8" w14:textId="77777777" w:rsidR="003456AF" w:rsidRPr="007B5BE6" w:rsidRDefault="003456AF" w:rsidP="00C36293">
            <w:pPr>
              <w:jc w:val="left"/>
              <w:rPr>
                <w:b/>
                <w:bCs/>
                <w:sz w:val="20"/>
                <w:szCs w:val="20"/>
              </w:rPr>
            </w:pPr>
            <w:r w:rsidRPr="007B5BE6">
              <w:rPr>
                <w:b/>
                <w:bCs/>
                <w:sz w:val="20"/>
                <w:szCs w:val="20"/>
              </w:rPr>
              <w:t>Raising awareness</w:t>
            </w:r>
          </w:p>
          <w:p w14:paraId="419D5A77" w14:textId="77777777" w:rsidR="003456AF" w:rsidRPr="007B5BE6" w:rsidRDefault="003456AF" w:rsidP="00C36293">
            <w:pPr>
              <w:jc w:val="left"/>
              <w:rPr>
                <w:sz w:val="20"/>
                <w:szCs w:val="20"/>
              </w:rPr>
            </w:pPr>
            <w:r w:rsidRPr="007B5BE6">
              <w:rPr>
                <w:sz w:val="20"/>
                <w:szCs w:val="20"/>
              </w:rPr>
              <w:t xml:space="preserve">Promote a whole-of community response in recognising, responding and preventing elder abuse through state-wide awareness activities including on World Elder Abuse Awareness Day. </w:t>
            </w:r>
          </w:p>
        </w:tc>
      </w:tr>
      <w:tr w:rsidR="003456AF" w:rsidRPr="007B5BE6" w14:paraId="7CEB5FE1" w14:textId="77777777" w:rsidTr="00C36293">
        <w:tc>
          <w:tcPr>
            <w:tcW w:w="5000" w:type="pct"/>
          </w:tcPr>
          <w:p w14:paraId="56752082" w14:textId="77777777" w:rsidR="003456AF" w:rsidRPr="007B5BE6" w:rsidRDefault="003456AF" w:rsidP="00C36293">
            <w:pPr>
              <w:jc w:val="left"/>
              <w:rPr>
                <w:b/>
                <w:bCs/>
                <w:sz w:val="20"/>
                <w:szCs w:val="20"/>
              </w:rPr>
            </w:pPr>
            <w:r w:rsidRPr="007B5BE6">
              <w:rPr>
                <w:b/>
                <w:bCs/>
                <w:sz w:val="20"/>
                <w:szCs w:val="20"/>
              </w:rPr>
              <w:t>Raising awareness</w:t>
            </w:r>
          </w:p>
          <w:p w14:paraId="666CF477" w14:textId="77777777" w:rsidR="003456AF" w:rsidRPr="007B5BE6" w:rsidRDefault="003456AF" w:rsidP="00C36293">
            <w:pPr>
              <w:jc w:val="left"/>
              <w:rPr>
                <w:sz w:val="20"/>
                <w:szCs w:val="20"/>
              </w:rPr>
            </w:pPr>
            <w:r w:rsidRPr="007B5BE6">
              <w:rPr>
                <w:sz w:val="20"/>
                <w:szCs w:val="20"/>
              </w:rPr>
              <w:t>Explore new and existing initiatives that focus on younger people, raising awareness of abuse, promoting intergenerational value and the harm of stigmatising language and attitudes.</w:t>
            </w:r>
          </w:p>
        </w:tc>
      </w:tr>
      <w:tr w:rsidR="003456AF" w:rsidRPr="007B5BE6" w14:paraId="237E5D93" w14:textId="77777777" w:rsidTr="00C36293">
        <w:tc>
          <w:tcPr>
            <w:tcW w:w="5000" w:type="pct"/>
          </w:tcPr>
          <w:p w14:paraId="6CCA3518" w14:textId="77777777" w:rsidR="003456AF" w:rsidRPr="007B5BE6" w:rsidRDefault="003456AF" w:rsidP="00C36293">
            <w:pPr>
              <w:jc w:val="left"/>
              <w:rPr>
                <w:b/>
                <w:bCs/>
                <w:sz w:val="20"/>
                <w:szCs w:val="20"/>
              </w:rPr>
            </w:pPr>
            <w:r w:rsidRPr="007B5BE6">
              <w:rPr>
                <w:b/>
                <w:bCs/>
                <w:sz w:val="20"/>
                <w:szCs w:val="20"/>
              </w:rPr>
              <w:t>Raising awareness</w:t>
            </w:r>
          </w:p>
          <w:p w14:paraId="2463CB63" w14:textId="77777777" w:rsidR="003456AF" w:rsidRPr="007B5BE6" w:rsidRDefault="003456AF" w:rsidP="00C36293">
            <w:pPr>
              <w:jc w:val="left"/>
              <w:rPr>
                <w:sz w:val="20"/>
                <w:szCs w:val="20"/>
              </w:rPr>
            </w:pPr>
            <w:r w:rsidRPr="007B5BE6">
              <w:rPr>
                <w:sz w:val="20"/>
                <w:szCs w:val="20"/>
              </w:rPr>
              <w:t>Promote a whole-of community response in recognising, responding and preventing elder abuse through state-wide awareness activities including on World Elder Abuse Awareness Day.</w:t>
            </w:r>
          </w:p>
        </w:tc>
      </w:tr>
      <w:tr w:rsidR="003456AF" w:rsidRPr="007B5BE6" w14:paraId="537046FD" w14:textId="77777777" w:rsidTr="00C36293">
        <w:tc>
          <w:tcPr>
            <w:tcW w:w="5000" w:type="pct"/>
          </w:tcPr>
          <w:p w14:paraId="41D88441" w14:textId="77777777" w:rsidR="003456AF" w:rsidRPr="007B5BE6" w:rsidRDefault="003456AF" w:rsidP="00C36293">
            <w:pPr>
              <w:jc w:val="left"/>
              <w:rPr>
                <w:b/>
                <w:bCs/>
                <w:sz w:val="20"/>
                <w:szCs w:val="20"/>
              </w:rPr>
            </w:pPr>
            <w:r w:rsidRPr="007B5BE6">
              <w:rPr>
                <w:b/>
                <w:bCs/>
                <w:sz w:val="20"/>
                <w:szCs w:val="20"/>
              </w:rPr>
              <w:t>Raising awareness</w:t>
            </w:r>
          </w:p>
          <w:p w14:paraId="2A567FC4" w14:textId="77777777" w:rsidR="003456AF" w:rsidRPr="007B5BE6" w:rsidRDefault="003456AF" w:rsidP="00C36293">
            <w:pPr>
              <w:jc w:val="left"/>
              <w:rPr>
                <w:sz w:val="20"/>
                <w:szCs w:val="20"/>
              </w:rPr>
            </w:pPr>
            <w:r w:rsidRPr="007B5BE6">
              <w:rPr>
                <w:sz w:val="20"/>
                <w:szCs w:val="20"/>
              </w:rPr>
              <w:t>Work with intergovernmental partners to review government standards for language in communication materials and policies around elder abuse.</w:t>
            </w:r>
          </w:p>
        </w:tc>
      </w:tr>
      <w:tr w:rsidR="003456AF" w:rsidRPr="007B5BE6" w14:paraId="019496D7" w14:textId="77777777" w:rsidTr="00C36293">
        <w:tc>
          <w:tcPr>
            <w:tcW w:w="5000" w:type="pct"/>
          </w:tcPr>
          <w:p w14:paraId="15602803" w14:textId="77777777" w:rsidR="003456AF" w:rsidRPr="007B5BE6" w:rsidRDefault="003456AF" w:rsidP="00C36293">
            <w:pPr>
              <w:jc w:val="left"/>
              <w:rPr>
                <w:b/>
                <w:bCs/>
                <w:sz w:val="20"/>
                <w:szCs w:val="20"/>
              </w:rPr>
            </w:pPr>
            <w:r w:rsidRPr="007B5BE6">
              <w:rPr>
                <w:b/>
                <w:bCs/>
                <w:sz w:val="20"/>
                <w:szCs w:val="20"/>
              </w:rPr>
              <w:t>Preventing and Responding</w:t>
            </w:r>
          </w:p>
          <w:p w14:paraId="24EBB53C" w14:textId="77777777" w:rsidR="003456AF" w:rsidRPr="007B5BE6" w:rsidRDefault="003456AF" w:rsidP="00C36293">
            <w:pPr>
              <w:jc w:val="left"/>
              <w:rPr>
                <w:sz w:val="20"/>
                <w:szCs w:val="20"/>
              </w:rPr>
            </w:pPr>
            <w:r w:rsidRPr="007B5BE6">
              <w:rPr>
                <w:sz w:val="20"/>
                <w:szCs w:val="20"/>
              </w:rPr>
              <w:t xml:space="preserve">Strengthen the capacity of services and staff that directly interact with older Tasmanians to recognise, respond to and prevent abuse. </w:t>
            </w:r>
          </w:p>
        </w:tc>
      </w:tr>
      <w:tr w:rsidR="003456AF" w:rsidRPr="007B5BE6" w14:paraId="18851562" w14:textId="77777777" w:rsidTr="00C36293">
        <w:tc>
          <w:tcPr>
            <w:tcW w:w="5000" w:type="pct"/>
          </w:tcPr>
          <w:p w14:paraId="3C6B79FE" w14:textId="77777777" w:rsidR="003456AF" w:rsidRPr="007B5BE6" w:rsidRDefault="003456AF" w:rsidP="00C36293">
            <w:pPr>
              <w:jc w:val="left"/>
              <w:rPr>
                <w:b/>
                <w:bCs/>
                <w:sz w:val="20"/>
                <w:szCs w:val="20"/>
              </w:rPr>
            </w:pPr>
            <w:r w:rsidRPr="007B5BE6">
              <w:rPr>
                <w:b/>
                <w:bCs/>
                <w:sz w:val="20"/>
                <w:szCs w:val="20"/>
              </w:rPr>
              <w:lastRenderedPageBreak/>
              <w:t>Preventing and Responding</w:t>
            </w:r>
          </w:p>
          <w:p w14:paraId="0233CE7C" w14:textId="77777777" w:rsidR="003456AF" w:rsidRPr="007B5BE6" w:rsidRDefault="003456AF" w:rsidP="00C36293">
            <w:pPr>
              <w:jc w:val="left"/>
              <w:rPr>
                <w:sz w:val="20"/>
                <w:szCs w:val="20"/>
              </w:rPr>
            </w:pPr>
            <w:r w:rsidRPr="007B5BE6">
              <w:rPr>
                <w:sz w:val="20"/>
                <w:szCs w:val="20"/>
              </w:rPr>
              <w:t>The Tasmanian Health Service will develop a departmental policy on recognising and, preventing and addressing the abuse of older Tasmanians and support this with the delivery of clinical education.</w:t>
            </w:r>
          </w:p>
        </w:tc>
      </w:tr>
      <w:tr w:rsidR="003456AF" w:rsidRPr="007B5BE6" w14:paraId="3225C3C7" w14:textId="77777777" w:rsidTr="00C36293">
        <w:tc>
          <w:tcPr>
            <w:tcW w:w="5000" w:type="pct"/>
          </w:tcPr>
          <w:p w14:paraId="44921C22" w14:textId="77777777" w:rsidR="003456AF" w:rsidRPr="007B5BE6" w:rsidRDefault="003456AF" w:rsidP="00C36293">
            <w:pPr>
              <w:jc w:val="left"/>
              <w:rPr>
                <w:b/>
                <w:bCs/>
                <w:sz w:val="20"/>
                <w:szCs w:val="20"/>
              </w:rPr>
            </w:pPr>
            <w:r w:rsidRPr="007B5BE6">
              <w:rPr>
                <w:b/>
                <w:bCs/>
                <w:sz w:val="20"/>
                <w:szCs w:val="20"/>
              </w:rPr>
              <w:t>Preventing and Responding</w:t>
            </w:r>
          </w:p>
          <w:p w14:paraId="344E126E" w14:textId="77777777" w:rsidR="003456AF" w:rsidRPr="007B5BE6" w:rsidRDefault="003456AF" w:rsidP="00C36293">
            <w:pPr>
              <w:jc w:val="left"/>
              <w:rPr>
                <w:sz w:val="20"/>
                <w:szCs w:val="20"/>
              </w:rPr>
            </w:pPr>
            <w:r w:rsidRPr="007B5BE6">
              <w:rPr>
                <w:sz w:val="20"/>
                <w:szCs w:val="20"/>
              </w:rPr>
              <w:t>Explore further opportunities to support frontline staff with awareness and information around referral pathways.</w:t>
            </w:r>
          </w:p>
        </w:tc>
      </w:tr>
      <w:tr w:rsidR="003456AF" w:rsidRPr="007B5BE6" w14:paraId="283C96D9" w14:textId="77777777" w:rsidTr="00C36293">
        <w:tc>
          <w:tcPr>
            <w:tcW w:w="5000" w:type="pct"/>
          </w:tcPr>
          <w:p w14:paraId="6DD47D83" w14:textId="77777777" w:rsidR="003456AF" w:rsidRPr="007B5BE6" w:rsidRDefault="003456AF" w:rsidP="00C36293">
            <w:pPr>
              <w:jc w:val="left"/>
              <w:rPr>
                <w:b/>
                <w:bCs/>
                <w:sz w:val="20"/>
                <w:szCs w:val="20"/>
              </w:rPr>
            </w:pPr>
            <w:r w:rsidRPr="007B5BE6">
              <w:rPr>
                <w:b/>
                <w:bCs/>
                <w:sz w:val="20"/>
                <w:szCs w:val="20"/>
              </w:rPr>
              <w:t>Preventing and Responding</w:t>
            </w:r>
          </w:p>
          <w:p w14:paraId="0BDFEABA" w14:textId="77777777" w:rsidR="003456AF" w:rsidRPr="007B5BE6" w:rsidRDefault="003456AF" w:rsidP="00C36293">
            <w:pPr>
              <w:jc w:val="left"/>
              <w:rPr>
                <w:sz w:val="20"/>
                <w:szCs w:val="20"/>
              </w:rPr>
            </w:pPr>
            <w:r w:rsidRPr="007B5BE6">
              <w:rPr>
                <w:sz w:val="20"/>
                <w:szCs w:val="20"/>
              </w:rPr>
              <w:t>Engage and educate services and businesses interfacing with older Tasmanians so they can recognise the underlying drivers of the abuse and respond to and prevent the abuse of older Tasmanians.</w:t>
            </w:r>
          </w:p>
        </w:tc>
      </w:tr>
      <w:tr w:rsidR="003456AF" w:rsidRPr="007B5BE6" w14:paraId="2BD909B4" w14:textId="77777777" w:rsidTr="00C36293">
        <w:tc>
          <w:tcPr>
            <w:tcW w:w="5000" w:type="pct"/>
          </w:tcPr>
          <w:p w14:paraId="3773BBEE" w14:textId="77777777" w:rsidR="003456AF" w:rsidRPr="007B5BE6" w:rsidRDefault="003456AF" w:rsidP="00C36293">
            <w:pPr>
              <w:jc w:val="left"/>
              <w:rPr>
                <w:b/>
                <w:bCs/>
                <w:sz w:val="20"/>
                <w:szCs w:val="20"/>
              </w:rPr>
            </w:pPr>
            <w:r w:rsidRPr="007B5BE6">
              <w:rPr>
                <w:b/>
                <w:bCs/>
                <w:sz w:val="20"/>
                <w:szCs w:val="20"/>
              </w:rPr>
              <w:t>Safeguarding</w:t>
            </w:r>
          </w:p>
          <w:p w14:paraId="6DFD5CAB" w14:textId="77777777" w:rsidR="003456AF" w:rsidRPr="007B5BE6" w:rsidRDefault="003456AF" w:rsidP="00C36293">
            <w:pPr>
              <w:jc w:val="left"/>
              <w:rPr>
                <w:sz w:val="20"/>
                <w:szCs w:val="20"/>
              </w:rPr>
            </w:pPr>
            <w:r w:rsidRPr="007B5BE6">
              <w:rPr>
                <w:sz w:val="20"/>
                <w:szCs w:val="20"/>
              </w:rPr>
              <w:t>Strengthen existing and develop new initiatives to safeguard older Tasmanians against abuse</w:t>
            </w:r>
          </w:p>
        </w:tc>
      </w:tr>
      <w:tr w:rsidR="003456AF" w:rsidRPr="007B5BE6" w14:paraId="5C055A1F" w14:textId="77777777" w:rsidTr="00C36293">
        <w:tc>
          <w:tcPr>
            <w:tcW w:w="5000" w:type="pct"/>
          </w:tcPr>
          <w:p w14:paraId="4056025A" w14:textId="77777777" w:rsidR="003456AF" w:rsidRPr="007B5BE6" w:rsidRDefault="003456AF" w:rsidP="00C36293">
            <w:pPr>
              <w:jc w:val="left"/>
              <w:rPr>
                <w:b/>
                <w:bCs/>
                <w:sz w:val="20"/>
                <w:szCs w:val="20"/>
              </w:rPr>
            </w:pPr>
            <w:r w:rsidRPr="007B5BE6">
              <w:rPr>
                <w:b/>
                <w:bCs/>
                <w:sz w:val="20"/>
                <w:szCs w:val="20"/>
              </w:rPr>
              <w:t>Safeguarding</w:t>
            </w:r>
          </w:p>
          <w:p w14:paraId="3EA506DE" w14:textId="77777777" w:rsidR="003456AF" w:rsidRPr="007B5BE6" w:rsidRDefault="003456AF" w:rsidP="00C36293">
            <w:pPr>
              <w:jc w:val="left"/>
              <w:rPr>
                <w:sz w:val="20"/>
                <w:szCs w:val="20"/>
              </w:rPr>
            </w:pPr>
            <w:r w:rsidRPr="007B5BE6">
              <w:rPr>
                <w:sz w:val="20"/>
                <w:szCs w:val="20"/>
              </w:rPr>
              <w:t xml:space="preserve">Promote the improved safeguards to Tasmania’s communities with a focus on empowering community members to recognise, respond to and prevent abuse, and to counteract its underlying drivers. </w:t>
            </w:r>
          </w:p>
        </w:tc>
      </w:tr>
    </w:tbl>
    <w:p w14:paraId="20A13480" w14:textId="77777777" w:rsidR="003456AF" w:rsidRPr="007B5BE6" w:rsidRDefault="003456AF" w:rsidP="00EB2C0A">
      <w:pPr>
        <w:rPr>
          <w:b/>
          <w:bCs/>
        </w:rPr>
      </w:pPr>
    </w:p>
    <w:p w14:paraId="78079E2E" w14:textId="1AEE37A8" w:rsidR="00DA013F" w:rsidRPr="007B5BE6" w:rsidRDefault="00DA013F" w:rsidP="002D3C93">
      <w:r w:rsidRPr="007B5BE6">
        <w:t>Of relevance to this Research Paper are the two safeguarding actions (Actions 13 and 14), which are</w:t>
      </w:r>
      <w:r w:rsidR="000476AA" w:rsidRPr="007B5BE6">
        <w:t>as as follows (and detailed in Table C.3)</w:t>
      </w:r>
      <w:r w:rsidRPr="007B5BE6">
        <w:t>:</w:t>
      </w:r>
    </w:p>
    <w:p w14:paraId="574C50C2" w14:textId="77777777" w:rsidR="00DA013F" w:rsidRPr="007B5BE6" w:rsidRDefault="00DA013F" w:rsidP="00DA013F">
      <w:pPr>
        <w:pStyle w:val="DotPointTLRI"/>
      </w:pPr>
      <w:r w:rsidRPr="007B5BE6">
        <w:t xml:space="preserve">Action 13: Strengthen existing and develop new initiatives to safeguard older Tasmanians against abuse </w:t>
      </w:r>
    </w:p>
    <w:p w14:paraId="2CDC041F" w14:textId="75DEEDC4" w:rsidR="00DA013F" w:rsidRPr="007B5BE6" w:rsidRDefault="00DA013F" w:rsidP="00C36293">
      <w:pPr>
        <w:pStyle w:val="DotPointTLRI"/>
        <w:rPr>
          <w:b/>
          <w:bCs/>
        </w:rPr>
      </w:pPr>
      <w:r w:rsidRPr="007B5BE6">
        <w:t>Action 14: Promote the improved safeguards to Tasmania’s communities with a focus on empowering community members to recognise, respond to and prevent abuse, and to counteract its underlying drivers.</w:t>
      </w:r>
      <w:r w:rsidRPr="007B5BE6">
        <w:rPr>
          <w:rStyle w:val="FootnoteReference"/>
        </w:rPr>
        <w:footnoteReference w:id="969"/>
      </w:r>
    </w:p>
    <w:p w14:paraId="5E2FA488" w14:textId="77777777" w:rsidR="00FA3232" w:rsidRPr="007B5BE6" w:rsidRDefault="00FA3232">
      <w:pPr>
        <w:spacing w:after="200" w:line="276" w:lineRule="auto"/>
        <w:jc w:val="left"/>
        <w:rPr>
          <w:b/>
          <w:bCs/>
        </w:rPr>
      </w:pPr>
      <w:r w:rsidRPr="007B5BE6">
        <w:rPr>
          <w:b/>
          <w:bCs/>
        </w:rPr>
        <w:br w:type="page"/>
      </w:r>
    </w:p>
    <w:p w14:paraId="098F9849" w14:textId="67FC8964" w:rsidR="00EB2C0A" w:rsidRPr="007B5BE6" w:rsidRDefault="00EB2C0A" w:rsidP="00F76BC6">
      <w:pPr>
        <w:spacing w:before="240" w:after="240"/>
        <w:rPr>
          <w:b/>
          <w:bCs/>
          <w:i/>
          <w:iCs/>
        </w:rPr>
      </w:pPr>
      <w:r w:rsidRPr="007B5BE6">
        <w:rPr>
          <w:b/>
          <w:bCs/>
        </w:rPr>
        <w:lastRenderedPageBreak/>
        <w:t xml:space="preserve">Table </w:t>
      </w:r>
      <w:r w:rsidR="00DA013F" w:rsidRPr="007B5BE6">
        <w:rPr>
          <w:b/>
          <w:bCs/>
        </w:rPr>
        <w:t>C.3:</w:t>
      </w:r>
      <w:r w:rsidRPr="007B5BE6">
        <w:rPr>
          <w:b/>
          <w:bCs/>
        </w:rPr>
        <w:t xml:space="preserve"> Actions focused on safeguarding: </w:t>
      </w:r>
      <w:r w:rsidRPr="007B5BE6">
        <w:rPr>
          <w:b/>
          <w:bCs/>
          <w:i/>
          <w:iCs/>
        </w:rPr>
        <w:t>A Respectful, Age-friendly Island: Older Tasmanians Action Plan 2025–2029</w:t>
      </w:r>
    </w:p>
    <w:tbl>
      <w:tblPr>
        <w:tblStyle w:val="TableGrid"/>
        <w:tblW w:w="0" w:type="auto"/>
        <w:tblLook w:val="04A0" w:firstRow="1" w:lastRow="0" w:firstColumn="1" w:lastColumn="0" w:noHBand="0" w:noVBand="1"/>
      </w:tblPr>
      <w:tblGrid>
        <w:gridCol w:w="9016"/>
      </w:tblGrid>
      <w:tr w:rsidR="00EB2C0A" w:rsidRPr="007B5BE6" w14:paraId="103F34CC" w14:textId="77777777" w:rsidTr="00FA3232">
        <w:tc>
          <w:tcPr>
            <w:tcW w:w="9016" w:type="dxa"/>
            <w:tcBorders>
              <w:top w:val="single" w:sz="8" w:space="0" w:color="auto"/>
              <w:left w:val="nil"/>
              <w:bottom w:val="single" w:sz="8" w:space="0" w:color="auto"/>
              <w:right w:val="nil"/>
            </w:tcBorders>
          </w:tcPr>
          <w:p w14:paraId="64D1E9A1" w14:textId="01D81B47" w:rsidR="00EB2C0A" w:rsidRPr="007B5BE6" w:rsidRDefault="00EB2C0A" w:rsidP="00C36293">
            <w:pPr>
              <w:jc w:val="left"/>
              <w:rPr>
                <w:b/>
                <w:bCs/>
                <w:sz w:val="20"/>
                <w:szCs w:val="20"/>
              </w:rPr>
            </w:pPr>
            <w:r w:rsidRPr="007B5BE6">
              <w:rPr>
                <w:b/>
                <w:bCs/>
                <w:sz w:val="20"/>
                <w:szCs w:val="20"/>
              </w:rPr>
              <w:t>Action 13: Strengthen existing and develop new initiatives to safeguard older Tasmanians against abuse</w:t>
            </w:r>
          </w:p>
          <w:p w14:paraId="63FCBFC5" w14:textId="77777777" w:rsidR="00EB2C0A" w:rsidRPr="007B5BE6" w:rsidRDefault="00EB2C0A" w:rsidP="00C36293">
            <w:pPr>
              <w:jc w:val="left"/>
              <w:rPr>
                <w:sz w:val="20"/>
                <w:szCs w:val="20"/>
              </w:rPr>
            </w:pPr>
            <w:r w:rsidRPr="007B5BE6">
              <w:rPr>
                <w:sz w:val="20"/>
                <w:szCs w:val="20"/>
              </w:rPr>
              <w:t>DPAC, with support from DoJ, will map what initiatives are already in place to safeguard older Tasmanians against abuse and explore ways to share relevant findings.</w:t>
            </w:r>
          </w:p>
          <w:p w14:paraId="7255D330" w14:textId="77777777" w:rsidR="00EB2C0A" w:rsidRPr="007B5BE6" w:rsidRDefault="00EB2C0A" w:rsidP="00C36293">
            <w:pPr>
              <w:jc w:val="left"/>
              <w:rPr>
                <w:sz w:val="20"/>
                <w:szCs w:val="20"/>
              </w:rPr>
            </w:pPr>
            <w:r w:rsidRPr="007B5BE6">
              <w:rPr>
                <w:sz w:val="20"/>
                <w:szCs w:val="20"/>
              </w:rPr>
              <w:t xml:space="preserve">DoJ will continue to progress initiatives to safeguard all older Tasmanians against abuse. </w:t>
            </w:r>
          </w:p>
          <w:p w14:paraId="6193C47B" w14:textId="77777777" w:rsidR="00EB2C0A" w:rsidRPr="007B5BE6" w:rsidRDefault="00EB2C0A" w:rsidP="00C36293">
            <w:pPr>
              <w:jc w:val="left"/>
              <w:rPr>
                <w:sz w:val="20"/>
                <w:szCs w:val="20"/>
              </w:rPr>
            </w:pPr>
            <w:r w:rsidRPr="007B5BE6">
              <w:rPr>
                <w:sz w:val="20"/>
                <w:szCs w:val="20"/>
              </w:rPr>
              <w:t>DPAC and DoJ will continue to support current community education for communities and targeted professionals about planning for the future, including how to support older Tasmanians to manage family expectations.</w:t>
            </w:r>
          </w:p>
          <w:p w14:paraId="7CE5A02F" w14:textId="77777777" w:rsidR="00EB2C0A" w:rsidRPr="007B5BE6" w:rsidRDefault="00EB2C0A" w:rsidP="00C36293">
            <w:pPr>
              <w:jc w:val="left"/>
              <w:rPr>
                <w:sz w:val="20"/>
                <w:szCs w:val="20"/>
              </w:rPr>
            </w:pPr>
            <w:r w:rsidRPr="007B5BE6">
              <w:rPr>
                <w:b/>
                <w:bCs/>
                <w:sz w:val="20"/>
                <w:szCs w:val="20"/>
              </w:rPr>
              <w:t>Timeframe:</w:t>
            </w:r>
            <w:r w:rsidRPr="007B5BE6">
              <w:rPr>
                <w:sz w:val="20"/>
                <w:szCs w:val="20"/>
              </w:rPr>
              <w:t xml:space="preserve"> Short to medium term</w:t>
            </w:r>
          </w:p>
        </w:tc>
      </w:tr>
      <w:tr w:rsidR="00EB2C0A" w:rsidRPr="007B5BE6" w14:paraId="5313ACEE" w14:textId="77777777" w:rsidTr="00FA3232">
        <w:tc>
          <w:tcPr>
            <w:tcW w:w="9016" w:type="dxa"/>
            <w:tcBorders>
              <w:top w:val="single" w:sz="8" w:space="0" w:color="auto"/>
              <w:left w:val="nil"/>
              <w:bottom w:val="single" w:sz="8" w:space="0" w:color="auto"/>
              <w:right w:val="nil"/>
            </w:tcBorders>
          </w:tcPr>
          <w:p w14:paraId="63D92430" w14:textId="1439A0BC" w:rsidR="00EB2C0A" w:rsidRPr="007B5BE6" w:rsidRDefault="00EB2C0A" w:rsidP="00C36293">
            <w:pPr>
              <w:jc w:val="left"/>
              <w:rPr>
                <w:b/>
                <w:bCs/>
                <w:sz w:val="20"/>
                <w:szCs w:val="20"/>
              </w:rPr>
            </w:pPr>
            <w:r w:rsidRPr="007B5BE6">
              <w:rPr>
                <w:b/>
                <w:bCs/>
                <w:sz w:val="20"/>
                <w:szCs w:val="20"/>
              </w:rPr>
              <w:t>Action 14: Promote the improved safeguards to Tasmania’s communities with a focus on empowering community members to recognise, respond to and prevent abuse, and to counteract its underlying drivers</w:t>
            </w:r>
          </w:p>
          <w:p w14:paraId="1C4E3A7A" w14:textId="77777777" w:rsidR="00EB2C0A" w:rsidRPr="007B5BE6" w:rsidRDefault="00EB2C0A" w:rsidP="00C36293">
            <w:pPr>
              <w:jc w:val="left"/>
              <w:rPr>
                <w:sz w:val="20"/>
                <w:szCs w:val="20"/>
              </w:rPr>
            </w:pPr>
            <w:r w:rsidRPr="007B5BE6">
              <w:rPr>
                <w:sz w:val="20"/>
                <w:szCs w:val="20"/>
              </w:rPr>
              <w:t>Ensure that any resources developed include culturally appropriate materials and specific resources for Aboriginal Tasmanians, Culturally and Linguistically Diverse Tasmanians, LGBTIQA+ Tasmanians and Tasmanians living with disability.</w:t>
            </w:r>
          </w:p>
          <w:p w14:paraId="00262986" w14:textId="77777777" w:rsidR="00EB2C0A" w:rsidRPr="007B5BE6" w:rsidRDefault="00EB2C0A" w:rsidP="00C36293">
            <w:pPr>
              <w:jc w:val="left"/>
              <w:rPr>
                <w:sz w:val="20"/>
                <w:szCs w:val="20"/>
              </w:rPr>
            </w:pPr>
            <w:r w:rsidRPr="007B5BE6">
              <w:rPr>
                <w:b/>
                <w:bCs/>
                <w:sz w:val="20"/>
                <w:szCs w:val="20"/>
              </w:rPr>
              <w:t>Timeframe</w:t>
            </w:r>
            <w:r w:rsidRPr="007B5BE6">
              <w:rPr>
                <w:sz w:val="20"/>
                <w:szCs w:val="20"/>
              </w:rPr>
              <w:t>: Ongoing</w:t>
            </w:r>
          </w:p>
        </w:tc>
      </w:tr>
    </w:tbl>
    <w:p w14:paraId="235FAE9E" w14:textId="77777777" w:rsidR="007007D2" w:rsidRPr="007B5BE6" w:rsidRDefault="007007D2" w:rsidP="00B839E0">
      <w:pPr>
        <w:pStyle w:val="Headingunnumbered"/>
        <w:sectPr w:rsidR="007007D2" w:rsidRPr="007B5BE6" w:rsidSect="003B4ABF">
          <w:pgSz w:w="11906" w:h="16838"/>
          <w:pgMar w:top="1440" w:right="1440" w:bottom="1440" w:left="1440" w:header="708" w:footer="708" w:gutter="0"/>
          <w:cols w:space="708"/>
          <w:docGrid w:linePitch="360"/>
        </w:sectPr>
      </w:pPr>
    </w:p>
    <w:p w14:paraId="19533D9C" w14:textId="0203C6EC" w:rsidR="00B839E0" w:rsidRPr="007B5BE6" w:rsidRDefault="00B839E0" w:rsidP="00B839E0">
      <w:pPr>
        <w:pStyle w:val="Headingunnumbered"/>
      </w:pPr>
      <w:bookmarkStart w:id="651" w:name="_Toc212561853"/>
      <w:r w:rsidRPr="007B5BE6">
        <w:lastRenderedPageBreak/>
        <w:t xml:space="preserve">Appendix </w:t>
      </w:r>
      <w:r w:rsidR="00F4097C" w:rsidRPr="007B5BE6">
        <w:t>D</w:t>
      </w:r>
      <w:r w:rsidRPr="007B5BE6">
        <w:t xml:space="preserve">: </w:t>
      </w:r>
      <w:r w:rsidR="00F4097C" w:rsidRPr="007B5BE6">
        <w:t>United Nations Principles for Older Persons</w:t>
      </w:r>
      <w:bookmarkEnd w:id="651"/>
    </w:p>
    <w:p w14:paraId="4B4F91E6" w14:textId="4C41092A" w:rsidR="000003D4" w:rsidRPr="007B5BE6" w:rsidRDefault="000003D4" w:rsidP="002D3C93">
      <w:r w:rsidRPr="007B5BE6">
        <w:t xml:space="preserve">The </w:t>
      </w:r>
      <w:r w:rsidR="004F2B36" w:rsidRPr="007B5BE6">
        <w:t>‘</w:t>
      </w:r>
      <w:r w:rsidRPr="007B5BE6">
        <w:t>United Nations Principles for Older Persons</w:t>
      </w:r>
      <w:r w:rsidR="004F2B36" w:rsidRPr="007B5BE6">
        <w:t>’</w:t>
      </w:r>
      <w:r w:rsidRPr="007B5BE6">
        <w:t xml:space="preserve"> </w:t>
      </w:r>
      <w:r w:rsidR="000476AA" w:rsidRPr="007B5BE6">
        <w:t xml:space="preserve">(set out in Table D.1) </w:t>
      </w:r>
      <w:r w:rsidRPr="007B5BE6">
        <w:t>are introduced by introductory comments by the General Assembly, of which the following are particularly relevant to highlight:</w:t>
      </w:r>
    </w:p>
    <w:p w14:paraId="469D074F" w14:textId="77777777" w:rsidR="000003D4" w:rsidRPr="007B5BE6" w:rsidRDefault="000003D4" w:rsidP="000003D4">
      <w:pPr>
        <w:pStyle w:val="Indentedquote"/>
        <w:rPr>
          <w:sz w:val="20"/>
          <w:szCs w:val="20"/>
        </w:rPr>
      </w:pPr>
      <w:r w:rsidRPr="007B5BE6">
        <w:rPr>
          <w:sz w:val="20"/>
          <w:szCs w:val="20"/>
        </w:rPr>
        <w:t>Recognizing that, in the Charter of the United Nations, the peoples of the United Nations declare, inter alia, their determination to reaffirm faith in fundamental human rights, in the dignity and worth of the human person, in the equal rights of men and women and of nations large and small and to promote social progress and better standards of life in larger freedom,</w:t>
      </w:r>
    </w:p>
    <w:p w14:paraId="112E4AFA" w14:textId="5E22F282" w:rsidR="000003D4" w:rsidRPr="007B5BE6" w:rsidRDefault="000003D4" w:rsidP="000003D4">
      <w:pPr>
        <w:pStyle w:val="Indentedquote"/>
        <w:rPr>
          <w:sz w:val="20"/>
          <w:szCs w:val="20"/>
        </w:rPr>
      </w:pPr>
      <w:r w:rsidRPr="007B5BE6">
        <w:rPr>
          <w:sz w:val="20"/>
          <w:szCs w:val="20"/>
        </w:rPr>
        <w:t>Noting the elaboration of those rights in the Universal Declaration of Human Rights, the International Covenant on Economic, Social and Cultural Rights and the International Covenant on Civil and Political Rights and other declarations to ensure the application of universal standards to particular groups … .</w:t>
      </w:r>
      <w:r w:rsidR="004D1F32" w:rsidRPr="007B5BE6">
        <w:rPr>
          <w:rStyle w:val="FootnoteReference"/>
          <w:sz w:val="20"/>
          <w:szCs w:val="20"/>
        </w:rPr>
        <w:footnoteReference w:id="970"/>
      </w:r>
    </w:p>
    <w:p w14:paraId="11FEE6D3" w14:textId="3C3A57EE" w:rsidR="00B839E0" w:rsidRPr="007B5BE6" w:rsidRDefault="00B839E0" w:rsidP="00F76BC6">
      <w:pPr>
        <w:spacing w:before="240" w:after="240"/>
        <w:rPr>
          <w:b/>
          <w:bCs/>
        </w:rPr>
      </w:pPr>
      <w:r w:rsidRPr="007B5BE6">
        <w:rPr>
          <w:b/>
          <w:bCs/>
        </w:rPr>
        <w:t xml:space="preserve">Table </w:t>
      </w:r>
      <w:r w:rsidR="000476AA" w:rsidRPr="007B5BE6">
        <w:rPr>
          <w:b/>
          <w:bCs/>
        </w:rPr>
        <w:t>D.1</w:t>
      </w:r>
      <w:r w:rsidRPr="007B5BE6">
        <w:rPr>
          <w:b/>
          <w:bCs/>
        </w:rPr>
        <w:t xml:space="preserve"> United Nations Principles for Older Persons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13"/>
        <w:gridCol w:w="7603"/>
      </w:tblGrid>
      <w:tr w:rsidR="009D30B7" w:rsidRPr="007B5BE6" w14:paraId="34FDE5F6" w14:textId="77777777" w:rsidTr="00AE7F20">
        <w:trPr>
          <w:tblHeader/>
        </w:trPr>
        <w:tc>
          <w:tcPr>
            <w:tcW w:w="1413" w:type="dxa"/>
            <w:tcBorders>
              <w:top w:val="single" w:sz="8" w:space="0" w:color="auto"/>
              <w:bottom w:val="single" w:sz="8" w:space="0" w:color="auto"/>
            </w:tcBorders>
            <w:shd w:val="clear" w:color="auto" w:fill="FFFFFF" w:themeFill="background1"/>
          </w:tcPr>
          <w:p w14:paraId="37AEEBD0" w14:textId="77777777" w:rsidR="009D30B7" w:rsidRPr="007B5BE6" w:rsidRDefault="009D30B7" w:rsidP="00C36293">
            <w:pPr>
              <w:jc w:val="left"/>
              <w:rPr>
                <w:b/>
                <w:bCs/>
                <w:sz w:val="20"/>
                <w:szCs w:val="20"/>
              </w:rPr>
            </w:pPr>
            <w:r w:rsidRPr="007B5BE6">
              <w:rPr>
                <w:b/>
                <w:bCs/>
                <w:sz w:val="20"/>
                <w:szCs w:val="20"/>
              </w:rPr>
              <w:t>Themes</w:t>
            </w:r>
          </w:p>
        </w:tc>
        <w:tc>
          <w:tcPr>
            <w:tcW w:w="7603" w:type="dxa"/>
            <w:tcBorders>
              <w:top w:val="single" w:sz="8" w:space="0" w:color="auto"/>
              <w:bottom w:val="single" w:sz="8" w:space="0" w:color="auto"/>
            </w:tcBorders>
            <w:shd w:val="clear" w:color="auto" w:fill="FFFFFF" w:themeFill="background1"/>
          </w:tcPr>
          <w:p w14:paraId="4C996D2B" w14:textId="77777777" w:rsidR="009D30B7" w:rsidRPr="007B5BE6" w:rsidRDefault="009D30B7" w:rsidP="00C36293">
            <w:pPr>
              <w:jc w:val="left"/>
              <w:rPr>
                <w:b/>
                <w:bCs/>
                <w:sz w:val="20"/>
                <w:szCs w:val="20"/>
              </w:rPr>
            </w:pPr>
            <w:r w:rsidRPr="007B5BE6">
              <w:rPr>
                <w:b/>
                <w:bCs/>
                <w:sz w:val="20"/>
                <w:szCs w:val="20"/>
              </w:rPr>
              <w:t xml:space="preserve">Principles </w:t>
            </w:r>
          </w:p>
        </w:tc>
      </w:tr>
      <w:tr w:rsidR="009D30B7" w:rsidRPr="007B5BE6" w14:paraId="18C2F698" w14:textId="77777777" w:rsidTr="00AE7F20">
        <w:tc>
          <w:tcPr>
            <w:tcW w:w="1413" w:type="dxa"/>
            <w:tcBorders>
              <w:top w:val="single" w:sz="8" w:space="0" w:color="auto"/>
            </w:tcBorders>
          </w:tcPr>
          <w:p w14:paraId="0B6BD1F5" w14:textId="77777777" w:rsidR="009D30B7" w:rsidRPr="007B5BE6" w:rsidRDefault="009D30B7" w:rsidP="00C36293">
            <w:pPr>
              <w:jc w:val="left"/>
              <w:rPr>
                <w:b/>
                <w:bCs/>
                <w:sz w:val="20"/>
                <w:szCs w:val="20"/>
              </w:rPr>
            </w:pPr>
            <w:r w:rsidRPr="007B5BE6">
              <w:rPr>
                <w:b/>
                <w:bCs/>
                <w:sz w:val="20"/>
                <w:szCs w:val="20"/>
              </w:rPr>
              <w:t xml:space="preserve">Independence </w:t>
            </w:r>
          </w:p>
        </w:tc>
        <w:tc>
          <w:tcPr>
            <w:tcW w:w="7603" w:type="dxa"/>
            <w:tcBorders>
              <w:top w:val="single" w:sz="8" w:space="0" w:color="auto"/>
            </w:tcBorders>
          </w:tcPr>
          <w:p w14:paraId="42625156" w14:textId="77777777" w:rsidR="009D30B7" w:rsidRPr="007B5BE6" w:rsidRDefault="009D30B7" w:rsidP="00C36293">
            <w:pPr>
              <w:jc w:val="left"/>
              <w:rPr>
                <w:sz w:val="20"/>
                <w:szCs w:val="20"/>
              </w:rPr>
            </w:pPr>
            <w:r w:rsidRPr="007B5BE6">
              <w:rPr>
                <w:sz w:val="20"/>
                <w:szCs w:val="20"/>
              </w:rPr>
              <w:t>1. Older persons should have access to adequate food, water, shelter, clothing and health care through the provision of income, family and community support and self-help.</w:t>
            </w:r>
          </w:p>
          <w:p w14:paraId="50D725F6" w14:textId="77777777" w:rsidR="009D30B7" w:rsidRPr="007B5BE6" w:rsidRDefault="009D30B7" w:rsidP="00C36293">
            <w:pPr>
              <w:jc w:val="left"/>
              <w:rPr>
                <w:sz w:val="20"/>
                <w:szCs w:val="20"/>
              </w:rPr>
            </w:pPr>
            <w:r w:rsidRPr="007B5BE6">
              <w:rPr>
                <w:sz w:val="20"/>
                <w:szCs w:val="20"/>
              </w:rPr>
              <w:t>2. Older persons should have the opportunity to work or to have access to other income-generating opportunities.</w:t>
            </w:r>
          </w:p>
          <w:p w14:paraId="68D82069" w14:textId="77777777" w:rsidR="009D30B7" w:rsidRPr="007B5BE6" w:rsidRDefault="009D30B7" w:rsidP="00C36293">
            <w:pPr>
              <w:jc w:val="left"/>
              <w:rPr>
                <w:sz w:val="20"/>
                <w:szCs w:val="20"/>
              </w:rPr>
            </w:pPr>
            <w:r w:rsidRPr="007B5BE6">
              <w:rPr>
                <w:sz w:val="20"/>
                <w:szCs w:val="20"/>
              </w:rPr>
              <w:t>3. Older persons should be able to participate in determining when and at what pace withdrawal from the labour force takes place.</w:t>
            </w:r>
          </w:p>
          <w:p w14:paraId="46605860" w14:textId="77777777" w:rsidR="009D30B7" w:rsidRPr="007B5BE6" w:rsidRDefault="009D30B7" w:rsidP="00C36293">
            <w:pPr>
              <w:jc w:val="left"/>
              <w:rPr>
                <w:sz w:val="20"/>
                <w:szCs w:val="20"/>
              </w:rPr>
            </w:pPr>
            <w:r w:rsidRPr="007B5BE6">
              <w:rPr>
                <w:sz w:val="20"/>
                <w:szCs w:val="20"/>
              </w:rPr>
              <w:t>4. Older persons should have access to appropriate educational and training programmes.</w:t>
            </w:r>
          </w:p>
          <w:p w14:paraId="792B3ADB" w14:textId="77777777" w:rsidR="009D30B7" w:rsidRPr="007B5BE6" w:rsidRDefault="009D30B7" w:rsidP="00C36293">
            <w:pPr>
              <w:jc w:val="left"/>
              <w:rPr>
                <w:sz w:val="20"/>
                <w:szCs w:val="20"/>
              </w:rPr>
            </w:pPr>
            <w:r w:rsidRPr="007B5BE6">
              <w:rPr>
                <w:sz w:val="20"/>
                <w:szCs w:val="20"/>
              </w:rPr>
              <w:t>5. Older persons should be able to live in environments that are safe and adaptable to personal preferences and changing capacities.</w:t>
            </w:r>
          </w:p>
          <w:p w14:paraId="0A7DD78D" w14:textId="77777777" w:rsidR="009D30B7" w:rsidRPr="007B5BE6" w:rsidRDefault="009D30B7" w:rsidP="00C36293">
            <w:pPr>
              <w:jc w:val="left"/>
              <w:rPr>
                <w:sz w:val="20"/>
                <w:szCs w:val="20"/>
              </w:rPr>
            </w:pPr>
            <w:r w:rsidRPr="007B5BE6">
              <w:rPr>
                <w:sz w:val="20"/>
                <w:szCs w:val="20"/>
              </w:rPr>
              <w:t>6. Older persons should be able to reside at home for as long as possible.</w:t>
            </w:r>
          </w:p>
        </w:tc>
      </w:tr>
      <w:tr w:rsidR="009D30B7" w:rsidRPr="007B5BE6" w14:paraId="55455D1C" w14:textId="77777777" w:rsidTr="00C36293">
        <w:tc>
          <w:tcPr>
            <w:tcW w:w="1413" w:type="dxa"/>
          </w:tcPr>
          <w:p w14:paraId="0A7AEBCE" w14:textId="77777777" w:rsidR="009D30B7" w:rsidRPr="007B5BE6" w:rsidRDefault="009D30B7" w:rsidP="00C36293">
            <w:pPr>
              <w:jc w:val="left"/>
              <w:rPr>
                <w:b/>
                <w:bCs/>
                <w:sz w:val="20"/>
                <w:szCs w:val="20"/>
              </w:rPr>
            </w:pPr>
            <w:r w:rsidRPr="007B5BE6">
              <w:rPr>
                <w:b/>
                <w:bCs/>
                <w:sz w:val="20"/>
                <w:szCs w:val="20"/>
              </w:rPr>
              <w:t xml:space="preserve">Participation </w:t>
            </w:r>
          </w:p>
        </w:tc>
        <w:tc>
          <w:tcPr>
            <w:tcW w:w="7603" w:type="dxa"/>
          </w:tcPr>
          <w:p w14:paraId="28B4F55C" w14:textId="77777777" w:rsidR="009D30B7" w:rsidRPr="007B5BE6" w:rsidRDefault="009D30B7" w:rsidP="00C36293">
            <w:pPr>
              <w:jc w:val="left"/>
              <w:rPr>
                <w:sz w:val="20"/>
                <w:szCs w:val="20"/>
              </w:rPr>
            </w:pPr>
            <w:r w:rsidRPr="007B5BE6">
              <w:rPr>
                <w:sz w:val="20"/>
                <w:szCs w:val="20"/>
              </w:rPr>
              <w:t>7. Older persons should remain integrated in society, participate actively in the formulation and implementation of policies that directly affect their well-being and share their knowledge and skills with younger generations.</w:t>
            </w:r>
          </w:p>
          <w:p w14:paraId="413594C0" w14:textId="77777777" w:rsidR="009D30B7" w:rsidRPr="007B5BE6" w:rsidRDefault="009D30B7" w:rsidP="00C36293">
            <w:pPr>
              <w:jc w:val="left"/>
              <w:rPr>
                <w:sz w:val="20"/>
                <w:szCs w:val="20"/>
              </w:rPr>
            </w:pPr>
            <w:r w:rsidRPr="007B5BE6">
              <w:rPr>
                <w:sz w:val="20"/>
                <w:szCs w:val="20"/>
              </w:rPr>
              <w:t>8. Older persons should be able to seek and develop opportunities for service to the community and to serve as volunteers in positions appropriate to their interests and capabilities.</w:t>
            </w:r>
          </w:p>
          <w:p w14:paraId="3F986AC8" w14:textId="77777777" w:rsidR="009D30B7" w:rsidRPr="007B5BE6" w:rsidRDefault="009D30B7" w:rsidP="00C36293">
            <w:pPr>
              <w:jc w:val="left"/>
              <w:rPr>
                <w:sz w:val="20"/>
                <w:szCs w:val="20"/>
              </w:rPr>
            </w:pPr>
            <w:r w:rsidRPr="007B5BE6">
              <w:rPr>
                <w:sz w:val="20"/>
                <w:szCs w:val="20"/>
              </w:rPr>
              <w:t>9. Older persons should be able to form movements or associations of older persons.</w:t>
            </w:r>
          </w:p>
        </w:tc>
      </w:tr>
      <w:tr w:rsidR="009D30B7" w:rsidRPr="007B5BE6" w14:paraId="0C3DFAFC" w14:textId="77777777" w:rsidTr="00C36293">
        <w:tc>
          <w:tcPr>
            <w:tcW w:w="1413" w:type="dxa"/>
          </w:tcPr>
          <w:p w14:paraId="6111EEEF" w14:textId="77777777" w:rsidR="009D30B7" w:rsidRPr="007B5BE6" w:rsidRDefault="009D30B7" w:rsidP="00C36293">
            <w:pPr>
              <w:jc w:val="left"/>
              <w:rPr>
                <w:b/>
                <w:bCs/>
                <w:sz w:val="20"/>
                <w:szCs w:val="20"/>
              </w:rPr>
            </w:pPr>
            <w:r w:rsidRPr="007B5BE6">
              <w:rPr>
                <w:b/>
                <w:bCs/>
                <w:sz w:val="20"/>
                <w:szCs w:val="20"/>
              </w:rPr>
              <w:t>Care</w:t>
            </w:r>
          </w:p>
        </w:tc>
        <w:tc>
          <w:tcPr>
            <w:tcW w:w="7603" w:type="dxa"/>
          </w:tcPr>
          <w:p w14:paraId="08083905" w14:textId="77777777" w:rsidR="009D30B7" w:rsidRPr="007B5BE6" w:rsidRDefault="009D30B7" w:rsidP="00C36293">
            <w:pPr>
              <w:jc w:val="left"/>
              <w:rPr>
                <w:sz w:val="20"/>
                <w:szCs w:val="20"/>
              </w:rPr>
            </w:pPr>
            <w:r w:rsidRPr="007B5BE6">
              <w:rPr>
                <w:sz w:val="20"/>
                <w:szCs w:val="20"/>
              </w:rPr>
              <w:t>10. Older persons should benefit from family and community care and protection in accordance with each society's system of cultural values.</w:t>
            </w:r>
          </w:p>
          <w:p w14:paraId="3E802166" w14:textId="77777777" w:rsidR="009D30B7" w:rsidRPr="007B5BE6" w:rsidRDefault="009D30B7" w:rsidP="00C36293">
            <w:pPr>
              <w:jc w:val="left"/>
              <w:rPr>
                <w:sz w:val="20"/>
                <w:szCs w:val="20"/>
              </w:rPr>
            </w:pPr>
            <w:r w:rsidRPr="007B5BE6">
              <w:rPr>
                <w:sz w:val="20"/>
                <w:szCs w:val="20"/>
              </w:rPr>
              <w:t>11. Older persons should have access to health care to help them to maintain or regain the optimum level of physical, mental and emotional well-being and to prevent or delay the onset of illness.</w:t>
            </w:r>
          </w:p>
          <w:p w14:paraId="548E22D1" w14:textId="77777777" w:rsidR="009D30B7" w:rsidRPr="007B5BE6" w:rsidRDefault="009D30B7" w:rsidP="00C36293">
            <w:pPr>
              <w:jc w:val="left"/>
              <w:rPr>
                <w:sz w:val="20"/>
                <w:szCs w:val="20"/>
              </w:rPr>
            </w:pPr>
            <w:r w:rsidRPr="007B5BE6">
              <w:rPr>
                <w:sz w:val="20"/>
                <w:szCs w:val="20"/>
              </w:rPr>
              <w:t>12. Older persons should have access to social and legal services to enhance their autonomy, protection and care.</w:t>
            </w:r>
          </w:p>
          <w:p w14:paraId="6BDA80D1" w14:textId="77777777" w:rsidR="009D30B7" w:rsidRPr="007B5BE6" w:rsidRDefault="009D30B7" w:rsidP="00C36293">
            <w:pPr>
              <w:jc w:val="left"/>
              <w:rPr>
                <w:sz w:val="20"/>
                <w:szCs w:val="20"/>
              </w:rPr>
            </w:pPr>
            <w:r w:rsidRPr="007B5BE6">
              <w:rPr>
                <w:sz w:val="20"/>
                <w:szCs w:val="20"/>
              </w:rPr>
              <w:lastRenderedPageBreak/>
              <w:t>13. Older persons should be able to utilize appropriate levels of institutional care providing protection, rehabilitation and social and mental stimulation in a humane and secure environment.</w:t>
            </w:r>
          </w:p>
          <w:p w14:paraId="388CCA69" w14:textId="77777777" w:rsidR="009D30B7" w:rsidRPr="007B5BE6" w:rsidRDefault="009D30B7" w:rsidP="00C36293">
            <w:pPr>
              <w:jc w:val="left"/>
              <w:rPr>
                <w:sz w:val="20"/>
                <w:szCs w:val="20"/>
              </w:rPr>
            </w:pPr>
            <w:r w:rsidRPr="007B5BE6">
              <w:rPr>
                <w:sz w:val="20"/>
                <w:szCs w:val="20"/>
              </w:rPr>
              <w:t>14. Older persons should be able to enjoy human rights and fundamental freedoms when residing in any shelter, care or treatment facility, including full respect for their dignity, beliefs, needs and privacy and for the right to make decisions about their care and the quality of their lives.</w:t>
            </w:r>
          </w:p>
        </w:tc>
      </w:tr>
      <w:tr w:rsidR="009D30B7" w:rsidRPr="007B5BE6" w14:paraId="3453CE31" w14:textId="77777777" w:rsidTr="00C36293">
        <w:tc>
          <w:tcPr>
            <w:tcW w:w="1413" w:type="dxa"/>
          </w:tcPr>
          <w:p w14:paraId="40D24B0C" w14:textId="77777777" w:rsidR="009D30B7" w:rsidRPr="007B5BE6" w:rsidRDefault="009D30B7" w:rsidP="00C36293">
            <w:pPr>
              <w:jc w:val="left"/>
              <w:rPr>
                <w:b/>
                <w:bCs/>
                <w:sz w:val="20"/>
                <w:szCs w:val="20"/>
              </w:rPr>
            </w:pPr>
            <w:r w:rsidRPr="007B5BE6">
              <w:rPr>
                <w:b/>
                <w:bCs/>
                <w:sz w:val="20"/>
                <w:szCs w:val="20"/>
              </w:rPr>
              <w:lastRenderedPageBreak/>
              <w:t>Self-fulfilment</w:t>
            </w:r>
          </w:p>
        </w:tc>
        <w:tc>
          <w:tcPr>
            <w:tcW w:w="7603" w:type="dxa"/>
          </w:tcPr>
          <w:p w14:paraId="5E95D95C" w14:textId="77777777" w:rsidR="009D30B7" w:rsidRPr="007B5BE6" w:rsidRDefault="009D30B7" w:rsidP="00C36293">
            <w:pPr>
              <w:jc w:val="left"/>
              <w:rPr>
                <w:sz w:val="20"/>
                <w:szCs w:val="20"/>
              </w:rPr>
            </w:pPr>
            <w:r w:rsidRPr="007B5BE6">
              <w:rPr>
                <w:sz w:val="20"/>
                <w:szCs w:val="20"/>
              </w:rPr>
              <w:t>15. Older persons should be able to pursue opportunities for the full development of their potential.</w:t>
            </w:r>
          </w:p>
          <w:p w14:paraId="35C07BA2" w14:textId="77777777" w:rsidR="009D30B7" w:rsidRPr="007B5BE6" w:rsidRDefault="009D30B7" w:rsidP="00C36293">
            <w:pPr>
              <w:jc w:val="left"/>
              <w:rPr>
                <w:sz w:val="20"/>
                <w:szCs w:val="20"/>
              </w:rPr>
            </w:pPr>
            <w:r w:rsidRPr="007B5BE6">
              <w:rPr>
                <w:sz w:val="20"/>
                <w:szCs w:val="20"/>
              </w:rPr>
              <w:t>16. Older persons should have access to the educational, cultural, spiritual and recreational resources of society.</w:t>
            </w:r>
          </w:p>
        </w:tc>
      </w:tr>
      <w:tr w:rsidR="009D30B7" w:rsidRPr="007B5BE6" w14:paraId="736041D2" w14:textId="77777777" w:rsidTr="00C36293">
        <w:tc>
          <w:tcPr>
            <w:tcW w:w="1413" w:type="dxa"/>
          </w:tcPr>
          <w:p w14:paraId="0E1A0D90" w14:textId="77777777" w:rsidR="009D30B7" w:rsidRPr="007B5BE6" w:rsidRDefault="009D30B7" w:rsidP="00C36293">
            <w:pPr>
              <w:jc w:val="left"/>
              <w:rPr>
                <w:b/>
                <w:bCs/>
                <w:sz w:val="20"/>
                <w:szCs w:val="20"/>
              </w:rPr>
            </w:pPr>
            <w:r w:rsidRPr="007B5BE6">
              <w:rPr>
                <w:b/>
                <w:bCs/>
                <w:sz w:val="20"/>
                <w:szCs w:val="20"/>
              </w:rPr>
              <w:t>Dignity</w:t>
            </w:r>
          </w:p>
        </w:tc>
        <w:tc>
          <w:tcPr>
            <w:tcW w:w="7603" w:type="dxa"/>
          </w:tcPr>
          <w:p w14:paraId="18870609" w14:textId="77777777" w:rsidR="009D30B7" w:rsidRPr="007B5BE6" w:rsidRDefault="009D30B7" w:rsidP="00C36293">
            <w:pPr>
              <w:jc w:val="left"/>
              <w:rPr>
                <w:sz w:val="20"/>
                <w:szCs w:val="20"/>
              </w:rPr>
            </w:pPr>
            <w:r w:rsidRPr="007B5BE6">
              <w:rPr>
                <w:sz w:val="20"/>
                <w:szCs w:val="20"/>
              </w:rPr>
              <w:t>17. Older persons should be able to live in dignity and security and be free of exploitation and physical or mental abuse.</w:t>
            </w:r>
          </w:p>
          <w:p w14:paraId="0EFF4E01" w14:textId="77777777" w:rsidR="009D30B7" w:rsidRPr="007B5BE6" w:rsidRDefault="009D30B7" w:rsidP="00C36293">
            <w:pPr>
              <w:jc w:val="left"/>
              <w:rPr>
                <w:sz w:val="20"/>
                <w:szCs w:val="20"/>
              </w:rPr>
            </w:pPr>
            <w:r w:rsidRPr="007B5BE6">
              <w:rPr>
                <w:sz w:val="20"/>
                <w:szCs w:val="20"/>
              </w:rPr>
              <w:t>18. Older persons should be treated fairly regardless of age, gender, racial or ethnic background, disability or other status, and be valued independently of their economic contribution.</w:t>
            </w:r>
          </w:p>
        </w:tc>
      </w:tr>
    </w:tbl>
    <w:p w14:paraId="15EE28A4" w14:textId="77777777" w:rsidR="002A500F" w:rsidRPr="007B5BE6" w:rsidRDefault="002A500F" w:rsidP="002A500F"/>
    <w:p w14:paraId="5C0BD7C2" w14:textId="4D07696B" w:rsidR="002A500F" w:rsidRPr="007B5BE6" w:rsidRDefault="002A500F" w:rsidP="002A500F">
      <w:pPr>
        <w:pStyle w:val="Indentedquote"/>
        <w:rPr>
          <w:sz w:val="20"/>
          <w:szCs w:val="20"/>
        </w:rPr>
      </w:pPr>
      <w:r w:rsidRPr="007B5BE6">
        <w:rPr>
          <w:sz w:val="20"/>
          <w:szCs w:val="20"/>
        </w:rPr>
        <w:t>.</w:t>
      </w:r>
    </w:p>
    <w:p w14:paraId="654F6CAE" w14:textId="77777777" w:rsidR="00E055D8" w:rsidRPr="007B5BE6" w:rsidRDefault="00E055D8" w:rsidP="00B839E0"/>
    <w:p w14:paraId="25D40B07" w14:textId="0943794D" w:rsidR="000C4831" w:rsidRPr="007B5BE6" w:rsidRDefault="000C4831">
      <w:pPr>
        <w:spacing w:after="200" w:line="276" w:lineRule="auto"/>
        <w:jc w:val="left"/>
      </w:pPr>
      <w:r w:rsidRPr="007B5BE6">
        <w:br w:type="page"/>
      </w:r>
    </w:p>
    <w:p w14:paraId="2D03EFEA" w14:textId="77777777" w:rsidR="00FA1DDF" w:rsidRPr="007B5BE6" w:rsidRDefault="00FA1DDF" w:rsidP="000C4831">
      <w:pPr>
        <w:pStyle w:val="Headingunnumbered"/>
        <w:sectPr w:rsidR="00FA1DDF" w:rsidRPr="007B5BE6" w:rsidSect="003B4ABF">
          <w:pgSz w:w="11906" w:h="16838"/>
          <w:pgMar w:top="1440" w:right="1440" w:bottom="1440" w:left="1440" w:header="708" w:footer="708" w:gutter="0"/>
          <w:cols w:space="708"/>
          <w:docGrid w:linePitch="360"/>
        </w:sectPr>
      </w:pPr>
    </w:p>
    <w:p w14:paraId="1C1A94A6" w14:textId="37D0604F" w:rsidR="000C4831" w:rsidRPr="007B5BE6" w:rsidRDefault="000C4831" w:rsidP="000C4831">
      <w:pPr>
        <w:pStyle w:val="Headingunnumbered"/>
      </w:pPr>
      <w:bookmarkStart w:id="652" w:name="_Toc212561854"/>
      <w:r w:rsidRPr="007B5BE6">
        <w:lastRenderedPageBreak/>
        <w:t xml:space="preserve">Appendix </w:t>
      </w:r>
      <w:r w:rsidR="00F4097C" w:rsidRPr="007B5BE6">
        <w:t>E</w:t>
      </w:r>
      <w:r w:rsidRPr="007B5BE6">
        <w:t xml:space="preserve">: </w:t>
      </w:r>
      <w:r w:rsidR="005A3CB5" w:rsidRPr="007B5BE6">
        <w:t>A</w:t>
      </w:r>
      <w:r w:rsidRPr="007B5BE6">
        <w:t>dult safeguarding mechanisms</w:t>
      </w:r>
      <w:r w:rsidR="005A3CB5" w:rsidRPr="007B5BE6">
        <w:t xml:space="preserve">: comparison of </w:t>
      </w:r>
      <w:r w:rsidR="00663E31" w:rsidRPr="007B5BE6">
        <w:t>Australian</w:t>
      </w:r>
      <w:r w:rsidRPr="007B5BE6">
        <w:t xml:space="preserve"> jurisdiction</w:t>
      </w:r>
      <w:r w:rsidR="005A3CB5" w:rsidRPr="007B5BE6">
        <w:t>s</w:t>
      </w:r>
      <w:bookmarkEnd w:id="652"/>
    </w:p>
    <w:p w14:paraId="3AF96186" w14:textId="76A465CF" w:rsidR="00A45E94" w:rsidRPr="007B5BE6" w:rsidRDefault="00A45E94" w:rsidP="00F76BC6">
      <w:pPr>
        <w:spacing w:before="240" w:after="240"/>
      </w:pPr>
      <w:r w:rsidRPr="007B5BE6">
        <w:rPr>
          <w:b/>
          <w:bCs/>
        </w:rPr>
        <w:t>Table E.1: Comparison of adult safeguarding mechanisms in Australian states and territories (excluding Tasmania)</w:t>
      </w:r>
    </w:p>
    <w:tbl>
      <w:tblPr>
        <w:tblStyle w:val="TableGrid"/>
        <w:tblW w:w="0" w:type="auto"/>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1375"/>
        <w:gridCol w:w="1511"/>
        <w:gridCol w:w="1470"/>
        <w:gridCol w:w="1683"/>
        <w:gridCol w:w="1758"/>
        <w:gridCol w:w="1843"/>
        <w:gridCol w:w="1938"/>
        <w:gridCol w:w="1461"/>
      </w:tblGrid>
      <w:tr w:rsidR="00E7273C" w:rsidRPr="007B5BE6" w14:paraId="700DCC6E" w14:textId="77777777" w:rsidTr="00AE7F20">
        <w:trPr>
          <w:tblHeader/>
        </w:trPr>
        <w:tc>
          <w:tcPr>
            <w:tcW w:w="1375" w:type="dxa"/>
            <w:tcBorders>
              <w:top w:val="single" w:sz="8" w:space="0" w:color="auto"/>
              <w:bottom w:val="single" w:sz="8" w:space="0" w:color="auto"/>
            </w:tcBorders>
            <w:shd w:val="clear" w:color="auto" w:fill="FFFFFF" w:themeFill="background1"/>
          </w:tcPr>
          <w:p w14:paraId="75BE1EE5" w14:textId="77777777" w:rsidR="00E7273C" w:rsidRPr="007B5BE6" w:rsidRDefault="00E7273C" w:rsidP="00C36293">
            <w:pPr>
              <w:jc w:val="left"/>
              <w:rPr>
                <w:b/>
                <w:bCs/>
                <w:sz w:val="20"/>
                <w:szCs w:val="20"/>
              </w:rPr>
            </w:pPr>
            <w:r w:rsidRPr="007B5BE6">
              <w:rPr>
                <w:b/>
                <w:bCs/>
                <w:sz w:val="20"/>
                <w:szCs w:val="20"/>
              </w:rPr>
              <w:t>Mechanisms</w:t>
            </w:r>
          </w:p>
        </w:tc>
        <w:tc>
          <w:tcPr>
            <w:tcW w:w="1511" w:type="dxa"/>
            <w:tcBorders>
              <w:top w:val="single" w:sz="8" w:space="0" w:color="auto"/>
              <w:bottom w:val="single" w:sz="8" w:space="0" w:color="auto"/>
            </w:tcBorders>
            <w:shd w:val="clear" w:color="auto" w:fill="FFFFFF" w:themeFill="background1"/>
          </w:tcPr>
          <w:p w14:paraId="314534DF" w14:textId="77777777" w:rsidR="00E7273C" w:rsidRPr="007B5BE6" w:rsidRDefault="00E7273C" w:rsidP="00C36293">
            <w:pPr>
              <w:jc w:val="left"/>
              <w:rPr>
                <w:b/>
                <w:bCs/>
                <w:sz w:val="20"/>
                <w:szCs w:val="20"/>
              </w:rPr>
            </w:pPr>
            <w:r w:rsidRPr="007B5BE6">
              <w:rPr>
                <w:b/>
                <w:bCs/>
                <w:sz w:val="20"/>
                <w:szCs w:val="20"/>
              </w:rPr>
              <w:t>South Australia</w:t>
            </w:r>
          </w:p>
        </w:tc>
        <w:tc>
          <w:tcPr>
            <w:tcW w:w="1470" w:type="dxa"/>
            <w:tcBorders>
              <w:top w:val="single" w:sz="8" w:space="0" w:color="auto"/>
              <w:bottom w:val="single" w:sz="8" w:space="0" w:color="auto"/>
            </w:tcBorders>
            <w:shd w:val="clear" w:color="auto" w:fill="FFFFFF" w:themeFill="background1"/>
          </w:tcPr>
          <w:p w14:paraId="470A1CA3" w14:textId="77777777" w:rsidR="00E7273C" w:rsidRPr="007B5BE6" w:rsidRDefault="00E7273C" w:rsidP="00C36293">
            <w:pPr>
              <w:jc w:val="left"/>
              <w:rPr>
                <w:b/>
                <w:bCs/>
                <w:sz w:val="20"/>
                <w:szCs w:val="20"/>
              </w:rPr>
            </w:pPr>
            <w:r w:rsidRPr="007B5BE6">
              <w:rPr>
                <w:b/>
                <w:bCs/>
                <w:sz w:val="20"/>
                <w:szCs w:val="20"/>
              </w:rPr>
              <w:t>New South Wales</w:t>
            </w:r>
          </w:p>
        </w:tc>
        <w:tc>
          <w:tcPr>
            <w:tcW w:w="1683" w:type="dxa"/>
            <w:tcBorders>
              <w:top w:val="single" w:sz="8" w:space="0" w:color="auto"/>
              <w:bottom w:val="single" w:sz="8" w:space="0" w:color="auto"/>
            </w:tcBorders>
            <w:shd w:val="clear" w:color="auto" w:fill="FFFFFF" w:themeFill="background1"/>
          </w:tcPr>
          <w:p w14:paraId="69F979F2" w14:textId="77777777" w:rsidR="00E7273C" w:rsidRPr="007B5BE6" w:rsidRDefault="00E7273C" w:rsidP="00C36293">
            <w:pPr>
              <w:jc w:val="left"/>
              <w:rPr>
                <w:b/>
                <w:bCs/>
                <w:sz w:val="20"/>
                <w:szCs w:val="20"/>
              </w:rPr>
            </w:pPr>
            <w:r w:rsidRPr="007B5BE6">
              <w:rPr>
                <w:b/>
                <w:bCs/>
                <w:sz w:val="20"/>
                <w:szCs w:val="20"/>
              </w:rPr>
              <w:t xml:space="preserve">Australian Capital Territory </w:t>
            </w:r>
          </w:p>
        </w:tc>
        <w:tc>
          <w:tcPr>
            <w:tcW w:w="1758" w:type="dxa"/>
            <w:tcBorders>
              <w:top w:val="single" w:sz="8" w:space="0" w:color="auto"/>
              <w:bottom w:val="single" w:sz="8" w:space="0" w:color="auto"/>
            </w:tcBorders>
            <w:shd w:val="clear" w:color="auto" w:fill="FFFFFF" w:themeFill="background1"/>
          </w:tcPr>
          <w:p w14:paraId="22C825DD" w14:textId="77777777" w:rsidR="00E7273C" w:rsidRPr="007B5BE6" w:rsidRDefault="00E7273C" w:rsidP="00C36293">
            <w:pPr>
              <w:jc w:val="left"/>
              <w:rPr>
                <w:b/>
                <w:bCs/>
                <w:sz w:val="20"/>
                <w:szCs w:val="20"/>
              </w:rPr>
            </w:pPr>
            <w:r w:rsidRPr="007B5BE6">
              <w:rPr>
                <w:b/>
                <w:bCs/>
                <w:sz w:val="20"/>
                <w:szCs w:val="20"/>
              </w:rPr>
              <w:t>Queensland</w:t>
            </w:r>
          </w:p>
        </w:tc>
        <w:tc>
          <w:tcPr>
            <w:tcW w:w="1843" w:type="dxa"/>
            <w:tcBorders>
              <w:top w:val="single" w:sz="8" w:space="0" w:color="auto"/>
              <w:bottom w:val="single" w:sz="8" w:space="0" w:color="auto"/>
            </w:tcBorders>
            <w:shd w:val="clear" w:color="auto" w:fill="FFFFFF" w:themeFill="background1"/>
          </w:tcPr>
          <w:p w14:paraId="736146CE" w14:textId="77777777" w:rsidR="00E7273C" w:rsidRPr="007B5BE6" w:rsidRDefault="00E7273C" w:rsidP="00C36293">
            <w:pPr>
              <w:jc w:val="left"/>
              <w:rPr>
                <w:b/>
                <w:bCs/>
                <w:sz w:val="20"/>
                <w:szCs w:val="20"/>
              </w:rPr>
            </w:pPr>
            <w:r w:rsidRPr="007B5BE6">
              <w:rPr>
                <w:b/>
                <w:bCs/>
                <w:sz w:val="20"/>
                <w:szCs w:val="20"/>
              </w:rPr>
              <w:t>Victoria</w:t>
            </w:r>
          </w:p>
        </w:tc>
        <w:tc>
          <w:tcPr>
            <w:tcW w:w="1938" w:type="dxa"/>
            <w:tcBorders>
              <w:top w:val="single" w:sz="8" w:space="0" w:color="auto"/>
              <w:bottom w:val="single" w:sz="8" w:space="0" w:color="auto"/>
            </w:tcBorders>
            <w:shd w:val="clear" w:color="auto" w:fill="FFFFFF" w:themeFill="background1"/>
          </w:tcPr>
          <w:p w14:paraId="75E63D86" w14:textId="77777777" w:rsidR="00E7273C" w:rsidRPr="007B5BE6" w:rsidRDefault="00E7273C" w:rsidP="00C36293">
            <w:pPr>
              <w:jc w:val="left"/>
              <w:rPr>
                <w:b/>
                <w:bCs/>
                <w:sz w:val="20"/>
                <w:szCs w:val="20"/>
              </w:rPr>
            </w:pPr>
            <w:r w:rsidRPr="007B5BE6">
              <w:rPr>
                <w:b/>
                <w:bCs/>
                <w:sz w:val="20"/>
                <w:szCs w:val="20"/>
              </w:rPr>
              <w:t>Western Australia</w:t>
            </w:r>
          </w:p>
        </w:tc>
        <w:tc>
          <w:tcPr>
            <w:tcW w:w="1461" w:type="dxa"/>
            <w:tcBorders>
              <w:top w:val="single" w:sz="8" w:space="0" w:color="auto"/>
              <w:bottom w:val="single" w:sz="8" w:space="0" w:color="auto"/>
            </w:tcBorders>
            <w:shd w:val="clear" w:color="auto" w:fill="FFFFFF" w:themeFill="background1"/>
          </w:tcPr>
          <w:p w14:paraId="1CD34514" w14:textId="77777777" w:rsidR="00E7273C" w:rsidRPr="007B5BE6" w:rsidRDefault="00E7273C" w:rsidP="00C36293">
            <w:pPr>
              <w:jc w:val="left"/>
              <w:rPr>
                <w:b/>
                <w:bCs/>
                <w:sz w:val="20"/>
                <w:szCs w:val="20"/>
              </w:rPr>
            </w:pPr>
            <w:r w:rsidRPr="007B5BE6">
              <w:rPr>
                <w:b/>
                <w:bCs/>
                <w:sz w:val="20"/>
                <w:szCs w:val="20"/>
              </w:rPr>
              <w:t>Northern Territory</w:t>
            </w:r>
          </w:p>
        </w:tc>
      </w:tr>
      <w:tr w:rsidR="00E7273C" w:rsidRPr="007B5BE6" w14:paraId="079166BF" w14:textId="77777777" w:rsidTr="00AE7F20">
        <w:tc>
          <w:tcPr>
            <w:tcW w:w="1375" w:type="dxa"/>
            <w:tcBorders>
              <w:top w:val="single" w:sz="8" w:space="0" w:color="auto"/>
            </w:tcBorders>
            <w:shd w:val="clear" w:color="auto" w:fill="FFFFFF" w:themeFill="background1"/>
          </w:tcPr>
          <w:p w14:paraId="5C6892B1" w14:textId="77777777" w:rsidR="00E7273C" w:rsidRPr="007B5BE6" w:rsidRDefault="00E7273C" w:rsidP="00A17D7A">
            <w:pPr>
              <w:jc w:val="left"/>
              <w:rPr>
                <w:b/>
                <w:bCs/>
                <w:i/>
                <w:iCs/>
                <w:sz w:val="20"/>
                <w:szCs w:val="20"/>
              </w:rPr>
            </w:pPr>
            <w:r w:rsidRPr="007B5BE6">
              <w:rPr>
                <w:b/>
                <w:bCs/>
                <w:i/>
                <w:iCs/>
                <w:sz w:val="20"/>
                <w:szCs w:val="20"/>
              </w:rPr>
              <w:t xml:space="preserve">Legislation </w:t>
            </w:r>
          </w:p>
        </w:tc>
        <w:tc>
          <w:tcPr>
            <w:tcW w:w="1511" w:type="dxa"/>
            <w:tcBorders>
              <w:top w:val="single" w:sz="8" w:space="0" w:color="auto"/>
            </w:tcBorders>
            <w:shd w:val="clear" w:color="auto" w:fill="FFFFFF" w:themeFill="background1"/>
          </w:tcPr>
          <w:p w14:paraId="03929594" w14:textId="77777777" w:rsidR="00E7273C" w:rsidRPr="007B5BE6" w:rsidRDefault="00E7273C" w:rsidP="00A17D7A">
            <w:pPr>
              <w:jc w:val="left"/>
              <w:rPr>
                <w:sz w:val="20"/>
                <w:szCs w:val="20"/>
              </w:rPr>
            </w:pPr>
            <w:r w:rsidRPr="007B5BE6">
              <w:rPr>
                <w:i/>
                <w:iCs/>
                <w:sz w:val="20"/>
                <w:szCs w:val="20"/>
              </w:rPr>
              <w:t>Ageing and Adult Safeguarding Act 1995</w:t>
            </w:r>
            <w:r w:rsidRPr="007B5BE6">
              <w:rPr>
                <w:sz w:val="20"/>
                <w:szCs w:val="20"/>
              </w:rPr>
              <w:t xml:space="preserve"> (SA)</w:t>
            </w:r>
          </w:p>
        </w:tc>
        <w:tc>
          <w:tcPr>
            <w:tcW w:w="1470" w:type="dxa"/>
            <w:tcBorders>
              <w:top w:val="single" w:sz="8" w:space="0" w:color="auto"/>
            </w:tcBorders>
            <w:shd w:val="clear" w:color="auto" w:fill="FFFFFF" w:themeFill="background1"/>
          </w:tcPr>
          <w:p w14:paraId="2980F967" w14:textId="77777777" w:rsidR="00E7273C" w:rsidRPr="007B5BE6" w:rsidRDefault="00E7273C" w:rsidP="00A17D7A">
            <w:pPr>
              <w:jc w:val="left"/>
              <w:rPr>
                <w:sz w:val="20"/>
                <w:szCs w:val="20"/>
              </w:rPr>
            </w:pPr>
            <w:r w:rsidRPr="007B5BE6">
              <w:rPr>
                <w:i/>
                <w:iCs/>
                <w:sz w:val="20"/>
                <w:szCs w:val="20"/>
              </w:rPr>
              <w:t>Ageing and Disability Commissioner Act 2019</w:t>
            </w:r>
            <w:r w:rsidRPr="007B5BE6">
              <w:rPr>
                <w:sz w:val="20"/>
                <w:szCs w:val="20"/>
              </w:rPr>
              <w:t xml:space="preserve"> (NSW)</w:t>
            </w:r>
          </w:p>
        </w:tc>
        <w:tc>
          <w:tcPr>
            <w:tcW w:w="1683" w:type="dxa"/>
            <w:tcBorders>
              <w:top w:val="single" w:sz="8" w:space="0" w:color="auto"/>
            </w:tcBorders>
            <w:shd w:val="clear" w:color="auto" w:fill="FFFFFF" w:themeFill="background1"/>
          </w:tcPr>
          <w:p w14:paraId="53ECA574" w14:textId="77777777" w:rsidR="00E7273C" w:rsidRPr="007B5BE6" w:rsidRDefault="00E7273C" w:rsidP="00A17D7A">
            <w:pPr>
              <w:jc w:val="left"/>
              <w:rPr>
                <w:sz w:val="20"/>
                <w:szCs w:val="20"/>
              </w:rPr>
            </w:pPr>
            <w:r w:rsidRPr="007B5BE6">
              <w:rPr>
                <w:i/>
                <w:iCs/>
                <w:sz w:val="20"/>
                <w:szCs w:val="20"/>
              </w:rPr>
              <w:t>Human Rights Commission Act 2005</w:t>
            </w:r>
            <w:r w:rsidRPr="007B5BE6">
              <w:rPr>
                <w:sz w:val="20"/>
                <w:szCs w:val="20"/>
              </w:rPr>
              <w:t xml:space="preserve"> (ACT) (1)</w:t>
            </w:r>
          </w:p>
          <w:p w14:paraId="38944675" w14:textId="77777777" w:rsidR="00E7273C" w:rsidRPr="007B5BE6" w:rsidRDefault="00E7273C" w:rsidP="00A17D7A">
            <w:pPr>
              <w:jc w:val="left"/>
              <w:rPr>
                <w:sz w:val="20"/>
                <w:szCs w:val="20"/>
              </w:rPr>
            </w:pPr>
            <w:r w:rsidRPr="007B5BE6">
              <w:rPr>
                <w:i/>
                <w:iCs/>
                <w:sz w:val="20"/>
                <w:szCs w:val="20"/>
              </w:rPr>
              <w:t>Guardianship and Management of Property Act 1991</w:t>
            </w:r>
            <w:r w:rsidRPr="007B5BE6">
              <w:rPr>
                <w:sz w:val="20"/>
                <w:szCs w:val="20"/>
              </w:rPr>
              <w:t xml:space="preserve"> (ACT) (2)</w:t>
            </w:r>
          </w:p>
        </w:tc>
        <w:tc>
          <w:tcPr>
            <w:tcW w:w="1758" w:type="dxa"/>
            <w:tcBorders>
              <w:top w:val="single" w:sz="8" w:space="0" w:color="auto"/>
            </w:tcBorders>
            <w:shd w:val="clear" w:color="auto" w:fill="FFFFFF" w:themeFill="background1"/>
          </w:tcPr>
          <w:p w14:paraId="2B5FBEE3" w14:textId="77777777" w:rsidR="00E7273C" w:rsidRPr="007B5BE6" w:rsidRDefault="00E7273C" w:rsidP="00A17D7A">
            <w:pPr>
              <w:jc w:val="left"/>
              <w:rPr>
                <w:sz w:val="20"/>
                <w:szCs w:val="20"/>
              </w:rPr>
            </w:pPr>
            <w:r w:rsidRPr="007B5BE6">
              <w:rPr>
                <w:i/>
                <w:iCs/>
                <w:sz w:val="20"/>
                <w:szCs w:val="20"/>
              </w:rPr>
              <w:t xml:space="preserve">Public Guardian Act 2014 </w:t>
            </w:r>
            <w:r w:rsidRPr="007B5BE6">
              <w:rPr>
                <w:sz w:val="20"/>
                <w:szCs w:val="20"/>
              </w:rPr>
              <w:t>(Qld)</w:t>
            </w:r>
          </w:p>
          <w:p w14:paraId="132ACFC7" w14:textId="77777777" w:rsidR="00E7273C" w:rsidRPr="007B5BE6" w:rsidRDefault="00E7273C" w:rsidP="00A17D7A">
            <w:pPr>
              <w:jc w:val="left"/>
              <w:rPr>
                <w:sz w:val="20"/>
                <w:szCs w:val="20"/>
              </w:rPr>
            </w:pPr>
            <w:r w:rsidRPr="007B5BE6">
              <w:rPr>
                <w:i/>
                <w:iCs/>
                <w:sz w:val="20"/>
                <w:szCs w:val="20"/>
              </w:rPr>
              <w:t>Guardianship and Administration Act 2000</w:t>
            </w:r>
            <w:r w:rsidRPr="007B5BE6">
              <w:rPr>
                <w:sz w:val="20"/>
                <w:szCs w:val="20"/>
              </w:rPr>
              <w:t xml:space="preserve"> (Qld)</w:t>
            </w:r>
          </w:p>
        </w:tc>
        <w:tc>
          <w:tcPr>
            <w:tcW w:w="1843" w:type="dxa"/>
            <w:tcBorders>
              <w:top w:val="single" w:sz="8" w:space="0" w:color="auto"/>
            </w:tcBorders>
            <w:shd w:val="clear" w:color="auto" w:fill="FFFFFF" w:themeFill="background1"/>
          </w:tcPr>
          <w:p w14:paraId="6C71B971" w14:textId="77777777" w:rsidR="00E7273C" w:rsidRPr="007B5BE6" w:rsidRDefault="00E7273C" w:rsidP="00A17D7A">
            <w:pPr>
              <w:jc w:val="left"/>
              <w:rPr>
                <w:sz w:val="20"/>
                <w:szCs w:val="20"/>
              </w:rPr>
            </w:pPr>
            <w:r w:rsidRPr="007B5BE6">
              <w:rPr>
                <w:i/>
                <w:iCs/>
                <w:sz w:val="20"/>
                <w:szCs w:val="20"/>
              </w:rPr>
              <w:t>Guardianship and Administration Act 2019</w:t>
            </w:r>
            <w:r w:rsidRPr="007B5BE6">
              <w:rPr>
                <w:sz w:val="20"/>
                <w:szCs w:val="20"/>
              </w:rPr>
              <w:t xml:space="preserve"> (Vic) (1)</w:t>
            </w:r>
          </w:p>
          <w:p w14:paraId="61E40E13" w14:textId="77777777" w:rsidR="00E7273C" w:rsidRPr="007B5BE6" w:rsidRDefault="00E7273C" w:rsidP="00A17D7A">
            <w:pPr>
              <w:jc w:val="left"/>
              <w:rPr>
                <w:sz w:val="20"/>
                <w:szCs w:val="20"/>
              </w:rPr>
            </w:pPr>
            <w:r w:rsidRPr="007B5BE6">
              <w:rPr>
                <w:i/>
                <w:iCs/>
                <w:sz w:val="20"/>
                <w:szCs w:val="20"/>
              </w:rPr>
              <w:t>Victorian Civil and Administrative Tribunal Act 1998</w:t>
            </w:r>
            <w:r w:rsidRPr="007B5BE6">
              <w:rPr>
                <w:sz w:val="20"/>
                <w:szCs w:val="20"/>
              </w:rPr>
              <w:t xml:space="preserve"> (Vic) (2)</w:t>
            </w:r>
          </w:p>
        </w:tc>
        <w:tc>
          <w:tcPr>
            <w:tcW w:w="1938" w:type="dxa"/>
            <w:tcBorders>
              <w:top w:val="single" w:sz="8" w:space="0" w:color="auto"/>
            </w:tcBorders>
            <w:shd w:val="clear" w:color="auto" w:fill="FFFFFF" w:themeFill="background1"/>
          </w:tcPr>
          <w:p w14:paraId="04FCC9A5" w14:textId="77777777" w:rsidR="00E7273C" w:rsidRPr="007B5BE6" w:rsidRDefault="00E7273C" w:rsidP="00A17D7A">
            <w:pPr>
              <w:jc w:val="left"/>
              <w:rPr>
                <w:sz w:val="20"/>
                <w:szCs w:val="20"/>
              </w:rPr>
            </w:pPr>
            <w:r w:rsidRPr="007B5BE6">
              <w:rPr>
                <w:i/>
                <w:iCs/>
                <w:sz w:val="20"/>
                <w:szCs w:val="20"/>
              </w:rPr>
              <w:t>Guardianship and Administration Act 1990</w:t>
            </w:r>
            <w:r w:rsidRPr="007B5BE6">
              <w:rPr>
                <w:sz w:val="20"/>
                <w:szCs w:val="20"/>
              </w:rPr>
              <w:t xml:space="preserve"> (WA)</w:t>
            </w:r>
          </w:p>
        </w:tc>
        <w:tc>
          <w:tcPr>
            <w:tcW w:w="1461" w:type="dxa"/>
            <w:tcBorders>
              <w:top w:val="single" w:sz="8" w:space="0" w:color="auto"/>
            </w:tcBorders>
            <w:shd w:val="clear" w:color="auto" w:fill="FFFFFF" w:themeFill="background1"/>
          </w:tcPr>
          <w:p w14:paraId="70D07124" w14:textId="77777777" w:rsidR="00E7273C" w:rsidRPr="007B5BE6" w:rsidRDefault="00E7273C" w:rsidP="00A17D7A">
            <w:pPr>
              <w:jc w:val="left"/>
              <w:rPr>
                <w:sz w:val="20"/>
                <w:szCs w:val="20"/>
              </w:rPr>
            </w:pPr>
            <w:r w:rsidRPr="007B5BE6">
              <w:rPr>
                <w:i/>
                <w:iCs/>
                <w:sz w:val="20"/>
                <w:szCs w:val="20"/>
              </w:rPr>
              <w:t>Guardianship of Adults Act 2016</w:t>
            </w:r>
            <w:r w:rsidRPr="007B5BE6">
              <w:rPr>
                <w:sz w:val="20"/>
                <w:szCs w:val="20"/>
              </w:rPr>
              <w:t xml:space="preserve"> (NT) </w:t>
            </w:r>
          </w:p>
        </w:tc>
      </w:tr>
      <w:tr w:rsidR="00E7273C" w:rsidRPr="007B5BE6" w14:paraId="0EA666F5" w14:textId="77777777" w:rsidTr="00DA4B23">
        <w:tc>
          <w:tcPr>
            <w:tcW w:w="1375" w:type="dxa"/>
            <w:shd w:val="clear" w:color="auto" w:fill="FFFFFF" w:themeFill="background1"/>
          </w:tcPr>
          <w:p w14:paraId="701F59D1" w14:textId="77777777" w:rsidR="00E7273C" w:rsidRPr="007B5BE6" w:rsidRDefault="00E7273C" w:rsidP="00A17D7A">
            <w:pPr>
              <w:jc w:val="left"/>
              <w:rPr>
                <w:b/>
                <w:bCs/>
                <w:i/>
                <w:iCs/>
                <w:sz w:val="20"/>
                <w:szCs w:val="20"/>
              </w:rPr>
            </w:pPr>
            <w:r w:rsidRPr="007B5BE6">
              <w:rPr>
                <w:b/>
                <w:bCs/>
                <w:i/>
                <w:iCs/>
                <w:sz w:val="20"/>
                <w:szCs w:val="20"/>
              </w:rPr>
              <w:t xml:space="preserve">Who is protected and relevant definitions </w:t>
            </w:r>
          </w:p>
        </w:tc>
        <w:tc>
          <w:tcPr>
            <w:tcW w:w="1511" w:type="dxa"/>
            <w:shd w:val="clear" w:color="auto" w:fill="FFFFFF" w:themeFill="background1"/>
          </w:tcPr>
          <w:p w14:paraId="2102E1AC" w14:textId="37513A57" w:rsidR="00E7273C" w:rsidRPr="007B5BE6" w:rsidRDefault="00E7273C" w:rsidP="00A17D7A">
            <w:pPr>
              <w:jc w:val="left"/>
              <w:rPr>
                <w:sz w:val="20"/>
                <w:szCs w:val="20"/>
              </w:rPr>
            </w:pPr>
            <w:r w:rsidRPr="007B5BE6">
              <w:rPr>
                <w:sz w:val="20"/>
                <w:szCs w:val="20"/>
              </w:rPr>
              <w:t>‘Vulnerable adults’ defined as ‘an adult person who, by reason of age, ill health, disability, social isolation, dependence on others or other disadvantage, is vulnerable to abuse’</w:t>
            </w:r>
            <w:r w:rsidR="004D1F32" w:rsidRPr="007B5BE6">
              <w:rPr>
                <w:rStyle w:val="FootnoteReference"/>
                <w:sz w:val="20"/>
                <w:szCs w:val="20"/>
              </w:rPr>
              <w:footnoteReference w:id="971"/>
            </w:r>
          </w:p>
        </w:tc>
        <w:tc>
          <w:tcPr>
            <w:tcW w:w="1470" w:type="dxa"/>
            <w:shd w:val="clear" w:color="auto" w:fill="FFFFFF" w:themeFill="background1"/>
          </w:tcPr>
          <w:p w14:paraId="069854EF" w14:textId="77777777" w:rsidR="00E7273C" w:rsidRPr="007B5BE6" w:rsidRDefault="00E7273C" w:rsidP="00A17D7A">
            <w:pPr>
              <w:jc w:val="left"/>
              <w:rPr>
                <w:sz w:val="20"/>
                <w:szCs w:val="20"/>
              </w:rPr>
            </w:pPr>
            <w:r w:rsidRPr="007B5BE6">
              <w:rPr>
                <w:sz w:val="20"/>
                <w:szCs w:val="20"/>
              </w:rPr>
              <w:t xml:space="preserve">Adults with disability </w:t>
            </w:r>
          </w:p>
          <w:p w14:paraId="1CFF1950" w14:textId="77777777" w:rsidR="00E7273C" w:rsidRPr="007B5BE6" w:rsidRDefault="00E7273C" w:rsidP="00A17D7A">
            <w:pPr>
              <w:jc w:val="left"/>
              <w:rPr>
                <w:sz w:val="20"/>
                <w:szCs w:val="20"/>
              </w:rPr>
            </w:pPr>
            <w:r w:rsidRPr="007B5BE6">
              <w:rPr>
                <w:sz w:val="20"/>
                <w:szCs w:val="20"/>
              </w:rPr>
              <w:t>Older adults (Aboriginal and Torres Strait Islander people aged 50 years or more and all other people aged 65 years or more)</w:t>
            </w:r>
          </w:p>
        </w:tc>
        <w:tc>
          <w:tcPr>
            <w:tcW w:w="1683" w:type="dxa"/>
            <w:shd w:val="clear" w:color="auto" w:fill="FFFFFF" w:themeFill="background1"/>
          </w:tcPr>
          <w:p w14:paraId="017AC64B" w14:textId="7E130AC5" w:rsidR="00E7273C" w:rsidRPr="007B5BE6" w:rsidRDefault="00E7273C" w:rsidP="00A17D7A">
            <w:pPr>
              <w:jc w:val="left"/>
              <w:rPr>
                <w:sz w:val="20"/>
                <w:szCs w:val="20"/>
              </w:rPr>
            </w:pPr>
            <w:r w:rsidRPr="007B5BE6">
              <w:rPr>
                <w:sz w:val="20"/>
                <w:szCs w:val="20"/>
              </w:rPr>
              <w:t>People with disability and people aged over 60 years</w:t>
            </w:r>
            <w:r w:rsidR="004D1F32" w:rsidRPr="007B5BE6">
              <w:rPr>
                <w:rStyle w:val="FootnoteReference"/>
                <w:sz w:val="20"/>
                <w:szCs w:val="20"/>
              </w:rPr>
              <w:footnoteReference w:id="972"/>
            </w:r>
            <w:r w:rsidRPr="007B5BE6">
              <w:rPr>
                <w:sz w:val="20"/>
                <w:szCs w:val="20"/>
              </w:rPr>
              <w:t xml:space="preserve"> (1)</w:t>
            </w:r>
          </w:p>
          <w:p w14:paraId="5E15CF83" w14:textId="77777777" w:rsidR="00E7273C" w:rsidRPr="007B5BE6" w:rsidRDefault="00E7273C" w:rsidP="00A17D7A">
            <w:pPr>
              <w:jc w:val="left"/>
              <w:rPr>
                <w:sz w:val="20"/>
                <w:szCs w:val="20"/>
              </w:rPr>
            </w:pPr>
            <w:r w:rsidRPr="007B5BE6">
              <w:rPr>
                <w:sz w:val="20"/>
                <w:szCs w:val="20"/>
              </w:rPr>
              <w:t>Adults with impaired decision-making ability (2)</w:t>
            </w:r>
          </w:p>
          <w:p w14:paraId="05C6AB23" w14:textId="77777777" w:rsidR="00E7273C" w:rsidRPr="007B5BE6" w:rsidRDefault="00E7273C" w:rsidP="00A17D7A">
            <w:pPr>
              <w:jc w:val="left"/>
              <w:rPr>
                <w:sz w:val="20"/>
                <w:szCs w:val="20"/>
              </w:rPr>
            </w:pPr>
          </w:p>
        </w:tc>
        <w:tc>
          <w:tcPr>
            <w:tcW w:w="1758" w:type="dxa"/>
            <w:shd w:val="clear" w:color="auto" w:fill="FFFFFF" w:themeFill="background1"/>
          </w:tcPr>
          <w:p w14:paraId="31A014CA" w14:textId="77777777" w:rsidR="00E7273C" w:rsidRPr="007B5BE6" w:rsidRDefault="00E7273C" w:rsidP="00A17D7A">
            <w:pPr>
              <w:jc w:val="left"/>
              <w:rPr>
                <w:sz w:val="20"/>
                <w:szCs w:val="20"/>
              </w:rPr>
            </w:pPr>
            <w:r w:rsidRPr="007B5BE6">
              <w:rPr>
                <w:sz w:val="20"/>
                <w:szCs w:val="20"/>
              </w:rPr>
              <w:t xml:space="preserve">Adults with impaired capacity </w:t>
            </w:r>
          </w:p>
        </w:tc>
        <w:tc>
          <w:tcPr>
            <w:tcW w:w="1843" w:type="dxa"/>
            <w:shd w:val="clear" w:color="auto" w:fill="FFFFFF" w:themeFill="background1"/>
          </w:tcPr>
          <w:p w14:paraId="654A5043" w14:textId="77777777" w:rsidR="00E7273C" w:rsidRPr="007B5BE6" w:rsidRDefault="00E7273C" w:rsidP="00A17D7A">
            <w:pPr>
              <w:jc w:val="left"/>
              <w:rPr>
                <w:sz w:val="20"/>
                <w:szCs w:val="20"/>
              </w:rPr>
            </w:pPr>
            <w:r w:rsidRPr="007B5BE6">
              <w:rPr>
                <w:sz w:val="20"/>
                <w:szCs w:val="20"/>
              </w:rPr>
              <w:t>Protection and promotion of human rights and dignity of a person with a disability (1)</w:t>
            </w:r>
          </w:p>
          <w:p w14:paraId="6EF61419" w14:textId="77777777" w:rsidR="00E7273C" w:rsidRPr="007B5BE6" w:rsidRDefault="00E7273C" w:rsidP="00A17D7A">
            <w:pPr>
              <w:jc w:val="left"/>
              <w:rPr>
                <w:sz w:val="20"/>
                <w:szCs w:val="20"/>
              </w:rPr>
            </w:pPr>
            <w:r w:rsidRPr="007B5BE6">
              <w:rPr>
                <w:sz w:val="20"/>
                <w:szCs w:val="20"/>
              </w:rPr>
              <w:t>Adults with a disability (2)</w:t>
            </w:r>
          </w:p>
        </w:tc>
        <w:tc>
          <w:tcPr>
            <w:tcW w:w="1938" w:type="dxa"/>
            <w:shd w:val="clear" w:color="auto" w:fill="FFFFFF" w:themeFill="background1"/>
          </w:tcPr>
          <w:p w14:paraId="716DE34A" w14:textId="2020687E" w:rsidR="00E7273C" w:rsidRPr="007B5BE6" w:rsidRDefault="00E7273C" w:rsidP="00A17D7A">
            <w:pPr>
              <w:jc w:val="left"/>
              <w:rPr>
                <w:sz w:val="20"/>
                <w:szCs w:val="20"/>
              </w:rPr>
            </w:pPr>
            <w:r w:rsidRPr="007B5BE6">
              <w:rPr>
                <w:sz w:val="20"/>
                <w:szCs w:val="20"/>
              </w:rPr>
              <w:t>Adults who need assistance in person</w:t>
            </w:r>
            <w:r w:rsidR="00C43F26" w:rsidRPr="007B5BE6">
              <w:rPr>
                <w:sz w:val="20"/>
                <w:szCs w:val="20"/>
              </w:rPr>
              <w:t>al</w:t>
            </w:r>
            <w:r w:rsidR="00DA4B23" w:rsidRPr="007B5BE6">
              <w:rPr>
                <w:sz w:val="20"/>
                <w:szCs w:val="20"/>
              </w:rPr>
              <w:t xml:space="preserve"> </w:t>
            </w:r>
            <w:r w:rsidRPr="007B5BE6">
              <w:rPr>
                <w:sz w:val="20"/>
                <w:szCs w:val="20"/>
              </w:rPr>
              <w:t>affairs/administration of estates of persons</w:t>
            </w:r>
            <w:r w:rsidR="00D47405" w:rsidRPr="007B5BE6">
              <w:rPr>
                <w:sz w:val="20"/>
                <w:szCs w:val="20"/>
              </w:rPr>
              <w:t xml:space="preserve"> who</w:t>
            </w:r>
            <w:r w:rsidRPr="007B5BE6">
              <w:rPr>
                <w:sz w:val="20"/>
                <w:szCs w:val="20"/>
              </w:rPr>
              <w:t xml:space="preserve"> need assistance in financial affairs (based on decision-making ability)</w:t>
            </w:r>
          </w:p>
        </w:tc>
        <w:tc>
          <w:tcPr>
            <w:tcW w:w="1461" w:type="dxa"/>
            <w:shd w:val="clear" w:color="auto" w:fill="FFFFFF" w:themeFill="background1"/>
          </w:tcPr>
          <w:p w14:paraId="1FB5706A" w14:textId="77777777" w:rsidR="00E7273C" w:rsidRPr="007B5BE6" w:rsidRDefault="00E7273C" w:rsidP="00A17D7A">
            <w:pPr>
              <w:jc w:val="left"/>
              <w:rPr>
                <w:sz w:val="20"/>
                <w:szCs w:val="20"/>
              </w:rPr>
            </w:pPr>
            <w:r w:rsidRPr="007B5BE6">
              <w:rPr>
                <w:sz w:val="20"/>
                <w:szCs w:val="20"/>
              </w:rPr>
              <w:t xml:space="preserve">Adults with impaired decision-making capacity </w:t>
            </w:r>
          </w:p>
        </w:tc>
      </w:tr>
      <w:tr w:rsidR="00E7273C" w:rsidRPr="007B5BE6" w14:paraId="1B792507" w14:textId="77777777" w:rsidTr="00DA4B23">
        <w:tc>
          <w:tcPr>
            <w:tcW w:w="1375" w:type="dxa"/>
            <w:shd w:val="clear" w:color="auto" w:fill="FFFFFF" w:themeFill="background1"/>
          </w:tcPr>
          <w:p w14:paraId="20C86D51" w14:textId="77777777" w:rsidR="00E7273C" w:rsidRPr="007B5BE6" w:rsidRDefault="00E7273C" w:rsidP="00A17D7A">
            <w:pPr>
              <w:jc w:val="left"/>
              <w:rPr>
                <w:b/>
                <w:bCs/>
                <w:i/>
                <w:iCs/>
                <w:sz w:val="20"/>
                <w:szCs w:val="20"/>
              </w:rPr>
            </w:pPr>
            <w:r w:rsidRPr="007B5BE6">
              <w:rPr>
                <w:b/>
                <w:bCs/>
                <w:i/>
                <w:iCs/>
                <w:sz w:val="20"/>
                <w:szCs w:val="20"/>
              </w:rPr>
              <w:lastRenderedPageBreak/>
              <w:t>Definition of abuse</w:t>
            </w:r>
          </w:p>
        </w:tc>
        <w:tc>
          <w:tcPr>
            <w:tcW w:w="1511" w:type="dxa"/>
            <w:shd w:val="clear" w:color="auto" w:fill="FFFFFF" w:themeFill="background1"/>
          </w:tcPr>
          <w:p w14:paraId="2AE2BC21" w14:textId="582B0F96" w:rsidR="00E7273C" w:rsidRPr="007B5BE6" w:rsidRDefault="00E7273C" w:rsidP="00A17D7A">
            <w:pPr>
              <w:jc w:val="left"/>
              <w:rPr>
                <w:sz w:val="20"/>
                <w:szCs w:val="20"/>
              </w:rPr>
            </w:pPr>
            <w:r w:rsidRPr="007B5BE6">
              <w:rPr>
                <w:sz w:val="20"/>
                <w:szCs w:val="20"/>
              </w:rPr>
              <w:t>Physical, sexual, emotional abuse</w:t>
            </w:r>
            <w:r w:rsidR="00061A24" w:rsidRPr="007B5BE6">
              <w:rPr>
                <w:sz w:val="20"/>
                <w:szCs w:val="20"/>
              </w:rPr>
              <w:t>; Fi</w:t>
            </w:r>
            <w:r w:rsidRPr="007B5BE6">
              <w:rPr>
                <w:sz w:val="20"/>
                <w:szCs w:val="20"/>
              </w:rPr>
              <w:t>nancial abuse or exploitation</w:t>
            </w:r>
            <w:r w:rsidR="00061A24" w:rsidRPr="007B5BE6">
              <w:rPr>
                <w:sz w:val="20"/>
                <w:szCs w:val="20"/>
              </w:rPr>
              <w:t xml:space="preserve">; </w:t>
            </w:r>
            <w:r w:rsidRPr="007B5BE6">
              <w:rPr>
                <w:sz w:val="20"/>
                <w:szCs w:val="20"/>
              </w:rPr>
              <w:t>Neglect</w:t>
            </w:r>
            <w:r w:rsidR="00061A24" w:rsidRPr="007B5BE6">
              <w:rPr>
                <w:sz w:val="20"/>
                <w:szCs w:val="20"/>
              </w:rPr>
              <w:t xml:space="preserve">; </w:t>
            </w:r>
            <w:r w:rsidRPr="007B5BE6">
              <w:rPr>
                <w:sz w:val="20"/>
                <w:szCs w:val="20"/>
              </w:rPr>
              <w:t>Abuse, exploitation or neglect consisting of omission to act where duty of care owed</w:t>
            </w:r>
            <w:r w:rsidR="00061A24" w:rsidRPr="007B5BE6">
              <w:rPr>
                <w:sz w:val="20"/>
                <w:szCs w:val="20"/>
              </w:rPr>
              <w:t xml:space="preserve">; </w:t>
            </w:r>
            <w:r w:rsidRPr="007B5BE6">
              <w:rPr>
                <w:sz w:val="20"/>
                <w:szCs w:val="20"/>
              </w:rPr>
              <w:t>Abuse or exploitation of a position of trust or authority</w:t>
            </w:r>
            <w:r w:rsidR="00061A24" w:rsidRPr="007B5BE6">
              <w:rPr>
                <w:sz w:val="20"/>
                <w:szCs w:val="20"/>
              </w:rPr>
              <w:t xml:space="preserve">; </w:t>
            </w:r>
            <w:r w:rsidRPr="007B5BE6">
              <w:rPr>
                <w:sz w:val="20"/>
                <w:szCs w:val="20"/>
              </w:rPr>
              <w:t>Denial, without reasonable excuse, of basic rights</w:t>
            </w:r>
            <w:r w:rsidR="00061A24" w:rsidRPr="007B5BE6">
              <w:rPr>
                <w:sz w:val="20"/>
                <w:szCs w:val="20"/>
              </w:rPr>
              <w:t xml:space="preserve">; </w:t>
            </w:r>
            <w:r w:rsidRPr="007B5BE6">
              <w:rPr>
                <w:sz w:val="20"/>
                <w:szCs w:val="20"/>
              </w:rPr>
              <w:t xml:space="preserve">Any other act or omission of a kind declared by regulations to be included </w:t>
            </w:r>
          </w:p>
        </w:tc>
        <w:tc>
          <w:tcPr>
            <w:tcW w:w="1470" w:type="dxa"/>
            <w:shd w:val="clear" w:color="auto" w:fill="FFFFFF" w:themeFill="background1"/>
          </w:tcPr>
          <w:p w14:paraId="57580219" w14:textId="77777777" w:rsidR="00E7273C" w:rsidRPr="007B5BE6" w:rsidRDefault="00E7273C" w:rsidP="00A17D7A">
            <w:pPr>
              <w:jc w:val="left"/>
              <w:rPr>
                <w:sz w:val="20"/>
                <w:szCs w:val="20"/>
              </w:rPr>
            </w:pPr>
            <w:r w:rsidRPr="007B5BE6">
              <w:rPr>
                <w:sz w:val="20"/>
                <w:szCs w:val="20"/>
              </w:rPr>
              <w:t>Object is to protection from abuse, neglect or exploitation (not legislatively defined)</w:t>
            </w:r>
          </w:p>
        </w:tc>
        <w:tc>
          <w:tcPr>
            <w:tcW w:w="1683" w:type="dxa"/>
            <w:shd w:val="clear" w:color="auto" w:fill="FFFFFF" w:themeFill="background1"/>
          </w:tcPr>
          <w:p w14:paraId="66555731" w14:textId="77777777" w:rsidR="00E7273C" w:rsidRPr="007B5BE6" w:rsidRDefault="00E7273C" w:rsidP="00A17D7A">
            <w:pPr>
              <w:jc w:val="left"/>
              <w:rPr>
                <w:sz w:val="20"/>
                <w:szCs w:val="20"/>
              </w:rPr>
            </w:pPr>
            <w:r w:rsidRPr="007B5BE6">
              <w:rPr>
                <w:sz w:val="20"/>
                <w:szCs w:val="20"/>
              </w:rPr>
              <w:t>No legislative definition of abuse</w:t>
            </w:r>
          </w:p>
        </w:tc>
        <w:tc>
          <w:tcPr>
            <w:tcW w:w="1758" w:type="dxa"/>
            <w:shd w:val="clear" w:color="auto" w:fill="FFFFFF" w:themeFill="background1"/>
          </w:tcPr>
          <w:p w14:paraId="72FED208" w14:textId="77777777" w:rsidR="00E7273C" w:rsidRPr="007B5BE6" w:rsidRDefault="00E7273C" w:rsidP="00A17D7A">
            <w:pPr>
              <w:jc w:val="left"/>
              <w:rPr>
                <w:sz w:val="20"/>
                <w:szCs w:val="20"/>
              </w:rPr>
            </w:pPr>
            <w:r w:rsidRPr="007B5BE6">
              <w:rPr>
                <w:sz w:val="20"/>
                <w:szCs w:val="20"/>
              </w:rPr>
              <w:t xml:space="preserve">No legislative definition of abuse </w:t>
            </w:r>
          </w:p>
        </w:tc>
        <w:tc>
          <w:tcPr>
            <w:tcW w:w="1843" w:type="dxa"/>
            <w:shd w:val="clear" w:color="auto" w:fill="FFFFFF" w:themeFill="background1"/>
          </w:tcPr>
          <w:p w14:paraId="34CC77F1" w14:textId="77777777" w:rsidR="00E7273C" w:rsidRPr="007B5BE6" w:rsidRDefault="00E7273C" w:rsidP="00A17D7A">
            <w:pPr>
              <w:jc w:val="left"/>
              <w:rPr>
                <w:sz w:val="20"/>
                <w:szCs w:val="20"/>
              </w:rPr>
            </w:pPr>
            <w:r w:rsidRPr="007B5BE6">
              <w:rPr>
                <w:sz w:val="20"/>
                <w:szCs w:val="20"/>
              </w:rPr>
              <w:t>No legislative definition of abuse</w:t>
            </w:r>
          </w:p>
          <w:p w14:paraId="232215EB" w14:textId="3ADD7ED8" w:rsidR="00E7273C" w:rsidRPr="007B5BE6" w:rsidRDefault="00E7273C" w:rsidP="00A17D7A">
            <w:pPr>
              <w:jc w:val="left"/>
              <w:rPr>
                <w:sz w:val="20"/>
                <w:szCs w:val="20"/>
              </w:rPr>
            </w:pPr>
            <w:r w:rsidRPr="007B5BE6">
              <w:rPr>
                <w:sz w:val="20"/>
                <w:szCs w:val="20"/>
              </w:rPr>
              <w:t>Definition of abuse in strategy</w:t>
            </w:r>
            <w:r w:rsidR="004D1F32" w:rsidRPr="007B5BE6">
              <w:rPr>
                <w:rStyle w:val="FootnoteReference"/>
                <w:sz w:val="20"/>
                <w:szCs w:val="20"/>
              </w:rPr>
              <w:footnoteReference w:id="973"/>
            </w:r>
          </w:p>
        </w:tc>
        <w:tc>
          <w:tcPr>
            <w:tcW w:w="1938" w:type="dxa"/>
            <w:shd w:val="clear" w:color="auto" w:fill="FFFFFF" w:themeFill="background1"/>
          </w:tcPr>
          <w:p w14:paraId="6DAFA924" w14:textId="77777777" w:rsidR="00E7273C" w:rsidRPr="007B5BE6" w:rsidRDefault="00E7273C" w:rsidP="00A17D7A">
            <w:pPr>
              <w:jc w:val="left"/>
              <w:rPr>
                <w:sz w:val="20"/>
                <w:szCs w:val="20"/>
              </w:rPr>
            </w:pPr>
            <w:r w:rsidRPr="007B5BE6">
              <w:rPr>
                <w:sz w:val="20"/>
                <w:szCs w:val="20"/>
              </w:rPr>
              <w:t xml:space="preserve">No legislative definition of abuse </w:t>
            </w:r>
          </w:p>
          <w:p w14:paraId="06F8C2F1" w14:textId="4580A162" w:rsidR="00E7273C" w:rsidRPr="007B5BE6" w:rsidRDefault="00E7273C" w:rsidP="00A17D7A">
            <w:pPr>
              <w:jc w:val="left"/>
              <w:rPr>
                <w:sz w:val="20"/>
                <w:szCs w:val="20"/>
              </w:rPr>
            </w:pPr>
            <w:r w:rsidRPr="007B5BE6">
              <w:rPr>
                <w:sz w:val="20"/>
                <w:szCs w:val="20"/>
              </w:rPr>
              <w:t>Definition of abuse in strategy</w:t>
            </w:r>
            <w:r w:rsidR="004D1F32" w:rsidRPr="007B5BE6">
              <w:rPr>
                <w:rStyle w:val="FootnoteReference"/>
                <w:sz w:val="20"/>
                <w:szCs w:val="20"/>
              </w:rPr>
              <w:footnoteReference w:id="974"/>
            </w:r>
          </w:p>
        </w:tc>
        <w:tc>
          <w:tcPr>
            <w:tcW w:w="1461" w:type="dxa"/>
            <w:shd w:val="clear" w:color="auto" w:fill="FFFFFF" w:themeFill="background1"/>
          </w:tcPr>
          <w:p w14:paraId="105B4A95" w14:textId="77777777" w:rsidR="00E7273C" w:rsidRPr="007B5BE6" w:rsidRDefault="00E7273C" w:rsidP="00A17D7A">
            <w:pPr>
              <w:jc w:val="left"/>
              <w:rPr>
                <w:sz w:val="20"/>
                <w:szCs w:val="20"/>
              </w:rPr>
            </w:pPr>
            <w:r w:rsidRPr="007B5BE6">
              <w:rPr>
                <w:sz w:val="20"/>
                <w:szCs w:val="20"/>
              </w:rPr>
              <w:t xml:space="preserve">No legislative definition of abuse </w:t>
            </w:r>
          </w:p>
          <w:p w14:paraId="1948DDFE" w14:textId="77777777" w:rsidR="00E7273C" w:rsidRPr="007B5BE6" w:rsidRDefault="00E7273C" w:rsidP="00A17D7A">
            <w:pPr>
              <w:jc w:val="left"/>
              <w:rPr>
                <w:sz w:val="20"/>
                <w:szCs w:val="20"/>
              </w:rPr>
            </w:pPr>
          </w:p>
        </w:tc>
      </w:tr>
      <w:tr w:rsidR="00E7273C" w:rsidRPr="007B5BE6" w14:paraId="47B393EF" w14:textId="77777777" w:rsidTr="00DA4B23">
        <w:tc>
          <w:tcPr>
            <w:tcW w:w="1375" w:type="dxa"/>
            <w:shd w:val="clear" w:color="auto" w:fill="FFFFFF" w:themeFill="background1"/>
          </w:tcPr>
          <w:p w14:paraId="118E4986" w14:textId="77777777" w:rsidR="00E7273C" w:rsidRPr="007B5BE6" w:rsidRDefault="00E7273C" w:rsidP="00A17D7A">
            <w:pPr>
              <w:jc w:val="left"/>
              <w:rPr>
                <w:b/>
                <w:bCs/>
                <w:i/>
                <w:iCs/>
                <w:sz w:val="20"/>
                <w:szCs w:val="20"/>
              </w:rPr>
            </w:pPr>
            <w:r w:rsidRPr="007B5BE6">
              <w:rPr>
                <w:b/>
                <w:bCs/>
                <w:i/>
                <w:iCs/>
                <w:sz w:val="20"/>
                <w:szCs w:val="20"/>
              </w:rPr>
              <w:lastRenderedPageBreak/>
              <w:t xml:space="preserve">Definition of impaired capacity / impaired decision-making ability </w:t>
            </w:r>
          </w:p>
        </w:tc>
        <w:tc>
          <w:tcPr>
            <w:tcW w:w="1511" w:type="dxa"/>
            <w:shd w:val="clear" w:color="auto" w:fill="FFFFFF" w:themeFill="background1"/>
          </w:tcPr>
          <w:p w14:paraId="363A5876" w14:textId="77777777" w:rsidR="00E7273C" w:rsidRPr="007B5BE6" w:rsidRDefault="00E7273C" w:rsidP="00A17D7A">
            <w:pPr>
              <w:jc w:val="left"/>
              <w:rPr>
                <w:sz w:val="20"/>
                <w:szCs w:val="20"/>
              </w:rPr>
            </w:pPr>
            <w:r w:rsidRPr="007B5BE6">
              <w:rPr>
                <w:sz w:val="20"/>
                <w:szCs w:val="20"/>
              </w:rPr>
              <w:t>Presumption of capacity</w:t>
            </w:r>
          </w:p>
          <w:p w14:paraId="77606B93" w14:textId="77777777" w:rsidR="00E7273C" w:rsidRPr="007B5BE6" w:rsidRDefault="00E7273C" w:rsidP="00A17D7A">
            <w:pPr>
              <w:jc w:val="left"/>
              <w:rPr>
                <w:sz w:val="20"/>
                <w:szCs w:val="20"/>
              </w:rPr>
            </w:pPr>
            <w:r w:rsidRPr="007B5BE6">
              <w:rPr>
                <w:sz w:val="20"/>
                <w:szCs w:val="20"/>
              </w:rPr>
              <w:t>Definition of impaired decision-making capacity</w:t>
            </w:r>
          </w:p>
          <w:p w14:paraId="490BD5E5" w14:textId="52690995" w:rsidR="00E7273C" w:rsidRPr="007B5BE6" w:rsidRDefault="00E7273C" w:rsidP="00A17D7A">
            <w:pPr>
              <w:jc w:val="left"/>
              <w:rPr>
                <w:sz w:val="20"/>
                <w:szCs w:val="20"/>
              </w:rPr>
            </w:pPr>
            <w:r w:rsidRPr="007B5BE6">
              <w:rPr>
                <w:sz w:val="20"/>
                <w:szCs w:val="20"/>
              </w:rPr>
              <w:t>If in respect of a particular decision, a person is not capable of:</w:t>
            </w:r>
          </w:p>
          <w:p w14:paraId="661996D1" w14:textId="77777777" w:rsidR="00E7273C" w:rsidRPr="007B5BE6" w:rsidRDefault="00E7273C" w:rsidP="00A17D7A">
            <w:pPr>
              <w:jc w:val="left"/>
              <w:rPr>
                <w:sz w:val="20"/>
                <w:szCs w:val="20"/>
              </w:rPr>
            </w:pPr>
            <w:r w:rsidRPr="007B5BE6">
              <w:rPr>
                <w:sz w:val="20"/>
                <w:szCs w:val="20"/>
              </w:rPr>
              <w:t xml:space="preserve">(i) understanding any information that may be relevant to the decision </w:t>
            </w:r>
          </w:p>
          <w:p w14:paraId="7EBBCDF4" w14:textId="77777777" w:rsidR="00E7273C" w:rsidRPr="007B5BE6" w:rsidRDefault="00E7273C" w:rsidP="00A17D7A">
            <w:pPr>
              <w:jc w:val="left"/>
              <w:rPr>
                <w:sz w:val="20"/>
                <w:szCs w:val="20"/>
              </w:rPr>
            </w:pPr>
            <w:r w:rsidRPr="007B5BE6">
              <w:rPr>
                <w:sz w:val="20"/>
                <w:szCs w:val="20"/>
              </w:rPr>
              <w:t>(including information relating to the consequences of making a particular decision); or</w:t>
            </w:r>
          </w:p>
          <w:p w14:paraId="05D8F76A" w14:textId="77777777" w:rsidR="00E7273C" w:rsidRPr="007B5BE6" w:rsidRDefault="00E7273C" w:rsidP="00A17D7A">
            <w:pPr>
              <w:jc w:val="left"/>
              <w:rPr>
                <w:sz w:val="20"/>
                <w:szCs w:val="20"/>
              </w:rPr>
            </w:pPr>
            <w:r w:rsidRPr="007B5BE6">
              <w:rPr>
                <w:sz w:val="20"/>
                <w:szCs w:val="20"/>
              </w:rPr>
              <w:t>(ii) retaining such information; or</w:t>
            </w:r>
          </w:p>
          <w:p w14:paraId="6F985507" w14:textId="77777777" w:rsidR="00E7273C" w:rsidRPr="007B5BE6" w:rsidRDefault="00E7273C" w:rsidP="00A17D7A">
            <w:pPr>
              <w:jc w:val="left"/>
              <w:rPr>
                <w:sz w:val="20"/>
                <w:szCs w:val="20"/>
              </w:rPr>
            </w:pPr>
            <w:r w:rsidRPr="007B5BE6">
              <w:rPr>
                <w:sz w:val="20"/>
                <w:szCs w:val="20"/>
              </w:rPr>
              <w:lastRenderedPageBreak/>
              <w:t>(iii) using such information in the course of making the decision; or</w:t>
            </w:r>
          </w:p>
          <w:p w14:paraId="4202DE3C" w14:textId="77777777" w:rsidR="00E7273C" w:rsidRPr="007B5BE6" w:rsidRDefault="00E7273C" w:rsidP="00A17D7A">
            <w:pPr>
              <w:jc w:val="left"/>
              <w:rPr>
                <w:sz w:val="20"/>
                <w:szCs w:val="20"/>
              </w:rPr>
            </w:pPr>
            <w:r w:rsidRPr="007B5BE6">
              <w:rPr>
                <w:sz w:val="20"/>
                <w:szCs w:val="20"/>
              </w:rPr>
              <w:t>(iv) communicating his or her decision in any manner</w:t>
            </w:r>
          </w:p>
          <w:p w14:paraId="031484D5" w14:textId="77777777" w:rsidR="00E7273C" w:rsidRPr="007B5BE6" w:rsidRDefault="00E7273C" w:rsidP="00A17D7A">
            <w:pPr>
              <w:jc w:val="left"/>
              <w:rPr>
                <w:sz w:val="20"/>
                <w:szCs w:val="20"/>
              </w:rPr>
            </w:pPr>
            <w:r w:rsidRPr="007B5BE6">
              <w:rPr>
                <w:sz w:val="20"/>
                <w:szCs w:val="20"/>
              </w:rPr>
              <w:t xml:space="preserve">If in respect of a particular decision, a person has given advance care directive </w:t>
            </w:r>
          </w:p>
        </w:tc>
        <w:tc>
          <w:tcPr>
            <w:tcW w:w="1470" w:type="dxa"/>
            <w:shd w:val="clear" w:color="auto" w:fill="FFFFFF" w:themeFill="background1"/>
          </w:tcPr>
          <w:p w14:paraId="27B13E5D" w14:textId="77777777" w:rsidR="00E7273C" w:rsidRPr="007B5BE6" w:rsidRDefault="00E7273C" w:rsidP="00A17D7A">
            <w:pPr>
              <w:jc w:val="left"/>
              <w:rPr>
                <w:sz w:val="20"/>
                <w:szCs w:val="20"/>
              </w:rPr>
            </w:pPr>
            <w:r w:rsidRPr="007B5BE6">
              <w:rPr>
                <w:sz w:val="20"/>
                <w:szCs w:val="20"/>
              </w:rPr>
              <w:lastRenderedPageBreak/>
              <w:t xml:space="preserve">No definition of impaired capacity </w:t>
            </w:r>
          </w:p>
        </w:tc>
        <w:tc>
          <w:tcPr>
            <w:tcW w:w="1683" w:type="dxa"/>
            <w:shd w:val="clear" w:color="auto" w:fill="FFFFFF" w:themeFill="background1"/>
          </w:tcPr>
          <w:p w14:paraId="303EB17E" w14:textId="77777777" w:rsidR="00E7273C" w:rsidRPr="007B5BE6" w:rsidRDefault="00E7273C" w:rsidP="00A17D7A">
            <w:pPr>
              <w:jc w:val="left"/>
              <w:rPr>
                <w:sz w:val="20"/>
                <w:szCs w:val="20"/>
              </w:rPr>
            </w:pPr>
            <w:r w:rsidRPr="007B5BE6">
              <w:rPr>
                <w:sz w:val="20"/>
                <w:szCs w:val="20"/>
              </w:rPr>
              <w:t>Person’s decision-making ability is impaired ‘because of a physical, mental, psychological or intellectual condition or state, whether or not the condition or state is a diagnosable illness’</w:t>
            </w:r>
          </w:p>
        </w:tc>
        <w:tc>
          <w:tcPr>
            <w:tcW w:w="1758" w:type="dxa"/>
            <w:shd w:val="clear" w:color="auto" w:fill="FFFFFF" w:themeFill="background1"/>
          </w:tcPr>
          <w:p w14:paraId="64E2FA3D" w14:textId="77777777" w:rsidR="00E7273C" w:rsidRPr="007B5BE6" w:rsidRDefault="00E7273C" w:rsidP="00A17D7A">
            <w:pPr>
              <w:jc w:val="left"/>
              <w:rPr>
                <w:sz w:val="20"/>
                <w:szCs w:val="20"/>
              </w:rPr>
            </w:pPr>
            <w:r w:rsidRPr="007B5BE6">
              <w:rPr>
                <w:sz w:val="20"/>
                <w:szCs w:val="20"/>
              </w:rPr>
              <w:t>Definition of capacity and impaired capacity</w:t>
            </w:r>
          </w:p>
          <w:p w14:paraId="72A6E7AC" w14:textId="77777777" w:rsidR="00E7273C" w:rsidRPr="007B5BE6" w:rsidRDefault="00E7273C" w:rsidP="00A17D7A">
            <w:pPr>
              <w:jc w:val="left"/>
              <w:rPr>
                <w:sz w:val="20"/>
                <w:szCs w:val="20"/>
              </w:rPr>
            </w:pPr>
            <w:r w:rsidRPr="007B5BE6">
              <w:rPr>
                <w:sz w:val="20"/>
                <w:szCs w:val="20"/>
              </w:rPr>
              <w:t>Capacity, for a person for a matter, means the person is capable of—</w:t>
            </w:r>
          </w:p>
          <w:p w14:paraId="0812B8CF" w14:textId="4F858EF2" w:rsidR="00E7273C" w:rsidRPr="007B5BE6" w:rsidRDefault="00E7273C" w:rsidP="00A17D7A">
            <w:pPr>
              <w:jc w:val="left"/>
              <w:rPr>
                <w:sz w:val="20"/>
                <w:szCs w:val="20"/>
              </w:rPr>
            </w:pPr>
            <w:r w:rsidRPr="007B5BE6">
              <w:rPr>
                <w:sz w:val="20"/>
                <w:szCs w:val="20"/>
              </w:rPr>
              <w:t>(a)</w:t>
            </w:r>
            <w:r w:rsidR="00BA7146" w:rsidRPr="007B5BE6">
              <w:rPr>
                <w:sz w:val="20"/>
                <w:szCs w:val="20"/>
              </w:rPr>
              <w:t xml:space="preserve"> </w:t>
            </w:r>
            <w:r w:rsidRPr="007B5BE6">
              <w:rPr>
                <w:sz w:val="20"/>
                <w:szCs w:val="20"/>
              </w:rPr>
              <w:t>understanding the nature and effect of decisions about the matter; and</w:t>
            </w:r>
          </w:p>
          <w:p w14:paraId="51489279" w14:textId="77355169" w:rsidR="00E7273C" w:rsidRPr="007B5BE6" w:rsidRDefault="00E7273C" w:rsidP="00A17D7A">
            <w:pPr>
              <w:jc w:val="left"/>
              <w:rPr>
                <w:sz w:val="20"/>
                <w:szCs w:val="20"/>
              </w:rPr>
            </w:pPr>
            <w:r w:rsidRPr="007B5BE6">
              <w:rPr>
                <w:sz w:val="20"/>
                <w:szCs w:val="20"/>
              </w:rPr>
              <w:t>(b)</w:t>
            </w:r>
            <w:r w:rsidR="00BA7146" w:rsidRPr="007B5BE6">
              <w:rPr>
                <w:sz w:val="20"/>
                <w:szCs w:val="20"/>
              </w:rPr>
              <w:t xml:space="preserve"> </w:t>
            </w:r>
            <w:r w:rsidRPr="007B5BE6">
              <w:rPr>
                <w:sz w:val="20"/>
                <w:szCs w:val="20"/>
              </w:rPr>
              <w:t>freely and voluntarily making decisions about the matter; and</w:t>
            </w:r>
          </w:p>
          <w:p w14:paraId="68280B6A" w14:textId="688F6C43" w:rsidR="00E7273C" w:rsidRPr="007B5BE6" w:rsidRDefault="00E7273C" w:rsidP="00A17D7A">
            <w:pPr>
              <w:jc w:val="left"/>
              <w:rPr>
                <w:sz w:val="20"/>
                <w:szCs w:val="20"/>
              </w:rPr>
            </w:pPr>
            <w:r w:rsidRPr="007B5BE6">
              <w:rPr>
                <w:sz w:val="20"/>
                <w:szCs w:val="20"/>
              </w:rPr>
              <w:t>(c)</w:t>
            </w:r>
            <w:r w:rsidR="00BA7146" w:rsidRPr="007B5BE6">
              <w:rPr>
                <w:sz w:val="20"/>
                <w:szCs w:val="20"/>
              </w:rPr>
              <w:t xml:space="preserve"> </w:t>
            </w:r>
            <w:r w:rsidR="00DA4B23" w:rsidRPr="007B5BE6">
              <w:rPr>
                <w:sz w:val="20"/>
                <w:szCs w:val="20"/>
              </w:rPr>
              <w:t>c</w:t>
            </w:r>
            <w:r w:rsidRPr="007B5BE6">
              <w:rPr>
                <w:sz w:val="20"/>
                <w:szCs w:val="20"/>
              </w:rPr>
              <w:t>ommunicating the decisions in some way</w:t>
            </w:r>
          </w:p>
          <w:p w14:paraId="634ACB14" w14:textId="77777777" w:rsidR="00E7273C" w:rsidRPr="007B5BE6" w:rsidRDefault="00E7273C" w:rsidP="00A17D7A">
            <w:pPr>
              <w:jc w:val="left"/>
              <w:rPr>
                <w:sz w:val="20"/>
                <w:szCs w:val="20"/>
              </w:rPr>
            </w:pPr>
            <w:r w:rsidRPr="007B5BE6">
              <w:rPr>
                <w:sz w:val="20"/>
                <w:szCs w:val="20"/>
              </w:rPr>
              <w:t xml:space="preserve">Impaired capacity means a person does not have capacity </w:t>
            </w:r>
          </w:p>
        </w:tc>
        <w:tc>
          <w:tcPr>
            <w:tcW w:w="1843" w:type="dxa"/>
            <w:shd w:val="clear" w:color="auto" w:fill="FFFFFF" w:themeFill="background1"/>
          </w:tcPr>
          <w:p w14:paraId="475DBBD8" w14:textId="77777777" w:rsidR="00E7273C" w:rsidRPr="007B5BE6" w:rsidRDefault="00E7273C" w:rsidP="00A17D7A">
            <w:pPr>
              <w:jc w:val="left"/>
              <w:rPr>
                <w:sz w:val="20"/>
                <w:szCs w:val="20"/>
              </w:rPr>
            </w:pPr>
            <w:r w:rsidRPr="007B5BE6">
              <w:rPr>
                <w:sz w:val="20"/>
                <w:szCs w:val="20"/>
              </w:rPr>
              <w:t xml:space="preserve">Presumption of capacity </w:t>
            </w:r>
          </w:p>
          <w:p w14:paraId="71FC37CA" w14:textId="067B4386" w:rsidR="00E7273C" w:rsidRPr="007B5BE6" w:rsidRDefault="00E7273C" w:rsidP="00A17D7A">
            <w:pPr>
              <w:jc w:val="left"/>
              <w:rPr>
                <w:sz w:val="20"/>
                <w:szCs w:val="20"/>
              </w:rPr>
            </w:pPr>
            <w:r w:rsidRPr="007B5BE6">
              <w:rPr>
                <w:sz w:val="20"/>
                <w:szCs w:val="20"/>
              </w:rPr>
              <w:t>Decision-making capacity if a person has capacity to make a decision in relation to a matter (decision-making capacity)</w:t>
            </w:r>
            <w:r w:rsidR="00BA7146" w:rsidRPr="007B5BE6">
              <w:rPr>
                <w:sz w:val="20"/>
                <w:szCs w:val="20"/>
              </w:rPr>
              <w:t>,</w:t>
            </w:r>
            <w:r w:rsidRPr="007B5BE6">
              <w:rPr>
                <w:sz w:val="20"/>
                <w:szCs w:val="20"/>
              </w:rPr>
              <w:t xml:space="preserve"> if the person is able to understand the information relevant to the decision and the effect of the decision; and to retain that information to the extent necessary to make the decision; and to use or weigh that information as part of the process of making the decision; and to communicate the decision and the person's views and needs as to the decision in some way</w:t>
            </w:r>
          </w:p>
          <w:p w14:paraId="73F536EB" w14:textId="77777777" w:rsidR="00E7273C" w:rsidRPr="007B5BE6" w:rsidRDefault="00E7273C" w:rsidP="00A17D7A">
            <w:pPr>
              <w:jc w:val="left"/>
              <w:rPr>
                <w:sz w:val="20"/>
                <w:szCs w:val="20"/>
              </w:rPr>
            </w:pPr>
          </w:p>
        </w:tc>
        <w:tc>
          <w:tcPr>
            <w:tcW w:w="1938" w:type="dxa"/>
            <w:shd w:val="clear" w:color="auto" w:fill="FFFFFF" w:themeFill="background1"/>
          </w:tcPr>
          <w:p w14:paraId="7E876491" w14:textId="254C296B" w:rsidR="00E7273C" w:rsidRPr="007B5BE6" w:rsidRDefault="00E7273C" w:rsidP="00A17D7A">
            <w:pPr>
              <w:jc w:val="left"/>
              <w:rPr>
                <w:sz w:val="20"/>
                <w:szCs w:val="20"/>
              </w:rPr>
            </w:pPr>
            <w:r w:rsidRPr="007B5BE6">
              <w:rPr>
                <w:sz w:val="20"/>
                <w:szCs w:val="20"/>
              </w:rPr>
              <w:t>Decision</w:t>
            </w:r>
            <w:r w:rsidR="00C04407" w:rsidRPr="007B5BE6">
              <w:rPr>
                <w:sz w:val="20"/>
                <w:szCs w:val="20"/>
              </w:rPr>
              <w:t>-</w:t>
            </w:r>
            <w:r w:rsidRPr="007B5BE6">
              <w:rPr>
                <w:sz w:val="20"/>
                <w:szCs w:val="20"/>
              </w:rPr>
              <w:t>making ability not defined but criteria for making guardianship order includes being incapable of looking after own health and safety; unable to make reasonable judgments in respect of matters relating to person; or in need of oversight, care or control in the interests of own health and safety or for the protection of others;</w:t>
            </w:r>
          </w:p>
        </w:tc>
        <w:tc>
          <w:tcPr>
            <w:tcW w:w="1461" w:type="dxa"/>
            <w:shd w:val="clear" w:color="auto" w:fill="FFFFFF" w:themeFill="background1"/>
          </w:tcPr>
          <w:p w14:paraId="2B29F807" w14:textId="77777777" w:rsidR="00E7273C" w:rsidRPr="007B5BE6" w:rsidRDefault="00E7273C" w:rsidP="00A17D7A">
            <w:pPr>
              <w:jc w:val="left"/>
              <w:rPr>
                <w:sz w:val="20"/>
                <w:szCs w:val="20"/>
              </w:rPr>
            </w:pPr>
            <w:r w:rsidRPr="007B5BE6">
              <w:rPr>
                <w:sz w:val="20"/>
                <w:szCs w:val="20"/>
              </w:rPr>
              <w:t xml:space="preserve">Presumption of capacity </w:t>
            </w:r>
          </w:p>
          <w:p w14:paraId="041CE702" w14:textId="77777777" w:rsidR="00E7273C" w:rsidRPr="007B5BE6" w:rsidRDefault="00E7273C" w:rsidP="00A17D7A">
            <w:pPr>
              <w:jc w:val="left"/>
              <w:rPr>
                <w:sz w:val="20"/>
                <w:szCs w:val="20"/>
              </w:rPr>
            </w:pPr>
            <w:r w:rsidRPr="007B5BE6">
              <w:rPr>
                <w:sz w:val="20"/>
                <w:szCs w:val="20"/>
              </w:rPr>
              <w:t xml:space="preserve">Decision-making capacity defined (when adult does not have impaired decision-making capacity) </w:t>
            </w:r>
          </w:p>
          <w:p w14:paraId="63D6EF9F" w14:textId="1C83C2B9" w:rsidR="00E7273C" w:rsidRPr="007B5BE6" w:rsidRDefault="00E7273C" w:rsidP="00A17D7A">
            <w:pPr>
              <w:jc w:val="left"/>
              <w:rPr>
                <w:sz w:val="20"/>
                <w:szCs w:val="20"/>
              </w:rPr>
            </w:pPr>
            <w:r w:rsidRPr="007B5BE6">
              <w:rPr>
                <w:sz w:val="20"/>
                <w:szCs w:val="20"/>
              </w:rPr>
              <w:t xml:space="preserve">Impaired decision-making capacity defined if the adult's capacity to make a decision in relation to the matter is impaired, including impairment in understanding and retaining information relevant to the decision; weighing information relevant to the decision in </w:t>
            </w:r>
            <w:r w:rsidRPr="007B5BE6">
              <w:rPr>
                <w:sz w:val="20"/>
                <w:szCs w:val="20"/>
              </w:rPr>
              <w:lastRenderedPageBreak/>
              <w:t>order to make the decision; communicating the decision in some way; understanding the effect of the decision</w:t>
            </w:r>
          </w:p>
        </w:tc>
      </w:tr>
      <w:tr w:rsidR="00E7273C" w:rsidRPr="007B5BE6" w14:paraId="37385BA1" w14:textId="77777777" w:rsidTr="00DA4B23">
        <w:tc>
          <w:tcPr>
            <w:tcW w:w="1375" w:type="dxa"/>
            <w:shd w:val="clear" w:color="auto" w:fill="FFFFFF" w:themeFill="background1"/>
          </w:tcPr>
          <w:p w14:paraId="4F3F0440" w14:textId="77777777" w:rsidR="00E7273C" w:rsidRPr="007B5BE6" w:rsidRDefault="00E7273C" w:rsidP="00A17D7A">
            <w:pPr>
              <w:jc w:val="left"/>
              <w:rPr>
                <w:b/>
                <w:bCs/>
                <w:i/>
                <w:iCs/>
                <w:sz w:val="20"/>
                <w:szCs w:val="20"/>
              </w:rPr>
            </w:pPr>
            <w:r w:rsidRPr="007B5BE6">
              <w:rPr>
                <w:b/>
                <w:bCs/>
                <w:i/>
                <w:iCs/>
                <w:sz w:val="20"/>
                <w:szCs w:val="20"/>
              </w:rPr>
              <w:lastRenderedPageBreak/>
              <w:t xml:space="preserve">Relevant principles </w:t>
            </w:r>
          </w:p>
        </w:tc>
        <w:tc>
          <w:tcPr>
            <w:tcW w:w="1511" w:type="dxa"/>
            <w:shd w:val="clear" w:color="auto" w:fill="FFFFFF" w:themeFill="background1"/>
          </w:tcPr>
          <w:p w14:paraId="220B298D" w14:textId="75DDAD2F" w:rsidR="00E7273C" w:rsidRPr="007B5BE6" w:rsidRDefault="00E7273C" w:rsidP="00A17D7A">
            <w:pPr>
              <w:jc w:val="left"/>
              <w:rPr>
                <w:sz w:val="20"/>
                <w:szCs w:val="20"/>
              </w:rPr>
            </w:pPr>
            <w:r w:rsidRPr="007B5BE6">
              <w:rPr>
                <w:sz w:val="20"/>
                <w:szCs w:val="20"/>
              </w:rPr>
              <w:t>Presumption of decision-making capacity and recognition that decision</w:t>
            </w:r>
            <w:r w:rsidR="008773C2" w:rsidRPr="007B5BE6">
              <w:rPr>
                <w:sz w:val="20"/>
                <w:szCs w:val="20"/>
              </w:rPr>
              <w:t xml:space="preserve"> </w:t>
            </w:r>
            <w:r w:rsidRPr="007B5BE6">
              <w:rPr>
                <w:sz w:val="20"/>
                <w:szCs w:val="20"/>
              </w:rPr>
              <w:t>making fluctuates</w:t>
            </w:r>
          </w:p>
          <w:p w14:paraId="2145D0C7" w14:textId="77777777" w:rsidR="00E7273C" w:rsidRPr="007B5BE6" w:rsidRDefault="00E7273C" w:rsidP="00A17D7A">
            <w:pPr>
              <w:jc w:val="left"/>
              <w:rPr>
                <w:sz w:val="20"/>
                <w:szCs w:val="20"/>
              </w:rPr>
            </w:pPr>
            <w:r w:rsidRPr="007B5BE6">
              <w:rPr>
                <w:sz w:val="20"/>
                <w:szCs w:val="20"/>
              </w:rPr>
              <w:t xml:space="preserve">Eleven specified principles relevant to the operation of the Act, including principles </w:t>
            </w:r>
            <w:r w:rsidRPr="007B5BE6">
              <w:rPr>
                <w:sz w:val="20"/>
                <w:szCs w:val="20"/>
              </w:rPr>
              <w:lastRenderedPageBreak/>
              <w:t xml:space="preserve">regarding approach to safeguarding of least intervention and restriction </w:t>
            </w:r>
          </w:p>
          <w:p w14:paraId="0E6731DF" w14:textId="77777777" w:rsidR="00E7273C" w:rsidRPr="007B5BE6" w:rsidRDefault="00E7273C" w:rsidP="00A17D7A">
            <w:pPr>
              <w:jc w:val="left"/>
              <w:rPr>
                <w:sz w:val="20"/>
                <w:szCs w:val="20"/>
              </w:rPr>
            </w:pPr>
            <w:r w:rsidRPr="007B5BE6">
              <w:rPr>
                <w:sz w:val="20"/>
                <w:szCs w:val="20"/>
              </w:rPr>
              <w:t xml:space="preserve">Establishes and embodies Charter of rights and freedoms of vulnerable adults </w:t>
            </w:r>
          </w:p>
        </w:tc>
        <w:tc>
          <w:tcPr>
            <w:tcW w:w="1470" w:type="dxa"/>
            <w:shd w:val="clear" w:color="auto" w:fill="FFFFFF" w:themeFill="background1"/>
          </w:tcPr>
          <w:p w14:paraId="27F0E7BE" w14:textId="77777777" w:rsidR="00E7273C" w:rsidRPr="007B5BE6" w:rsidRDefault="00E7273C" w:rsidP="00A17D7A">
            <w:pPr>
              <w:jc w:val="left"/>
              <w:rPr>
                <w:sz w:val="20"/>
                <w:szCs w:val="20"/>
              </w:rPr>
            </w:pPr>
            <w:r w:rsidRPr="007B5BE6">
              <w:rPr>
                <w:sz w:val="20"/>
                <w:szCs w:val="20"/>
              </w:rPr>
              <w:lastRenderedPageBreak/>
              <w:t>Applicable to exercise of powers:</w:t>
            </w:r>
          </w:p>
          <w:p w14:paraId="5FF7328C" w14:textId="77777777" w:rsidR="00E7273C" w:rsidRPr="007B5BE6" w:rsidRDefault="00E7273C" w:rsidP="00A17D7A">
            <w:pPr>
              <w:jc w:val="left"/>
              <w:rPr>
                <w:sz w:val="20"/>
                <w:szCs w:val="20"/>
              </w:rPr>
            </w:pPr>
            <w:r w:rsidRPr="007B5BE6">
              <w:rPr>
                <w:sz w:val="20"/>
                <w:szCs w:val="20"/>
              </w:rPr>
              <w:t xml:space="preserve">Regard to wishes of adult </w:t>
            </w:r>
          </w:p>
          <w:p w14:paraId="295B0C7D" w14:textId="1D2C9551" w:rsidR="00E7273C" w:rsidRPr="007B5BE6" w:rsidRDefault="00E7273C" w:rsidP="00A17D7A">
            <w:pPr>
              <w:jc w:val="left"/>
              <w:rPr>
                <w:sz w:val="20"/>
                <w:szCs w:val="20"/>
              </w:rPr>
            </w:pPr>
            <w:r w:rsidRPr="007B5BE6">
              <w:rPr>
                <w:sz w:val="20"/>
                <w:szCs w:val="20"/>
              </w:rPr>
              <w:t>Right to respect for worth and dignity as individuals and to live from abuse, neglect</w:t>
            </w:r>
            <w:r w:rsidR="00D05113">
              <w:rPr>
                <w:sz w:val="20"/>
                <w:szCs w:val="20"/>
              </w:rPr>
              <w:t xml:space="preserve"> </w:t>
            </w:r>
            <w:r w:rsidRPr="007B5BE6">
              <w:rPr>
                <w:sz w:val="20"/>
                <w:szCs w:val="20"/>
              </w:rPr>
              <w:lastRenderedPageBreak/>
              <w:t>and exploitation</w:t>
            </w:r>
          </w:p>
          <w:p w14:paraId="24FAD2E8" w14:textId="77777777" w:rsidR="00E7273C" w:rsidRPr="007B5BE6" w:rsidRDefault="00E7273C" w:rsidP="00A17D7A">
            <w:pPr>
              <w:jc w:val="left"/>
              <w:rPr>
                <w:sz w:val="20"/>
                <w:szCs w:val="20"/>
              </w:rPr>
            </w:pPr>
            <w:r w:rsidRPr="007B5BE6">
              <w:rPr>
                <w:sz w:val="20"/>
                <w:szCs w:val="20"/>
              </w:rPr>
              <w:t xml:space="preserve">Right to privacy and confidentiality  </w:t>
            </w:r>
          </w:p>
          <w:p w14:paraId="4579CA4C" w14:textId="77777777" w:rsidR="00E7273C" w:rsidRPr="007B5BE6" w:rsidRDefault="00E7273C" w:rsidP="00A17D7A">
            <w:pPr>
              <w:jc w:val="left"/>
              <w:rPr>
                <w:sz w:val="20"/>
                <w:szCs w:val="20"/>
              </w:rPr>
            </w:pPr>
            <w:r w:rsidRPr="007B5BE6">
              <w:rPr>
                <w:sz w:val="20"/>
                <w:szCs w:val="20"/>
              </w:rPr>
              <w:t xml:space="preserve">Choice and control in pursuit of goals and over supports </w:t>
            </w:r>
          </w:p>
          <w:p w14:paraId="6C52B267" w14:textId="77777777" w:rsidR="00E7273C" w:rsidRPr="007B5BE6" w:rsidRDefault="00E7273C" w:rsidP="00A17D7A">
            <w:pPr>
              <w:jc w:val="left"/>
              <w:rPr>
                <w:sz w:val="20"/>
                <w:szCs w:val="20"/>
              </w:rPr>
            </w:pPr>
            <w:r w:rsidRPr="007B5BE6">
              <w:rPr>
                <w:sz w:val="20"/>
                <w:szCs w:val="20"/>
              </w:rPr>
              <w:t xml:space="preserve">Right to cultural and linguistic diversity, age, gender, sexual orientation and religious beliefs </w:t>
            </w:r>
          </w:p>
          <w:p w14:paraId="13CF4B95" w14:textId="6C499924" w:rsidR="00E7273C" w:rsidRPr="007B5BE6" w:rsidRDefault="00E7273C" w:rsidP="00906AE6">
            <w:pPr>
              <w:jc w:val="left"/>
              <w:rPr>
                <w:sz w:val="20"/>
                <w:szCs w:val="20"/>
              </w:rPr>
            </w:pPr>
            <w:r w:rsidRPr="007B5BE6">
              <w:rPr>
                <w:sz w:val="20"/>
                <w:szCs w:val="20"/>
              </w:rPr>
              <w:t xml:space="preserve">Preservation of relationships with family, carers and significant others  </w:t>
            </w:r>
          </w:p>
        </w:tc>
        <w:tc>
          <w:tcPr>
            <w:tcW w:w="1683" w:type="dxa"/>
            <w:shd w:val="clear" w:color="auto" w:fill="FFFFFF" w:themeFill="background1"/>
          </w:tcPr>
          <w:p w14:paraId="12935405" w14:textId="77777777" w:rsidR="00E7273C" w:rsidRPr="007B5BE6" w:rsidRDefault="00E7273C" w:rsidP="00A17D7A">
            <w:pPr>
              <w:jc w:val="left"/>
              <w:rPr>
                <w:sz w:val="20"/>
                <w:szCs w:val="20"/>
                <w:u w:val="single"/>
              </w:rPr>
            </w:pPr>
            <w:r w:rsidRPr="007B5BE6">
              <w:rPr>
                <w:sz w:val="20"/>
                <w:szCs w:val="20"/>
                <w:u w:val="single"/>
              </w:rPr>
              <w:lastRenderedPageBreak/>
              <w:t xml:space="preserve">Human Rights Act </w:t>
            </w:r>
          </w:p>
          <w:p w14:paraId="390B02D5" w14:textId="77777777" w:rsidR="00E7273C" w:rsidRPr="007B5BE6" w:rsidRDefault="00E7273C" w:rsidP="00A17D7A">
            <w:pPr>
              <w:jc w:val="left"/>
              <w:rPr>
                <w:sz w:val="20"/>
                <w:szCs w:val="20"/>
              </w:rPr>
            </w:pPr>
            <w:r w:rsidRPr="007B5BE6">
              <w:rPr>
                <w:sz w:val="20"/>
                <w:szCs w:val="20"/>
              </w:rPr>
              <w:t xml:space="preserve">Promote education, advice and information regarding human rights </w:t>
            </w:r>
          </w:p>
          <w:p w14:paraId="76787600" w14:textId="77777777" w:rsidR="00E7273C" w:rsidRPr="007B5BE6" w:rsidRDefault="00E7273C" w:rsidP="00A17D7A">
            <w:pPr>
              <w:jc w:val="left"/>
              <w:rPr>
                <w:sz w:val="20"/>
                <w:szCs w:val="20"/>
              </w:rPr>
            </w:pPr>
            <w:r w:rsidRPr="007B5BE6">
              <w:rPr>
                <w:sz w:val="20"/>
                <w:szCs w:val="20"/>
              </w:rPr>
              <w:t>Identify issues affecting human rights and vulnerable groups</w:t>
            </w:r>
          </w:p>
          <w:p w14:paraId="0653C8ED" w14:textId="77777777" w:rsidR="00E7273C" w:rsidRPr="007B5BE6" w:rsidRDefault="00E7273C" w:rsidP="00A17D7A">
            <w:pPr>
              <w:jc w:val="left"/>
              <w:rPr>
                <w:sz w:val="20"/>
                <w:szCs w:val="20"/>
              </w:rPr>
            </w:pPr>
            <w:r w:rsidRPr="007B5BE6">
              <w:rPr>
                <w:sz w:val="20"/>
                <w:szCs w:val="20"/>
              </w:rPr>
              <w:t xml:space="preserve">Protect children and people with </w:t>
            </w:r>
            <w:r w:rsidRPr="007B5BE6">
              <w:rPr>
                <w:sz w:val="20"/>
                <w:szCs w:val="20"/>
              </w:rPr>
              <w:lastRenderedPageBreak/>
              <w:t xml:space="preserve">disability from abuse and exploitation </w:t>
            </w:r>
          </w:p>
          <w:p w14:paraId="574FE75D" w14:textId="77777777" w:rsidR="00E7273C" w:rsidRPr="007B5BE6" w:rsidRDefault="00E7273C" w:rsidP="00A17D7A">
            <w:pPr>
              <w:jc w:val="left"/>
              <w:rPr>
                <w:sz w:val="20"/>
                <w:szCs w:val="20"/>
                <w:u w:val="single"/>
              </w:rPr>
            </w:pPr>
            <w:r w:rsidRPr="007B5BE6">
              <w:rPr>
                <w:sz w:val="20"/>
                <w:szCs w:val="20"/>
                <w:u w:val="single"/>
              </w:rPr>
              <w:t xml:space="preserve">Guardianship &amp; Management of Property Act </w:t>
            </w:r>
          </w:p>
          <w:p w14:paraId="2F6BCEA0" w14:textId="77777777" w:rsidR="00E7273C" w:rsidRPr="007B5BE6" w:rsidRDefault="00E7273C" w:rsidP="00A17D7A">
            <w:pPr>
              <w:jc w:val="left"/>
              <w:rPr>
                <w:sz w:val="20"/>
                <w:szCs w:val="20"/>
              </w:rPr>
            </w:pPr>
            <w:r w:rsidRPr="007B5BE6">
              <w:rPr>
                <w:sz w:val="20"/>
                <w:szCs w:val="20"/>
              </w:rPr>
              <w:t>Give effect to wishes if possible, and if not, protect wishes</w:t>
            </w:r>
          </w:p>
          <w:p w14:paraId="55E2A2EB" w14:textId="77777777" w:rsidR="00E7273C" w:rsidRPr="007B5BE6" w:rsidRDefault="00E7273C" w:rsidP="00A17D7A">
            <w:pPr>
              <w:jc w:val="left"/>
              <w:rPr>
                <w:sz w:val="20"/>
                <w:szCs w:val="20"/>
              </w:rPr>
            </w:pPr>
            <w:r w:rsidRPr="007B5BE6">
              <w:rPr>
                <w:sz w:val="20"/>
                <w:szCs w:val="20"/>
              </w:rPr>
              <w:t xml:space="preserve">Minimise interference with person’s life </w:t>
            </w:r>
          </w:p>
          <w:p w14:paraId="7291068E" w14:textId="77777777" w:rsidR="00E7273C" w:rsidRPr="007B5BE6" w:rsidRDefault="00E7273C" w:rsidP="00A17D7A">
            <w:pPr>
              <w:jc w:val="left"/>
              <w:rPr>
                <w:sz w:val="20"/>
                <w:szCs w:val="20"/>
              </w:rPr>
            </w:pPr>
            <w:r w:rsidRPr="007B5BE6">
              <w:rPr>
                <w:sz w:val="20"/>
                <w:szCs w:val="20"/>
              </w:rPr>
              <w:t xml:space="preserve">Encouragement to live in community </w:t>
            </w:r>
          </w:p>
          <w:p w14:paraId="40B57916" w14:textId="77777777" w:rsidR="00E7273C" w:rsidRPr="007B5BE6" w:rsidRDefault="00E7273C" w:rsidP="00A17D7A">
            <w:pPr>
              <w:jc w:val="left"/>
              <w:rPr>
                <w:sz w:val="20"/>
                <w:szCs w:val="20"/>
              </w:rPr>
            </w:pPr>
            <w:r w:rsidRPr="007B5BE6">
              <w:rPr>
                <w:sz w:val="20"/>
                <w:szCs w:val="20"/>
              </w:rPr>
              <w:t>Least restrictive powers to substitute decision maker</w:t>
            </w:r>
          </w:p>
        </w:tc>
        <w:tc>
          <w:tcPr>
            <w:tcW w:w="1758" w:type="dxa"/>
            <w:shd w:val="clear" w:color="auto" w:fill="FFFFFF" w:themeFill="background1"/>
          </w:tcPr>
          <w:p w14:paraId="0CF31271" w14:textId="77777777" w:rsidR="00E7273C" w:rsidRPr="007B5BE6" w:rsidRDefault="00E7273C" w:rsidP="00A17D7A">
            <w:pPr>
              <w:jc w:val="left"/>
              <w:rPr>
                <w:sz w:val="20"/>
                <w:szCs w:val="20"/>
                <w:u w:val="single"/>
              </w:rPr>
            </w:pPr>
            <w:r w:rsidRPr="007B5BE6">
              <w:rPr>
                <w:sz w:val="20"/>
                <w:szCs w:val="20"/>
                <w:u w:val="single"/>
              </w:rPr>
              <w:lastRenderedPageBreak/>
              <w:t xml:space="preserve">Both Acts </w:t>
            </w:r>
          </w:p>
          <w:p w14:paraId="64173D89" w14:textId="77777777" w:rsidR="00E7273C" w:rsidRPr="007B5BE6" w:rsidRDefault="00E7273C" w:rsidP="00A17D7A">
            <w:pPr>
              <w:jc w:val="left"/>
              <w:rPr>
                <w:sz w:val="20"/>
                <w:szCs w:val="20"/>
              </w:rPr>
            </w:pPr>
            <w:r w:rsidRPr="007B5BE6">
              <w:rPr>
                <w:sz w:val="20"/>
                <w:szCs w:val="20"/>
              </w:rPr>
              <w:t xml:space="preserve">Presumption of capacity </w:t>
            </w:r>
          </w:p>
          <w:p w14:paraId="6AA08B5B" w14:textId="77777777" w:rsidR="00E7273C" w:rsidRPr="007B5BE6" w:rsidRDefault="00E7273C" w:rsidP="00A17D7A">
            <w:pPr>
              <w:jc w:val="left"/>
              <w:rPr>
                <w:sz w:val="20"/>
                <w:szCs w:val="20"/>
              </w:rPr>
            </w:pPr>
            <w:r w:rsidRPr="007B5BE6">
              <w:rPr>
                <w:sz w:val="20"/>
                <w:szCs w:val="20"/>
              </w:rPr>
              <w:t>Maximum participation in decision making with appropriate support</w:t>
            </w:r>
          </w:p>
          <w:p w14:paraId="2C0F130D" w14:textId="77777777" w:rsidR="00E7273C" w:rsidRPr="007B5BE6" w:rsidRDefault="00E7273C" w:rsidP="00A17D7A">
            <w:pPr>
              <w:jc w:val="left"/>
              <w:rPr>
                <w:sz w:val="20"/>
                <w:szCs w:val="20"/>
              </w:rPr>
            </w:pPr>
            <w:r w:rsidRPr="007B5BE6">
              <w:rPr>
                <w:sz w:val="20"/>
                <w:szCs w:val="20"/>
              </w:rPr>
              <w:t xml:space="preserve">Views and wishes of the person to be considered </w:t>
            </w:r>
          </w:p>
        </w:tc>
        <w:tc>
          <w:tcPr>
            <w:tcW w:w="1843" w:type="dxa"/>
            <w:shd w:val="clear" w:color="auto" w:fill="FFFFFF" w:themeFill="background1"/>
          </w:tcPr>
          <w:p w14:paraId="595AB043" w14:textId="77777777" w:rsidR="00E7273C" w:rsidRPr="007B5BE6" w:rsidRDefault="00E7273C" w:rsidP="00A17D7A">
            <w:pPr>
              <w:jc w:val="left"/>
              <w:rPr>
                <w:sz w:val="20"/>
                <w:szCs w:val="20"/>
              </w:rPr>
            </w:pPr>
            <w:r w:rsidRPr="007B5BE6">
              <w:rPr>
                <w:sz w:val="20"/>
                <w:szCs w:val="20"/>
              </w:rPr>
              <w:t xml:space="preserve">Presumption of decision-making capacity </w:t>
            </w:r>
          </w:p>
          <w:p w14:paraId="0728F2AE" w14:textId="77777777" w:rsidR="00E7273C" w:rsidRPr="007B5BE6" w:rsidRDefault="00E7273C" w:rsidP="00A17D7A">
            <w:pPr>
              <w:jc w:val="left"/>
              <w:rPr>
                <w:sz w:val="20"/>
                <w:szCs w:val="20"/>
              </w:rPr>
            </w:pPr>
            <w:r w:rsidRPr="007B5BE6">
              <w:rPr>
                <w:sz w:val="20"/>
                <w:szCs w:val="20"/>
              </w:rPr>
              <w:t>Broad definition of decision-making capacity</w:t>
            </w:r>
          </w:p>
          <w:p w14:paraId="48F2A5BF" w14:textId="77777777" w:rsidR="00E7273C" w:rsidRPr="007B5BE6" w:rsidRDefault="00E7273C" w:rsidP="00A17D7A">
            <w:pPr>
              <w:jc w:val="left"/>
              <w:rPr>
                <w:sz w:val="20"/>
                <w:szCs w:val="20"/>
              </w:rPr>
            </w:pPr>
            <w:r w:rsidRPr="007B5BE6">
              <w:rPr>
                <w:sz w:val="20"/>
                <w:szCs w:val="20"/>
              </w:rPr>
              <w:t xml:space="preserve">Provision of appropriate and practical support and enable person to participate, express will and </w:t>
            </w:r>
            <w:r w:rsidRPr="007B5BE6">
              <w:rPr>
                <w:sz w:val="20"/>
                <w:szCs w:val="20"/>
              </w:rPr>
              <w:lastRenderedPageBreak/>
              <w:t xml:space="preserve">develop capacity as far as practicable </w:t>
            </w:r>
          </w:p>
          <w:p w14:paraId="1FCD747E" w14:textId="77777777" w:rsidR="00E7273C" w:rsidRPr="007B5BE6" w:rsidRDefault="00E7273C" w:rsidP="00A17D7A">
            <w:pPr>
              <w:jc w:val="left"/>
              <w:rPr>
                <w:sz w:val="20"/>
                <w:szCs w:val="20"/>
              </w:rPr>
            </w:pPr>
            <w:r w:rsidRPr="007B5BE6">
              <w:rPr>
                <w:sz w:val="20"/>
                <w:szCs w:val="20"/>
              </w:rPr>
              <w:t xml:space="preserve">Specific decision-making principles </w:t>
            </w:r>
          </w:p>
        </w:tc>
        <w:tc>
          <w:tcPr>
            <w:tcW w:w="1938" w:type="dxa"/>
            <w:shd w:val="clear" w:color="auto" w:fill="FFFFFF" w:themeFill="background1"/>
          </w:tcPr>
          <w:p w14:paraId="27FAD307" w14:textId="77777777" w:rsidR="00E7273C" w:rsidRPr="007B5BE6" w:rsidRDefault="00E7273C" w:rsidP="00A17D7A">
            <w:pPr>
              <w:jc w:val="left"/>
              <w:rPr>
                <w:sz w:val="20"/>
                <w:szCs w:val="20"/>
              </w:rPr>
            </w:pPr>
            <w:r w:rsidRPr="007B5BE6">
              <w:rPr>
                <w:sz w:val="20"/>
                <w:szCs w:val="20"/>
              </w:rPr>
              <w:lastRenderedPageBreak/>
              <w:t xml:space="preserve">Presumption of capacity to look after own health and safety, make reasonable judgments regarding personal &amp; financial matters until demonstrated the contrary </w:t>
            </w:r>
          </w:p>
          <w:p w14:paraId="5C7E716F" w14:textId="77777777" w:rsidR="00E7273C" w:rsidRPr="007B5BE6" w:rsidRDefault="00E7273C" w:rsidP="00A17D7A">
            <w:pPr>
              <w:jc w:val="left"/>
              <w:rPr>
                <w:sz w:val="20"/>
                <w:szCs w:val="20"/>
              </w:rPr>
            </w:pPr>
            <w:r w:rsidRPr="007B5BE6">
              <w:rPr>
                <w:sz w:val="20"/>
                <w:szCs w:val="20"/>
              </w:rPr>
              <w:t>Bests interests of any person represented</w:t>
            </w:r>
          </w:p>
          <w:p w14:paraId="79D28A82" w14:textId="77777777" w:rsidR="00E7273C" w:rsidRPr="007B5BE6" w:rsidRDefault="00E7273C" w:rsidP="00A17D7A">
            <w:pPr>
              <w:jc w:val="left"/>
              <w:rPr>
                <w:sz w:val="20"/>
                <w:szCs w:val="20"/>
              </w:rPr>
            </w:pPr>
            <w:r w:rsidRPr="007B5BE6">
              <w:rPr>
                <w:sz w:val="20"/>
                <w:szCs w:val="20"/>
              </w:rPr>
              <w:t xml:space="preserve">Imposition of least restriction on </w:t>
            </w:r>
            <w:r w:rsidRPr="007B5BE6">
              <w:rPr>
                <w:sz w:val="20"/>
                <w:szCs w:val="20"/>
              </w:rPr>
              <w:lastRenderedPageBreak/>
              <w:t xml:space="preserve">freedom of decision and action </w:t>
            </w:r>
          </w:p>
          <w:p w14:paraId="1D189F9B" w14:textId="77777777" w:rsidR="00E7273C" w:rsidRPr="007B5BE6" w:rsidRDefault="00E7273C" w:rsidP="00A17D7A">
            <w:pPr>
              <w:jc w:val="left"/>
              <w:rPr>
                <w:sz w:val="20"/>
                <w:szCs w:val="20"/>
              </w:rPr>
            </w:pPr>
            <w:r w:rsidRPr="007B5BE6">
              <w:rPr>
                <w:sz w:val="20"/>
                <w:szCs w:val="20"/>
              </w:rPr>
              <w:t xml:space="preserve">Seek to ascertain views &amp; wishes of person </w:t>
            </w:r>
          </w:p>
          <w:p w14:paraId="54AFB2E2" w14:textId="77777777" w:rsidR="00E7273C" w:rsidRPr="007B5BE6" w:rsidRDefault="00E7273C" w:rsidP="00A17D7A">
            <w:pPr>
              <w:jc w:val="left"/>
              <w:rPr>
                <w:sz w:val="20"/>
                <w:szCs w:val="20"/>
              </w:rPr>
            </w:pPr>
          </w:p>
        </w:tc>
        <w:tc>
          <w:tcPr>
            <w:tcW w:w="1461" w:type="dxa"/>
            <w:shd w:val="clear" w:color="auto" w:fill="FFFFFF" w:themeFill="background1"/>
          </w:tcPr>
          <w:p w14:paraId="736E5D11" w14:textId="77777777" w:rsidR="00E7273C" w:rsidRPr="007B5BE6" w:rsidRDefault="00E7273C" w:rsidP="00A17D7A">
            <w:pPr>
              <w:jc w:val="left"/>
              <w:rPr>
                <w:sz w:val="20"/>
                <w:szCs w:val="20"/>
              </w:rPr>
            </w:pPr>
            <w:r w:rsidRPr="007B5BE6">
              <w:rPr>
                <w:sz w:val="20"/>
                <w:szCs w:val="20"/>
              </w:rPr>
              <w:lastRenderedPageBreak/>
              <w:t xml:space="preserve">Presumption of capacity </w:t>
            </w:r>
          </w:p>
          <w:p w14:paraId="6BF554A0" w14:textId="77777777" w:rsidR="00E7273C" w:rsidRPr="007B5BE6" w:rsidRDefault="00E7273C" w:rsidP="00A17D7A">
            <w:pPr>
              <w:jc w:val="left"/>
              <w:rPr>
                <w:sz w:val="20"/>
                <w:szCs w:val="20"/>
              </w:rPr>
            </w:pPr>
            <w:r w:rsidRPr="007B5BE6">
              <w:rPr>
                <w:sz w:val="20"/>
                <w:szCs w:val="20"/>
              </w:rPr>
              <w:t xml:space="preserve">Best interests </w:t>
            </w:r>
          </w:p>
          <w:p w14:paraId="3DBC7D47" w14:textId="77777777" w:rsidR="00E7273C" w:rsidRPr="007B5BE6" w:rsidRDefault="00E7273C" w:rsidP="00A17D7A">
            <w:pPr>
              <w:jc w:val="left"/>
              <w:rPr>
                <w:sz w:val="20"/>
                <w:szCs w:val="20"/>
              </w:rPr>
            </w:pPr>
            <w:r w:rsidRPr="007B5BE6">
              <w:rPr>
                <w:sz w:val="20"/>
                <w:szCs w:val="20"/>
              </w:rPr>
              <w:t xml:space="preserve">Seek to obtain wishes and views </w:t>
            </w:r>
          </w:p>
          <w:p w14:paraId="031EF014" w14:textId="77777777" w:rsidR="00E7273C" w:rsidRPr="007B5BE6" w:rsidRDefault="00E7273C" w:rsidP="00A17D7A">
            <w:pPr>
              <w:jc w:val="left"/>
              <w:rPr>
                <w:sz w:val="20"/>
                <w:szCs w:val="20"/>
              </w:rPr>
            </w:pPr>
            <w:r w:rsidRPr="007B5BE6">
              <w:rPr>
                <w:sz w:val="20"/>
                <w:szCs w:val="20"/>
              </w:rPr>
              <w:t xml:space="preserve">Least restrictive of freedom of decisions </w:t>
            </w:r>
          </w:p>
          <w:p w14:paraId="54ECD63A" w14:textId="77777777" w:rsidR="00E7273C" w:rsidRPr="007B5BE6" w:rsidRDefault="00E7273C" w:rsidP="00A17D7A">
            <w:pPr>
              <w:jc w:val="left"/>
              <w:rPr>
                <w:sz w:val="20"/>
                <w:szCs w:val="20"/>
              </w:rPr>
            </w:pPr>
            <w:r w:rsidRPr="007B5BE6">
              <w:rPr>
                <w:sz w:val="20"/>
                <w:szCs w:val="20"/>
              </w:rPr>
              <w:lastRenderedPageBreak/>
              <w:t xml:space="preserve">Support to make own decisions </w:t>
            </w:r>
          </w:p>
          <w:p w14:paraId="1CE35A4C" w14:textId="77777777" w:rsidR="00E7273C" w:rsidRPr="007B5BE6" w:rsidRDefault="00E7273C" w:rsidP="00A17D7A">
            <w:pPr>
              <w:jc w:val="left"/>
              <w:rPr>
                <w:sz w:val="20"/>
                <w:szCs w:val="20"/>
              </w:rPr>
            </w:pPr>
            <w:r w:rsidRPr="007B5BE6">
              <w:rPr>
                <w:sz w:val="20"/>
                <w:szCs w:val="20"/>
              </w:rPr>
              <w:t>Protection from harm, neglect, abuse and exploitation</w:t>
            </w:r>
          </w:p>
          <w:p w14:paraId="590BDD51" w14:textId="77777777" w:rsidR="00E7273C" w:rsidRPr="007B5BE6" w:rsidRDefault="00E7273C" w:rsidP="00A17D7A">
            <w:pPr>
              <w:jc w:val="left"/>
              <w:rPr>
                <w:sz w:val="20"/>
                <w:szCs w:val="20"/>
              </w:rPr>
            </w:pPr>
            <w:r w:rsidRPr="007B5BE6">
              <w:rPr>
                <w:sz w:val="20"/>
                <w:szCs w:val="20"/>
              </w:rPr>
              <w:t xml:space="preserve">Dignity, health and wellbeing  </w:t>
            </w:r>
          </w:p>
          <w:p w14:paraId="37363FBF" w14:textId="77777777" w:rsidR="00E7273C" w:rsidRPr="007B5BE6" w:rsidRDefault="00E7273C" w:rsidP="00A17D7A">
            <w:pPr>
              <w:jc w:val="left"/>
              <w:rPr>
                <w:sz w:val="20"/>
                <w:szCs w:val="20"/>
              </w:rPr>
            </w:pPr>
            <w:r w:rsidRPr="007B5BE6">
              <w:rPr>
                <w:sz w:val="20"/>
                <w:szCs w:val="20"/>
              </w:rPr>
              <w:t xml:space="preserve">NCAT bound by guardianship principles </w:t>
            </w:r>
          </w:p>
        </w:tc>
      </w:tr>
      <w:tr w:rsidR="00E7273C" w:rsidRPr="007B5BE6" w14:paraId="5FDF4CEE" w14:textId="77777777" w:rsidTr="00DA4B23">
        <w:tc>
          <w:tcPr>
            <w:tcW w:w="1375" w:type="dxa"/>
            <w:shd w:val="clear" w:color="auto" w:fill="FFFFFF" w:themeFill="background1"/>
          </w:tcPr>
          <w:p w14:paraId="081FEFC8" w14:textId="77777777" w:rsidR="00E7273C" w:rsidRPr="007B5BE6" w:rsidRDefault="00E7273C" w:rsidP="00A17D7A">
            <w:pPr>
              <w:jc w:val="left"/>
              <w:rPr>
                <w:b/>
                <w:bCs/>
                <w:i/>
                <w:iCs/>
                <w:sz w:val="20"/>
                <w:szCs w:val="20"/>
              </w:rPr>
            </w:pPr>
            <w:r w:rsidRPr="007B5BE6">
              <w:rPr>
                <w:b/>
                <w:bCs/>
                <w:i/>
                <w:iCs/>
                <w:sz w:val="20"/>
                <w:szCs w:val="20"/>
              </w:rPr>
              <w:lastRenderedPageBreak/>
              <w:t>Agencies</w:t>
            </w:r>
          </w:p>
        </w:tc>
        <w:tc>
          <w:tcPr>
            <w:tcW w:w="1511" w:type="dxa"/>
            <w:shd w:val="clear" w:color="auto" w:fill="FFFFFF" w:themeFill="background1"/>
          </w:tcPr>
          <w:p w14:paraId="41AC3519" w14:textId="77777777" w:rsidR="00E7273C" w:rsidRPr="007B5BE6" w:rsidRDefault="00E7273C" w:rsidP="00A17D7A">
            <w:pPr>
              <w:jc w:val="left"/>
              <w:rPr>
                <w:sz w:val="20"/>
                <w:szCs w:val="20"/>
              </w:rPr>
            </w:pPr>
            <w:r w:rsidRPr="007B5BE6">
              <w:rPr>
                <w:sz w:val="20"/>
                <w:szCs w:val="20"/>
              </w:rPr>
              <w:t xml:space="preserve">Adult Safeguarding Unit (Office of Ageing Well) </w:t>
            </w:r>
          </w:p>
          <w:p w14:paraId="067DD774" w14:textId="77777777" w:rsidR="00E7273C" w:rsidRPr="007B5BE6" w:rsidRDefault="00E7273C" w:rsidP="00A17D7A">
            <w:pPr>
              <w:jc w:val="left"/>
              <w:rPr>
                <w:sz w:val="20"/>
                <w:szCs w:val="20"/>
              </w:rPr>
            </w:pPr>
          </w:p>
          <w:p w14:paraId="24BF28AD" w14:textId="77777777" w:rsidR="00E7273C" w:rsidRPr="007B5BE6" w:rsidRDefault="00E7273C" w:rsidP="00A17D7A">
            <w:pPr>
              <w:jc w:val="left"/>
              <w:rPr>
                <w:sz w:val="20"/>
                <w:szCs w:val="20"/>
              </w:rPr>
            </w:pPr>
          </w:p>
        </w:tc>
        <w:tc>
          <w:tcPr>
            <w:tcW w:w="1470" w:type="dxa"/>
            <w:shd w:val="clear" w:color="auto" w:fill="FFFFFF" w:themeFill="background1"/>
          </w:tcPr>
          <w:p w14:paraId="54883CC7" w14:textId="77777777" w:rsidR="00E7273C" w:rsidRPr="007B5BE6" w:rsidRDefault="00E7273C" w:rsidP="00A17D7A">
            <w:pPr>
              <w:jc w:val="left"/>
              <w:rPr>
                <w:sz w:val="20"/>
                <w:szCs w:val="20"/>
              </w:rPr>
            </w:pPr>
            <w:r w:rsidRPr="007B5BE6">
              <w:rPr>
                <w:sz w:val="20"/>
                <w:szCs w:val="20"/>
              </w:rPr>
              <w:lastRenderedPageBreak/>
              <w:t xml:space="preserve">Ageing and Disability Commissioner </w:t>
            </w:r>
          </w:p>
          <w:p w14:paraId="09908686" w14:textId="77777777" w:rsidR="00E7273C" w:rsidRPr="007B5BE6" w:rsidRDefault="00E7273C" w:rsidP="00A17D7A">
            <w:pPr>
              <w:jc w:val="left"/>
              <w:rPr>
                <w:sz w:val="20"/>
                <w:szCs w:val="20"/>
              </w:rPr>
            </w:pPr>
          </w:p>
        </w:tc>
        <w:tc>
          <w:tcPr>
            <w:tcW w:w="1683" w:type="dxa"/>
            <w:shd w:val="clear" w:color="auto" w:fill="FFFFFF" w:themeFill="background1"/>
          </w:tcPr>
          <w:p w14:paraId="08856932" w14:textId="77777777" w:rsidR="00E7273C" w:rsidRPr="007B5BE6" w:rsidRDefault="00E7273C" w:rsidP="00A17D7A">
            <w:pPr>
              <w:jc w:val="left"/>
              <w:rPr>
                <w:sz w:val="20"/>
                <w:szCs w:val="20"/>
              </w:rPr>
            </w:pPr>
            <w:r w:rsidRPr="007B5BE6">
              <w:rPr>
                <w:sz w:val="20"/>
                <w:szCs w:val="20"/>
              </w:rPr>
              <w:t xml:space="preserve">ACT Human Rights Commission </w:t>
            </w:r>
          </w:p>
          <w:p w14:paraId="01216495" w14:textId="77777777" w:rsidR="00E7273C" w:rsidRPr="007B5BE6" w:rsidRDefault="00E7273C" w:rsidP="00A17D7A">
            <w:pPr>
              <w:jc w:val="left"/>
              <w:rPr>
                <w:sz w:val="20"/>
                <w:szCs w:val="20"/>
              </w:rPr>
            </w:pPr>
            <w:r w:rsidRPr="007B5BE6">
              <w:rPr>
                <w:sz w:val="20"/>
                <w:szCs w:val="20"/>
              </w:rPr>
              <w:t>Public Advocate</w:t>
            </w:r>
          </w:p>
          <w:p w14:paraId="4D7D974E" w14:textId="643C8649" w:rsidR="00E7273C" w:rsidRPr="007B5BE6" w:rsidRDefault="00E7273C" w:rsidP="00A17D7A">
            <w:pPr>
              <w:jc w:val="left"/>
              <w:rPr>
                <w:sz w:val="20"/>
                <w:szCs w:val="20"/>
              </w:rPr>
            </w:pPr>
            <w:r w:rsidRPr="007B5BE6">
              <w:rPr>
                <w:sz w:val="20"/>
                <w:szCs w:val="20"/>
              </w:rPr>
              <w:lastRenderedPageBreak/>
              <w:t xml:space="preserve">Public Trustee and Guardian  </w:t>
            </w:r>
          </w:p>
        </w:tc>
        <w:tc>
          <w:tcPr>
            <w:tcW w:w="1758" w:type="dxa"/>
            <w:shd w:val="clear" w:color="auto" w:fill="FFFFFF" w:themeFill="background1"/>
          </w:tcPr>
          <w:p w14:paraId="66225E21" w14:textId="77777777" w:rsidR="00E7273C" w:rsidRPr="007B5BE6" w:rsidRDefault="00E7273C" w:rsidP="00A17D7A">
            <w:pPr>
              <w:jc w:val="left"/>
              <w:rPr>
                <w:sz w:val="20"/>
                <w:szCs w:val="20"/>
              </w:rPr>
            </w:pPr>
            <w:r w:rsidRPr="007B5BE6">
              <w:rPr>
                <w:sz w:val="20"/>
                <w:szCs w:val="20"/>
              </w:rPr>
              <w:lastRenderedPageBreak/>
              <w:t>Office of the Public Guardian</w:t>
            </w:r>
          </w:p>
        </w:tc>
        <w:tc>
          <w:tcPr>
            <w:tcW w:w="1843" w:type="dxa"/>
            <w:shd w:val="clear" w:color="auto" w:fill="FFFFFF" w:themeFill="background1"/>
          </w:tcPr>
          <w:p w14:paraId="4F820D2D" w14:textId="77777777" w:rsidR="00E7273C" w:rsidRPr="007B5BE6" w:rsidRDefault="00E7273C" w:rsidP="00A17D7A">
            <w:pPr>
              <w:jc w:val="left"/>
              <w:rPr>
                <w:sz w:val="20"/>
                <w:szCs w:val="20"/>
              </w:rPr>
            </w:pPr>
            <w:r w:rsidRPr="007B5BE6">
              <w:rPr>
                <w:sz w:val="20"/>
                <w:szCs w:val="20"/>
              </w:rPr>
              <w:t xml:space="preserve">Victorian Administration and Civil Tribunal (VCAT) </w:t>
            </w:r>
          </w:p>
          <w:p w14:paraId="4B40547C" w14:textId="77777777" w:rsidR="00E7273C" w:rsidRPr="007B5BE6" w:rsidRDefault="00E7273C" w:rsidP="00A17D7A">
            <w:pPr>
              <w:jc w:val="left"/>
              <w:rPr>
                <w:sz w:val="20"/>
                <w:szCs w:val="20"/>
              </w:rPr>
            </w:pPr>
            <w:r w:rsidRPr="007B5BE6">
              <w:rPr>
                <w:sz w:val="20"/>
                <w:szCs w:val="20"/>
              </w:rPr>
              <w:lastRenderedPageBreak/>
              <w:t xml:space="preserve">Office of Public Advocate  </w:t>
            </w:r>
          </w:p>
        </w:tc>
        <w:tc>
          <w:tcPr>
            <w:tcW w:w="1938" w:type="dxa"/>
            <w:shd w:val="clear" w:color="auto" w:fill="FFFFFF" w:themeFill="background1"/>
          </w:tcPr>
          <w:p w14:paraId="7DF5EA6A" w14:textId="77777777" w:rsidR="00E7273C" w:rsidRPr="007B5BE6" w:rsidRDefault="00E7273C" w:rsidP="00A17D7A">
            <w:pPr>
              <w:jc w:val="left"/>
              <w:rPr>
                <w:sz w:val="20"/>
                <w:szCs w:val="20"/>
              </w:rPr>
            </w:pPr>
            <w:r w:rsidRPr="007B5BE6">
              <w:rPr>
                <w:sz w:val="20"/>
                <w:szCs w:val="20"/>
              </w:rPr>
              <w:lastRenderedPageBreak/>
              <w:t xml:space="preserve">State Administrative Tribunal (SAT) </w:t>
            </w:r>
          </w:p>
          <w:p w14:paraId="5E2EEEC0" w14:textId="77777777" w:rsidR="00E7273C" w:rsidRPr="007B5BE6" w:rsidRDefault="00E7273C" w:rsidP="00A17D7A">
            <w:pPr>
              <w:jc w:val="left"/>
              <w:rPr>
                <w:sz w:val="20"/>
                <w:szCs w:val="20"/>
              </w:rPr>
            </w:pPr>
            <w:r w:rsidRPr="007B5BE6">
              <w:rPr>
                <w:sz w:val="20"/>
                <w:szCs w:val="20"/>
              </w:rPr>
              <w:t xml:space="preserve">Office of Public Advocate  </w:t>
            </w:r>
          </w:p>
        </w:tc>
        <w:tc>
          <w:tcPr>
            <w:tcW w:w="1461" w:type="dxa"/>
            <w:shd w:val="clear" w:color="auto" w:fill="FFFFFF" w:themeFill="background1"/>
          </w:tcPr>
          <w:p w14:paraId="498A1A89" w14:textId="77777777" w:rsidR="00E7273C" w:rsidRPr="007B5BE6" w:rsidRDefault="00E7273C" w:rsidP="00A17D7A">
            <w:pPr>
              <w:jc w:val="left"/>
              <w:rPr>
                <w:sz w:val="20"/>
                <w:szCs w:val="20"/>
              </w:rPr>
            </w:pPr>
            <w:r w:rsidRPr="007B5BE6">
              <w:rPr>
                <w:sz w:val="20"/>
                <w:szCs w:val="20"/>
              </w:rPr>
              <w:t>Civil and Administrative Tribunal (NCAT)</w:t>
            </w:r>
          </w:p>
          <w:p w14:paraId="5228CAFE" w14:textId="77777777" w:rsidR="00E7273C" w:rsidRPr="007B5BE6" w:rsidRDefault="00E7273C" w:rsidP="00A17D7A">
            <w:pPr>
              <w:jc w:val="left"/>
              <w:rPr>
                <w:sz w:val="20"/>
                <w:szCs w:val="20"/>
              </w:rPr>
            </w:pPr>
          </w:p>
          <w:p w14:paraId="02004838" w14:textId="77777777" w:rsidR="00E7273C" w:rsidRPr="007B5BE6" w:rsidRDefault="00E7273C" w:rsidP="00A17D7A">
            <w:pPr>
              <w:jc w:val="left"/>
              <w:rPr>
                <w:sz w:val="20"/>
                <w:szCs w:val="20"/>
              </w:rPr>
            </w:pPr>
            <w:r w:rsidRPr="007B5BE6">
              <w:rPr>
                <w:sz w:val="20"/>
                <w:szCs w:val="20"/>
              </w:rPr>
              <w:t xml:space="preserve">Public Guardian  </w:t>
            </w:r>
          </w:p>
        </w:tc>
      </w:tr>
      <w:tr w:rsidR="00E7273C" w:rsidRPr="007B5BE6" w14:paraId="1E59BFE4" w14:textId="77777777" w:rsidTr="00DA4B23">
        <w:tc>
          <w:tcPr>
            <w:tcW w:w="1375" w:type="dxa"/>
            <w:shd w:val="clear" w:color="auto" w:fill="FFFFFF" w:themeFill="background1"/>
          </w:tcPr>
          <w:p w14:paraId="14973656" w14:textId="77777777" w:rsidR="00E7273C" w:rsidRPr="007B5BE6" w:rsidRDefault="00E7273C" w:rsidP="00A17D7A">
            <w:pPr>
              <w:jc w:val="left"/>
              <w:rPr>
                <w:b/>
                <w:bCs/>
                <w:i/>
                <w:iCs/>
                <w:sz w:val="20"/>
                <w:szCs w:val="20"/>
              </w:rPr>
            </w:pPr>
            <w:r w:rsidRPr="007B5BE6">
              <w:rPr>
                <w:b/>
                <w:bCs/>
                <w:i/>
                <w:iCs/>
                <w:sz w:val="20"/>
                <w:szCs w:val="20"/>
              </w:rPr>
              <w:lastRenderedPageBreak/>
              <w:t xml:space="preserve">Powers and functions </w:t>
            </w:r>
          </w:p>
        </w:tc>
        <w:tc>
          <w:tcPr>
            <w:tcW w:w="1511" w:type="dxa"/>
            <w:shd w:val="clear" w:color="auto" w:fill="FFFFFF" w:themeFill="background1"/>
          </w:tcPr>
          <w:p w14:paraId="11E91D27" w14:textId="77777777" w:rsidR="00E7273C" w:rsidRPr="007B5BE6" w:rsidRDefault="00E7273C" w:rsidP="00A17D7A">
            <w:pPr>
              <w:jc w:val="left"/>
              <w:rPr>
                <w:sz w:val="20"/>
                <w:szCs w:val="20"/>
              </w:rPr>
            </w:pPr>
            <w:r w:rsidRPr="007B5BE6">
              <w:rPr>
                <w:sz w:val="20"/>
                <w:szCs w:val="20"/>
              </w:rPr>
              <w:t xml:space="preserve">Promote and advocate for rights and interests </w:t>
            </w:r>
          </w:p>
          <w:p w14:paraId="37102D4C" w14:textId="5449D092" w:rsidR="00E7273C" w:rsidRPr="007B5BE6" w:rsidRDefault="00E7273C" w:rsidP="00A17D7A">
            <w:pPr>
              <w:jc w:val="left"/>
              <w:rPr>
                <w:sz w:val="20"/>
                <w:szCs w:val="20"/>
              </w:rPr>
            </w:pPr>
            <w:r w:rsidRPr="007B5BE6">
              <w:rPr>
                <w:sz w:val="20"/>
                <w:szCs w:val="20"/>
              </w:rPr>
              <w:t>Promote participation in decision</w:t>
            </w:r>
            <w:r w:rsidR="008773C2" w:rsidRPr="007B5BE6">
              <w:rPr>
                <w:sz w:val="20"/>
                <w:szCs w:val="20"/>
              </w:rPr>
              <w:t xml:space="preserve"> </w:t>
            </w:r>
            <w:r w:rsidRPr="007B5BE6">
              <w:rPr>
                <w:sz w:val="20"/>
                <w:szCs w:val="20"/>
              </w:rPr>
              <w:t xml:space="preserve">making and in the development of coordinated prevention and early intervention strategies </w:t>
            </w:r>
          </w:p>
          <w:p w14:paraId="02A68512" w14:textId="77777777" w:rsidR="00E7273C" w:rsidRPr="007B5BE6" w:rsidRDefault="00E7273C" w:rsidP="00A17D7A">
            <w:pPr>
              <w:jc w:val="left"/>
              <w:rPr>
                <w:sz w:val="20"/>
                <w:szCs w:val="20"/>
              </w:rPr>
            </w:pPr>
            <w:r w:rsidRPr="007B5BE6">
              <w:rPr>
                <w:sz w:val="20"/>
                <w:szCs w:val="20"/>
              </w:rPr>
              <w:t xml:space="preserve">Receive, assess and investigate reports of suspected abuse </w:t>
            </w:r>
          </w:p>
          <w:p w14:paraId="494BA974" w14:textId="77777777" w:rsidR="00E7273C" w:rsidRPr="007B5BE6" w:rsidRDefault="00E7273C" w:rsidP="00A17D7A">
            <w:pPr>
              <w:jc w:val="left"/>
              <w:rPr>
                <w:sz w:val="20"/>
                <w:szCs w:val="20"/>
              </w:rPr>
            </w:pPr>
            <w:r w:rsidRPr="007B5BE6">
              <w:rPr>
                <w:sz w:val="20"/>
                <w:szCs w:val="20"/>
              </w:rPr>
              <w:t xml:space="preserve">Coordinate responses and make referrals and follow up on responses </w:t>
            </w:r>
          </w:p>
          <w:p w14:paraId="70986BCE" w14:textId="2BED6D6E" w:rsidR="00E7273C" w:rsidRPr="007B5BE6" w:rsidRDefault="00E7273C" w:rsidP="00A17D7A">
            <w:pPr>
              <w:jc w:val="left"/>
              <w:rPr>
                <w:sz w:val="20"/>
                <w:szCs w:val="20"/>
              </w:rPr>
            </w:pPr>
            <w:r w:rsidRPr="007B5BE6">
              <w:rPr>
                <w:sz w:val="20"/>
                <w:szCs w:val="20"/>
              </w:rPr>
              <w:t xml:space="preserve">Collate data and advise / </w:t>
            </w:r>
            <w:r w:rsidRPr="007B5BE6">
              <w:rPr>
                <w:sz w:val="20"/>
                <w:szCs w:val="20"/>
              </w:rPr>
              <w:lastRenderedPageBreak/>
              <w:t xml:space="preserve">publish reports on systemic issues </w:t>
            </w:r>
          </w:p>
        </w:tc>
        <w:tc>
          <w:tcPr>
            <w:tcW w:w="1470" w:type="dxa"/>
            <w:shd w:val="clear" w:color="auto" w:fill="FFFFFF" w:themeFill="background1"/>
          </w:tcPr>
          <w:p w14:paraId="226CB25A" w14:textId="77777777" w:rsidR="00E7273C" w:rsidRPr="007B5BE6" w:rsidRDefault="00E7273C" w:rsidP="00A17D7A">
            <w:pPr>
              <w:jc w:val="left"/>
              <w:rPr>
                <w:sz w:val="20"/>
                <w:szCs w:val="20"/>
              </w:rPr>
            </w:pPr>
            <w:r w:rsidRPr="007B5BE6">
              <w:rPr>
                <w:sz w:val="20"/>
                <w:szCs w:val="20"/>
              </w:rPr>
              <w:lastRenderedPageBreak/>
              <w:t xml:space="preserve">Deal with abuse allegations, including investigation and acting </w:t>
            </w:r>
          </w:p>
          <w:p w14:paraId="3F02EB8E" w14:textId="77777777" w:rsidR="00E7273C" w:rsidRPr="007B5BE6" w:rsidRDefault="00E7273C" w:rsidP="00A17D7A">
            <w:pPr>
              <w:jc w:val="left"/>
              <w:rPr>
                <w:sz w:val="20"/>
                <w:szCs w:val="20"/>
              </w:rPr>
            </w:pPr>
            <w:r w:rsidRPr="007B5BE6">
              <w:rPr>
                <w:sz w:val="20"/>
                <w:szCs w:val="20"/>
              </w:rPr>
              <w:t xml:space="preserve">Advise and assist public regarding abuse </w:t>
            </w:r>
          </w:p>
          <w:p w14:paraId="6E137DA6" w14:textId="77777777" w:rsidR="00E7273C" w:rsidRPr="007B5BE6" w:rsidRDefault="00E7273C" w:rsidP="00A17D7A">
            <w:pPr>
              <w:jc w:val="left"/>
              <w:rPr>
                <w:sz w:val="20"/>
                <w:szCs w:val="20"/>
              </w:rPr>
            </w:pPr>
            <w:r w:rsidRPr="007B5BE6">
              <w:rPr>
                <w:sz w:val="20"/>
                <w:szCs w:val="20"/>
              </w:rPr>
              <w:t xml:space="preserve">Raise education and awareness and educate public </w:t>
            </w:r>
          </w:p>
          <w:p w14:paraId="7CC84C0D" w14:textId="77777777" w:rsidR="00E7273C" w:rsidRPr="007B5BE6" w:rsidRDefault="00E7273C" w:rsidP="00A17D7A">
            <w:pPr>
              <w:jc w:val="left"/>
              <w:rPr>
                <w:sz w:val="20"/>
                <w:szCs w:val="20"/>
              </w:rPr>
            </w:pPr>
            <w:r w:rsidRPr="007B5BE6">
              <w:rPr>
                <w:sz w:val="20"/>
                <w:szCs w:val="20"/>
              </w:rPr>
              <w:t xml:space="preserve">Identify and inquire into systemic issues and report to / recommend to government </w:t>
            </w:r>
          </w:p>
        </w:tc>
        <w:tc>
          <w:tcPr>
            <w:tcW w:w="1683" w:type="dxa"/>
            <w:shd w:val="clear" w:color="auto" w:fill="FFFFFF" w:themeFill="background1"/>
          </w:tcPr>
          <w:p w14:paraId="2B1A8D94" w14:textId="77777777" w:rsidR="00E7273C" w:rsidRPr="007B5BE6" w:rsidRDefault="00E7273C" w:rsidP="00A17D7A">
            <w:pPr>
              <w:jc w:val="left"/>
              <w:rPr>
                <w:sz w:val="20"/>
                <w:szCs w:val="20"/>
                <w:u w:val="single"/>
              </w:rPr>
            </w:pPr>
            <w:r w:rsidRPr="007B5BE6">
              <w:rPr>
                <w:sz w:val="20"/>
                <w:szCs w:val="20"/>
                <w:u w:val="single"/>
              </w:rPr>
              <w:t xml:space="preserve">ACT Human Rights Commission </w:t>
            </w:r>
          </w:p>
          <w:p w14:paraId="34B62E2C" w14:textId="77777777" w:rsidR="00E7273C" w:rsidRPr="007B5BE6" w:rsidRDefault="00E7273C" w:rsidP="00A17D7A">
            <w:pPr>
              <w:jc w:val="left"/>
              <w:rPr>
                <w:sz w:val="20"/>
                <w:szCs w:val="20"/>
              </w:rPr>
            </w:pPr>
            <w:r w:rsidRPr="007B5BE6">
              <w:rPr>
                <w:sz w:val="20"/>
                <w:szCs w:val="20"/>
              </w:rPr>
              <w:t xml:space="preserve">Receive complaints regarding services for groups specified in Act </w:t>
            </w:r>
          </w:p>
          <w:p w14:paraId="4C162BCB" w14:textId="77777777" w:rsidR="00E7273C" w:rsidRPr="007B5BE6" w:rsidRDefault="00E7273C" w:rsidP="00A17D7A">
            <w:pPr>
              <w:jc w:val="left"/>
              <w:rPr>
                <w:sz w:val="20"/>
                <w:szCs w:val="20"/>
              </w:rPr>
            </w:pPr>
            <w:r w:rsidRPr="007B5BE6">
              <w:rPr>
                <w:sz w:val="20"/>
                <w:szCs w:val="20"/>
              </w:rPr>
              <w:t xml:space="preserve">Complaints handling procedure </w:t>
            </w:r>
          </w:p>
          <w:p w14:paraId="099AF479" w14:textId="77777777" w:rsidR="00E7273C" w:rsidRPr="007B5BE6" w:rsidRDefault="00E7273C" w:rsidP="00A17D7A">
            <w:pPr>
              <w:jc w:val="left"/>
              <w:rPr>
                <w:sz w:val="20"/>
                <w:szCs w:val="20"/>
                <w:u w:val="single"/>
              </w:rPr>
            </w:pPr>
            <w:r w:rsidRPr="007B5BE6">
              <w:rPr>
                <w:sz w:val="20"/>
                <w:szCs w:val="20"/>
                <w:u w:val="single"/>
              </w:rPr>
              <w:t xml:space="preserve">Public Advocate </w:t>
            </w:r>
          </w:p>
          <w:p w14:paraId="18A184C0" w14:textId="77777777" w:rsidR="00E7273C" w:rsidRPr="007B5BE6" w:rsidRDefault="00E7273C" w:rsidP="00A17D7A">
            <w:pPr>
              <w:jc w:val="left"/>
              <w:rPr>
                <w:sz w:val="20"/>
                <w:szCs w:val="20"/>
              </w:rPr>
            </w:pPr>
            <w:r w:rsidRPr="007B5BE6">
              <w:rPr>
                <w:sz w:val="20"/>
                <w:szCs w:val="20"/>
              </w:rPr>
              <w:t xml:space="preserve">Advocacy for rights </w:t>
            </w:r>
          </w:p>
          <w:p w14:paraId="076E7579" w14:textId="77777777" w:rsidR="00E7273C" w:rsidRPr="007B5BE6" w:rsidRDefault="00E7273C" w:rsidP="00A17D7A">
            <w:pPr>
              <w:jc w:val="left"/>
              <w:rPr>
                <w:sz w:val="20"/>
                <w:szCs w:val="20"/>
              </w:rPr>
            </w:pPr>
            <w:r w:rsidRPr="007B5BE6">
              <w:rPr>
                <w:sz w:val="20"/>
                <w:szCs w:val="20"/>
              </w:rPr>
              <w:t xml:space="preserve">Promote protection </w:t>
            </w:r>
          </w:p>
          <w:p w14:paraId="339D4D84" w14:textId="77777777" w:rsidR="00E7273C" w:rsidRPr="007B5BE6" w:rsidRDefault="00E7273C" w:rsidP="00A17D7A">
            <w:pPr>
              <w:jc w:val="left"/>
              <w:rPr>
                <w:sz w:val="20"/>
                <w:szCs w:val="20"/>
              </w:rPr>
            </w:pPr>
            <w:r w:rsidRPr="007B5BE6">
              <w:rPr>
                <w:sz w:val="20"/>
                <w:szCs w:val="20"/>
              </w:rPr>
              <w:t xml:space="preserve">Investigate matters relating to these functions </w:t>
            </w:r>
          </w:p>
          <w:p w14:paraId="34B3A163" w14:textId="77777777" w:rsidR="00E7273C" w:rsidRPr="007B5BE6" w:rsidRDefault="00E7273C" w:rsidP="00A17D7A">
            <w:pPr>
              <w:jc w:val="left"/>
              <w:rPr>
                <w:sz w:val="20"/>
                <w:szCs w:val="20"/>
                <w:u w:val="single"/>
              </w:rPr>
            </w:pPr>
            <w:r w:rsidRPr="007B5BE6">
              <w:rPr>
                <w:sz w:val="20"/>
                <w:szCs w:val="20"/>
                <w:u w:val="single"/>
              </w:rPr>
              <w:t xml:space="preserve">Public Trustee and Guardian  </w:t>
            </w:r>
          </w:p>
          <w:p w14:paraId="6A432409" w14:textId="77777777" w:rsidR="00E7273C" w:rsidRPr="007B5BE6" w:rsidRDefault="00E7273C" w:rsidP="00A17D7A">
            <w:pPr>
              <w:jc w:val="left"/>
              <w:rPr>
                <w:sz w:val="20"/>
                <w:szCs w:val="20"/>
              </w:rPr>
            </w:pPr>
          </w:p>
        </w:tc>
        <w:tc>
          <w:tcPr>
            <w:tcW w:w="1758" w:type="dxa"/>
            <w:shd w:val="clear" w:color="auto" w:fill="FFFFFF" w:themeFill="background1"/>
          </w:tcPr>
          <w:p w14:paraId="2CCA5BA4" w14:textId="77777777" w:rsidR="00E7273C" w:rsidRPr="007B5BE6" w:rsidRDefault="00E7273C" w:rsidP="00A17D7A">
            <w:pPr>
              <w:jc w:val="left"/>
              <w:rPr>
                <w:sz w:val="20"/>
                <w:szCs w:val="20"/>
              </w:rPr>
            </w:pPr>
            <w:r w:rsidRPr="007B5BE6">
              <w:rPr>
                <w:sz w:val="20"/>
                <w:szCs w:val="20"/>
              </w:rPr>
              <w:lastRenderedPageBreak/>
              <w:t xml:space="preserve">Protect from neglect, exploitation or abuse </w:t>
            </w:r>
          </w:p>
          <w:p w14:paraId="6A2A6B68" w14:textId="77777777" w:rsidR="00E7273C" w:rsidRPr="007B5BE6" w:rsidRDefault="00E7273C" w:rsidP="00A17D7A">
            <w:pPr>
              <w:jc w:val="left"/>
              <w:rPr>
                <w:sz w:val="20"/>
                <w:szCs w:val="20"/>
              </w:rPr>
            </w:pPr>
            <w:r w:rsidRPr="007B5BE6">
              <w:rPr>
                <w:sz w:val="20"/>
                <w:szCs w:val="20"/>
              </w:rPr>
              <w:t xml:space="preserve">Provide community visitors program </w:t>
            </w:r>
          </w:p>
          <w:p w14:paraId="786763E6" w14:textId="77777777" w:rsidR="00E7273C" w:rsidRPr="007B5BE6" w:rsidRDefault="00E7273C" w:rsidP="00A17D7A">
            <w:pPr>
              <w:jc w:val="left"/>
              <w:rPr>
                <w:sz w:val="20"/>
                <w:szCs w:val="20"/>
              </w:rPr>
            </w:pPr>
            <w:r w:rsidRPr="007B5BE6">
              <w:rPr>
                <w:sz w:val="20"/>
                <w:szCs w:val="20"/>
              </w:rPr>
              <w:t xml:space="preserve">Investigate complaints regarding power of attorney and others  </w:t>
            </w:r>
          </w:p>
          <w:p w14:paraId="317056B5" w14:textId="77777777" w:rsidR="00E7273C" w:rsidRPr="007B5BE6" w:rsidRDefault="00E7273C" w:rsidP="00A17D7A">
            <w:pPr>
              <w:jc w:val="left"/>
              <w:rPr>
                <w:sz w:val="20"/>
                <w:szCs w:val="20"/>
              </w:rPr>
            </w:pPr>
            <w:r w:rsidRPr="007B5BE6">
              <w:rPr>
                <w:sz w:val="20"/>
                <w:szCs w:val="20"/>
              </w:rPr>
              <w:t xml:space="preserve">Mediation between attorneys, guardians </w:t>
            </w:r>
          </w:p>
          <w:p w14:paraId="3DBB23D0" w14:textId="77777777" w:rsidR="00E7273C" w:rsidRPr="007B5BE6" w:rsidRDefault="00E7273C" w:rsidP="00A17D7A">
            <w:pPr>
              <w:jc w:val="left"/>
              <w:rPr>
                <w:sz w:val="20"/>
                <w:szCs w:val="20"/>
              </w:rPr>
            </w:pPr>
            <w:r w:rsidRPr="007B5BE6">
              <w:rPr>
                <w:sz w:val="20"/>
                <w:szCs w:val="20"/>
              </w:rPr>
              <w:t xml:space="preserve">Acts as guardian or attorney </w:t>
            </w:r>
          </w:p>
          <w:p w14:paraId="4F59B608" w14:textId="2ED34B7B" w:rsidR="00E7273C" w:rsidRPr="007B5BE6" w:rsidRDefault="00E7273C" w:rsidP="00A17D7A">
            <w:pPr>
              <w:jc w:val="left"/>
              <w:rPr>
                <w:sz w:val="20"/>
                <w:szCs w:val="20"/>
              </w:rPr>
            </w:pPr>
            <w:r w:rsidRPr="007B5BE6">
              <w:rPr>
                <w:sz w:val="20"/>
                <w:szCs w:val="20"/>
              </w:rPr>
              <w:t>Support</w:t>
            </w:r>
            <w:r w:rsidR="00C04407" w:rsidRPr="007B5BE6">
              <w:rPr>
                <w:sz w:val="20"/>
                <w:szCs w:val="20"/>
              </w:rPr>
              <w:t>ed</w:t>
            </w:r>
            <w:r w:rsidRPr="007B5BE6">
              <w:rPr>
                <w:sz w:val="20"/>
                <w:szCs w:val="20"/>
              </w:rPr>
              <w:t xml:space="preserve"> decision</w:t>
            </w:r>
            <w:r w:rsidR="00C04407" w:rsidRPr="007B5BE6">
              <w:rPr>
                <w:sz w:val="20"/>
                <w:szCs w:val="20"/>
              </w:rPr>
              <w:t>-</w:t>
            </w:r>
            <w:r w:rsidRPr="007B5BE6">
              <w:rPr>
                <w:sz w:val="20"/>
                <w:szCs w:val="20"/>
              </w:rPr>
              <w:t>making framework</w:t>
            </w:r>
          </w:p>
          <w:p w14:paraId="3FA93815" w14:textId="77777777" w:rsidR="00E7273C" w:rsidRPr="007B5BE6" w:rsidRDefault="00E7273C" w:rsidP="00A17D7A">
            <w:pPr>
              <w:jc w:val="left"/>
              <w:rPr>
                <w:sz w:val="20"/>
                <w:szCs w:val="20"/>
              </w:rPr>
            </w:pPr>
          </w:p>
        </w:tc>
        <w:tc>
          <w:tcPr>
            <w:tcW w:w="1843" w:type="dxa"/>
            <w:shd w:val="clear" w:color="auto" w:fill="FFFFFF" w:themeFill="background1"/>
          </w:tcPr>
          <w:p w14:paraId="59D95C0A" w14:textId="77777777" w:rsidR="00E7273C" w:rsidRPr="007B5BE6" w:rsidRDefault="00E7273C" w:rsidP="00A17D7A">
            <w:pPr>
              <w:jc w:val="left"/>
              <w:rPr>
                <w:sz w:val="20"/>
                <w:szCs w:val="20"/>
                <w:u w:val="single"/>
              </w:rPr>
            </w:pPr>
            <w:r w:rsidRPr="007B5BE6">
              <w:rPr>
                <w:sz w:val="20"/>
                <w:szCs w:val="20"/>
                <w:u w:val="single"/>
              </w:rPr>
              <w:t>VCAT</w:t>
            </w:r>
          </w:p>
          <w:p w14:paraId="02ACC061" w14:textId="77777777" w:rsidR="00E7273C" w:rsidRPr="007B5BE6" w:rsidRDefault="00E7273C" w:rsidP="00A17D7A">
            <w:pPr>
              <w:jc w:val="left"/>
              <w:rPr>
                <w:sz w:val="20"/>
                <w:szCs w:val="20"/>
              </w:rPr>
            </w:pPr>
            <w:r w:rsidRPr="007B5BE6">
              <w:rPr>
                <w:sz w:val="20"/>
                <w:szCs w:val="20"/>
              </w:rPr>
              <w:t xml:space="preserve">Make guardianship &amp; administration orders and other orders (supported guardian or administrative orders) </w:t>
            </w:r>
          </w:p>
          <w:p w14:paraId="385D0D6C" w14:textId="77777777" w:rsidR="00E7273C" w:rsidRPr="007B5BE6" w:rsidRDefault="00E7273C" w:rsidP="00A17D7A">
            <w:pPr>
              <w:jc w:val="left"/>
              <w:rPr>
                <w:sz w:val="20"/>
                <w:szCs w:val="20"/>
              </w:rPr>
            </w:pPr>
          </w:p>
          <w:p w14:paraId="64D8CD50" w14:textId="77777777" w:rsidR="00E7273C" w:rsidRPr="007B5BE6" w:rsidRDefault="00E7273C" w:rsidP="00A17D7A">
            <w:pPr>
              <w:jc w:val="left"/>
              <w:rPr>
                <w:sz w:val="20"/>
                <w:szCs w:val="20"/>
                <w:u w:val="single"/>
              </w:rPr>
            </w:pPr>
            <w:r w:rsidRPr="007B5BE6">
              <w:rPr>
                <w:sz w:val="20"/>
                <w:szCs w:val="20"/>
                <w:u w:val="single"/>
              </w:rPr>
              <w:t xml:space="preserve">Office of Public Advocate  </w:t>
            </w:r>
          </w:p>
          <w:p w14:paraId="6C49682D" w14:textId="77777777" w:rsidR="00E7273C" w:rsidRPr="007B5BE6" w:rsidRDefault="00E7273C" w:rsidP="00A17D7A">
            <w:pPr>
              <w:jc w:val="left"/>
              <w:rPr>
                <w:sz w:val="20"/>
                <w:szCs w:val="20"/>
              </w:rPr>
            </w:pPr>
            <w:r w:rsidRPr="007B5BE6">
              <w:rPr>
                <w:sz w:val="20"/>
                <w:szCs w:val="20"/>
              </w:rPr>
              <w:t xml:space="preserve">Promote human rights and ability to act independently </w:t>
            </w:r>
          </w:p>
          <w:p w14:paraId="572E78B0" w14:textId="77777777" w:rsidR="00E7273C" w:rsidRPr="007B5BE6" w:rsidRDefault="00E7273C" w:rsidP="00A17D7A">
            <w:pPr>
              <w:jc w:val="left"/>
              <w:rPr>
                <w:sz w:val="20"/>
                <w:szCs w:val="20"/>
              </w:rPr>
            </w:pPr>
            <w:r w:rsidRPr="007B5BE6">
              <w:rPr>
                <w:sz w:val="20"/>
                <w:szCs w:val="20"/>
              </w:rPr>
              <w:t xml:space="preserve">Advocate for human rights and interests </w:t>
            </w:r>
          </w:p>
          <w:p w14:paraId="2CD8D8F9" w14:textId="77777777" w:rsidR="00E7273C" w:rsidRPr="007B5BE6" w:rsidRDefault="00E7273C" w:rsidP="00A17D7A">
            <w:pPr>
              <w:jc w:val="left"/>
              <w:rPr>
                <w:sz w:val="20"/>
                <w:szCs w:val="20"/>
              </w:rPr>
            </w:pPr>
            <w:r w:rsidRPr="007B5BE6">
              <w:rPr>
                <w:sz w:val="20"/>
                <w:szCs w:val="20"/>
              </w:rPr>
              <w:t xml:space="preserve">Investigate, provide information and advice </w:t>
            </w:r>
          </w:p>
          <w:p w14:paraId="1608848D" w14:textId="77777777" w:rsidR="00E7273C" w:rsidRPr="007B5BE6" w:rsidRDefault="00E7273C" w:rsidP="00A17D7A">
            <w:pPr>
              <w:jc w:val="left"/>
              <w:rPr>
                <w:sz w:val="20"/>
                <w:szCs w:val="20"/>
              </w:rPr>
            </w:pPr>
            <w:r w:rsidRPr="007B5BE6">
              <w:rPr>
                <w:sz w:val="20"/>
                <w:szCs w:val="20"/>
              </w:rPr>
              <w:t xml:space="preserve">Require provision of information in </w:t>
            </w:r>
            <w:r w:rsidRPr="007B5BE6">
              <w:rPr>
                <w:sz w:val="20"/>
                <w:szCs w:val="20"/>
              </w:rPr>
              <w:lastRenderedPageBreak/>
              <w:t xml:space="preserve">investigation process </w:t>
            </w:r>
          </w:p>
        </w:tc>
        <w:tc>
          <w:tcPr>
            <w:tcW w:w="1938" w:type="dxa"/>
            <w:shd w:val="clear" w:color="auto" w:fill="FFFFFF" w:themeFill="background1"/>
          </w:tcPr>
          <w:p w14:paraId="5FD1E29F" w14:textId="77777777" w:rsidR="00E7273C" w:rsidRPr="007B5BE6" w:rsidRDefault="00E7273C" w:rsidP="00A17D7A">
            <w:pPr>
              <w:jc w:val="left"/>
              <w:rPr>
                <w:sz w:val="20"/>
                <w:szCs w:val="20"/>
                <w:u w:val="single"/>
              </w:rPr>
            </w:pPr>
            <w:r w:rsidRPr="007B5BE6">
              <w:rPr>
                <w:sz w:val="20"/>
                <w:szCs w:val="20"/>
                <w:u w:val="single"/>
              </w:rPr>
              <w:lastRenderedPageBreak/>
              <w:t xml:space="preserve">Office of Public Advocate </w:t>
            </w:r>
          </w:p>
          <w:p w14:paraId="11EFDFF5" w14:textId="77777777" w:rsidR="00E7273C" w:rsidRPr="007B5BE6" w:rsidRDefault="00E7273C" w:rsidP="00A17D7A">
            <w:pPr>
              <w:jc w:val="left"/>
              <w:rPr>
                <w:sz w:val="20"/>
                <w:szCs w:val="20"/>
              </w:rPr>
            </w:pPr>
            <w:r w:rsidRPr="007B5BE6">
              <w:rPr>
                <w:sz w:val="20"/>
                <w:szCs w:val="20"/>
              </w:rPr>
              <w:t xml:space="preserve">Investigate any complaint or allegation that person may be in need of guardian and report to SAT </w:t>
            </w:r>
          </w:p>
          <w:p w14:paraId="3A6F6696" w14:textId="77777777" w:rsidR="00E7273C" w:rsidRPr="007B5BE6" w:rsidRDefault="00E7273C" w:rsidP="00A17D7A">
            <w:pPr>
              <w:jc w:val="left"/>
              <w:rPr>
                <w:sz w:val="20"/>
                <w:szCs w:val="20"/>
              </w:rPr>
            </w:pPr>
            <w:r w:rsidRPr="007B5BE6">
              <w:rPr>
                <w:sz w:val="20"/>
                <w:szCs w:val="20"/>
              </w:rPr>
              <w:t xml:space="preserve">Request assistance from other agencies </w:t>
            </w:r>
          </w:p>
          <w:p w14:paraId="5EBF6540" w14:textId="77777777" w:rsidR="00E7273C" w:rsidRPr="007B5BE6" w:rsidRDefault="00E7273C" w:rsidP="00A17D7A">
            <w:pPr>
              <w:jc w:val="left"/>
              <w:rPr>
                <w:sz w:val="20"/>
                <w:szCs w:val="20"/>
              </w:rPr>
            </w:pPr>
            <w:r w:rsidRPr="007B5BE6">
              <w:rPr>
                <w:sz w:val="20"/>
                <w:szCs w:val="20"/>
              </w:rPr>
              <w:t xml:space="preserve">Public promotion and understanding of the role of agencies and protection of rights and protection from abuse and exploitation </w:t>
            </w:r>
          </w:p>
          <w:p w14:paraId="6F9C4381" w14:textId="77777777" w:rsidR="00E7273C" w:rsidRPr="007B5BE6" w:rsidRDefault="00E7273C" w:rsidP="00A17D7A">
            <w:pPr>
              <w:jc w:val="left"/>
              <w:rPr>
                <w:sz w:val="20"/>
                <w:szCs w:val="20"/>
              </w:rPr>
            </w:pPr>
          </w:p>
          <w:p w14:paraId="58D6A459" w14:textId="77777777" w:rsidR="00E7273C" w:rsidRPr="007B5BE6" w:rsidRDefault="00E7273C" w:rsidP="00A17D7A">
            <w:pPr>
              <w:jc w:val="left"/>
              <w:rPr>
                <w:sz w:val="20"/>
                <w:szCs w:val="20"/>
              </w:rPr>
            </w:pPr>
          </w:p>
        </w:tc>
        <w:tc>
          <w:tcPr>
            <w:tcW w:w="1461" w:type="dxa"/>
            <w:shd w:val="clear" w:color="auto" w:fill="FFFFFF" w:themeFill="background1"/>
          </w:tcPr>
          <w:p w14:paraId="3D6BC72B" w14:textId="77777777" w:rsidR="00E7273C" w:rsidRPr="007B5BE6" w:rsidRDefault="00E7273C" w:rsidP="00A17D7A">
            <w:pPr>
              <w:jc w:val="left"/>
              <w:rPr>
                <w:sz w:val="20"/>
                <w:szCs w:val="20"/>
              </w:rPr>
            </w:pPr>
            <w:r w:rsidRPr="007B5BE6">
              <w:rPr>
                <w:sz w:val="20"/>
                <w:szCs w:val="20"/>
              </w:rPr>
              <w:t xml:space="preserve">Public Guardian </w:t>
            </w:r>
          </w:p>
          <w:p w14:paraId="6AC4987B" w14:textId="77777777" w:rsidR="00E7273C" w:rsidRPr="007B5BE6" w:rsidRDefault="00E7273C" w:rsidP="00A17D7A">
            <w:pPr>
              <w:jc w:val="left"/>
              <w:rPr>
                <w:sz w:val="20"/>
                <w:szCs w:val="20"/>
              </w:rPr>
            </w:pPr>
            <w:r w:rsidRPr="007B5BE6">
              <w:rPr>
                <w:sz w:val="20"/>
                <w:szCs w:val="20"/>
              </w:rPr>
              <w:t xml:space="preserve">Act as Guardian </w:t>
            </w:r>
          </w:p>
          <w:p w14:paraId="131A9B0D" w14:textId="77777777" w:rsidR="00E7273C" w:rsidRPr="007B5BE6" w:rsidRDefault="00E7273C" w:rsidP="00A17D7A">
            <w:pPr>
              <w:jc w:val="left"/>
              <w:rPr>
                <w:sz w:val="20"/>
                <w:szCs w:val="20"/>
              </w:rPr>
            </w:pPr>
            <w:r w:rsidRPr="007B5BE6">
              <w:rPr>
                <w:sz w:val="20"/>
                <w:szCs w:val="20"/>
              </w:rPr>
              <w:t xml:space="preserve">Promote access to services and advocacy </w:t>
            </w:r>
          </w:p>
          <w:p w14:paraId="7EBAF8A4" w14:textId="77777777" w:rsidR="00E7273C" w:rsidRPr="007B5BE6" w:rsidRDefault="00E7273C" w:rsidP="00A17D7A">
            <w:pPr>
              <w:jc w:val="left"/>
              <w:rPr>
                <w:sz w:val="20"/>
                <w:szCs w:val="20"/>
              </w:rPr>
            </w:pPr>
            <w:r w:rsidRPr="007B5BE6">
              <w:rPr>
                <w:sz w:val="20"/>
                <w:szCs w:val="20"/>
              </w:rPr>
              <w:t xml:space="preserve">Monitor and investigate complaints about guardians </w:t>
            </w:r>
          </w:p>
          <w:p w14:paraId="65E1B140" w14:textId="77777777" w:rsidR="00E7273C" w:rsidRPr="007B5BE6" w:rsidRDefault="00E7273C" w:rsidP="00A17D7A">
            <w:pPr>
              <w:jc w:val="left"/>
              <w:rPr>
                <w:sz w:val="20"/>
                <w:szCs w:val="20"/>
              </w:rPr>
            </w:pPr>
          </w:p>
        </w:tc>
      </w:tr>
      <w:tr w:rsidR="00E7273C" w:rsidRPr="007B5BE6" w14:paraId="747F27D0" w14:textId="77777777" w:rsidTr="00DA4B23">
        <w:tc>
          <w:tcPr>
            <w:tcW w:w="1375" w:type="dxa"/>
            <w:shd w:val="clear" w:color="auto" w:fill="FFFFFF" w:themeFill="background1"/>
          </w:tcPr>
          <w:p w14:paraId="742346EC" w14:textId="77777777" w:rsidR="00E7273C" w:rsidRPr="007B5BE6" w:rsidRDefault="00E7273C" w:rsidP="00A17D7A">
            <w:pPr>
              <w:jc w:val="left"/>
              <w:rPr>
                <w:b/>
                <w:bCs/>
                <w:i/>
                <w:iCs/>
                <w:sz w:val="20"/>
                <w:szCs w:val="20"/>
              </w:rPr>
            </w:pPr>
            <w:r w:rsidRPr="007B5BE6">
              <w:rPr>
                <w:b/>
                <w:bCs/>
                <w:i/>
                <w:iCs/>
                <w:sz w:val="20"/>
                <w:szCs w:val="20"/>
              </w:rPr>
              <w:t xml:space="preserve">Trigger for response </w:t>
            </w:r>
          </w:p>
        </w:tc>
        <w:tc>
          <w:tcPr>
            <w:tcW w:w="1511" w:type="dxa"/>
            <w:shd w:val="clear" w:color="auto" w:fill="FFFFFF" w:themeFill="background1"/>
          </w:tcPr>
          <w:p w14:paraId="188AD134" w14:textId="77777777" w:rsidR="00E7273C" w:rsidRPr="007B5BE6" w:rsidRDefault="00E7273C" w:rsidP="00A17D7A">
            <w:pPr>
              <w:jc w:val="left"/>
              <w:rPr>
                <w:sz w:val="20"/>
                <w:szCs w:val="20"/>
              </w:rPr>
            </w:pPr>
            <w:r w:rsidRPr="007B5BE6">
              <w:rPr>
                <w:sz w:val="20"/>
                <w:szCs w:val="20"/>
              </w:rPr>
              <w:t xml:space="preserve">Report of suspected abuse to adult safeguarding unit (if occurred before Act commenced and there is ongoing risk) (s 22) </w:t>
            </w:r>
          </w:p>
          <w:p w14:paraId="208883F2" w14:textId="77777777" w:rsidR="00E7273C" w:rsidRPr="007B5BE6" w:rsidRDefault="00E7273C" w:rsidP="00A17D7A">
            <w:pPr>
              <w:jc w:val="left"/>
              <w:rPr>
                <w:sz w:val="20"/>
                <w:szCs w:val="20"/>
              </w:rPr>
            </w:pPr>
            <w:r w:rsidRPr="007B5BE6">
              <w:rPr>
                <w:sz w:val="20"/>
                <w:szCs w:val="20"/>
              </w:rPr>
              <w:t xml:space="preserve">Reasonable suspicion that vulnerable adult is at risk of abuse </w:t>
            </w:r>
          </w:p>
        </w:tc>
        <w:tc>
          <w:tcPr>
            <w:tcW w:w="1470" w:type="dxa"/>
            <w:shd w:val="clear" w:color="auto" w:fill="FFFFFF" w:themeFill="background1"/>
          </w:tcPr>
          <w:p w14:paraId="303A9C67" w14:textId="77777777" w:rsidR="00E7273C" w:rsidRPr="007B5BE6" w:rsidRDefault="00E7273C" w:rsidP="00A17D7A">
            <w:pPr>
              <w:jc w:val="left"/>
              <w:rPr>
                <w:sz w:val="20"/>
                <w:szCs w:val="20"/>
              </w:rPr>
            </w:pPr>
            <w:r w:rsidRPr="007B5BE6">
              <w:rPr>
                <w:sz w:val="20"/>
                <w:szCs w:val="20"/>
              </w:rPr>
              <w:t xml:space="preserve">Report and own motion </w:t>
            </w:r>
          </w:p>
          <w:p w14:paraId="538EEBD1" w14:textId="77777777" w:rsidR="00E7273C" w:rsidRPr="007B5BE6" w:rsidRDefault="00E7273C" w:rsidP="00A17D7A">
            <w:pPr>
              <w:jc w:val="left"/>
              <w:rPr>
                <w:sz w:val="20"/>
                <w:szCs w:val="20"/>
              </w:rPr>
            </w:pPr>
            <w:r w:rsidRPr="007B5BE6">
              <w:rPr>
                <w:sz w:val="20"/>
                <w:szCs w:val="20"/>
              </w:rPr>
              <w:t xml:space="preserve">Reasonable grounds to believe adult at risk or subject to abuse, neglect or exploitation </w:t>
            </w:r>
          </w:p>
        </w:tc>
        <w:tc>
          <w:tcPr>
            <w:tcW w:w="1683" w:type="dxa"/>
            <w:shd w:val="clear" w:color="auto" w:fill="FFFFFF" w:themeFill="background1"/>
          </w:tcPr>
          <w:p w14:paraId="2CF986F2" w14:textId="77777777" w:rsidR="00E7273C" w:rsidRPr="007B5BE6" w:rsidRDefault="00E7273C" w:rsidP="00A17D7A">
            <w:pPr>
              <w:jc w:val="left"/>
              <w:rPr>
                <w:sz w:val="20"/>
                <w:szCs w:val="20"/>
              </w:rPr>
            </w:pPr>
            <w:r w:rsidRPr="007B5BE6">
              <w:rPr>
                <w:sz w:val="20"/>
                <w:szCs w:val="20"/>
              </w:rPr>
              <w:t xml:space="preserve">Complaint to Human Rights Commission or Public Advocate </w:t>
            </w:r>
          </w:p>
        </w:tc>
        <w:tc>
          <w:tcPr>
            <w:tcW w:w="1758" w:type="dxa"/>
            <w:shd w:val="clear" w:color="auto" w:fill="FFFFFF" w:themeFill="background1"/>
          </w:tcPr>
          <w:p w14:paraId="7BBAB978" w14:textId="77777777" w:rsidR="00E7273C" w:rsidRPr="007B5BE6" w:rsidRDefault="00E7273C" w:rsidP="00A17D7A">
            <w:pPr>
              <w:jc w:val="left"/>
              <w:rPr>
                <w:sz w:val="20"/>
                <w:szCs w:val="20"/>
              </w:rPr>
            </w:pPr>
            <w:r w:rsidRPr="007B5BE6">
              <w:rPr>
                <w:sz w:val="20"/>
                <w:szCs w:val="20"/>
              </w:rPr>
              <w:t xml:space="preserve">Reasonable suspicion of immediate risk of harm, neglect, exploitation or abuse to adult </w:t>
            </w:r>
          </w:p>
        </w:tc>
        <w:tc>
          <w:tcPr>
            <w:tcW w:w="1843" w:type="dxa"/>
            <w:shd w:val="clear" w:color="auto" w:fill="FFFFFF" w:themeFill="background1"/>
          </w:tcPr>
          <w:p w14:paraId="456A1C57" w14:textId="77777777" w:rsidR="00E7273C" w:rsidRPr="007B5BE6" w:rsidRDefault="00E7273C" w:rsidP="00A17D7A">
            <w:pPr>
              <w:jc w:val="left"/>
              <w:rPr>
                <w:sz w:val="20"/>
                <w:szCs w:val="20"/>
              </w:rPr>
            </w:pPr>
            <w:r w:rsidRPr="007B5BE6">
              <w:rPr>
                <w:sz w:val="20"/>
                <w:szCs w:val="20"/>
              </w:rPr>
              <w:t xml:space="preserve">Application to VCAT </w:t>
            </w:r>
          </w:p>
          <w:p w14:paraId="12CE173D" w14:textId="77777777" w:rsidR="00E7273C" w:rsidRPr="007B5BE6" w:rsidRDefault="00E7273C" w:rsidP="00A17D7A">
            <w:pPr>
              <w:jc w:val="left"/>
              <w:rPr>
                <w:sz w:val="20"/>
                <w:szCs w:val="20"/>
              </w:rPr>
            </w:pPr>
            <w:r w:rsidRPr="007B5BE6">
              <w:rPr>
                <w:sz w:val="20"/>
                <w:szCs w:val="20"/>
              </w:rPr>
              <w:t xml:space="preserve">Report to Elder Abuse Helpline or Seniors Rights Victoria </w:t>
            </w:r>
          </w:p>
          <w:p w14:paraId="075E4CA4" w14:textId="77777777" w:rsidR="00E7273C" w:rsidRPr="007B5BE6" w:rsidRDefault="00E7273C" w:rsidP="00A17D7A">
            <w:pPr>
              <w:jc w:val="left"/>
              <w:rPr>
                <w:sz w:val="20"/>
                <w:szCs w:val="20"/>
              </w:rPr>
            </w:pPr>
            <w:r w:rsidRPr="007B5BE6">
              <w:rPr>
                <w:sz w:val="20"/>
                <w:szCs w:val="20"/>
              </w:rPr>
              <w:t xml:space="preserve">Office of Public Advocate </w:t>
            </w:r>
          </w:p>
          <w:p w14:paraId="47AEDC03" w14:textId="1D091445" w:rsidR="00E7273C" w:rsidRPr="007B5BE6" w:rsidRDefault="00E7273C" w:rsidP="00A17D7A">
            <w:pPr>
              <w:jc w:val="left"/>
              <w:rPr>
                <w:sz w:val="20"/>
                <w:szCs w:val="20"/>
              </w:rPr>
            </w:pPr>
            <w:r w:rsidRPr="007B5BE6">
              <w:rPr>
                <w:sz w:val="20"/>
                <w:szCs w:val="20"/>
              </w:rPr>
              <w:t xml:space="preserve">Other community organisations </w:t>
            </w:r>
          </w:p>
        </w:tc>
        <w:tc>
          <w:tcPr>
            <w:tcW w:w="1938" w:type="dxa"/>
            <w:shd w:val="clear" w:color="auto" w:fill="FFFFFF" w:themeFill="background1"/>
          </w:tcPr>
          <w:p w14:paraId="1A3B2DEB" w14:textId="77777777" w:rsidR="00E7273C" w:rsidRPr="007B5BE6" w:rsidRDefault="00E7273C" w:rsidP="00A17D7A">
            <w:pPr>
              <w:jc w:val="left"/>
              <w:rPr>
                <w:sz w:val="20"/>
                <w:szCs w:val="20"/>
              </w:rPr>
            </w:pPr>
            <w:r w:rsidRPr="007B5BE6">
              <w:rPr>
                <w:sz w:val="20"/>
                <w:szCs w:val="20"/>
              </w:rPr>
              <w:t xml:space="preserve">Application to SAT if response required </w:t>
            </w:r>
          </w:p>
        </w:tc>
        <w:tc>
          <w:tcPr>
            <w:tcW w:w="1461" w:type="dxa"/>
            <w:shd w:val="clear" w:color="auto" w:fill="FFFFFF" w:themeFill="background1"/>
          </w:tcPr>
          <w:p w14:paraId="6B5D4724" w14:textId="77777777" w:rsidR="00E7273C" w:rsidRPr="007B5BE6" w:rsidRDefault="00E7273C" w:rsidP="00A17D7A">
            <w:pPr>
              <w:jc w:val="left"/>
              <w:rPr>
                <w:sz w:val="20"/>
                <w:szCs w:val="20"/>
              </w:rPr>
            </w:pPr>
            <w:r w:rsidRPr="007B5BE6">
              <w:rPr>
                <w:sz w:val="20"/>
                <w:szCs w:val="20"/>
              </w:rPr>
              <w:t xml:space="preserve">Complaint (about guardians only) to Public Guardian </w:t>
            </w:r>
          </w:p>
        </w:tc>
      </w:tr>
      <w:tr w:rsidR="00E7273C" w:rsidRPr="007B5BE6" w14:paraId="7CDC9399" w14:textId="77777777" w:rsidTr="00DA4B23">
        <w:tc>
          <w:tcPr>
            <w:tcW w:w="1375" w:type="dxa"/>
            <w:shd w:val="clear" w:color="auto" w:fill="FFFFFF" w:themeFill="background1"/>
          </w:tcPr>
          <w:p w14:paraId="4D273A97" w14:textId="77777777" w:rsidR="00E7273C" w:rsidRPr="007B5BE6" w:rsidRDefault="00E7273C" w:rsidP="00A17D7A">
            <w:pPr>
              <w:jc w:val="left"/>
              <w:rPr>
                <w:b/>
                <w:bCs/>
                <w:i/>
                <w:iCs/>
                <w:sz w:val="20"/>
                <w:szCs w:val="20"/>
              </w:rPr>
            </w:pPr>
            <w:r w:rsidRPr="007B5BE6">
              <w:rPr>
                <w:b/>
                <w:bCs/>
                <w:i/>
                <w:iCs/>
                <w:sz w:val="20"/>
                <w:szCs w:val="20"/>
              </w:rPr>
              <w:t xml:space="preserve">Mandatory or voluntary safeguarding response </w:t>
            </w:r>
          </w:p>
        </w:tc>
        <w:tc>
          <w:tcPr>
            <w:tcW w:w="1511" w:type="dxa"/>
            <w:shd w:val="clear" w:color="auto" w:fill="FFFFFF" w:themeFill="background1"/>
          </w:tcPr>
          <w:p w14:paraId="5D77AB3A" w14:textId="77777777" w:rsidR="00E7273C" w:rsidRPr="007B5BE6" w:rsidRDefault="00E7273C" w:rsidP="00A17D7A">
            <w:pPr>
              <w:jc w:val="left"/>
              <w:rPr>
                <w:sz w:val="20"/>
                <w:szCs w:val="20"/>
              </w:rPr>
            </w:pPr>
            <w:r w:rsidRPr="007B5BE6">
              <w:rPr>
                <w:sz w:val="20"/>
                <w:szCs w:val="20"/>
              </w:rPr>
              <w:t>Two tiers</w:t>
            </w:r>
          </w:p>
          <w:p w14:paraId="52F0BDEA" w14:textId="77777777" w:rsidR="00E7273C" w:rsidRPr="007B5BE6" w:rsidRDefault="00E7273C" w:rsidP="00A17D7A">
            <w:pPr>
              <w:jc w:val="left"/>
              <w:rPr>
                <w:sz w:val="20"/>
                <w:szCs w:val="20"/>
              </w:rPr>
            </w:pPr>
            <w:r w:rsidRPr="007B5BE6">
              <w:rPr>
                <w:sz w:val="20"/>
                <w:szCs w:val="20"/>
              </w:rPr>
              <w:t xml:space="preserve">Assessing reports: Unit ‘must’ assess report </w:t>
            </w:r>
          </w:p>
          <w:p w14:paraId="77826A9F" w14:textId="79F52FC3" w:rsidR="00E7273C" w:rsidRPr="007B5BE6" w:rsidRDefault="00E7273C" w:rsidP="00A17D7A">
            <w:pPr>
              <w:jc w:val="left"/>
              <w:rPr>
                <w:sz w:val="20"/>
                <w:szCs w:val="20"/>
              </w:rPr>
            </w:pPr>
            <w:r w:rsidRPr="007B5BE6">
              <w:rPr>
                <w:sz w:val="20"/>
                <w:szCs w:val="20"/>
              </w:rPr>
              <w:t xml:space="preserve">Taking action: Unit ‘may’ take action or no further action and ‘may’ refer </w:t>
            </w:r>
            <w:r w:rsidRPr="007B5BE6">
              <w:rPr>
                <w:sz w:val="20"/>
                <w:szCs w:val="20"/>
              </w:rPr>
              <w:lastRenderedPageBreak/>
              <w:t xml:space="preserve">to other agencies </w:t>
            </w:r>
          </w:p>
          <w:p w14:paraId="61413B4A" w14:textId="77777777" w:rsidR="00E7273C" w:rsidRPr="007B5BE6" w:rsidRDefault="00E7273C" w:rsidP="00A17D7A">
            <w:pPr>
              <w:jc w:val="left"/>
              <w:rPr>
                <w:sz w:val="20"/>
                <w:szCs w:val="20"/>
              </w:rPr>
            </w:pPr>
          </w:p>
          <w:p w14:paraId="1E8C6485" w14:textId="77777777" w:rsidR="00E7273C" w:rsidRPr="007B5BE6" w:rsidRDefault="00E7273C" w:rsidP="00A17D7A">
            <w:pPr>
              <w:jc w:val="left"/>
              <w:rPr>
                <w:sz w:val="20"/>
                <w:szCs w:val="20"/>
              </w:rPr>
            </w:pPr>
          </w:p>
        </w:tc>
        <w:tc>
          <w:tcPr>
            <w:tcW w:w="1470" w:type="dxa"/>
            <w:shd w:val="clear" w:color="auto" w:fill="FFFFFF" w:themeFill="background1"/>
          </w:tcPr>
          <w:p w14:paraId="0AF9059B" w14:textId="77777777" w:rsidR="00E7273C" w:rsidRPr="007B5BE6" w:rsidRDefault="00E7273C" w:rsidP="00A17D7A">
            <w:pPr>
              <w:jc w:val="left"/>
              <w:rPr>
                <w:sz w:val="20"/>
                <w:szCs w:val="20"/>
              </w:rPr>
            </w:pPr>
            <w:r w:rsidRPr="007B5BE6">
              <w:rPr>
                <w:sz w:val="20"/>
                <w:szCs w:val="20"/>
              </w:rPr>
              <w:lastRenderedPageBreak/>
              <w:t>Two tiers</w:t>
            </w:r>
          </w:p>
          <w:p w14:paraId="0E58C322" w14:textId="77777777" w:rsidR="00E7273C" w:rsidRPr="007B5BE6" w:rsidRDefault="00E7273C" w:rsidP="00A17D7A">
            <w:pPr>
              <w:jc w:val="left"/>
              <w:rPr>
                <w:sz w:val="20"/>
                <w:szCs w:val="20"/>
              </w:rPr>
            </w:pPr>
            <w:r w:rsidRPr="007B5BE6">
              <w:rPr>
                <w:sz w:val="20"/>
                <w:szCs w:val="20"/>
              </w:rPr>
              <w:t xml:space="preserve">Voluntary: Commissioner ‘may’ inquire / investigate, refer or do nothing </w:t>
            </w:r>
          </w:p>
          <w:p w14:paraId="7E42AF30" w14:textId="77777777" w:rsidR="00E7273C" w:rsidRPr="007B5BE6" w:rsidRDefault="00E7273C" w:rsidP="00A17D7A">
            <w:pPr>
              <w:jc w:val="left"/>
              <w:rPr>
                <w:sz w:val="20"/>
                <w:szCs w:val="20"/>
              </w:rPr>
            </w:pPr>
            <w:r w:rsidRPr="007B5BE6">
              <w:rPr>
                <w:sz w:val="20"/>
                <w:szCs w:val="20"/>
              </w:rPr>
              <w:t xml:space="preserve">Mandatory: Commissioner required to respond when </w:t>
            </w:r>
            <w:r w:rsidRPr="007B5BE6">
              <w:rPr>
                <w:sz w:val="20"/>
                <w:szCs w:val="20"/>
              </w:rPr>
              <w:lastRenderedPageBreak/>
              <w:t xml:space="preserve">referral of criminal offence, aged care, NDIS and health case complaints </w:t>
            </w:r>
          </w:p>
        </w:tc>
        <w:tc>
          <w:tcPr>
            <w:tcW w:w="1683" w:type="dxa"/>
            <w:shd w:val="clear" w:color="auto" w:fill="FFFFFF" w:themeFill="background1"/>
          </w:tcPr>
          <w:p w14:paraId="5F47BB59" w14:textId="77777777" w:rsidR="00E7273C" w:rsidRPr="007B5BE6" w:rsidRDefault="00E7273C" w:rsidP="00A17D7A">
            <w:pPr>
              <w:jc w:val="left"/>
              <w:rPr>
                <w:sz w:val="20"/>
                <w:szCs w:val="20"/>
              </w:rPr>
            </w:pPr>
            <w:r w:rsidRPr="007B5BE6">
              <w:rPr>
                <w:sz w:val="20"/>
                <w:szCs w:val="20"/>
                <w:u w:val="single"/>
              </w:rPr>
              <w:lastRenderedPageBreak/>
              <w:t>Public Advocate:</w:t>
            </w:r>
            <w:r w:rsidRPr="007B5BE6">
              <w:rPr>
                <w:sz w:val="20"/>
                <w:szCs w:val="20"/>
              </w:rPr>
              <w:t xml:space="preserve"> ‘Must’ act upon complaint but ‘may’ not investigate or ‘may’ stop investigation</w:t>
            </w:r>
          </w:p>
          <w:p w14:paraId="5CAFC38D" w14:textId="20FE2C37" w:rsidR="00E7273C" w:rsidRPr="007B5BE6" w:rsidRDefault="00E7273C" w:rsidP="00A17D7A">
            <w:pPr>
              <w:jc w:val="left"/>
              <w:rPr>
                <w:sz w:val="20"/>
                <w:szCs w:val="20"/>
              </w:rPr>
            </w:pPr>
            <w:r w:rsidRPr="007B5BE6">
              <w:rPr>
                <w:sz w:val="20"/>
                <w:szCs w:val="20"/>
                <w:u w:val="single"/>
              </w:rPr>
              <w:t>Human Rights Commission</w:t>
            </w:r>
            <w:r w:rsidRPr="007B5BE6">
              <w:rPr>
                <w:sz w:val="20"/>
                <w:szCs w:val="20"/>
              </w:rPr>
              <w:t xml:space="preserve">: ‘must’ refer certain categories of complaint to </w:t>
            </w:r>
            <w:r w:rsidRPr="007B5BE6">
              <w:rPr>
                <w:sz w:val="20"/>
                <w:szCs w:val="20"/>
              </w:rPr>
              <w:lastRenderedPageBreak/>
              <w:t xml:space="preserve">appropriate agency </w:t>
            </w:r>
          </w:p>
        </w:tc>
        <w:tc>
          <w:tcPr>
            <w:tcW w:w="1758" w:type="dxa"/>
            <w:shd w:val="clear" w:color="auto" w:fill="FFFFFF" w:themeFill="background1"/>
          </w:tcPr>
          <w:p w14:paraId="5DEDD309" w14:textId="77777777" w:rsidR="00E7273C" w:rsidRPr="007B5BE6" w:rsidRDefault="00E7273C" w:rsidP="00A17D7A">
            <w:pPr>
              <w:jc w:val="left"/>
              <w:rPr>
                <w:sz w:val="20"/>
                <w:szCs w:val="20"/>
              </w:rPr>
            </w:pPr>
            <w:r w:rsidRPr="007B5BE6">
              <w:rPr>
                <w:sz w:val="20"/>
                <w:szCs w:val="20"/>
                <w:u w:val="single"/>
              </w:rPr>
              <w:lastRenderedPageBreak/>
              <w:t>Public Guardian</w:t>
            </w:r>
            <w:r w:rsidRPr="007B5BE6">
              <w:rPr>
                <w:sz w:val="20"/>
                <w:szCs w:val="20"/>
              </w:rPr>
              <w:t xml:space="preserve"> ‘may’ investigate depending on report</w:t>
            </w:r>
          </w:p>
        </w:tc>
        <w:tc>
          <w:tcPr>
            <w:tcW w:w="1843" w:type="dxa"/>
            <w:shd w:val="clear" w:color="auto" w:fill="FFFFFF" w:themeFill="background1"/>
          </w:tcPr>
          <w:p w14:paraId="07C5DFCF" w14:textId="77777777" w:rsidR="00E7273C" w:rsidRPr="007B5BE6" w:rsidRDefault="00E7273C" w:rsidP="00A17D7A">
            <w:pPr>
              <w:jc w:val="left"/>
              <w:rPr>
                <w:sz w:val="20"/>
                <w:szCs w:val="20"/>
              </w:rPr>
            </w:pPr>
            <w:r w:rsidRPr="007B5BE6">
              <w:rPr>
                <w:sz w:val="20"/>
                <w:szCs w:val="20"/>
              </w:rPr>
              <w:t xml:space="preserve">Applications made to VCAT </w:t>
            </w:r>
          </w:p>
          <w:p w14:paraId="4D27AC04" w14:textId="77777777" w:rsidR="00E7273C" w:rsidRPr="007B5BE6" w:rsidRDefault="00E7273C" w:rsidP="00A17D7A">
            <w:pPr>
              <w:jc w:val="left"/>
              <w:rPr>
                <w:sz w:val="20"/>
                <w:szCs w:val="20"/>
              </w:rPr>
            </w:pPr>
            <w:r w:rsidRPr="007B5BE6">
              <w:rPr>
                <w:sz w:val="20"/>
                <w:szCs w:val="20"/>
              </w:rPr>
              <w:t xml:space="preserve">VCAT can make emergency or urgent order without hearing if immediate risk of harm to health, welfare or property </w:t>
            </w:r>
          </w:p>
        </w:tc>
        <w:tc>
          <w:tcPr>
            <w:tcW w:w="1938" w:type="dxa"/>
            <w:shd w:val="clear" w:color="auto" w:fill="FFFFFF" w:themeFill="background1"/>
          </w:tcPr>
          <w:p w14:paraId="05FEE88D" w14:textId="77777777" w:rsidR="00E7273C" w:rsidRPr="007B5BE6" w:rsidRDefault="00E7273C" w:rsidP="00A17D7A">
            <w:pPr>
              <w:jc w:val="left"/>
              <w:rPr>
                <w:sz w:val="20"/>
                <w:szCs w:val="20"/>
              </w:rPr>
            </w:pPr>
            <w:r w:rsidRPr="007B5BE6">
              <w:rPr>
                <w:sz w:val="20"/>
                <w:szCs w:val="20"/>
              </w:rPr>
              <w:t xml:space="preserve">Complaints to Public Advocate </w:t>
            </w:r>
          </w:p>
        </w:tc>
        <w:tc>
          <w:tcPr>
            <w:tcW w:w="1461" w:type="dxa"/>
            <w:shd w:val="clear" w:color="auto" w:fill="FFFFFF" w:themeFill="background1"/>
          </w:tcPr>
          <w:p w14:paraId="1F2C2D8F" w14:textId="77777777" w:rsidR="00E7273C" w:rsidRPr="007B5BE6" w:rsidRDefault="00E7273C" w:rsidP="00A17D7A">
            <w:pPr>
              <w:jc w:val="left"/>
              <w:rPr>
                <w:sz w:val="20"/>
                <w:szCs w:val="20"/>
              </w:rPr>
            </w:pPr>
            <w:r w:rsidRPr="007B5BE6">
              <w:rPr>
                <w:sz w:val="20"/>
                <w:szCs w:val="20"/>
              </w:rPr>
              <w:t xml:space="preserve">Mandatory investigation if complaint received </w:t>
            </w:r>
          </w:p>
        </w:tc>
      </w:tr>
      <w:tr w:rsidR="00E7273C" w:rsidRPr="007B5BE6" w14:paraId="0FEECFF8" w14:textId="77777777" w:rsidTr="00DA4B23">
        <w:tc>
          <w:tcPr>
            <w:tcW w:w="1375" w:type="dxa"/>
            <w:shd w:val="clear" w:color="auto" w:fill="FFFFFF" w:themeFill="background1"/>
          </w:tcPr>
          <w:p w14:paraId="35174DD1" w14:textId="77777777" w:rsidR="00E7273C" w:rsidRPr="007B5BE6" w:rsidRDefault="00E7273C" w:rsidP="00A17D7A">
            <w:pPr>
              <w:jc w:val="left"/>
              <w:rPr>
                <w:b/>
                <w:bCs/>
                <w:i/>
                <w:iCs/>
                <w:sz w:val="20"/>
                <w:szCs w:val="20"/>
              </w:rPr>
            </w:pPr>
            <w:r w:rsidRPr="007B5BE6">
              <w:rPr>
                <w:b/>
                <w:bCs/>
                <w:i/>
                <w:iCs/>
                <w:sz w:val="20"/>
                <w:szCs w:val="20"/>
              </w:rPr>
              <w:t xml:space="preserve">Whether consent to intervene or investigate from older person required for action  </w:t>
            </w:r>
          </w:p>
        </w:tc>
        <w:tc>
          <w:tcPr>
            <w:tcW w:w="1511" w:type="dxa"/>
            <w:shd w:val="clear" w:color="auto" w:fill="FFFFFF" w:themeFill="background1"/>
          </w:tcPr>
          <w:p w14:paraId="4F47C8E2" w14:textId="77777777" w:rsidR="00E7273C" w:rsidRPr="007B5BE6" w:rsidRDefault="00E7273C" w:rsidP="00A17D7A">
            <w:pPr>
              <w:jc w:val="left"/>
              <w:rPr>
                <w:sz w:val="20"/>
                <w:szCs w:val="20"/>
              </w:rPr>
            </w:pPr>
            <w:r w:rsidRPr="007B5BE6">
              <w:rPr>
                <w:b/>
                <w:bCs/>
                <w:sz w:val="20"/>
                <w:szCs w:val="20"/>
              </w:rPr>
              <w:t>Consent required with exceptions</w:t>
            </w:r>
            <w:r w:rsidRPr="007B5BE6">
              <w:rPr>
                <w:sz w:val="20"/>
                <w:szCs w:val="20"/>
              </w:rPr>
              <w:t xml:space="preserve"> where risk to physical safety, where risk of abuse constitutes serious criminal offence or the adult cannot be contacted </w:t>
            </w:r>
          </w:p>
          <w:p w14:paraId="0FF26F87" w14:textId="77777777" w:rsidR="00E7273C" w:rsidRPr="007B5BE6" w:rsidRDefault="00E7273C" w:rsidP="00A17D7A">
            <w:pPr>
              <w:jc w:val="left"/>
              <w:rPr>
                <w:sz w:val="20"/>
                <w:szCs w:val="20"/>
              </w:rPr>
            </w:pPr>
          </w:p>
        </w:tc>
        <w:tc>
          <w:tcPr>
            <w:tcW w:w="1470" w:type="dxa"/>
            <w:shd w:val="clear" w:color="auto" w:fill="FFFFFF" w:themeFill="background1"/>
          </w:tcPr>
          <w:p w14:paraId="62AD5752" w14:textId="77777777" w:rsidR="00E7273C" w:rsidRPr="007B5BE6" w:rsidRDefault="00E7273C" w:rsidP="00A17D7A">
            <w:pPr>
              <w:jc w:val="left"/>
              <w:rPr>
                <w:sz w:val="20"/>
                <w:szCs w:val="20"/>
              </w:rPr>
            </w:pPr>
            <w:r w:rsidRPr="007B5BE6">
              <w:rPr>
                <w:b/>
                <w:bCs/>
                <w:sz w:val="20"/>
                <w:szCs w:val="20"/>
              </w:rPr>
              <w:t>Consent not required</w:t>
            </w:r>
            <w:r w:rsidRPr="007B5BE6">
              <w:rPr>
                <w:sz w:val="20"/>
                <w:szCs w:val="20"/>
              </w:rPr>
              <w:t xml:space="preserve"> if Commissioner has not been able to access the adult despite making reasonable efforts or the Commissioner considers that the adult is incapable of giving consent despite being provided with appropriate support or it is not necessary to obtain consent due to seriousness of allegation or risk to personal safety </w:t>
            </w:r>
          </w:p>
        </w:tc>
        <w:tc>
          <w:tcPr>
            <w:tcW w:w="1683" w:type="dxa"/>
            <w:shd w:val="clear" w:color="auto" w:fill="FFFFFF" w:themeFill="background1"/>
          </w:tcPr>
          <w:p w14:paraId="2EFBD75B" w14:textId="77777777" w:rsidR="00E7273C" w:rsidRPr="007B5BE6" w:rsidRDefault="00E7273C" w:rsidP="00A17D7A">
            <w:pPr>
              <w:jc w:val="left"/>
              <w:rPr>
                <w:sz w:val="20"/>
                <w:szCs w:val="20"/>
              </w:rPr>
            </w:pPr>
            <w:r w:rsidRPr="007B5BE6">
              <w:rPr>
                <w:b/>
                <w:bCs/>
                <w:sz w:val="20"/>
                <w:szCs w:val="20"/>
              </w:rPr>
              <w:t>Consent required</w:t>
            </w:r>
            <w:r w:rsidRPr="007B5BE6">
              <w:rPr>
                <w:sz w:val="20"/>
                <w:szCs w:val="20"/>
              </w:rPr>
              <w:t xml:space="preserve"> for vulnerable person complaint (but not other complaints) prior to considering complaint or referral to statutory office holder </w:t>
            </w:r>
          </w:p>
        </w:tc>
        <w:tc>
          <w:tcPr>
            <w:tcW w:w="1758" w:type="dxa"/>
            <w:shd w:val="clear" w:color="auto" w:fill="FFFFFF" w:themeFill="background1"/>
          </w:tcPr>
          <w:p w14:paraId="0E818D7C" w14:textId="77777777" w:rsidR="00E7273C" w:rsidRPr="007B5BE6" w:rsidRDefault="00E7273C" w:rsidP="00A17D7A">
            <w:pPr>
              <w:jc w:val="left"/>
              <w:rPr>
                <w:b/>
                <w:bCs/>
                <w:sz w:val="20"/>
                <w:szCs w:val="20"/>
              </w:rPr>
            </w:pPr>
            <w:r w:rsidRPr="007B5BE6">
              <w:rPr>
                <w:b/>
                <w:bCs/>
                <w:sz w:val="20"/>
                <w:szCs w:val="20"/>
              </w:rPr>
              <w:t xml:space="preserve">Consent not required </w:t>
            </w:r>
          </w:p>
          <w:p w14:paraId="1B1D9635" w14:textId="77777777" w:rsidR="00E7273C" w:rsidRPr="007B5BE6" w:rsidRDefault="00E7273C" w:rsidP="00A17D7A">
            <w:pPr>
              <w:jc w:val="left"/>
              <w:rPr>
                <w:sz w:val="20"/>
                <w:szCs w:val="20"/>
              </w:rPr>
            </w:pPr>
            <w:r w:rsidRPr="007B5BE6">
              <w:rPr>
                <w:sz w:val="20"/>
                <w:szCs w:val="20"/>
              </w:rPr>
              <w:t xml:space="preserve">Structured supported decision-making framework for acting </w:t>
            </w:r>
          </w:p>
          <w:p w14:paraId="59181FA8" w14:textId="7B036A5F" w:rsidR="00E7273C" w:rsidRPr="007B5BE6" w:rsidRDefault="00E7273C" w:rsidP="00A17D7A">
            <w:pPr>
              <w:jc w:val="left"/>
              <w:rPr>
                <w:sz w:val="20"/>
                <w:szCs w:val="20"/>
              </w:rPr>
            </w:pPr>
            <w:r w:rsidRPr="007B5BE6">
              <w:rPr>
                <w:sz w:val="20"/>
                <w:szCs w:val="20"/>
              </w:rPr>
              <w:t>Where significant risk outweighs will and preference, substitute decision</w:t>
            </w:r>
            <w:r w:rsidR="00DC0AF6" w:rsidRPr="007B5BE6">
              <w:rPr>
                <w:sz w:val="20"/>
                <w:szCs w:val="20"/>
              </w:rPr>
              <w:t xml:space="preserve"> </w:t>
            </w:r>
            <w:r w:rsidRPr="007B5BE6">
              <w:rPr>
                <w:sz w:val="20"/>
                <w:szCs w:val="20"/>
              </w:rPr>
              <w:t xml:space="preserve">making </w:t>
            </w:r>
          </w:p>
        </w:tc>
        <w:tc>
          <w:tcPr>
            <w:tcW w:w="1843" w:type="dxa"/>
            <w:shd w:val="clear" w:color="auto" w:fill="FFFFFF" w:themeFill="background1"/>
          </w:tcPr>
          <w:p w14:paraId="0D8356E9" w14:textId="77777777" w:rsidR="00E7273C" w:rsidRPr="007B5BE6" w:rsidRDefault="00E7273C" w:rsidP="00A17D7A">
            <w:pPr>
              <w:jc w:val="left"/>
              <w:rPr>
                <w:sz w:val="20"/>
                <w:szCs w:val="20"/>
              </w:rPr>
            </w:pPr>
            <w:r w:rsidRPr="007B5BE6">
              <w:rPr>
                <w:b/>
                <w:bCs/>
                <w:sz w:val="20"/>
                <w:szCs w:val="20"/>
              </w:rPr>
              <w:t>Consent not specified</w:t>
            </w:r>
            <w:r w:rsidRPr="007B5BE6">
              <w:rPr>
                <w:sz w:val="20"/>
                <w:szCs w:val="20"/>
              </w:rPr>
              <w:t xml:space="preserve"> but reflects general notion of participation in decision-making as far as practicable </w:t>
            </w:r>
          </w:p>
          <w:p w14:paraId="02A9EB2F" w14:textId="77777777" w:rsidR="00E7273C" w:rsidRPr="007B5BE6" w:rsidRDefault="00E7273C" w:rsidP="00A17D7A">
            <w:pPr>
              <w:jc w:val="left"/>
              <w:rPr>
                <w:sz w:val="20"/>
                <w:szCs w:val="20"/>
              </w:rPr>
            </w:pPr>
            <w:r w:rsidRPr="007B5BE6">
              <w:rPr>
                <w:b/>
                <w:bCs/>
                <w:sz w:val="20"/>
                <w:szCs w:val="20"/>
              </w:rPr>
              <w:t>Consent required</w:t>
            </w:r>
            <w:r w:rsidRPr="007B5BE6">
              <w:rPr>
                <w:sz w:val="20"/>
                <w:szCs w:val="20"/>
              </w:rPr>
              <w:t xml:space="preserve"> for VCAT to make supportive orders and disclosure of information </w:t>
            </w:r>
          </w:p>
        </w:tc>
        <w:tc>
          <w:tcPr>
            <w:tcW w:w="1938" w:type="dxa"/>
            <w:shd w:val="clear" w:color="auto" w:fill="FFFFFF" w:themeFill="background1"/>
          </w:tcPr>
          <w:p w14:paraId="4BB028F0" w14:textId="77777777" w:rsidR="00E7273C" w:rsidRPr="007B5BE6" w:rsidRDefault="00E7273C" w:rsidP="00A17D7A">
            <w:pPr>
              <w:jc w:val="left"/>
              <w:rPr>
                <w:sz w:val="20"/>
                <w:szCs w:val="20"/>
              </w:rPr>
            </w:pPr>
            <w:r w:rsidRPr="007B5BE6">
              <w:rPr>
                <w:b/>
                <w:bCs/>
                <w:sz w:val="20"/>
                <w:szCs w:val="20"/>
              </w:rPr>
              <w:t>Consent not defined</w:t>
            </w:r>
            <w:r w:rsidRPr="007B5BE6">
              <w:rPr>
                <w:sz w:val="20"/>
                <w:szCs w:val="20"/>
              </w:rPr>
              <w:t xml:space="preserve"> (limited to people with impaired decision-making capacity) but consent-based response and presumption of capacity </w:t>
            </w:r>
          </w:p>
        </w:tc>
        <w:tc>
          <w:tcPr>
            <w:tcW w:w="1461" w:type="dxa"/>
            <w:shd w:val="clear" w:color="auto" w:fill="FFFFFF" w:themeFill="background1"/>
          </w:tcPr>
          <w:p w14:paraId="401F683D" w14:textId="77777777" w:rsidR="00E7273C" w:rsidRPr="007B5BE6" w:rsidRDefault="00E7273C" w:rsidP="00A17D7A">
            <w:pPr>
              <w:jc w:val="left"/>
              <w:rPr>
                <w:sz w:val="20"/>
                <w:szCs w:val="20"/>
              </w:rPr>
            </w:pPr>
            <w:r w:rsidRPr="007B5BE6">
              <w:rPr>
                <w:b/>
                <w:bCs/>
                <w:sz w:val="20"/>
                <w:szCs w:val="20"/>
              </w:rPr>
              <w:t xml:space="preserve">Consent not defined </w:t>
            </w:r>
            <w:r w:rsidRPr="007B5BE6">
              <w:rPr>
                <w:sz w:val="20"/>
                <w:szCs w:val="20"/>
              </w:rPr>
              <w:t xml:space="preserve">(limited to people with impaired decision-making capacity) but presumption of capacity </w:t>
            </w:r>
          </w:p>
        </w:tc>
      </w:tr>
      <w:tr w:rsidR="00E7273C" w:rsidRPr="007B5BE6" w14:paraId="4D0BB056" w14:textId="77777777" w:rsidTr="00DA4B23">
        <w:tc>
          <w:tcPr>
            <w:tcW w:w="1375" w:type="dxa"/>
            <w:shd w:val="clear" w:color="auto" w:fill="FFFFFF" w:themeFill="background1"/>
          </w:tcPr>
          <w:p w14:paraId="57AD0E78" w14:textId="77777777" w:rsidR="00E7273C" w:rsidRPr="007B5BE6" w:rsidRDefault="00E7273C" w:rsidP="00A17D7A">
            <w:pPr>
              <w:jc w:val="left"/>
              <w:rPr>
                <w:b/>
                <w:bCs/>
                <w:i/>
                <w:iCs/>
                <w:sz w:val="20"/>
                <w:szCs w:val="20"/>
              </w:rPr>
            </w:pPr>
            <w:r w:rsidRPr="007B5BE6">
              <w:rPr>
                <w:b/>
                <w:bCs/>
                <w:i/>
                <w:iCs/>
                <w:sz w:val="20"/>
                <w:szCs w:val="20"/>
              </w:rPr>
              <w:lastRenderedPageBreak/>
              <w:t xml:space="preserve">Powers of investigation </w:t>
            </w:r>
          </w:p>
        </w:tc>
        <w:tc>
          <w:tcPr>
            <w:tcW w:w="1511" w:type="dxa"/>
            <w:shd w:val="clear" w:color="auto" w:fill="FFFFFF" w:themeFill="background1"/>
          </w:tcPr>
          <w:p w14:paraId="657DD8C6" w14:textId="77777777" w:rsidR="00E7273C" w:rsidRPr="007B5BE6" w:rsidRDefault="00E7273C" w:rsidP="00A17D7A">
            <w:pPr>
              <w:jc w:val="left"/>
              <w:rPr>
                <w:sz w:val="20"/>
                <w:szCs w:val="20"/>
                <w:u w:val="single"/>
              </w:rPr>
            </w:pPr>
            <w:r w:rsidRPr="007B5BE6">
              <w:rPr>
                <w:sz w:val="20"/>
                <w:szCs w:val="20"/>
                <w:u w:val="single"/>
              </w:rPr>
              <w:t xml:space="preserve">Safeguarding Unit </w:t>
            </w:r>
          </w:p>
          <w:p w14:paraId="27F20590" w14:textId="77777777" w:rsidR="00E7273C" w:rsidRPr="007B5BE6" w:rsidRDefault="00E7273C" w:rsidP="00A17D7A">
            <w:pPr>
              <w:jc w:val="left"/>
              <w:rPr>
                <w:sz w:val="20"/>
                <w:szCs w:val="20"/>
              </w:rPr>
            </w:pPr>
            <w:r w:rsidRPr="007B5BE6">
              <w:rPr>
                <w:sz w:val="20"/>
                <w:szCs w:val="20"/>
              </w:rPr>
              <w:t xml:space="preserve">Required to assess each report (s 23) </w:t>
            </w:r>
          </w:p>
          <w:p w14:paraId="0ACC32CB" w14:textId="77777777" w:rsidR="00E7273C" w:rsidRPr="007B5BE6" w:rsidRDefault="00E7273C" w:rsidP="00A17D7A">
            <w:pPr>
              <w:jc w:val="left"/>
              <w:rPr>
                <w:sz w:val="20"/>
                <w:szCs w:val="20"/>
              </w:rPr>
            </w:pPr>
            <w:r w:rsidRPr="007B5BE6">
              <w:rPr>
                <w:sz w:val="20"/>
                <w:szCs w:val="20"/>
              </w:rPr>
              <w:t xml:space="preserve">Power to refer to other state authority or other specified person or body (s 25) </w:t>
            </w:r>
          </w:p>
          <w:p w14:paraId="56C5422D" w14:textId="77777777" w:rsidR="00E7273C" w:rsidRPr="007B5BE6" w:rsidRDefault="00E7273C" w:rsidP="00A17D7A">
            <w:pPr>
              <w:jc w:val="left"/>
              <w:rPr>
                <w:sz w:val="20"/>
                <w:szCs w:val="20"/>
              </w:rPr>
            </w:pPr>
            <w:r w:rsidRPr="007B5BE6">
              <w:rPr>
                <w:sz w:val="20"/>
                <w:szCs w:val="20"/>
              </w:rPr>
              <w:t>Power to investigate (upon suspicion on reasonable grounds of risk of abuse) (s 26)</w:t>
            </w:r>
          </w:p>
        </w:tc>
        <w:tc>
          <w:tcPr>
            <w:tcW w:w="1470" w:type="dxa"/>
            <w:shd w:val="clear" w:color="auto" w:fill="FFFFFF" w:themeFill="background1"/>
          </w:tcPr>
          <w:p w14:paraId="6888AD89" w14:textId="77777777" w:rsidR="00E7273C" w:rsidRPr="007B5BE6" w:rsidRDefault="00E7273C" w:rsidP="00A17D7A">
            <w:pPr>
              <w:jc w:val="left"/>
              <w:rPr>
                <w:sz w:val="20"/>
                <w:szCs w:val="20"/>
                <w:u w:val="single"/>
              </w:rPr>
            </w:pPr>
            <w:r w:rsidRPr="007B5BE6">
              <w:rPr>
                <w:sz w:val="20"/>
                <w:szCs w:val="20"/>
                <w:u w:val="single"/>
              </w:rPr>
              <w:t xml:space="preserve">Ageing and Disability Commissioner </w:t>
            </w:r>
          </w:p>
          <w:p w14:paraId="5E763DE7" w14:textId="77777777" w:rsidR="00E7273C" w:rsidRPr="007B5BE6" w:rsidRDefault="00E7273C" w:rsidP="00A17D7A">
            <w:pPr>
              <w:jc w:val="left"/>
              <w:rPr>
                <w:sz w:val="20"/>
                <w:szCs w:val="20"/>
              </w:rPr>
            </w:pPr>
            <w:r w:rsidRPr="007B5BE6">
              <w:rPr>
                <w:sz w:val="20"/>
                <w:szCs w:val="20"/>
              </w:rPr>
              <w:t xml:space="preserve">Power to investigate on own motion or on report (by adult themselves or by another person) or referral </w:t>
            </w:r>
          </w:p>
        </w:tc>
        <w:tc>
          <w:tcPr>
            <w:tcW w:w="1683" w:type="dxa"/>
            <w:shd w:val="clear" w:color="auto" w:fill="FFFFFF" w:themeFill="background1"/>
          </w:tcPr>
          <w:p w14:paraId="7931BEA6" w14:textId="77777777" w:rsidR="00E7273C" w:rsidRPr="007B5BE6" w:rsidRDefault="00E7273C" w:rsidP="00A17D7A">
            <w:pPr>
              <w:jc w:val="left"/>
              <w:rPr>
                <w:sz w:val="20"/>
                <w:szCs w:val="20"/>
              </w:rPr>
            </w:pPr>
            <w:r w:rsidRPr="007B5BE6">
              <w:rPr>
                <w:sz w:val="20"/>
                <w:szCs w:val="20"/>
                <w:u w:val="single"/>
              </w:rPr>
              <w:t>Public Advocate</w:t>
            </w:r>
            <w:r w:rsidRPr="007B5BE6">
              <w:rPr>
                <w:sz w:val="20"/>
                <w:szCs w:val="20"/>
              </w:rPr>
              <w:t xml:space="preserve"> has investigative functions under the </w:t>
            </w:r>
            <w:r w:rsidRPr="007B5BE6">
              <w:rPr>
                <w:i/>
                <w:iCs/>
                <w:sz w:val="20"/>
                <w:szCs w:val="20"/>
              </w:rPr>
              <w:t xml:space="preserve">Human Rights Commission Act 2005 </w:t>
            </w:r>
            <w:r w:rsidRPr="007B5BE6">
              <w:rPr>
                <w:sz w:val="20"/>
                <w:szCs w:val="20"/>
              </w:rPr>
              <w:t>(ACT)</w:t>
            </w:r>
          </w:p>
        </w:tc>
        <w:tc>
          <w:tcPr>
            <w:tcW w:w="1758" w:type="dxa"/>
            <w:shd w:val="clear" w:color="auto" w:fill="FFFFFF" w:themeFill="background1"/>
          </w:tcPr>
          <w:p w14:paraId="046BF08D" w14:textId="77777777" w:rsidR="00E7273C" w:rsidRPr="007B5BE6" w:rsidRDefault="00E7273C" w:rsidP="00A17D7A">
            <w:pPr>
              <w:jc w:val="left"/>
              <w:rPr>
                <w:sz w:val="20"/>
                <w:szCs w:val="20"/>
              </w:rPr>
            </w:pPr>
            <w:r w:rsidRPr="007B5BE6">
              <w:rPr>
                <w:sz w:val="20"/>
                <w:szCs w:val="20"/>
                <w:u w:val="single"/>
              </w:rPr>
              <w:t>Public Guardian</w:t>
            </w:r>
            <w:r w:rsidRPr="007B5BE6">
              <w:rPr>
                <w:sz w:val="20"/>
                <w:szCs w:val="20"/>
              </w:rPr>
              <w:t xml:space="preserve"> has investigative functions for complaints that adult is or has been neglected, exploited or abused </w:t>
            </w:r>
          </w:p>
          <w:p w14:paraId="3BF809A5" w14:textId="77777777" w:rsidR="00E7273C" w:rsidRPr="007B5BE6" w:rsidRDefault="00E7273C" w:rsidP="00A17D7A">
            <w:pPr>
              <w:jc w:val="left"/>
              <w:rPr>
                <w:sz w:val="20"/>
                <w:szCs w:val="20"/>
              </w:rPr>
            </w:pPr>
            <w:r w:rsidRPr="007B5BE6">
              <w:rPr>
                <w:sz w:val="20"/>
                <w:szCs w:val="20"/>
              </w:rPr>
              <w:t xml:space="preserve">Investigate inadequate decision-making arrangement </w:t>
            </w:r>
          </w:p>
        </w:tc>
        <w:tc>
          <w:tcPr>
            <w:tcW w:w="1843" w:type="dxa"/>
            <w:shd w:val="clear" w:color="auto" w:fill="FFFFFF" w:themeFill="background1"/>
          </w:tcPr>
          <w:p w14:paraId="3596D02A" w14:textId="77777777" w:rsidR="00E7273C" w:rsidRPr="007B5BE6" w:rsidRDefault="00E7273C" w:rsidP="00A17D7A">
            <w:pPr>
              <w:jc w:val="left"/>
              <w:rPr>
                <w:sz w:val="20"/>
                <w:szCs w:val="20"/>
              </w:rPr>
            </w:pPr>
            <w:r w:rsidRPr="007B5BE6">
              <w:rPr>
                <w:sz w:val="20"/>
                <w:szCs w:val="20"/>
                <w:u w:val="single"/>
              </w:rPr>
              <w:t>Public Advocate</w:t>
            </w:r>
            <w:r w:rsidRPr="007B5BE6">
              <w:rPr>
                <w:sz w:val="20"/>
                <w:szCs w:val="20"/>
              </w:rPr>
              <w:t xml:space="preserve"> has investigative function for complaints or allegations regarding inappropriate guardianship or of person being abused / exploited or in need of guardianship </w:t>
            </w:r>
          </w:p>
        </w:tc>
        <w:tc>
          <w:tcPr>
            <w:tcW w:w="1938" w:type="dxa"/>
            <w:shd w:val="clear" w:color="auto" w:fill="FFFFFF" w:themeFill="background1"/>
          </w:tcPr>
          <w:p w14:paraId="75BCB133" w14:textId="77777777" w:rsidR="00E7273C" w:rsidRPr="007B5BE6" w:rsidRDefault="00E7273C" w:rsidP="00A17D7A">
            <w:pPr>
              <w:jc w:val="left"/>
              <w:rPr>
                <w:sz w:val="20"/>
                <w:szCs w:val="20"/>
              </w:rPr>
            </w:pPr>
            <w:r w:rsidRPr="007B5BE6">
              <w:rPr>
                <w:sz w:val="20"/>
                <w:szCs w:val="20"/>
                <w:u w:val="single"/>
              </w:rPr>
              <w:t>Public Advocate</w:t>
            </w:r>
            <w:r w:rsidRPr="007B5BE6">
              <w:rPr>
                <w:sz w:val="20"/>
                <w:szCs w:val="20"/>
              </w:rPr>
              <w:t xml:space="preserve"> has investigative function in reporting to SAT, including complaints and allegations regarding persons in need of guardianship, in appropriate orders. Is empowered to do all things necessary and convenient to exercise functions </w:t>
            </w:r>
          </w:p>
        </w:tc>
        <w:tc>
          <w:tcPr>
            <w:tcW w:w="1461" w:type="dxa"/>
            <w:shd w:val="clear" w:color="auto" w:fill="FFFFFF" w:themeFill="background1"/>
          </w:tcPr>
          <w:p w14:paraId="62E6D87A" w14:textId="77777777" w:rsidR="00E7273C" w:rsidRPr="007B5BE6" w:rsidRDefault="00E7273C" w:rsidP="00A17D7A">
            <w:pPr>
              <w:jc w:val="left"/>
              <w:rPr>
                <w:sz w:val="20"/>
                <w:szCs w:val="20"/>
              </w:rPr>
            </w:pPr>
            <w:r w:rsidRPr="007B5BE6">
              <w:rPr>
                <w:sz w:val="20"/>
                <w:szCs w:val="20"/>
                <w:u w:val="single"/>
              </w:rPr>
              <w:t>Public Guardian</w:t>
            </w:r>
            <w:r w:rsidRPr="007B5BE6">
              <w:rPr>
                <w:sz w:val="20"/>
                <w:szCs w:val="20"/>
              </w:rPr>
              <w:t xml:space="preserve"> has investigative functions for complaints regarding conduct of guardians </w:t>
            </w:r>
          </w:p>
        </w:tc>
      </w:tr>
      <w:tr w:rsidR="00E7273C" w:rsidRPr="007B5BE6" w14:paraId="63F12E89" w14:textId="77777777" w:rsidTr="00DA4B23">
        <w:tc>
          <w:tcPr>
            <w:tcW w:w="1375" w:type="dxa"/>
            <w:shd w:val="clear" w:color="auto" w:fill="FFFFFF" w:themeFill="background1"/>
          </w:tcPr>
          <w:p w14:paraId="5478C249" w14:textId="77777777" w:rsidR="00E7273C" w:rsidRPr="007B5BE6" w:rsidRDefault="00E7273C" w:rsidP="00A17D7A">
            <w:pPr>
              <w:jc w:val="left"/>
              <w:rPr>
                <w:b/>
                <w:bCs/>
                <w:i/>
                <w:iCs/>
                <w:sz w:val="20"/>
                <w:szCs w:val="20"/>
              </w:rPr>
            </w:pPr>
            <w:r w:rsidRPr="007B5BE6">
              <w:rPr>
                <w:b/>
                <w:bCs/>
                <w:i/>
                <w:iCs/>
                <w:sz w:val="20"/>
                <w:szCs w:val="20"/>
              </w:rPr>
              <w:t xml:space="preserve">Coercive powers </w:t>
            </w:r>
          </w:p>
        </w:tc>
        <w:tc>
          <w:tcPr>
            <w:tcW w:w="1511" w:type="dxa"/>
            <w:shd w:val="clear" w:color="auto" w:fill="FFFFFF" w:themeFill="background1"/>
          </w:tcPr>
          <w:p w14:paraId="328193F8" w14:textId="77777777" w:rsidR="00E7273C" w:rsidRPr="007B5BE6" w:rsidRDefault="00E7273C" w:rsidP="00A17D7A">
            <w:pPr>
              <w:jc w:val="left"/>
              <w:rPr>
                <w:sz w:val="20"/>
                <w:szCs w:val="20"/>
              </w:rPr>
            </w:pPr>
            <w:r w:rsidRPr="007B5BE6">
              <w:rPr>
                <w:sz w:val="20"/>
                <w:szCs w:val="20"/>
                <w:u w:val="single"/>
              </w:rPr>
              <w:t>Authorised officers</w:t>
            </w:r>
            <w:r w:rsidRPr="007B5BE6">
              <w:rPr>
                <w:sz w:val="20"/>
                <w:szCs w:val="20"/>
              </w:rPr>
              <w:t>:</w:t>
            </w:r>
          </w:p>
          <w:p w14:paraId="30166B02" w14:textId="77777777" w:rsidR="00E7273C" w:rsidRPr="007B5BE6" w:rsidRDefault="00E7273C" w:rsidP="00A17D7A">
            <w:pPr>
              <w:jc w:val="left"/>
              <w:rPr>
                <w:sz w:val="20"/>
                <w:szCs w:val="20"/>
              </w:rPr>
            </w:pPr>
            <w:r w:rsidRPr="007B5BE6">
              <w:rPr>
                <w:sz w:val="20"/>
                <w:szCs w:val="20"/>
              </w:rPr>
              <w:t xml:space="preserve">Enter and inspect premises and use of reasonable force (with or without warrant on approval of Director if delay would </w:t>
            </w:r>
            <w:r w:rsidRPr="007B5BE6">
              <w:rPr>
                <w:sz w:val="20"/>
                <w:szCs w:val="20"/>
              </w:rPr>
              <w:lastRenderedPageBreak/>
              <w:t>increase risk of harm)</w:t>
            </w:r>
          </w:p>
          <w:p w14:paraId="6714045D" w14:textId="77777777" w:rsidR="00E7273C" w:rsidRPr="007B5BE6" w:rsidRDefault="00E7273C" w:rsidP="00A17D7A">
            <w:pPr>
              <w:jc w:val="left"/>
              <w:rPr>
                <w:sz w:val="20"/>
                <w:szCs w:val="20"/>
              </w:rPr>
            </w:pPr>
            <w:r w:rsidRPr="007B5BE6">
              <w:rPr>
                <w:sz w:val="20"/>
                <w:szCs w:val="20"/>
              </w:rPr>
              <w:t>Production of documents</w:t>
            </w:r>
          </w:p>
          <w:p w14:paraId="05F85F6C" w14:textId="77777777" w:rsidR="00E7273C" w:rsidRPr="007B5BE6" w:rsidRDefault="00E7273C" w:rsidP="00A17D7A">
            <w:pPr>
              <w:jc w:val="left"/>
              <w:rPr>
                <w:sz w:val="20"/>
                <w:szCs w:val="20"/>
              </w:rPr>
            </w:pPr>
            <w:r w:rsidRPr="007B5BE6">
              <w:rPr>
                <w:sz w:val="20"/>
                <w:szCs w:val="20"/>
              </w:rPr>
              <w:t xml:space="preserve">Require a person to answer questions </w:t>
            </w:r>
          </w:p>
          <w:p w14:paraId="24715A79" w14:textId="77777777" w:rsidR="00E7273C" w:rsidRPr="007B5BE6" w:rsidRDefault="00E7273C" w:rsidP="00A17D7A">
            <w:pPr>
              <w:jc w:val="left"/>
              <w:rPr>
                <w:sz w:val="20"/>
                <w:szCs w:val="20"/>
              </w:rPr>
            </w:pPr>
            <w:r w:rsidRPr="007B5BE6">
              <w:rPr>
                <w:sz w:val="20"/>
                <w:szCs w:val="20"/>
              </w:rPr>
              <w:t xml:space="preserve">Require production of written statement for assessment process </w:t>
            </w:r>
          </w:p>
        </w:tc>
        <w:tc>
          <w:tcPr>
            <w:tcW w:w="1470" w:type="dxa"/>
            <w:shd w:val="clear" w:color="auto" w:fill="FFFFFF" w:themeFill="background1"/>
          </w:tcPr>
          <w:p w14:paraId="2BA89C31" w14:textId="77777777" w:rsidR="00E7273C" w:rsidRPr="007B5BE6" w:rsidRDefault="00E7273C" w:rsidP="00A17D7A">
            <w:pPr>
              <w:jc w:val="left"/>
              <w:rPr>
                <w:sz w:val="20"/>
                <w:szCs w:val="20"/>
              </w:rPr>
            </w:pPr>
            <w:r w:rsidRPr="007B5BE6">
              <w:rPr>
                <w:sz w:val="20"/>
                <w:szCs w:val="20"/>
                <w:u w:val="single"/>
              </w:rPr>
              <w:lastRenderedPageBreak/>
              <w:t>Commissioner</w:t>
            </w:r>
            <w:r w:rsidRPr="007B5BE6">
              <w:rPr>
                <w:sz w:val="20"/>
                <w:szCs w:val="20"/>
              </w:rPr>
              <w:t>:</w:t>
            </w:r>
          </w:p>
          <w:p w14:paraId="7E7CBB2B" w14:textId="77777777" w:rsidR="00E7273C" w:rsidRPr="007B5BE6" w:rsidRDefault="00E7273C" w:rsidP="00A17D7A">
            <w:pPr>
              <w:jc w:val="left"/>
              <w:rPr>
                <w:sz w:val="20"/>
                <w:szCs w:val="20"/>
              </w:rPr>
            </w:pPr>
            <w:r w:rsidRPr="007B5BE6">
              <w:rPr>
                <w:sz w:val="20"/>
                <w:szCs w:val="20"/>
              </w:rPr>
              <w:t xml:space="preserve">Require person to attend meeting and provide information and respond to questions </w:t>
            </w:r>
          </w:p>
          <w:p w14:paraId="122569BE" w14:textId="77777777" w:rsidR="00E7273C" w:rsidRPr="007B5BE6" w:rsidRDefault="00E7273C" w:rsidP="00A17D7A">
            <w:pPr>
              <w:jc w:val="left"/>
              <w:rPr>
                <w:sz w:val="20"/>
                <w:szCs w:val="20"/>
              </w:rPr>
            </w:pPr>
            <w:r w:rsidRPr="007B5BE6">
              <w:rPr>
                <w:sz w:val="20"/>
                <w:szCs w:val="20"/>
              </w:rPr>
              <w:t>Production of documents</w:t>
            </w:r>
          </w:p>
          <w:p w14:paraId="40566116" w14:textId="77777777" w:rsidR="00E7273C" w:rsidRPr="007B5BE6" w:rsidRDefault="00E7273C" w:rsidP="00A17D7A">
            <w:pPr>
              <w:jc w:val="left"/>
              <w:rPr>
                <w:sz w:val="20"/>
                <w:szCs w:val="20"/>
              </w:rPr>
            </w:pPr>
            <w:r w:rsidRPr="007B5BE6">
              <w:rPr>
                <w:sz w:val="20"/>
                <w:szCs w:val="20"/>
              </w:rPr>
              <w:lastRenderedPageBreak/>
              <w:t xml:space="preserve">Search warrants to enter premises and examine or require production of documents </w:t>
            </w:r>
          </w:p>
        </w:tc>
        <w:tc>
          <w:tcPr>
            <w:tcW w:w="1683" w:type="dxa"/>
            <w:shd w:val="clear" w:color="auto" w:fill="FFFFFF" w:themeFill="background1"/>
          </w:tcPr>
          <w:p w14:paraId="4CD75246" w14:textId="77777777" w:rsidR="00E7273C" w:rsidRPr="007B5BE6" w:rsidRDefault="00E7273C" w:rsidP="00A17D7A">
            <w:pPr>
              <w:jc w:val="left"/>
              <w:rPr>
                <w:sz w:val="20"/>
                <w:szCs w:val="20"/>
              </w:rPr>
            </w:pPr>
            <w:r w:rsidRPr="007B5BE6">
              <w:rPr>
                <w:sz w:val="20"/>
                <w:szCs w:val="20"/>
                <w:u w:val="single"/>
              </w:rPr>
              <w:lastRenderedPageBreak/>
              <w:t>ACAT</w:t>
            </w:r>
            <w:r w:rsidRPr="007B5BE6">
              <w:rPr>
                <w:sz w:val="20"/>
                <w:szCs w:val="20"/>
              </w:rPr>
              <w:t>: require production of documents and emergency removal powers form a particular place in certain circumstances or where unlawful detention (on warrant)</w:t>
            </w:r>
          </w:p>
        </w:tc>
        <w:tc>
          <w:tcPr>
            <w:tcW w:w="1758" w:type="dxa"/>
            <w:shd w:val="clear" w:color="auto" w:fill="FFFFFF" w:themeFill="background1"/>
          </w:tcPr>
          <w:p w14:paraId="7B7C13A1" w14:textId="77777777" w:rsidR="00E7273C" w:rsidRPr="007B5BE6" w:rsidRDefault="00E7273C" w:rsidP="00A17D7A">
            <w:pPr>
              <w:jc w:val="left"/>
              <w:rPr>
                <w:sz w:val="20"/>
                <w:szCs w:val="20"/>
              </w:rPr>
            </w:pPr>
            <w:r w:rsidRPr="007B5BE6">
              <w:rPr>
                <w:sz w:val="20"/>
                <w:szCs w:val="20"/>
                <w:u w:val="single"/>
              </w:rPr>
              <w:t>Public Guardian:</w:t>
            </w:r>
            <w:r w:rsidRPr="007B5BE6">
              <w:rPr>
                <w:sz w:val="20"/>
                <w:szCs w:val="20"/>
              </w:rPr>
              <w:t xml:space="preserve"> </w:t>
            </w:r>
          </w:p>
          <w:p w14:paraId="6209FD46" w14:textId="77777777" w:rsidR="00E7273C" w:rsidRPr="007B5BE6" w:rsidRDefault="00E7273C" w:rsidP="00A17D7A">
            <w:pPr>
              <w:jc w:val="left"/>
              <w:rPr>
                <w:sz w:val="20"/>
                <w:szCs w:val="20"/>
              </w:rPr>
            </w:pPr>
            <w:r w:rsidRPr="007B5BE6">
              <w:rPr>
                <w:sz w:val="20"/>
                <w:szCs w:val="20"/>
              </w:rPr>
              <w:t xml:space="preserve">Require information </w:t>
            </w:r>
          </w:p>
          <w:p w14:paraId="344654F3" w14:textId="77777777" w:rsidR="00E7273C" w:rsidRPr="007B5BE6" w:rsidRDefault="00E7273C" w:rsidP="00A17D7A">
            <w:pPr>
              <w:jc w:val="left"/>
              <w:rPr>
                <w:sz w:val="20"/>
                <w:szCs w:val="20"/>
              </w:rPr>
            </w:pPr>
            <w:r w:rsidRPr="007B5BE6">
              <w:rPr>
                <w:sz w:val="20"/>
                <w:szCs w:val="20"/>
              </w:rPr>
              <w:t xml:space="preserve">Cross-examine witnesses </w:t>
            </w:r>
          </w:p>
          <w:p w14:paraId="0935C50C" w14:textId="77777777" w:rsidR="00E7273C" w:rsidRPr="007B5BE6" w:rsidRDefault="00E7273C" w:rsidP="00A17D7A">
            <w:pPr>
              <w:jc w:val="left"/>
              <w:rPr>
                <w:sz w:val="20"/>
                <w:szCs w:val="20"/>
              </w:rPr>
            </w:pPr>
            <w:r w:rsidRPr="007B5BE6">
              <w:rPr>
                <w:sz w:val="20"/>
                <w:szCs w:val="20"/>
              </w:rPr>
              <w:t xml:space="preserve">Suspend power of attorney </w:t>
            </w:r>
          </w:p>
          <w:p w14:paraId="6ED51DDF" w14:textId="77777777" w:rsidR="00E7273C" w:rsidRPr="007B5BE6" w:rsidRDefault="00E7273C" w:rsidP="00A17D7A">
            <w:pPr>
              <w:jc w:val="left"/>
              <w:rPr>
                <w:sz w:val="20"/>
                <w:szCs w:val="20"/>
              </w:rPr>
            </w:pPr>
            <w:r w:rsidRPr="007B5BE6">
              <w:rPr>
                <w:sz w:val="20"/>
                <w:szCs w:val="20"/>
              </w:rPr>
              <w:t xml:space="preserve">Enter and remove adult on warrant </w:t>
            </w:r>
          </w:p>
        </w:tc>
        <w:tc>
          <w:tcPr>
            <w:tcW w:w="1843" w:type="dxa"/>
            <w:shd w:val="clear" w:color="auto" w:fill="FFFFFF" w:themeFill="background1"/>
          </w:tcPr>
          <w:p w14:paraId="00E7DCEA" w14:textId="77777777" w:rsidR="00E7273C" w:rsidRPr="007B5BE6" w:rsidRDefault="00E7273C" w:rsidP="00A17D7A">
            <w:pPr>
              <w:jc w:val="left"/>
              <w:rPr>
                <w:sz w:val="20"/>
                <w:szCs w:val="20"/>
              </w:rPr>
            </w:pPr>
            <w:r w:rsidRPr="007B5BE6">
              <w:rPr>
                <w:sz w:val="20"/>
                <w:szCs w:val="20"/>
                <w:u w:val="single"/>
              </w:rPr>
              <w:t>Public Advocate</w:t>
            </w:r>
            <w:r w:rsidRPr="007B5BE6">
              <w:rPr>
                <w:sz w:val="20"/>
                <w:szCs w:val="20"/>
              </w:rPr>
              <w:t>:</w:t>
            </w:r>
          </w:p>
          <w:p w14:paraId="5A12BBDF" w14:textId="77777777" w:rsidR="00E7273C" w:rsidRPr="007B5BE6" w:rsidRDefault="00E7273C" w:rsidP="00A17D7A">
            <w:pPr>
              <w:jc w:val="left"/>
              <w:rPr>
                <w:sz w:val="20"/>
                <w:szCs w:val="20"/>
              </w:rPr>
            </w:pPr>
            <w:r w:rsidRPr="007B5BE6">
              <w:rPr>
                <w:sz w:val="20"/>
                <w:szCs w:val="20"/>
              </w:rPr>
              <w:t xml:space="preserve">Inspection of premises, documents, make inquiries re treatment when conducting investigation </w:t>
            </w:r>
          </w:p>
          <w:p w14:paraId="1BBE4311" w14:textId="77777777" w:rsidR="00E7273C" w:rsidRPr="007B5BE6" w:rsidRDefault="00E7273C" w:rsidP="00A17D7A">
            <w:pPr>
              <w:jc w:val="left"/>
              <w:rPr>
                <w:sz w:val="20"/>
                <w:szCs w:val="20"/>
              </w:rPr>
            </w:pPr>
            <w:r w:rsidRPr="007B5BE6">
              <w:rPr>
                <w:sz w:val="20"/>
                <w:szCs w:val="20"/>
                <w:u w:val="single"/>
              </w:rPr>
              <w:t>VCAT</w:t>
            </w:r>
            <w:r w:rsidRPr="007B5BE6">
              <w:rPr>
                <w:sz w:val="20"/>
                <w:szCs w:val="20"/>
              </w:rPr>
              <w:t xml:space="preserve"> (when person is a ‘proposed </w:t>
            </w:r>
            <w:r w:rsidRPr="007B5BE6">
              <w:rPr>
                <w:sz w:val="20"/>
                <w:szCs w:val="20"/>
              </w:rPr>
              <w:lastRenderedPageBreak/>
              <w:t>represented person’)</w:t>
            </w:r>
          </w:p>
          <w:p w14:paraId="6D1F9513" w14:textId="77777777" w:rsidR="00E7273C" w:rsidRPr="007B5BE6" w:rsidRDefault="00E7273C" w:rsidP="00A17D7A">
            <w:pPr>
              <w:jc w:val="left"/>
              <w:rPr>
                <w:sz w:val="20"/>
                <w:szCs w:val="20"/>
              </w:rPr>
            </w:pPr>
            <w:r w:rsidRPr="007B5BE6">
              <w:rPr>
                <w:sz w:val="20"/>
                <w:szCs w:val="20"/>
              </w:rPr>
              <w:t xml:space="preserve">Special order where unlawful detention or risk of harm </w:t>
            </w:r>
          </w:p>
          <w:p w14:paraId="6FA6F90E" w14:textId="77777777" w:rsidR="00E7273C" w:rsidRPr="007B5BE6" w:rsidRDefault="00E7273C" w:rsidP="00A17D7A">
            <w:pPr>
              <w:jc w:val="left"/>
              <w:rPr>
                <w:sz w:val="20"/>
                <w:szCs w:val="20"/>
              </w:rPr>
            </w:pPr>
            <w:r w:rsidRPr="007B5BE6">
              <w:rPr>
                <w:sz w:val="20"/>
                <w:szCs w:val="20"/>
              </w:rPr>
              <w:t xml:space="preserve">Order Public Advocate to visit with police to prepare report </w:t>
            </w:r>
          </w:p>
          <w:p w14:paraId="73AD715D" w14:textId="77777777" w:rsidR="00E7273C" w:rsidRPr="007B5BE6" w:rsidRDefault="00E7273C" w:rsidP="00A17D7A">
            <w:pPr>
              <w:jc w:val="left"/>
              <w:rPr>
                <w:sz w:val="20"/>
                <w:szCs w:val="20"/>
              </w:rPr>
            </w:pPr>
            <w:r w:rsidRPr="007B5BE6">
              <w:rPr>
                <w:sz w:val="20"/>
                <w:szCs w:val="20"/>
              </w:rPr>
              <w:t xml:space="preserve">Order removal of person for police assessment </w:t>
            </w:r>
          </w:p>
        </w:tc>
        <w:tc>
          <w:tcPr>
            <w:tcW w:w="1938" w:type="dxa"/>
            <w:shd w:val="clear" w:color="auto" w:fill="FFFFFF" w:themeFill="background1"/>
          </w:tcPr>
          <w:p w14:paraId="5FE2F08C" w14:textId="77777777" w:rsidR="00E7273C" w:rsidRPr="007B5BE6" w:rsidRDefault="00E7273C" w:rsidP="00A17D7A">
            <w:pPr>
              <w:jc w:val="left"/>
              <w:rPr>
                <w:sz w:val="20"/>
                <w:szCs w:val="20"/>
              </w:rPr>
            </w:pPr>
            <w:r w:rsidRPr="007B5BE6">
              <w:rPr>
                <w:sz w:val="20"/>
                <w:szCs w:val="20"/>
                <w:u w:val="single"/>
              </w:rPr>
              <w:lastRenderedPageBreak/>
              <w:t>Public Advocate</w:t>
            </w:r>
            <w:r w:rsidRPr="007B5BE6">
              <w:rPr>
                <w:sz w:val="20"/>
                <w:szCs w:val="20"/>
              </w:rPr>
              <w:t xml:space="preserve">: may do all things necessary or convenient with performance of function </w:t>
            </w:r>
          </w:p>
        </w:tc>
        <w:tc>
          <w:tcPr>
            <w:tcW w:w="1461" w:type="dxa"/>
            <w:shd w:val="clear" w:color="auto" w:fill="FFFFFF" w:themeFill="background1"/>
          </w:tcPr>
          <w:p w14:paraId="20331D21" w14:textId="77777777" w:rsidR="00E7273C" w:rsidRPr="007B5BE6" w:rsidRDefault="00E7273C" w:rsidP="00A17D7A">
            <w:pPr>
              <w:jc w:val="left"/>
              <w:rPr>
                <w:sz w:val="20"/>
                <w:szCs w:val="20"/>
              </w:rPr>
            </w:pPr>
            <w:r w:rsidRPr="007B5BE6">
              <w:rPr>
                <w:sz w:val="20"/>
                <w:szCs w:val="20"/>
                <w:u w:val="single"/>
              </w:rPr>
              <w:t>Public Advocate</w:t>
            </w:r>
            <w:r w:rsidRPr="007B5BE6">
              <w:rPr>
                <w:sz w:val="20"/>
                <w:szCs w:val="20"/>
              </w:rPr>
              <w:t>: information gathering</w:t>
            </w:r>
          </w:p>
        </w:tc>
      </w:tr>
      <w:tr w:rsidR="00E7273C" w:rsidRPr="007B5BE6" w14:paraId="48A6DCA5" w14:textId="77777777" w:rsidTr="00DA4B23">
        <w:tc>
          <w:tcPr>
            <w:tcW w:w="1375" w:type="dxa"/>
            <w:shd w:val="clear" w:color="auto" w:fill="FFFFFF" w:themeFill="background1"/>
          </w:tcPr>
          <w:p w14:paraId="36933CC6" w14:textId="77777777" w:rsidR="00E7273C" w:rsidRPr="007B5BE6" w:rsidRDefault="00E7273C" w:rsidP="00A17D7A">
            <w:pPr>
              <w:jc w:val="left"/>
              <w:rPr>
                <w:b/>
                <w:bCs/>
                <w:i/>
                <w:iCs/>
                <w:sz w:val="20"/>
                <w:szCs w:val="20"/>
              </w:rPr>
            </w:pPr>
            <w:r w:rsidRPr="007B5BE6">
              <w:rPr>
                <w:b/>
                <w:bCs/>
                <w:i/>
                <w:iCs/>
                <w:sz w:val="20"/>
                <w:szCs w:val="20"/>
              </w:rPr>
              <w:t>Offences</w:t>
            </w:r>
          </w:p>
        </w:tc>
        <w:tc>
          <w:tcPr>
            <w:tcW w:w="1511" w:type="dxa"/>
            <w:shd w:val="clear" w:color="auto" w:fill="FFFFFF" w:themeFill="background1"/>
          </w:tcPr>
          <w:p w14:paraId="0FA242F7" w14:textId="77777777" w:rsidR="00E7273C" w:rsidRPr="007B5BE6" w:rsidRDefault="00E7273C" w:rsidP="00A17D7A">
            <w:pPr>
              <w:jc w:val="left"/>
              <w:rPr>
                <w:sz w:val="20"/>
                <w:szCs w:val="20"/>
              </w:rPr>
            </w:pPr>
            <w:r w:rsidRPr="007B5BE6">
              <w:rPr>
                <w:sz w:val="20"/>
                <w:szCs w:val="20"/>
              </w:rPr>
              <w:t xml:space="preserve">Failure to provide written statements </w:t>
            </w:r>
          </w:p>
          <w:p w14:paraId="5EEFB4F3" w14:textId="77777777" w:rsidR="00E7273C" w:rsidRPr="007B5BE6" w:rsidRDefault="00E7273C" w:rsidP="00A17D7A">
            <w:pPr>
              <w:jc w:val="left"/>
              <w:rPr>
                <w:sz w:val="20"/>
                <w:szCs w:val="20"/>
              </w:rPr>
            </w:pPr>
            <w:r w:rsidRPr="007B5BE6">
              <w:rPr>
                <w:sz w:val="20"/>
                <w:szCs w:val="20"/>
              </w:rPr>
              <w:t xml:space="preserve">Contravene court orders </w:t>
            </w:r>
          </w:p>
          <w:p w14:paraId="2CFDC976" w14:textId="77777777" w:rsidR="00E7273C" w:rsidRPr="007B5BE6" w:rsidRDefault="00E7273C" w:rsidP="00A17D7A">
            <w:pPr>
              <w:jc w:val="left"/>
              <w:rPr>
                <w:sz w:val="20"/>
                <w:szCs w:val="20"/>
              </w:rPr>
            </w:pPr>
            <w:r w:rsidRPr="007B5BE6">
              <w:rPr>
                <w:sz w:val="20"/>
                <w:szCs w:val="20"/>
              </w:rPr>
              <w:t xml:space="preserve">Obstruct Director </w:t>
            </w:r>
          </w:p>
          <w:p w14:paraId="1F267F06" w14:textId="77777777" w:rsidR="00E7273C" w:rsidRPr="007B5BE6" w:rsidRDefault="00E7273C" w:rsidP="00A17D7A">
            <w:pPr>
              <w:jc w:val="left"/>
              <w:rPr>
                <w:sz w:val="20"/>
                <w:szCs w:val="20"/>
              </w:rPr>
            </w:pPr>
            <w:r w:rsidRPr="007B5BE6">
              <w:rPr>
                <w:sz w:val="20"/>
                <w:szCs w:val="20"/>
              </w:rPr>
              <w:t xml:space="preserve">False or misleading statements </w:t>
            </w:r>
          </w:p>
          <w:p w14:paraId="22E3C3C7" w14:textId="77777777" w:rsidR="00E7273C" w:rsidRPr="007B5BE6" w:rsidRDefault="00E7273C" w:rsidP="00A17D7A">
            <w:pPr>
              <w:jc w:val="left"/>
              <w:rPr>
                <w:sz w:val="20"/>
                <w:szCs w:val="20"/>
              </w:rPr>
            </w:pPr>
            <w:r w:rsidRPr="007B5BE6">
              <w:rPr>
                <w:sz w:val="20"/>
                <w:szCs w:val="20"/>
              </w:rPr>
              <w:t xml:space="preserve">Breach of confidentiality </w:t>
            </w:r>
          </w:p>
        </w:tc>
        <w:tc>
          <w:tcPr>
            <w:tcW w:w="1470" w:type="dxa"/>
            <w:shd w:val="clear" w:color="auto" w:fill="FFFFFF" w:themeFill="background1"/>
          </w:tcPr>
          <w:p w14:paraId="16DA5E6C" w14:textId="77777777" w:rsidR="00E7273C" w:rsidRPr="007B5BE6" w:rsidRDefault="00E7273C" w:rsidP="00A17D7A">
            <w:pPr>
              <w:jc w:val="left"/>
              <w:rPr>
                <w:sz w:val="20"/>
                <w:szCs w:val="20"/>
              </w:rPr>
            </w:pPr>
            <w:r w:rsidRPr="007B5BE6">
              <w:rPr>
                <w:sz w:val="20"/>
                <w:szCs w:val="20"/>
              </w:rPr>
              <w:t xml:space="preserve">Failure to respond to request to attend or produce document </w:t>
            </w:r>
          </w:p>
          <w:p w14:paraId="52650064" w14:textId="77777777" w:rsidR="00E7273C" w:rsidRPr="007B5BE6" w:rsidRDefault="00E7273C" w:rsidP="00A17D7A">
            <w:pPr>
              <w:jc w:val="left"/>
              <w:rPr>
                <w:sz w:val="20"/>
                <w:szCs w:val="20"/>
              </w:rPr>
            </w:pPr>
            <w:r w:rsidRPr="007B5BE6">
              <w:rPr>
                <w:sz w:val="20"/>
                <w:szCs w:val="20"/>
              </w:rPr>
              <w:t xml:space="preserve">Disclose information contrary to the Act </w:t>
            </w:r>
          </w:p>
        </w:tc>
        <w:tc>
          <w:tcPr>
            <w:tcW w:w="1683" w:type="dxa"/>
            <w:shd w:val="clear" w:color="auto" w:fill="FFFFFF" w:themeFill="background1"/>
          </w:tcPr>
          <w:p w14:paraId="07CCEE26" w14:textId="77777777" w:rsidR="00E7273C" w:rsidRPr="007B5BE6" w:rsidRDefault="00E7273C" w:rsidP="00A17D7A">
            <w:pPr>
              <w:jc w:val="left"/>
              <w:rPr>
                <w:sz w:val="20"/>
                <w:szCs w:val="20"/>
              </w:rPr>
            </w:pPr>
            <w:r w:rsidRPr="007B5BE6">
              <w:rPr>
                <w:sz w:val="20"/>
                <w:szCs w:val="20"/>
              </w:rPr>
              <w:t xml:space="preserve">Failure to provide information, document or attend as requested </w:t>
            </w:r>
          </w:p>
          <w:p w14:paraId="5BD8D7E8" w14:textId="77777777" w:rsidR="00E7273C" w:rsidRPr="007B5BE6" w:rsidRDefault="00E7273C" w:rsidP="00A17D7A">
            <w:pPr>
              <w:jc w:val="left"/>
              <w:rPr>
                <w:sz w:val="20"/>
                <w:szCs w:val="20"/>
              </w:rPr>
            </w:pPr>
            <w:r w:rsidRPr="007B5BE6">
              <w:rPr>
                <w:sz w:val="20"/>
                <w:szCs w:val="20"/>
              </w:rPr>
              <w:t xml:space="preserve">Offence under </w:t>
            </w:r>
            <w:r w:rsidRPr="007B5BE6">
              <w:rPr>
                <w:i/>
                <w:iCs/>
                <w:sz w:val="20"/>
                <w:szCs w:val="20"/>
              </w:rPr>
              <w:t>Crimes Act 1990</w:t>
            </w:r>
            <w:r w:rsidRPr="007B5BE6">
              <w:rPr>
                <w:sz w:val="20"/>
                <w:szCs w:val="20"/>
              </w:rPr>
              <w:t xml:space="preserve"> (ACT) to abuse or neglect a vulnerable person as defined in </w:t>
            </w:r>
            <w:r w:rsidRPr="007B5BE6">
              <w:rPr>
                <w:i/>
                <w:iCs/>
                <w:sz w:val="20"/>
                <w:szCs w:val="20"/>
              </w:rPr>
              <w:t>Human Rights Commission Act 2005</w:t>
            </w:r>
            <w:r w:rsidRPr="007B5BE6">
              <w:rPr>
                <w:sz w:val="20"/>
                <w:szCs w:val="20"/>
              </w:rPr>
              <w:t xml:space="preserve"> (ACT)</w:t>
            </w:r>
          </w:p>
        </w:tc>
        <w:tc>
          <w:tcPr>
            <w:tcW w:w="1758" w:type="dxa"/>
            <w:shd w:val="clear" w:color="auto" w:fill="FFFFFF" w:themeFill="background1"/>
          </w:tcPr>
          <w:p w14:paraId="28DFD0A6" w14:textId="77777777" w:rsidR="00E7273C" w:rsidRPr="007B5BE6" w:rsidRDefault="00E7273C" w:rsidP="00A17D7A">
            <w:pPr>
              <w:jc w:val="left"/>
              <w:rPr>
                <w:sz w:val="20"/>
                <w:szCs w:val="20"/>
              </w:rPr>
            </w:pPr>
            <w:r w:rsidRPr="007B5BE6">
              <w:rPr>
                <w:sz w:val="20"/>
                <w:szCs w:val="20"/>
              </w:rPr>
              <w:t xml:space="preserve">Non-compliance with Office for Public Guardian or obstruction of investigations </w:t>
            </w:r>
          </w:p>
        </w:tc>
        <w:tc>
          <w:tcPr>
            <w:tcW w:w="1843" w:type="dxa"/>
            <w:shd w:val="clear" w:color="auto" w:fill="FFFFFF" w:themeFill="background1"/>
          </w:tcPr>
          <w:p w14:paraId="2D544354" w14:textId="77777777" w:rsidR="00E7273C" w:rsidRPr="007B5BE6" w:rsidRDefault="00E7273C" w:rsidP="00A17D7A">
            <w:pPr>
              <w:jc w:val="left"/>
              <w:rPr>
                <w:sz w:val="20"/>
                <w:szCs w:val="20"/>
              </w:rPr>
            </w:pPr>
            <w:r w:rsidRPr="007B5BE6">
              <w:rPr>
                <w:sz w:val="20"/>
                <w:szCs w:val="20"/>
              </w:rPr>
              <w:t xml:space="preserve">VACT proceedings and failure to comply, provide false information  </w:t>
            </w:r>
          </w:p>
        </w:tc>
        <w:tc>
          <w:tcPr>
            <w:tcW w:w="1938" w:type="dxa"/>
            <w:shd w:val="clear" w:color="auto" w:fill="FFFFFF" w:themeFill="background1"/>
          </w:tcPr>
          <w:p w14:paraId="14A7AAE3" w14:textId="77777777" w:rsidR="00E7273C" w:rsidRPr="007B5BE6" w:rsidRDefault="00E7273C" w:rsidP="00A17D7A">
            <w:pPr>
              <w:jc w:val="left"/>
              <w:rPr>
                <w:sz w:val="20"/>
                <w:szCs w:val="20"/>
              </w:rPr>
            </w:pPr>
            <w:r w:rsidRPr="007B5BE6">
              <w:rPr>
                <w:sz w:val="20"/>
                <w:szCs w:val="20"/>
              </w:rPr>
              <w:t xml:space="preserve">Disclosure of confidential information </w:t>
            </w:r>
          </w:p>
        </w:tc>
        <w:tc>
          <w:tcPr>
            <w:tcW w:w="1461" w:type="dxa"/>
            <w:shd w:val="clear" w:color="auto" w:fill="FFFFFF" w:themeFill="background1"/>
          </w:tcPr>
          <w:p w14:paraId="7F5370DF" w14:textId="77777777" w:rsidR="00E7273C" w:rsidRPr="007B5BE6" w:rsidRDefault="00E7273C" w:rsidP="00A17D7A">
            <w:pPr>
              <w:jc w:val="left"/>
              <w:rPr>
                <w:sz w:val="20"/>
                <w:szCs w:val="20"/>
              </w:rPr>
            </w:pPr>
            <w:r w:rsidRPr="007B5BE6">
              <w:rPr>
                <w:sz w:val="20"/>
                <w:szCs w:val="20"/>
              </w:rPr>
              <w:t xml:space="preserve">Improper exercise of authority </w:t>
            </w:r>
          </w:p>
          <w:p w14:paraId="3F1E13DF" w14:textId="77777777" w:rsidR="00E7273C" w:rsidRPr="007B5BE6" w:rsidRDefault="00E7273C" w:rsidP="00A17D7A">
            <w:pPr>
              <w:jc w:val="left"/>
              <w:rPr>
                <w:sz w:val="20"/>
                <w:szCs w:val="20"/>
              </w:rPr>
            </w:pPr>
            <w:r w:rsidRPr="007B5BE6">
              <w:rPr>
                <w:sz w:val="20"/>
                <w:szCs w:val="20"/>
              </w:rPr>
              <w:t xml:space="preserve">False representation by guardian </w:t>
            </w:r>
          </w:p>
          <w:p w14:paraId="7FED2B66" w14:textId="77777777" w:rsidR="00E7273C" w:rsidRPr="007B5BE6" w:rsidRDefault="00E7273C" w:rsidP="00A17D7A">
            <w:pPr>
              <w:jc w:val="left"/>
              <w:rPr>
                <w:sz w:val="20"/>
                <w:szCs w:val="20"/>
              </w:rPr>
            </w:pPr>
            <w:r w:rsidRPr="007B5BE6">
              <w:rPr>
                <w:sz w:val="20"/>
                <w:szCs w:val="20"/>
              </w:rPr>
              <w:t xml:space="preserve">Disclosure of confidential information </w:t>
            </w:r>
          </w:p>
        </w:tc>
      </w:tr>
      <w:tr w:rsidR="00E7273C" w:rsidRPr="007B5BE6" w14:paraId="2E4B3AA9" w14:textId="77777777" w:rsidTr="00DA4B23">
        <w:tc>
          <w:tcPr>
            <w:tcW w:w="1375" w:type="dxa"/>
            <w:shd w:val="clear" w:color="auto" w:fill="FFFFFF" w:themeFill="background1"/>
          </w:tcPr>
          <w:p w14:paraId="446B71B2" w14:textId="77777777" w:rsidR="00E7273C" w:rsidRPr="007B5BE6" w:rsidRDefault="00E7273C" w:rsidP="00A17D7A">
            <w:pPr>
              <w:jc w:val="left"/>
              <w:rPr>
                <w:b/>
                <w:bCs/>
                <w:i/>
                <w:iCs/>
                <w:sz w:val="20"/>
                <w:szCs w:val="20"/>
              </w:rPr>
            </w:pPr>
            <w:r w:rsidRPr="007B5BE6">
              <w:rPr>
                <w:b/>
                <w:bCs/>
                <w:i/>
                <w:iCs/>
                <w:sz w:val="20"/>
                <w:szCs w:val="20"/>
              </w:rPr>
              <w:lastRenderedPageBreak/>
              <w:t>Reporting pathways and protective mechanisms</w:t>
            </w:r>
          </w:p>
        </w:tc>
        <w:tc>
          <w:tcPr>
            <w:tcW w:w="1511" w:type="dxa"/>
            <w:shd w:val="clear" w:color="auto" w:fill="FFFFFF" w:themeFill="background1"/>
          </w:tcPr>
          <w:p w14:paraId="7B62EF9B" w14:textId="77777777" w:rsidR="00E7273C" w:rsidRPr="007B5BE6" w:rsidRDefault="00E7273C" w:rsidP="00A17D7A">
            <w:pPr>
              <w:jc w:val="left"/>
              <w:rPr>
                <w:sz w:val="20"/>
                <w:szCs w:val="20"/>
              </w:rPr>
            </w:pPr>
            <w:r w:rsidRPr="007B5BE6">
              <w:rPr>
                <w:sz w:val="20"/>
                <w:szCs w:val="20"/>
              </w:rPr>
              <w:t xml:space="preserve">Reporting is legislatively defined </w:t>
            </w:r>
          </w:p>
          <w:p w14:paraId="1D8EFED4" w14:textId="77777777" w:rsidR="00E7273C" w:rsidRPr="007B5BE6" w:rsidRDefault="00E7273C" w:rsidP="00A17D7A">
            <w:pPr>
              <w:jc w:val="left"/>
              <w:rPr>
                <w:sz w:val="20"/>
                <w:szCs w:val="20"/>
              </w:rPr>
            </w:pPr>
            <w:r w:rsidRPr="007B5BE6">
              <w:rPr>
                <w:sz w:val="20"/>
                <w:szCs w:val="20"/>
              </w:rPr>
              <w:t xml:space="preserve">Power to make applications to Court to seek protection or properly assess abuse or risk of abuse </w:t>
            </w:r>
          </w:p>
          <w:p w14:paraId="11D2C5B0" w14:textId="77777777" w:rsidR="00E7273C" w:rsidRPr="007B5BE6" w:rsidRDefault="00E7273C" w:rsidP="00A17D7A">
            <w:pPr>
              <w:jc w:val="left"/>
              <w:rPr>
                <w:sz w:val="20"/>
                <w:szCs w:val="20"/>
              </w:rPr>
            </w:pPr>
            <w:r w:rsidRPr="007B5BE6">
              <w:rPr>
                <w:sz w:val="20"/>
                <w:szCs w:val="20"/>
              </w:rPr>
              <w:t xml:space="preserve">Court can make interim orders </w:t>
            </w:r>
          </w:p>
          <w:p w14:paraId="5DF6AD07" w14:textId="77777777" w:rsidR="00E7273C" w:rsidRPr="007B5BE6" w:rsidRDefault="00E7273C" w:rsidP="00A17D7A">
            <w:pPr>
              <w:jc w:val="left"/>
              <w:rPr>
                <w:sz w:val="20"/>
                <w:szCs w:val="20"/>
              </w:rPr>
            </w:pPr>
            <w:r w:rsidRPr="007B5BE6">
              <w:rPr>
                <w:sz w:val="20"/>
                <w:szCs w:val="20"/>
              </w:rPr>
              <w:t xml:space="preserve">Court framework in Act for making decisions upon application </w:t>
            </w:r>
          </w:p>
          <w:p w14:paraId="5B58D94E" w14:textId="77777777" w:rsidR="00E7273C" w:rsidRPr="007B5BE6" w:rsidRDefault="00E7273C" w:rsidP="00A17D7A">
            <w:pPr>
              <w:jc w:val="left"/>
              <w:rPr>
                <w:sz w:val="20"/>
                <w:szCs w:val="20"/>
              </w:rPr>
            </w:pPr>
            <w:r w:rsidRPr="007B5BE6">
              <w:rPr>
                <w:sz w:val="20"/>
                <w:szCs w:val="20"/>
              </w:rPr>
              <w:t xml:space="preserve">Adult Safeguarding Unit decisions can be reviewed </w:t>
            </w:r>
          </w:p>
          <w:p w14:paraId="7A957786" w14:textId="77777777" w:rsidR="00E7273C" w:rsidRPr="007B5BE6" w:rsidRDefault="00E7273C" w:rsidP="00A17D7A">
            <w:pPr>
              <w:jc w:val="left"/>
              <w:rPr>
                <w:sz w:val="20"/>
                <w:szCs w:val="20"/>
              </w:rPr>
            </w:pPr>
            <w:r w:rsidRPr="007B5BE6">
              <w:rPr>
                <w:sz w:val="20"/>
                <w:szCs w:val="20"/>
              </w:rPr>
              <w:t xml:space="preserve">Protection and immunity for actions or information provided </w:t>
            </w:r>
          </w:p>
          <w:p w14:paraId="531748FD" w14:textId="77777777" w:rsidR="00E7273C" w:rsidRPr="007B5BE6" w:rsidRDefault="00E7273C" w:rsidP="00A17D7A">
            <w:pPr>
              <w:jc w:val="left"/>
              <w:rPr>
                <w:sz w:val="20"/>
                <w:szCs w:val="20"/>
              </w:rPr>
            </w:pPr>
            <w:r w:rsidRPr="007B5BE6">
              <w:rPr>
                <w:sz w:val="20"/>
                <w:szCs w:val="20"/>
              </w:rPr>
              <w:t xml:space="preserve">Authorised officers </w:t>
            </w:r>
            <w:r w:rsidRPr="007B5BE6">
              <w:rPr>
                <w:sz w:val="20"/>
                <w:szCs w:val="20"/>
              </w:rPr>
              <w:lastRenderedPageBreak/>
              <w:t xml:space="preserve">empowered to investigate </w:t>
            </w:r>
          </w:p>
        </w:tc>
        <w:tc>
          <w:tcPr>
            <w:tcW w:w="1470" w:type="dxa"/>
            <w:shd w:val="clear" w:color="auto" w:fill="FFFFFF" w:themeFill="background1"/>
          </w:tcPr>
          <w:p w14:paraId="3F57EEBF" w14:textId="77777777" w:rsidR="00E7273C" w:rsidRPr="007B5BE6" w:rsidRDefault="00E7273C" w:rsidP="00A17D7A">
            <w:pPr>
              <w:jc w:val="left"/>
              <w:rPr>
                <w:sz w:val="20"/>
                <w:szCs w:val="20"/>
              </w:rPr>
            </w:pPr>
            <w:r w:rsidRPr="007B5BE6">
              <w:rPr>
                <w:sz w:val="20"/>
                <w:szCs w:val="20"/>
              </w:rPr>
              <w:lastRenderedPageBreak/>
              <w:t xml:space="preserve">Elder Abuse Helpline </w:t>
            </w:r>
          </w:p>
          <w:p w14:paraId="2B6EF140" w14:textId="77777777" w:rsidR="00E7273C" w:rsidRPr="007B5BE6" w:rsidRDefault="00E7273C" w:rsidP="00A17D7A">
            <w:pPr>
              <w:jc w:val="left"/>
              <w:rPr>
                <w:sz w:val="20"/>
                <w:szCs w:val="20"/>
              </w:rPr>
            </w:pPr>
            <w:r w:rsidRPr="007B5BE6">
              <w:rPr>
                <w:sz w:val="20"/>
                <w:szCs w:val="20"/>
              </w:rPr>
              <w:t xml:space="preserve">Official Community Visitors Program </w:t>
            </w:r>
          </w:p>
          <w:p w14:paraId="5A29F240" w14:textId="77777777" w:rsidR="00E7273C" w:rsidRPr="007B5BE6" w:rsidRDefault="00E7273C" w:rsidP="00A17D7A">
            <w:pPr>
              <w:jc w:val="left"/>
              <w:rPr>
                <w:sz w:val="20"/>
                <w:szCs w:val="20"/>
              </w:rPr>
            </w:pPr>
            <w:r w:rsidRPr="007B5BE6">
              <w:rPr>
                <w:sz w:val="20"/>
                <w:szCs w:val="20"/>
              </w:rPr>
              <w:t xml:space="preserve">Civil protection for reporters </w:t>
            </w:r>
          </w:p>
          <w:p w14:paraId="163F5E77" w14:textId="77777777" w:rsidR="00E7273C" w:rsidRPr="007B5BE6" w:rsidRDefault="00E7273C" w:rsidP="00A17D7A">
            <w:pPr>
              <w:jc w:val="left"/>
              <w:rPr>
                <w:sz w:val="20"/>
                <w:szCs w:val="20"/>
              </w:rPr>
            </w:pPr>
            <w:r w:rsidRPr="007B5BE6">
              <w:rPr>
                <w:sz w:val="20"/>
                <w:szCs w:val="20"/>
              </w:rPr>
              <w:t xml:space="preserve">Voluntary reporting </w:t>
            </w:r>
          </w:p>
          <w:p w14:paraId="1817AD36" w14:textId="07AACE9C" w:rsidR="00E7273C" w:rsidRPr="007B5BE6" w:rsidRDefault="00E7273C" w:rsidP="00A17D7A">
            <w:pPr>
              <w:jc w:val="left"/>
              <w:rPr>
                <w:b/>
                <w:bCs/>
                <w:sz w:val="20"/>
                <w:szCs w:val="20"/>
              </w:rPr>
            </w:pPr>
          </w:p>
        </w:tc>
        <w:tc>
          <w:tcPr>
            <w:tcW w:w="1683" w:type="dxa"/>
            <w:shd w:val="clear" w:color="auto" w:fill="FFFFFF" w:themeFill="background1"/>
          </w:tcPr>
          <w:p w14:paraId="5F5CAA03" w14:textId="607E1400" w:rsidR="00E7273C" w:rsidRPr="007B5BE6" w:rsidRDefault="00D921D5" w:rsidP="00A17D7A">
            <w:pPr>
              <w:jc w:val="left"/>
              <w:rPr>
                <w:sz w:val="20"/>
                <w:szCs w:val="20"/>
              </w:rPr>
            </w:pPr>
            <w:r w:rsidRPr="007B5BE6">
              <w:rPr>
                <w:sz w:val="20"/>
                <w:szCs w:val="20"/>
              </w:rPr>
              <w:t xml:space="preserve">ACT Human Rights Commission </w:t>
            </w:r>
            <w:r w:rsidR="007767B3" w:rsidRPr="007B5BE6">
              <w:rPr>
                <w:sz w:val="20"/>
                <w:szCs w:val="20"/>
              </w:rPr>
              <w:t>enquiry/complaint</w:t>
            </w:r>
          </w:p>
        </w:tc>
        <w:tc>
          <w:tcPr>
            <w:tcW w:w="1758" w:type="dxa"/>
            <w:shd w:val="clear" w:color="auto" w:fill="FFFFFF" w:themeFill="background1"/>
          </w:tcPr>
          <w:p w14:paraId="00F3142E" w14:textId="77777777" w:rsidR="00E7273C" w:rsidRPr="007B5BE6" w:rsidRDefault="00E7273C" w:rsidP="00A17D7A">
            <w:pPr>
              <w:jc w:val="left"/>
              <w:rPr>
                <w:sz w:val="20"/>
                <w:szCs w:val="20"/>
              </w:rPr>
            </w:pPr>
            <w:r w:rsidRPr="007B5BE6">
              <w:rPr>
                <w:sz w:val="20"/>
                <w:szCs w:val="20"/>
              </w:rPr>
              <w:t xml:space="preserve">Elder Abuse Prevention Unit </w:t>
            </w:r>
          </w:p>
          <w:p w14:paraId="0859C915" w14:textId="77777777" w:rsidR="00E7273C" w:rsidRPr="007B5BE6" w:rsidRDefault="00E7273C" w:rsidP="00A17D7A">
            <w:pPr>
              <w:jc w:val="left"/>
              <w:rPr>
                <w:sz w:val="20"/>
                <w:szCs w:val="20"/>
              </w:rPr>
            </w:pPr>
            <w:r w:rsidRPr="007B5BE6">
              <w:rPr>
                <w:sz w:val="20"/>
                <w:szCs w:val="20"/>
              </w:rPr>
              <w:t xml:space="preserve">Elder Abuse Helpline </w:t>
            </w:r>
          </w:p>
        </w:tc>
        <w:tc>
          <w:tcPr>
            <w:tcW w:w="1843" w:type="dxa"/>
            <w:shd w:val="clear" w:color="auto" w:fill="FFFFFF" w:themeFill="background1"/>
          </w:tcPr>
          <w:p w14:paraId="7783F016" w14:textId="77777777" w:rsidR="00E7273C" w:rsidRPr="007B5BE6" w:rsidRDefault="00E7273C" w:rsidP="00A17D7A">
            <w:pPr>
              <w:jc w:val="left"/>
              <w:rPr>
                <w:sz w:val="20"/>
                <w:szCs w:val="20"/>
              </w:rPr>
            </w:pPr>
            <w:r w:rsidRPr="007B5BE6">
              <w:rPr>
                <w:sz w:val="20"/>
                <w:szCs w:val="20"/>
              </w:rPr>
              <w:t xml:space="preserve">Community Visitors Scheme </w:t>
            </w:r>
          </w:p>
          <w:p w14:paraId="1B9E6FF2" w14:textId="77777777" w:rsidR="00E7273C" w:rsidRPr="007B5BE6" w:rsidRDefault="00E7273C" w:rsidP="00A17D7A">
            <w:pPr>
              <w:jc w:val="left"/>
              <w:rPr>
                <w:sz w:val="20"/>
                <w:szCs w:val="20"/>
              </w:rPr>
            </w:pPr>
            <w:r w:rsidRPr="007B5BE6">
              <w:rPr>
                <w:sz w:val="20"/>
                <w:szCs w:val="20"/>
              </w:rPr>
              <w:t xml:space="preserve">Integrated Elder Abuse Response Strategy includes Integrated Care Model to respond to suspected abuse within health system </w:t>
            </w:r>
          </w:p>
          <w:p w14:paraId="28396105" w14:textId="77777777" w:rsidR="00E7273C" w:rsidRPr="007B5BE6" w:rsidRDefault="00E7273C" w:rsidP="00A17D7A">
            <w:pPr>
              <w:jc w:val="left"/>
              <w:rPr>
                <w:sz w:val="20"/>
                <w:szCs w:val="20"/>
              </w:rPr>
            </w:pPr>
            <w:r w:rsidRPr="007B5BE6">
              <w:rPr>
                <w:sz w:val="20"/>
                <w:szCs w:val="20"/>
              </w:rPr>
              <w:t>Advisory role to government (Commissioner for Senior Victorians and Ambassador for Elder Abuse)</w:t>
            </w:r>
          </w:p>
          <w:p w14:paraId="3C4BC8F2" w14:textId="77777777" w:rsidR="00E7273C" w:rsidRPr="007B5BE6" w:rsidRDefault="00E7273C" w:rsidP="00A17D7A">
            <w:pPr>
              <w:jc w:val="left"/>
              <w:rPr>
                <w:sz w:val="20"/>
                <w:szCs w:val="20"/>
              </w:rPr>
            </w:pPr>
            <w:r w:rsidRPr="007B5BE6">
              <w:rPr>
                <w:sz w:val="20"/>
                <w:szCs w:val="20"/>
              </w:rPr>
              <w:t xml:space="preserve">Seniors Rights Victoria (helpline, legal advice, advocacy and referral) </w:t>
            </w:r>
          </w:p>
        </w:tc>
        <w:tc>
          <w:tcPr>
            <w:tcW w:w="1938" w:type="dxa"/>
            <w:shd w:val="clear" w:color="auto" w:fill="FFFFFF" w:themeFill="background1"/>
          </w:tcPr>
          <w:p w14:paraId="4268B45F" w14:textId="77777777" w:rsidR="00E7273C" w:rsidRPr="007B5BE6" w:rsidRDefault="00E7273C" w:rsidP="00A17D7A">
            <w:pPr>
              <w:jc w:val="left"/>
              <w:rPr>
                <w:sz w:val="20"/>
                <w:szCs w:val="20"/>
              </w:rPr>
            </w:pPr>
            <w:r w:rsidRPr="007B5BE6">
              <w:rPr>
                <w:sz w:val="20"/>
                <w:szCs w:val="20"/>
              </w:rPr>
              <w:t>AdvoCare</w:t>
            </w:r>
          </w:p>
          <w:p w14:paraId="45DC6CCA" w14:textId="77777777" w:rsidR="00E7273C" w:rsidRPr="007B5BE6" w:rsidRDefault="00E7273C" w:rsidP="00A17D7A">
            <w:pPr>
              <w:jc w:val="left"/>
              <w:rPr>
                <w:sz w:val="20"/>
                <w:szCs w:val="20"/>
              </w:rPr>
            </w:pPr>
            <w:r w:rsidRPr="007B5BE6">
              <w:rPr>
                <w:sz w:val="20"/>
                <w:szCs w:val="20"/>
              </w:rPr>
              <w:t xml:space="preserve">Elder Abuse Helpline </w:t>
            </w:r>
          </w:p>
          <w:p w14:paraId="344657C7" w14:textId="77777777" w:rsidR="00E7273C" w:rsidRPr="007B5BE6" w:rsidRDefault="00E7273C" w:rsidP="00A17D7A">
            <w:pPr>
              <w:jc w:val="left"/>
              <w:rPr>
                <w:sz w:val="20"/>
                <w:szCs w:val="20"/>
              </w:rPr>
            </w:pPr>
            <w:r w:rsidRPr="007B5BE6">
              <w:rPr>
                <w:sz w:val="20"/>
                <w:szCs w:val="20"/>
              </w:rPr>
              <w:t xml:space="preserve">APEA: WA Elder Abuse Protocol </w:t>
            </w:r>
          </w:p>
        </w:tc>
        <w:tc>
          <w:tcPr>
            <w:tcW w:w="1461" w:type="dxa"/>
            <w:shd w:val="clear" w:color="auto" w:fill="FFFFFF" w:themeFill="background1"/>
          </w:tcPr>
          <w:p w14:paraId="09A23155" w14:textId="77777777" w:rsidR="00E7273C" w:rsidRPr="007B5BE6" w:rsidRDefault="00E7273C" w:rsidP="00A17D7A">
            <w:pPr>
              <w:jc w:val="left"/>
              <w:rPr>
                <w:sz w:val="20"/>
                <w:szCs w:val="20"/>
              </w:rPr>
            </w:pPr>
            <w:r w:rsidRPr="007B5BE6">
              <w:rPr>
                <w:sz w:val="20"/>
                <w:szCs w:val="20"/>
              </w:rPr>
              <w:t>Elder Abuse Information Line (DCLS)</w:t>
            </w:r>
          </w:p>
        </w:tc>
      </w:tr>
      <w:tr w:rsidR="00E7273C" w:rsidRPr="007B5BE6" w14:paraId="3C8C5217" w14:textId="77777777" w:rsidTr="00DA4B23">
        <w:tc>
          <w:tcPr>
            <w:tcW w:w="1375" w:type="dxa"/>
            <w:shd w:val="clear" w:color="auto" w:fill="FFFFFF" w:themeFill="background1"/>
          </w:tcPr>
          <w:p w14:paraId="17162264" w14:textId="77777777" w:rsidR="00E7273C" w:rsidRPr="007B5BE6" w:rsidRDefault="00E7273C" w:rsidP="00A17D7A">
            <w:pPr>
              <w:jc w:val="left"/>
              <w:rPr>
                <w:b/>
                <w:bCs/>
                <w:i/>
                <w:iCs/>
                <w:sz w:val="20"/>
                <w:szCs w:val="20"/>
              </w:rPr>
            </w:pPr>
            <w:r w:rsidRPr="007B5BE6">
              <w:rPr>
                <w:b/>
                <w:bCs/>
                <w:i/>
                <w:iCs/>
                <w:sz w:val="20"/>
                <w:szCs w:val="20"/>
              </w:rPr>
              <w:t xml:space="preserve">Mandatory reporting </w:t>
            </w:r>
          </w:p>
        </w:tc>
        <w:tc>
          <w:tcPr>
            <w:tcW w:w="1511" w:type="dxa"/>
            <w:shd w:val="clear" w:color="auto" w:fill="FFFFFF" w:themeFill="background1"/>
          </w:tcPr>
          <w:p w14:paraId="64DA3F13" w14:textId="77777777" w:rsidR="00E7273C" w:rsidRPr="007B5BE6" w:rsidRDefault="00E7273C" w:rsidP="00A17D7A">
            <w:pPr>
              <w:jc w:val="left"/>
              <w:rPr>
                <w:sz w:val="20"/>
                <w:szCs w:val="20"/>
              </w:rPr>
            </w:pPr>
            <w:r w:rsidRPr="007B5BE6">
              <w:rPr>
                <w:sz w:val="20"/>
                <w:szCs w:val="20"/>
              </w:rPr>
              <w:t>No</w:t>
            </w:r>
          </w:p>
        </w:tc>
        <w:tc>
          <w:tcPr>
            <w:tcW w:w="1470" w:type="dxa"/>
            <w:shd w:val="clear" w:color="auto" w:fill="FFFFFF" w:themeFill="background1"/>
          </w:tcPr>
          <w:p w14:paraId="23B2B9B6" w14:textId="77777777" w:rsidR="00E7273C" w:rsidRPr="007B5BE6" w:rsidRDefault="00E7273C" w:rsidP="00A17D7A">
            <w:pPr>
              <w:jc w:val="left"/>
              <w:rPr>
                <w:sz w:val="20"/>
                <w:szCs w:val="20"/>
              </w:rPr>
            </w:pPr>
            <w:r w:rsidRPr="007B5BE6">
              <w:rPr>
                <w:sz w:val="20"/>
                <w:szCs w:val="20"/>
              </w:rPr>
              <w:t>No</w:t>
            </w:r>
          </w:p>
        </w:tc>
        <w:tc>
          <w:tcPr>
            <w:tcW w:w="1683" w:type="dxa"/>
            <w:shd w:val="clear" w:color="auto" w:fill="FFFFFF" w:themeFill="background1"/>
          </w:tcPr>
          <w:p w14:paraId="1A8B2D9F" w14:textId="77777777" w:rsidR="00E7273C" w:rsidRPr="007B5BE6" w:rsidRDefault="00E7273C" w:rsidP="00A17D7A">
            <w:pPr>
              <w:jc w:val="left"/>
              <w:rPr>
                <w:sz w:val="20"/>
                <w:szCs w:val="20"/>
              </w:rPr>
            </w:pPr>
            <w:r w:rsidRPr="007B5BE6">
              <w:rPr>
                <w:sz w:val="20"/>
                <w:szCs w:val="20"/>
              </w:rPr>
              <w:t>No</w:t>
            </w:r>
          </w:p>
        </w:tc>
        <w:tc>
          <w:tcPr>
            <w:tcW w:w="1758" w:type="dxa"/>
            <w:shd w:val="clear" w:color="auto" w:fill="FFFFFF" w:themeFill="background1"/>
          </w:tcPr>
          <w:p w14:paraId="6861F092" w14:textId="77777777" w:rsidR="00E7273C" w:rsidRPr="007B5BE6" w:rsidRDefault="00E7273C" w:rsidP="00A17D7A">
            <w:pPr>
              <w:jc w:val="left"/>
              <w:rPr>
                <w:sz w:val="20"/>
                <w:szCs w:val="20"/>
              </w:rPr>
            </w:pPr>
            <w:r w:rsidRPr="007B5BE6">
              <w:rPr>
                <w:sz w:val="20"/>
                <w:szCs w:val="20"/>
              </w:rPr>
              <w:t>No</w:t>
            </w:r>
          </w:p>
        </w:tc>
        <w:tc>
          <w:tcPr>
            <w:tcW w:w="1843" w:type="dxa"/>
            <w:shd w:val="clear" w:color="auto" w:fill="FFFFFF" w:themeFill="background1"/>
          </w:tcPr>
          <w:p w14:paraId="1056F9A4" w14:textId="77777777" w:rsidR="00E7273C" w:rsidRPr="007B5BE6" w:rsidRDefault="00E7273C" w:rsidP="00A17D7A">
            <w:pPr>
              <w:jc w:val="left"/>
              <w:rPr>
                <w:sz w:val="20"/>
                <w:szCs w:val="20"/>
              </w:rPr>
            </w:pPr>
            <w:r w:rsidRPr="007B5BE6">
              <w:rPr>
                <w:sz w:val="20"/>
                <w:szCs w:val="20"/>
              </w:rPr>
              <w:t>No</w:t>
            </w:r>
          </w:p>
        </w:tc>
        <w:tc>
          <w:tcPr>
            <w:tcW w:w="1938" w:type="dxa"/>
            <w:shd w:val="clear" w:color="auto" w:fill="FFFFFF" w:themeFill="background1"/>
          </w:tcPr>
          <w:p w14:paraId="73B3D1EE" w14:textId="77777777" w:rsidR="00E7273C" w:rsidRPr="007B5BE6" w:rsidRDefault="00E7273C" w:rsidP="00A17D7A">
            <w:pPr>
              <w:jc w:val="left"/>
              <w:rPr>
                <w:sz w:val="20"/>
                <w:szCs w:val="20"/>
              </w:rPr>
            </w:pPr>
            <w:r w:rsidRPr="007B5BE6">
              <w:rPr>
                <w:sz w:val="20"/>
                <w:szCs w:val="20"/>
              </w:rPr>
              <w:t>No</w:t>
            </w:r>
          </w:p>
        </w:tc>
        <w:tc>
          <w:tcPr>
            <w:tcW w:w="1461" w:type="dxa"/>
            <w:shd w:val="clear" w:color="auto" w:fill="FFFFFF" w:themeFill="background1"/>
          </w:tcPr>
          <w:p w14:paraId="548990FE" w14:textId="77777777" w:rsidR="00E7273C" w:rsidRPr="007B5BE6" w:rsidRDefault="00E7273C" w:rsidP="00A17D7A">
            <w:pPr>
              <w:jc w:val="left"/>
              <w:rPr>
                <w:sz w:val="20"/>
                <w:szCs w:val="20"/>
              </w:rPr>
            </w:pPr>
            <w:r w:rsidRPr="007B5BE6">
              <w:rPr>
                <w:sz w:val="20"/>
                <w:szCs w:val="20"/>
              </w:rPr>
              <w:t>No</w:t>
            </w:r>
          </w:p>
        </w:tc>
      </w:tr>
      <w:tr w:rsidR="00E7273C" w:rsidRPr="007B5BE6" w14:paraId="662F699F" w14:textId="77777777" w:rsidTr="00DA4B23">
        <w:tc>
          <w:tcPr>
            <w:tcW w:w="1375" w:type="dxa"/>
            <w:shd w:val="clear" w:color="auto" w:fill="FFFFFF" w:themeFill="background1"/>
          </w:tcPr>
          <w:p w14:paraId="6E3612D2" w14:textId="77777777" w:rsidR="00E7273C" w:rsidRPr="007B5BE6" w:rsidRDefault="00E7273C" w:rsidP="00A17D7A">
            <w:pPr>
              <w:jc w:val="left"/>
              <w:rPr>
                <w:b/>
                <w:bCs/>
                <w:i/>
                <w:iCs/>
                <w:sz w:val="20"/>
                <w:szCs w:val="20"/>
              </w:rPr>
            </w:pPr>
            <w:r w:rsidRPr="007B5BE6">
              <w:rPr>
                <w:b/>
                <w:bCs/>
                <w:i/>
                <w:iCs/>
                <w:sz w:val="20"/>
                <w:szCs w:val="20"/>
              </w:rPr>
              <w:t xml:space="preserve">Information sharing </w:t>
            </w:r>
          </w:p>
        </w:tc>
        <w:tc>
          <w:tcPr>
            <w:tcW w:w="1511" w:type="dxa"/>
            <w:shd w:val="clear" w:color="auto" w:fill="FFFFFF" w:themeFill="background1"/>
          </w:tcPr>
          <w:p w14:paraId="30AB19CE" w14:textId="77777777" w:rsidR="00E7273C" w:rsidRPr="007B5BE6" w:rsidRDefault="00E7273C" w:rsidP="00A17D7A">
            <w:pPr>
              <w:jc w:val="left"/>
              <w:rPr>
                <w:sz w:val="20"/>
                <w:szCs w:val="20"/>
              </w:rPr>
            </w:pPr>
            <w:r w:rsidRPr="007B5BE6">
              <w:rPr>
                <w:sz w:val="20"/>
                <w:szCs w:val="20"/>
              </w:rPr>
              <w:t xml:space="preserve">Yes </w:t>
            </w:r>
          </w:p>
          <w:p w14:paraId="2F09C6B5" w14:textId="77777777" w:rsidR="00E7273C" w:rsidRPr="007B5BE6" w:rsidRDefault="00E7273C" w:rsidP="00A17D7A">
            <w:pPr>
              <w:jc w:val="left"/>
              <w:rPr>
                <w:sz w:val="20"/>
                <w:szCs w:val="20"/>
              </w:rPr>
            </w:pPr>
            <w:r w:rsidRPr="007B5BE6">
              <w:rPr>
                <w:sz w:val="20"/>
                <w:szCs w:val="20"/>
              </w:rPr>
              <w:t xml:space="preserve">Unit has power to seek information </w:t>
            </w:r>
          </w:p>
          <w:p w14:paraId="2518E38C" w14:textId="77777777" w:rsidR="00E7273C" w:rsidRPr="007B5BE6" w:rsidRDefault="00E7273C" w:rsidP="00A17D7A">
            <w:pPr>
              <w:jc w:val="left"/>
              <w:rPr>
                <w:sz w:val="20"/>
                <w:szCs w:val="20"/>
              </w:rPr>
            </w:pPr>
            <w:r w:rsidRPr="007B5BE6">
              <w:rPr>
                <w:sz w:val="20"/>
                <w:szCs w:val="20"/>
              </w:rPr>
              <w:t>Provisions for information sharing between Unit and state agencies and other relevant bodies</w:t>
            </w:r>
          </w:p>
          <w:p w14:paraId="46DE4AE0" w14:textId="488CFDEF" w:rsidR="00E7273C" w:rsidRPr="007B5BE6" w:rsidRDefault="00E7273C" w:rsidP="00A17D7A">
            <w:pPr>
              <w:jc w:val="left"/>
              <w:rPr>
                <w:sz w:val="20"/>
                <w:szCs w:val="20"/>
              </w:rPr>
            </w:pPr>
            <w:r w:rsidRPr="007B5BE6">
              <w:rPr>
                <w:sz w:val="20"/>
                <w:szCs w:val="20"/>
              </w:rPr>
              <w:t>Defines pr</w:t>
            </w:r>
            <w:r w:rsidR="00823DBB" w:rsidRPr="007B5BE6">
              <w:rPr>
                <w:sz w:val="20"/>
                <w:szCs w:val="20"/>
              </w:rPr>
              <w:t>e</w:t>
            </w:r>
            <w:r w:rsidRPr="007B5BE6">
              <w:rPr>
                <w:sz w:val="20"/>
                <w:szCs w:val="20"/>
              </w:rPr>
              <w:t xml:space="preserve">scribed information and documents </w:t>
            </w:r>
          </w:p>
          <w:p w14:paraId="58EB451F" w14:textId="77777777" w:rsidR="00E7273C" w:rsidRPr="007B5BE6" w:rsidRDefault="00E7273C" w:rsidP="00A17D7A">
            <w:pPr>
              <w:jc w:val="left"/>
              <w:rPr>
                <w:sz w:val="20"/>
                <w:szCs w:val="20"/>
              </w:rPr>
            </w:pPr>
            <w:r w:rsidRPr="007B5BE6">
              <w:rPr>
                <w:sz w:val="20"/>
                <w:szCs w:val="20"/>
              </w:rPr>
              <w:t>Information sharing includes SACAT</w:t>
            </w:r>
          </w:p>
        </w:tc>
        <w:tc>
          <w:tcPr>
            <w:tcW w:w="1470" w:type="dxa"/>
            <w:shd w:val="clear" w:color="auto" w:fill="FFFFFF" w:themeFill="background1"/>
          </w:tcPr>
          <w:p w14:paraId="54C7969E" w14:textId="77777777" w:rsidR="00E7273C" w:rsidRPr="007B5BE6" w:rsidRDefault="00E7273C" w:rsidP="00A17D7A">
            <w:pPr>
              <w:jc w:val="left"/>
              <w:rPr>
                <w:sz w:val="20"/>
                <w:szCs w:val="20"/>
              </w:rPr>
            </w:pPr>
            <w:r w:rsidRPr="007B5BE6">
              <w:rPr>
                <w:sz w:val="20"/>
                <w:szCs w:val="20"/>
              </w:rPr>
              <w:t xml:space="preserve">Yes </w:t>
            </w:r>
          </w:p>
          <w:p w14:paraId="07EA1BDF" w14:textId="77777777" w:rsidR="00E7273C" w:rsidRPr="007B5BE6" w:rsidRDefault="00E7273C" w:rsidP="00A17D7A">
            <w:pPr>
              <w:jc w:val="left"/>
              <w:rPr>
                <w:sz w:val="20"/>
                <w:szCs w:val="20"/>
              </w:rPr>
            </w:pPr>
            <w:r w:rsidRPr="007B5BE6">
              <w:rPr>
                <w:sz w:val="20"/>
                <w:szCs w:val="20"/>
              </w:rPr>
              <w:t>Provisions allowing exchange of information</w:t>
            </w:r>
          </w:p>
          <w:p w14:paraId="3B3BDFC7" w14:textId="77777777" w:rsidR="00E7273C" w:rsidRPr="007B5BE6" w:rsidRDefault="00E7273C" w:rsidP="00A17D7A">
            <w:pPr>
              <w:jc w:val="left"/>
              <w:rPr>
                <w:sz w:val="20"/>
                <w:szCs w:val="20"/>
              </w:rPr>
            </w:pPr>
            <w:r w:rsidRPr="007B5BE6">
              <w:rPr>
                <w:sz w:val="20"/>
                <w:szCs w:val="20"/>
              </w:rPr>
              <w:t xml:space="preserve">Limits on type of information and definitions of information and agency </w:t>
            </w:r>
          </w:p>
        </w:tc>
        <w:tc>
          <w:tcPr>
            <w:tcW w:w="1683" w:type="dxa"/>
            <w:shd w:val="clear" w:color="auto" w:fill="FFFFFF" w:themeFill="background1"/>
          </w:tcPr>
          <w:p w14:paraId="03049DC1" w14:textId="77777777" w:rsidR="00E7273C" w:rsidRPr="007B5BE6" w:rsidRDefault="00E7273C" w:rsidP="00A17D7A">
            <w:pPr>
              <w:jc w:val="left"/>
              <w:rPr>
                <w:sz w:val="20"/>
                <w:szCs w:val="20"/>
              </w:rPr>
            </w:pPr>
            <w:r w:rsidRPr="007B5BE6">
              <w:rPr>
                <w:sz w:val="20"/>
                <w:szCs w:val="20"/>
              </w:rPr>
              <w:t>Limited provisions for Public Advocate to release information</w:t>
            </w:r>
          </w:p>
        </w:tc>
        <w:tc>
          <w:tcPr>
            <w:tcW w:w="1758" w:type="dxa"/>
            <w:shd w:val="clear" w:color="auto" w:fill="FFFFFF" w:themeFill="background1"/>
          </w:tcPr>
          <w:p w14:paraId="63249B06" w14:textId="77777777" w:rsidR="00E7273C" w:rsidRPr="007B5BE6" w:rsidRDefault="00E7273C" w:rsidP="00A17D7A">
            <w:pPr>
              <w:jc w:val="left"/>
              <w:rPr>
                <w:sz w:val="20"/>
                <w:szCs w:val="20"/>
              </w:rPr>
            </w:pPr>
            <w:r w:rsidRPr="007B5BE6">
              <w:rPr>
                <w:sz w:val="20"/>
                <w:szCs w:val="20"/>
              </w:rPr>
              <w:t>Not specified</w:t>
            </w:r>
          </w:p>
        </w:tc>
        <w:tc>
          <w:tcPr>
            <w:tcW w:w="1843" w:type="dxa"/>
            <w:shd w:val="clear" w:color="auto" w:fill="FFFFFF" w:themeFill="background1"/>
          </w:tcPr>
          <w:p w14:paraId="0E5C31F1" w14:textId="77777777" w:rsidR="00E7273C" w:rsidRPr="007B5BE6" w:rsidRDefault="00E7273C" w:rsidP="00A17D7A">
            <w:pPr>
              <w:jc w:val="left"/>
              <w:rPr>
                <w:sz w:val="20"/>
                <w:szCs w:val="20"/>
              </w:rPr>
            </w:pPr>
            <w:r w:rsidRPr="007B5BE6">
              <w:rPr>
                <w:sz w:val="20"/>
                <w:szCs w:val="20"/>
              </w:rPr>
              <w:t xml:space="preserve">General provisions relating to confidentiality and disclosure of personal information (includes consent-based disclosure if capacity) </w:t>
            </w:r>
          </w:p>
        </w:tc>
        <w:tc>
          <w:tcPr>
            <w:tcW w:w="1938" w:type="dxa"/>
            <w:shd w:val="clear" w:color="auto" w:fill="FFFFFF" w:themeFill="background1"/>
          </w:tcPr>
          <w:p w14:paraId="01F49F3B" w14:textId="77777777" w:rsidR="00E7273C" w:rsidRPr="007B5BE6" w:rsidRDefault="00E7273C" w:rsidP="00A17D7A">
            <w:pPr>
              <w:jc w:val="left"/>
              <w:rPr>
                <w:sz w:val="20"/>
                <w:szCs w:val="20"/>
              </w:rPr>
            </w:pPr>
            <w:r w:rsidRPr="007B5BE6">
              <w:rPr>
                <w:sz w:val="20"/>
                <w:szCs w:val="20"/>
              </w:rPr>
              <w:t xml:space="preserve">General provisions relating to confidentiality for information and consent </w:t>
            </w:r>
          </w:p>
        </w:tc>
        <w:tc>
          <w:tcPr>
            <w:tcW w:w="1461" w:type="dxa"/>
            <w:shd w:val="clear" w:color="auto" w:fill="FFFFFF" w:themeFill="background1"/>
          </w:tcPr>
          <w:p w14:paraId="208D4226" w14:textId="77777777" w:rsidR="00E7273C" w:rsidRPr="007B5BE6" w:rsidRDefault="00E7273C" w:rsidP="00A17D7A">
            <w:pPr>
              <w:jc w:val="left"/>
              <w:rPr>
                <w:sz w:val="20"/>
                <w:szCs w:val="20"/>
              </w:rPr>
            </w:pPr>
            <w:r w:rsidRPr="007B5BE6">
              <w:rPr>
                <w:sz w:val="20"/>
                <w:szCs w:val="20"/>
              </w:rPr>
              <w:t>General provisions relating to confidentiality</w:t>
            </w:r>
          </w:p>
        </w:tc>
      </w:tr>
    </w:tbl>
    <w:p w14:paraId="0C71DE1D" w14:textId="77777777" w:rsidR="00FA1DDF" w:rsidRPr="007B5BE6" w:rsidRDefault="00FA1DDF">
      <w:pPr>
        <w:spacing w:after="200" w:line="276" w:lineRule="auto"/>
        <w:jc w:val="left"/>
      </w:pPr>
    </w:p>
    <w:p w14:paraId="56D341FE" w14:textId="77777777" w:rsidR="003A1D83" w:rsidRPr="007B5BE6" w:rsidRDefault="003A1D83">
      <w:pPr>
        <w:spacing w:after="200" w:line="276" w:lineRule="auto"/>
        <w:jc w:val="left"/>
        <w:sectPr w:rsidR="003A1D83" w:rsidRPr="007B5BE6" w:rsidSect="00FA1DDF">
          <w:pgSz w:w="16838" w:h="11906" w:orient="landscape"/>
          <w:pgMar w:top="1440" w:right="1440" w:bottom="1440" w:left="1440" w:header="708" w:footer="708" w:gutter="0"/>
          <w:cols w:space="708"/>
          <w:docGrid w:linePitch="360"/>
        </w:sectPr>
      </w:pPr>
    </w:p>
    <w:p w14:paraId="0FAE8F23" w14:textId="675B884D" w:rsidR="00B536F5" w:rsidRPr="007B5BE6" w:rsidRDefault="00B536F5" w:rsidP="00B536F5">
      <w:pPr>
        <w:pStyle w:val="Headingunnumbered"/>
      </w:pPr>
      <w:bookmarkStart w:id="653" w:name="_Toc212561855"/>
      <w:r w:rsidRPr="007B5BE6">
        <w:lastRenderedPageBreak/>
        <w:t xml:space="preserve">Appendix </w:t>
      </w:r>
      <w:r w:rsidR="00F4097C" w:rsidRPr="007B5BE6">
        <w:t>F</w:t>
      </w:r>
      <w:r w:rsidRPr="007B5BE6">
        <w:t>: Data on operation and outcomes of adult safeguarding in other jurisdictions</w:t>
      </w:r>
      <w:bookmarkEnd w:id="653"/>
      <w:r w:rsidRPr="007B5BE6">
        <w:t xml:space="preserve"> </w:t>
      </w:r>
    </w:p>
    <w:p w14:paraId="36B5FD65" w14:textId="77777777" w:rsidR="00B536F5" w:rsidRPr="007B5BE6" w:rsidRDefault="00B536F5" w:rsidP="00E80D80">
      <w:pPr>
        <w:pStyle w:val="Sub-HeadingTLRI"/>
        <w:spacing w:before="360"/>
      </w:pPr>
      <w:bookmarkStart w:id="654" w:name="_Toc212561856"/>
      <w:r w:rsidRPr="007B5BE6">
        <w:t>Data on operation of adult safeguarding – South Australia</w:t>
      </w:r>
      <w:bookmarkEnd w:id="654"/>
    </w:p>
    <w:p w14:paraId="7EC6D0B2" w14:textId="456B51D7" w:rsidR="00B536F5" w:rsidRPr="007B5BE6" w:rsidRDefault="00B536F5" w:rsidP="00F76BC6">
      <w:pPr>
        <w:spacing w:before="240" w:after="240"/>
        <w:rPr>
          <w:b/>
          <w:bCs/>
        </w:rPr>
      </w:pPr>
      <w:r w:rsidRPr="007B5BE6">
        <w:rPr>
          <w:b/>
          <w:bCs/>
        </w:rPr>
        <w:t xml:space="preserve">Table </w:t>
      </w:r>
      <w:r w:rsidR="000476AA" w:rsidRPr="007B5BE6">
        <w:rPr>
          <w:b/>
          <w:bCs/>
        </w:rPr>
        <w:t>F.1</w:t>
      </w:r>
      <w:r w:rsidRPr="007B5BE6">
        <w:rPr>
          <w:b/>
          <w:bCs/>
        </w:rPr>
        <w:t>: Outcomes of calls made to the Adult Safeguarding Unit 2021–22: enquiries and closed reports with no further action taken</w:t>
      </w:r>
      <w:r w:rsidR="004D1F32" w:rsidRPr="007B5BE6">
        <w:rPr>
          <w:rStyle w:val="FootnoteReference"/>
          <w:b/>
          <w:bCs/>
        </w:rPr>
        <w:footnoteReference w:id="975"/>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gridCol w:w="3006"/>
      </w:tblGrid>
      <w:tr w:rsidR="00B536F5" w:rsidRPr="007B5BE6" w14:paraId="29658A26" w14:textId="77777777" w:rsidTr="00AE7F20">
        <w:trPr>
          <w:tblHeader/>
        </w:trPr>
        <w:tc>
          <w:tcPr>
            <w:tcW w:w="3005" w:type="dxa"/>
            <w:tcBorders>
              <w:top w:val="single" w:sz="8" w:space="0" w:color="auto"/>
              <w:bottom w:val="single" w:sz="8" w:space="0" w:color="auto"/>
            </w:tcBorders>
            <w:shd w:val="clear" w:color="auto" w:fill="FFFFFF" w:themeFill="background1"/>
          </w:tcPr>
          <w:p w14:paraId="2C414808" w14:textId="77777777" w:rsidR="00B536F5" w:rsidRPr="007B5BE6" w:rsidRDefault="00B536F5" w:rsidP="00C36293">
            <w:pPr>
              <w:jc w:val="left"/>
              <w:rPr>
                <w:b/>
                <w:bCs/>
                <w:sz w:val="20"/>
                <w:szCs w:val="20"/>
              </w:rPr>
            </w:pPr>
            <w:r w:rsidRPr="007B5BE6">
              <w:rPr>
                <w:b/>
                <w:bCs/>
                <w:sz w:val="20"/>
                <w:szCs w:val="20"/>
              </w:rPr>
              <w:t xml:space="preserve">Outcome of calls </w:t>
            </w:r>
          </w:p>
        </w:tc>
        <w:tc>
          <w:tcPr>
            <w:tcW w:w="3005" w:type="dxa"/>
            <w:tcBorders>
              <w:top w:val="single" w:sz="8" w:space="0" w:color="auto"/>
              <w:bottom w:val="single" w:sz="8" w:space="0" w:color="auto"/>
            </w:tcBorders>
            <w:shd w:val="clear" w:color="auto" w:fill="FFFFFF" w:themeFill="background1"/>
          </w:tcPr>
          <w:p w14:paraId="5F752F0D" w14:textId="77777777" w:rsidR="00B536F5" w:rsidRPr="007B5BE6" w:rsidRDefault="00B536F5" w:rsidP="00C36293">
            <w:pPr>
              <w:jc w:val="left"/>
              <w:rPr>
                <w:b/>
                <w:bCs/>
                <w:sz w:val="20"/>
                <w:szCs w:val="20"/>
              </w:rPr>
            </w:pPr>
            <w:r w:rsidRPr="007B5BE6">
              <w:rPr>
                <w:b/>
                <w:bCs/>
                <w:sz w:val="20"/>
                <w:szCs w:val="20"/>
              </w:rPr>
              <w:t xml:space="preserve">Number </w:t>
            </w:r>
          </w:p>
        </w:tc>
        <w:tc>
          <w:tcPr>
            <w:tcW w:w="3006" w:type="dxa"/>
            <w:tcBorders>
              <w:top w:val="single" w:sz="8" w:space="0" w:color="auto"/>
              <w:bottom w:val="single" w:sz="8" w:space="0" w:color="auto"/>
            </w:tcBorders>
            <w:shd w:val="clear" w:color="auto" w:fill="FFFFFF" w:themeFill="background1"/>
          </w:tcPr>
          <w:p w14:paraId="2D9ADEE4" w14:textId="77777777" w:rsidR="00B536F5" w:rsidRPr="007B5BE6" w:rsidRDefault="00B536F5" w:rsidP="00C36293">
            <w:pPr>
              <w:jc w:val="left"/>
              <w:rPr>
                <w:b/>
                <w:bCs/>
                <w:sz w:val="20"/>
                <w:szCs w:val="20"/>
              </w:rPr>
            </w:pPr>
            <w:r w:rsidRPr="007B5BE6">
              <w:rPr>
                <w:b/>
                <w:bCs/>
                <w:sz w:val="20"/>
                <w:szCs w:val="20"/>
              </w:rPr>
              <w:t>%</w:t>
            </w:r>
          </w:p>
        </w:tc>
      </w:tr>
      <w:tr w:rsidR="00B536F5" w:rsidRPr="007B5BE6" w14:paraId="1EDD4797" w14:textId="77777777" w:rsidTr="00C36293">
        <w:tc>
          <w:tcPr>
            <w:tcW w:w="9016" w:type="dxa"/>
            <w:gridSpan w:val="3"/>
          </w:tcPr>
          <w:p w14:paraId="3771ABEC" w14:textId="77777777" w:rsidR="00B536F5" w:rsidRPr="007B5BE6" w:rsidRDefault="00B536F5" w:rsidP="00C36293">
            <w:pPr>
              <w:jc w:val="left"/>
              <w:rPr>
                <w:i/>
                <w:iCs/>
                <w:sz w:val="20"/>
                <w:szCs w:val="20"/>
              </w:rPr>
            </w:pPr>
            <w:r w:rsidRPr="007B5BE6">
              <w:rPr>
                <w:i/>
                <w:iCs/>
                <w:sz w:val="20"/>
                <w:szCs w:val="20"/>
              </w:rPr>
              <w:t>Enquiries – 1,156 total</w:t>
            </w:r>
          </w:p>
        </w:tc>
      </w:tr>
      <w:tr w:rsidR="00B536F5" w:rsidRPr="007B5BE6" w14:paraId="1714DFEA" w14:textId="77777777" w:rsidTr="00C36293">
        <w:tc>
          <w:tcPr>
            <w:tcW w:w="3005" w:type="dxa"/>
          </w:tcPr>
          <w:p w14:paraId="2A1030F1" w14:textId="77777777" w:rsidR="00B536F5" w:rsidRPr="007B5BE6" w:rsidRDefault="00B536F5" w:rsidP="00C36293">
            <w:pPr>
              <w:jc w:val="left"/>
              <w:rPr>
                <w:sz w:val="20"/>
                <w:szCs w:val="20"/>
              </w:rPr>
            </w:pPr>
            <w:r w:rsidRPr="007B5BE6">
              <w:rPr>
                <w:sz w:val="20"/>
                <w:szCs w:val="20"/>
              </w:rPr>
              <w:t xml:space="preserve">Advice/information provided </w:t>
            </w:r>
          </w:p>
        </w:tc>
        <w:tc>
          <w:tcPr>
            <w:tcW w:w="3005" w:type="dxa"/>
          </w:tcPr>
          <w:p w14:paraId="4A325329" w14:textId="77777777" w:rsidR="00B536F5" w:rsidRPr="007B5BE6" w:rsidRDefault="00B536F5" w:rsidP="00C36293">
            <w:pPr>
              <w:jc w:val="left"/>
              <w:rPr>
                <w:sz w:val="20"/>
                <w:szCs w:val="20"/>
              </w:rPr>
            </w:pPr>
            <w:r w:rsidRPr="007B5BE6">
              <w:rPr>
                <w:sz w:val="20"/>
                <w:szCs w:val="20"/>
              </w:rPr>
              <w:t>975</w:t>
            </w:r>
          </w:p>
        </w:tc>
        <w:tc>
          <w:tcPr>
            <w:tcW w:w="3006" w:type="dxa"/>
          </w:tcPr>
          <w:p w14:paraId="07AD1BEC" w14:textId="77777777" w:rsidR="00B536F5" w:rsidRPr="007B5BE6" w:rsidRDefault="00B536F5" w:rsidP="00C36293">
            <w:pPr>
              <w:jc w:val="left"/>
              <w:rPr>
                <w:sz w:val="20"/>
                <w:szCs w:val="20"/>
              </w:rPr>
            </w:pPr>
            <w:r w:rsidRPr="007B5BE6">
              <w:rPr>
                <w:sz w:val="20"/>
                <w:szCs w:val="20"/>
              </w:rPr>
              <w:t>84.3</w:t>
            </w:r>
          </w:p>
        </w:tc>
      </w:tr>
      <w:tr w:rsidR="00B536F5" w:rsidRPr="007B5BE6" w14:paraId="75D1B74E" w14:textId="77777777" w:rsidTr="00C36293">
        <w:tc>
          <w:tcPr>
            <w:tcW w:w="3005" w:type="dxa"/>
          </w:tcPr>
          <w:p w14:paraId="16DEC9CF" w14:textId="77777777" w:rsidR="00B536F5" w:rsidRPr="007B5BE6" w:rsidRDefault="00B536F5" w:rsidP="00C36293">
            <w:pPr>
              <w:jc w:val="left"/>
              <w:rPr>
                <w:sz w:val="20"/>
                <w:szCs w:val="20"/>
              </w:rPr>
            </w:pPr>
            <w:r w:rsidRPr="007B5BE6">
              <w:rPr>
                <w:sz w:val="20"/>
                <w:szCs w:val="20"/>
              </w:rPr>
              <w:t>Assisted referral</w:t>
            </w:r>
          </w:p>
        </w:tc>
        <w:tc>
          <w:tcPr>
            <w:tcW w:w="3005" w:type="dxa"/>
          </w:tcPr>
          <w:p w14:paraId="7BF0CDB5" w14:textId="77777777" w:rsidR="00B536F5" w:rsidRPr="007B5BE6" w:rsidRDefault="00B536F5" w:rsidP="00C36293">
            <w:pPr>
              <w:jc w:val="left"/>
              <w:rPr>
                <w:sz w:val="20"/>
                <w:szCs w:val="20"/>
              </w:rPr>
            </w:pPr>
            <w:r w:rsidRPr="007B5BE6">
              <w:rPr>
                <w:sz w:val="20"/>
                <w:szCs w:val="20"/>
              </w:rPr>
              <w:t>37</w:t>
            </w:r>
          </w:p>
        </w:tc>
        <w:tc>
          <w:tcPr>
            <w:tcW w:w="3006" w:type="dxa"/>
          </w:tcPr>
          <w:p w14:paraId="60108BD8" w14:textId="77777777" w:rsidR="00B536F5" w:rsidRPr="007B5BE6" w:rsidRDefault="00B536F5" w:rsidP="00C36293">
            <w:pPr>
              <w:jc w:val="left"/>
              <w:rPr>
                <w:sz w:val="20"/>
                <w:szCs w:val="20"/>
              </w:rPr>
            </w:pPr>
            <w:r w:rsidRPr="007B5BE6">
              <w:rPr>
                <w:sz w:val="20"/>
                <w:szCs w:val="20"/>
              </w:rPr>
              <w:t>3.2</w:t>
            </w:r>
          </w:p>
        </w:tc>
      </w:tr>
      <w:tr w:rsidR="00B536F5" w:rsidRPr="007B5BE6" w14:paraId="07389321" w14:textId="77777777" w:rsidTr="00C36293">
        <w:tc>
          <w:tcPr>
            <w:tcW w:w="3005" w:type="dxa"/>
          </w:tcPr>
          <w:p w14:paraId="09722360" w14:textId="77777777" w:rsidR="00B536F5" w:rsidRPr="007B5BE6" w:rsidRDefault="00B536F5" w:rsidP="00C36293">
            <w:pPr>
              <w:jc w:val="left"/>
              <w:rPr>
                <w:sz w:val="20"/>
                <w:szCs w:val="20"/>
              </w:rPr>
            </w:pPr>
            <w:r w:rsidRPr="007B5BE6">
              <w:rPr>
                <w:sz w:val="20"/>
                <w:szCs w:val="20"/>
              </w:rPr>
              <w:t>Self-referral</w:t>
            </w:r>
          </w:p>
        </w:tc>
        <w:tc>
          <w:tcPr>
            <w:tcW w:w="3005" w:type="dxa"/>
          </w:tcPr>
          <w:p w14:paraId="7AC3CD0C" w14:textId="77777777" w:rsidR="00B536F5" w:rsidRPr="007B5BE6" w:rsidRDefault="00B536F5" w:rsidP="00C36293">
            <w:pPr>
              <w:jc w:val="left"/>
              <w:rPr>
                <w:sz w:val="20"/>
                <w:szCs w:val="20"/>
              </w:rPr>
            </w:pPr>
            <w:r w:rsidRPr="007B5BE6">
              <w:rPr>
                <w:sz w:val="20"/>
                <w:szCs w:val="20"/>
              </w:rPr>
              <w:t>16</w:t>
            </w:r>
          </w:p>
        </w:tc>
        <w:tc>
          <w:tcPr>
            <w:tcW w:w="3006" w:type="dxa"/>
          </w:tcPr>
          <w:p w14:paraId="449E47E2" w14:textId="77777777" w:rsidR="00B536F5" w:rsidRPr="007B5BE6" w:rsidRDefault="00B536F5" w:rsidP="00C36293">
            <w:pPr>
              <w:jc w:val="left"/>
              <w:rPr>
                <w:sz w:val="20"/>
                <w:szCs w:val="20"/>
              </w:rPr>
            </w:pPr>
            <w:r w:rsidRPr="007B5BE6">
              <w:rPr>
                <w:sz w:val="20"/>
                <w:szCs w:val="20"/>
              </w:rPr>
              <w:t>1.4</w:t>
            </w:r>
          </w:p>
        </w:tc>
      </w:tr>
      <w:tr w:rsidR="00B536F5" w:rsidRPr="007B5BE6" w14:paraId="487BE428" w14:textId="77777777" w:rsidTr="00C36293">
        <w:tc>
          <w:tcPr>
            <w:tcW w:w="3005" w:type="dxa"/>
          </w:tcPr>
          <w:p w14:paraId="20710D4A" w14:textId="77777777" w:rsidR="00B536F5" w:rsidRPr="007B5BE6" w:rsidRDefault="00B536F5" w:rsidP="00C36293">
            <w:pPr>
              <w:jc w:val="left"/>
              <w:rPr>
                <w:sz w:val="20"/>
                <w:szCs w:val="20"/>
              </w:rPr>
            </w:pPr>
            <w:r w:rsidRPr="007B5BE6">
              <w:rPr>
                <w:sz w:val="20"/>
                <w:szCs w:val="20"/>
              </w:rPr>
              <w:t>No action taken</w:t>
            </w:r>
          </w:p>
        </w:tc>
        <w:tc>
          <w:tcPr>
            <w:tcW w:w="3005" w:type="dxa"/>
          </w:tcPr>
          <w:p w14:paraId="2C17A17B" w14:textId="77777777" w:rsidR="00B536F5" w:rsidRPr="007B5BE6" w:rsidRDefault="00B536F5" w:rsidP="00C36293">
            <w:pPr>
              <w:jc w:val="left"/>
              <w:rPr>
                <w:sz w:val="20"/>
                <w:szCs w:val="20"/>
              </w:rPr>
            </w:pPr>
            <w:r w:rsidRPr="007B5BE6">
              <w:rPr>
                <w:sz w:val="20"/>
                <w:szCs w:val="20"/>
              </w:rPr>
              <w:t>128</w:t>
            </w:r>
          </w:p>
        </w:tc>
        <w:tc>
          <w:tcPr>
            <w:tcW w:w="3006" w:type="dxa"/>
          </w:tcPr>
          <w:p w14:paraId="219ABE1B" w14:textId="77777777" w:rsidR="00B536F5" w:rsidRPr="007B5BE6" w:rsidRDefault="00B536F5" w:rsidP="00C36293">
            <w:pPr>
              <w:jc w:val="left"/>
              <w:rPr>
                <w:sz w:val="20"/>
                <w:szCs w:val="20"/>
              </w:rPr>
            </w:pPr>
            <w:r w:rsidRPr="007B5BE6">
              <w:rPr>
                <w:sz w:val="20"/>
                <w:szCs w:val="20"/>
              </w:rPr>
              <w:t>11.1</w:t>
            </w:r>
          </w:p>
        </w:tc>
      </w:tr>
      <w:tr w:rsidR="00B536F5" w:rsidRPr="007B5BE6" w14:paraId="6A3B5A52" w14:textId="77777777" w:rsidTr="00C36293">
        <w:tc>
          <w:tcPr>
            <w:tcW w:w="3005" w:type="dxa"/>
            <w:shd w:val="clear" w:color="auto" w:fill="FFFFFF" w:themeFill="background1"/>
          </w:tcPr>
          <w:p w14:paraId="53EC9DE9" w14:textId="77777777" w:rsidR="00B536F5" w:rsidRPr="007B5BE6" w:rsidRDefault="00B536F5" w:rsidP="00C36293">
            <w:pPr>
              <w:jc w:val="left"/>
              <w:rPr>
                <w:b/>
                <w:bCs/>
                <w:i/>
                <w:iCs/>
                <w:sz w:val="20"/>
                <w:szCs w:val="20"/>
              </w:rPr>
            </w:pPr>
            <w:r w:rsidRPr="007B5BE6">
              <w:rPr>
                <w:b/>
                <w:bCs/>
                <w:i/>
                <w:iCs/>
                <w:sz w:val="20"/>
                <w:szCs w:val="20"/>
              </w:rPr>
              <w:t xml:space="preserve">Total </w:t>
            </w:r>
          </w:p>
        </w:tc>
        <w:tc>
          <w:tcPr>
            <w:tcW w:w="3005" w:type="dxa"/>
            <w:shd w:val="clear" w:color="auto" w:fill="FFFFFF" w:themeFill="background1"/>
          </w:tcPr>
          <w:p w14:paraId="3772C325" w14:textId="77777777" w:rsidR="00B536F5" w:rsidRPr="007B5BE6" w:rsidRDefault="00B536F5" w:rsidP="00C36293">
            <w:pPr>
              <w:jc w:val="left"/>
              <w:rPr>
                <w:b/>
                <w:bCs/>
                <w:i/>
                <w:iCs/>
                <w:sz w:val="20"/>
                <w:szCs w:val="20"/>
              </w:rPr>
            </w:pPr>
            <w:r w:rsidRPr="007B5BE6">
              <w:rPr>
                <w:b/>
                <w:bCs/>
                <w:i/>
                <w:iCs/>
                <w:sz w:val="20"/>
                <w:szCs w:val="20"/>
              </w:rPr>
              <w:t>1,156</w:t>
            </w:r>
          </w:p>
        </w:tc>
        <w:tc>
          <w:tcPr>
            <w:tcW w:w="3006" w:type="dxa"/>
            <w:shd w:val="clear" w:color="auto" w:fill="FFFFFF" w:themeFill="background1"/>
          </w:tcPr>
          <w:p w14:paraId="48B53191" w14:textId="77777777" w:rsidR="00B536F5" w:rsidRPr="007B5BE6" w:rsidRDefault="00B536F5" w:rsidP="00C36293">
            <w:pPr>
              <w:jc w:val="left"/>
              <w:rPr>
                <w:b/>
                <w:bCs/>
                <w:i/>
                <w:iCs/>
                <w:sz w:val="20"/>
                <w:szCs w:val="20"/>
              </w:rPr>
            </w:pPr>
            <w:r w:rsidRPr="007B5BE6">
              <w:rPr>
                <w:b/>
                <w:bCs/>
                <w:i/>
                <w:iCs/>
                <w:sz w:val="20"/>
                <w:szCs w:val="20"/>
              </w:rPr>
              <w:t>100</w:t>
            </w:r>
          </w:p>
        </w:tc>
      </w:tr>
      <w:tr w:rsidR="00B536F5" w:rsidRPr="007B5BE6" w14:paraId="1086DC04" w14:textId="77777777" w:rsidTr="00C36293">
        <w:tc>
          <w:tcPr>
            <w:tcW w:w="9016" w:type="dxa"/>
            <w:gridSpan w:val="3"/>
          </w:tcPr>
          <w:p w14:paraId="0204E30B" w14:textId="77777777" w:rsidR="00B536F5" w:rsidRPr="007B5BE6" w:rsidRDefault="00B536F5" w:rsidP="00C36293">
            <w:pPr>
              <w:jc w:val="left"/>
              <w:rPr>
                <w:i/>
                <w:iCs/>
                <w:sz w:val="20"/>
                <w:szCs w:val="20"/>
              </w:rPr>
            </w:pPr>
            <w:r w:rsidRPr="007B5BE6">
              <w:rPr>
                <w:i/>
                <w:iCs/>
                <w:sz w:val="20"/>
                <w:szCs w:val="20"/>
              </w:rPr>
              <w:t>Reports – 1,113 total of which 909 were closed as Unit determined no further action following assessment (82%)</w:t>
            </w:r>
          </w:p>
        </w:tc>
      </w:tr>
      <w:tr w:rsidR="00B536F5" w:rsidRPr="007B5BE6" w14:paraId="3B17BBBE" w14:textId="77777777" w:rsidTr="00C36293">
        <w:tc>
          <w:tcPr>
            <w:tcW w:w="3005" w:type="dxa"/>
          </w:tcPr>
          <w:p w14:paraId="20B32FB8" w14:textId="77777777" w:rsidR="00B536F5" w:rsidRPr="007B5BE6" w:rsidRDefault="00B536F5" w:rsidP="00C36293">
            <w:pPr>
              <w:jc w:val="left"/>
              <w:rPr>
                <w:sz w:val="20"/>
                <w:szCs w:val="20"/>
              </w:rPr>
            </w:pPr>
            <w:r w:rsidRPr="007B5BE6">
              <w:rPr>
                <w:sz w:val="20"/>
                <w:szCs w:val="20"/>
              </w:rPr>
              <w:t>Appropriately managed / safeguarded</w:t>
            </w:r>
          </w:p>
        </w:tc>
        <w:tc>
          <w:tcPr>
            <w:tcW w:w="3005" w:type="dxa"/>
          </w:tcPr>
          <w:p w14:paraId="153A5B0C" w14:textId="77777777" w:rsidR="00B536F5" w:rsidRPr="007B5BE6" w:rsidRDefault="00B536F5" w:rsidP="00C36293">
            <w:pPr>
              <w:jc w:val="left"/>
              <w:rPr>
                <w:sz w:val="20"/>
                <w:szCs w:val="20"/>
              </w:rPr>
            </w:pPr>
            <w:r w:rsidRPr="007B5BE6">
              <w:rPr>
                <w:sz w:val="20"/>
                <w:szCs w:val="20"/>
              </w:rPr>
              <w:t>Not provided</w:t>
            </w:r>
          </w:p>
        </w:tc>
        <w:tc>
          <w:tcPr>
            <w:tcW w:w="3006" w:type="dxa"/>
          </w:tcPr>
          <w:p w14:paraId="7AC38D7C" w14:textId="77777777" w:rsidR="00B536F5" w:rsidRPr="007B5BE6" w:rsidRDefault="00B536F5" w:rsidP="00C36293">
            <w:pPr>
              <w:jc w:val="left"/>
              <w:rPr>
                <w:sz w:val="20"/>
                <w:szCs w:val="20"/>
              </w:rPr>
            </w:pPr>
            <w:r w:rsidRPr="007B5BE6">
              <w:rPr>
                <w:sz w:val="20"/>
                <w:szCs w:val="20"/>
              </w:rPr>
              <w:t>40.4</w:t>
            </w:r>
          </w:p>
        </w:tc>
      </w:tr>
      <w:tr w:rsidR="00B536F5" w:rsidRPr="007B5BE6" w14:paraId="758FA4CE" w14:textId="77777777" w:rsidTr="00C36293">
        <w:tc>
          <w:tcPr>
            <w:tcW w:w="3005" w:type="dxa"/>
          </w:tcPr>
          <w:p w14:paraId="188A3EDE" w14:textId="77777777" w:rsidR="00B536F5" w:rsidRPr="007B5BE6" w:rsidRDefault="00B536F5" w:rsidP="00C36293">
            <w:pPr>
              <w:jc w:val="left"/>
              <w:rPr>
                <w:sz w:val="20"/>
                <w:szCs w:val="20"/>
              </w:rPr>
            </w:pPr>
            <w:r w:rsidRPr="007B5BE6">
              <w:rPr>
                <w:sz w:val="20"/>
                <w:szCs w:val="20"/>
              </w:rPr>
              <w:t xml:space="preserve">After assessment no abuse identified </w:t>
            </w:r>
          </w:p>
        </w:tc>
        <w:tc>
          <w:tcPr>
            <w:tcW w:w="3005" w:type="dxa"/>
          </w:tcPr>
          <w:p w14:paraId="0A9A9222" w14:textId="77777777" w:rsidR="00B536F5" w:rsidRPr="007B5BE6" w:rsidRDefault="00B536F5" w:rsidP="00C36293">
            <w:pPr>
              <w:jc w:val="left"/>
              <w:rPr>
                <w:sz w:val="20"/>
                <w:szCs w:val="20"/>
              </w:rPr>
            </w:pPr>
            <w:r w:rsidRPr="007B5BE6">
              <w:rPr>
                <w:sz w:val="20"/>
                <w:szCs w:val="20"/>
              </w:rPr>
              <w:t>Not provided</w:t>
            </w:r>
          </w:p>
        </w:tc>
        <w:tc>
          <w:tcPr>
            <w:tcW w:w="3006" w:type="dxa"/>
          </w:tcPr>
          <w:p w14:paraId="66E4E0C4" w14:textId="77777777" w:rsidR="00B536F5" w:rsidRPr="007B5BE6" w:rsidRDefault="00B536F5" w:rsidP="00C36293">
            <w:pPr>
              <w:jc w:val="left"/>
              <w:rPr>
                <w:sz w:val="20"/>
                <w:szCs w:val="20"/>
              </w:rPr>
            </w:pPr>
            <w:r w:rsidRPr="007B5BE6">
              <w:rPr>
                <w:sz w:val="20"/>
                <w:szCs w:val="20"/>
              </w:rPr>
              <w:t>19.4</w:t>
            </w:r>
          </w:p>
        </w:tc>
      </w:tr>
      <w:tr w:rsidR="00B536F5" w:rsidRPr="007B5BE6" w14:paraId="0EEE2C81" w14:textId="77777777" w:rsidTr="00C36293">
        <w:tc>
          <w:tcPr>
            <w:tcW w:w="3005" w:type="dxa"/>
          </w:tcPr>
          <w:p w14:paraId="22B2585E" w14:textId="77777777" w:rsidR="00B536F5" w:rsidRPr="007B5BE6" w:rsidRDefault="00B536F5" w:rsidP="00C36293">
            <w:pPr>
              <w:jc w:val="left"/>
              <w:rPr>
                <w:sz w:val="20"/>
                <w:szCs w:val="20"/>
              </w:rPr>
            </w:pPr>
            <w:r w:rsidRPr="007B5BE6">
              <w:rPr>
                <w:sz w:val="20"/>
                <w:szCs w:val="20"/>
              </w:rPr>
              <w:t>Consent not provided after initial contact</w:t>
            </w:r>
          </w:p>
        </w:tc>
        <w:tc>
          <w:tcPr>
            <w:tcW w:w="3005" w:type="dxa"/>
          </w:tcPr>
          <w:p w14:paraId="2EF4C66C" w14:textId="77777777" w:rsidR="00B536F5" w:rsidRPr="007B5BE6" w:rsidRDefault="00B536F5" w:rsidP="00C36293">
            <w:pPr>
              <w:jc w:val="left"/>
              <w:rPr>
                <w:sz w:val="20"/>
                <w:szCs w:val="20"/>
              </w:rPr>
            </w:pPr>
            <w:r w:rsidRPr="007B5BE6">
              <w:rPr>
                <w:sz w:val="20"/>
                <w:szCs w:val="20"/>
              </w:rPr>
              <w:t>Not provided</w:t>
            </w:r>
          </w:p>
        </w:tc>
        <w:tc>
          <w:tcPr>
            <w:tcW w:w="3006" w:type="dxa"/>
          </w:tcPr>
          <w:p w14:paraId="7F6CE084" w14:textId="77777777" w:rsidR="00B536F5" w:rsidRPr="007B5BE6" w:rsidRDefault="00B536F5" w:rsidP="00C36293">
            <w:pPr>
              <w:jc w:val="left"/>
              <w:rPr>
                <w:sz w:val="20"/>
                <w:szCs w:val="20"/>
              </w:rPr>
            </w:pPr>
            <w:r w:rsidRPr="007B5BE6">
              <w:rPr>
                <w:sz w:val="20"/>
                <w:szCs w:val="20"/>
              </w:rPr>
              <w:t>9.1</w:t>
            </w:r>
          </w:p>
        </w:tc>
      </w:tr>
      <w:tr w:rsidR="00B536F5" w:rsidRPr="007B5BE6" w14:paraId="7FA84AF4" w14:textId="77777777" w:rsidTr="00C36293">
        <w:tc>
          <w:tcPr>
            <w:tcW w:w="3005" w:type="dxa"/>
          </w:tcPr>
          <w:p w14:paraId="622E10C6" w14:textId="77777777" w:rsidR="00B536F5" w:rsidRPr="007B5BE6" w:rsidRDefault="00B536F5" w:rsidP="00C36293">
            <w:pPr>
              <w:jc w:val="left"/>
              <w:rPr>
                <w:sz w:val="20"/>
                <w:szCs w:val="20"/>
              </w:rPr>
            </w:pPr>
            <w:r w:rsidRPr="007B5BE6">
              <w:rPr>
                <w:sz w:val="20"/>
                <w:szCs w:val="20"/>
              </w:rPr>
              <w:t xml:space="preserve">Safeguarding actions completed </w:t>
            </w:r>
          </w:p>
        </w:tc>
        <w:tc>
          <w:tcPr>
            <w:tcW w:w="3005" w:type="dxa"/>
          </w:tcPr>
          <w:p w14:paraId="1C4679D0" w14:textId="77777777" w:rsidR="00B536F5" w:rsidRPr="007B5BE6" w:rsidRDefault="00B536F5" w:rsidP="00C36293">
            <w:pPr>
              <w:jc w:val="left"/>
              <w:rPr>
                <w:sz w:val="20"/>
                <w:szCs w:val="20"/>
              </w:rPr>
            </w:pPr>
            <w:r w:rsidRPr="007B5BE6">
              <w:rPr>
                <w:sz w:val="20"/>
                <w:szCs w:val="20"/>
              </w:rPr>
              <w:t>Not provided</w:t>
            </w:r>
          </w:p>
        </w:tc>
        <w:tc>
          <w:tcPr>
            <w:tcW w:w="3006" w:type="dxa"/>
          </w:tcPr>
          <w:p w14:paraId="56BBDA08" w14:textId="77777777" w:rsidR="00B536F5" w:rsidRPr="007B5BE6" w:rsidRDefault="00B536F5" w:rsidP="00C36293">
            <w:pPr>
              <w:jc w:val="left"/>
              <w:rPr>
                <w:sz w:val="20"/>
                <w:szCs w:val="20"/>
              </w:rPr>
            </w:pPr>
            <w:r w:rsidRPr="007B5BE6">
              <w:rPr>
                <w:sz w:val="20"/>
                <w:szCs w:val="20"/>
              </w:rPr>
              <w:t xml:space="preserve">7.7 </w:t>
            </w:r>
          </w:p>
        </w:tc>
      </w:tr>
      <w:tr w:rsidR="00B536F5" w:rsidRPr="007B5BE6" w14:paraId="5000CC8A" w14:textId="77777777" w:rsidTr="00C36293">
        <w:tc>
          <w:tcPr>
            <w:tcW w:w="3005" w:type="dxa"/>
          </w:tcPr>
          <w:p w14:paraId="765081FA" w14:textId="77777777" w:rsidR="00B536F5" w:rsidRPr="007B5BE6" w:rsidRDefault="00B536F5" w:rsidP="00C36293">
            <w:pPr>
              <w:jc w:val="left"/>
              <w:rPr>
                <w:sz w:val="20"/>
                <w:szCs w:val="20"/>
              </w:rPr>
            </w:pPr>
            <w:r w:rsidRPr="007B5BE6">
              <w:rPr>
                <w:sz w:val="20"/>
                <w:szCs w:val="20"/>
              </w:rPr>
              <w:t>Safeguarding advice provided, declined further assistance</w:t>
            </w:r>
          </w:p>
        </w:tc>
        <w:tc>
          <w:tcPr>
            <w:tcW w:w="3005" w:type="dxa"/>
          </w:tcPr>
          <w:p w14:paraId="09974018" w14:textId="77777777" w:rsidR="00B536F5" w:rsidRPr="007B5BE6" w:rsidRDefault="00B536F5" w:rsidP="00C36293">
            <w:pPr>
              <w:jc w:val="left"/>
              <w:rPr>
                <w:sz w:val="20"/>
                <w:szCs w:val="20"/>
              </w:rPr>
            </w:pPr>
            <w:r w:rsidRPr="007B5BE6">
              <w:rPr>
                <w:sz w:val="20"/>
                <w:szCs w:val="20"/>
              </w:rPr>
              <w:t>Not provided</w:t>
            </w:r>
          </w:p>
        </w:tc>
        <w:tc>
          <w:tcPr>
            <w:tcW w:w="3006" w:type="dxa"/>
          </w:tcPr>
          <w:p w14:paraId="0A829E55" w14:textId="77777777" w:rsidR="00B536F5" w:rsidRPr="007B5BE6" w:rsidRDefault="00B536F5" w:rsidP="00C36293">
            <w:pPr>
              <w:jc w:val="left"/>
              <w:rPr>
                <w:sz w:val="20"/>
                <w:szCs w:val="20"/>
              </w:rPr>
            </w:pPr>
            <w:r w:rsidRPr="007B5BE6">
              <w:rPr>
                <w:sz w:val="20"/>
                <w:szCs w:val="20"/>
              </w:rPr>
              <w:t>7.7</w:t>
            </w:r>
          </w:p>
        </w:tc>
      </w:tr>
      <w:tr w:rsidR="00B536F5" w:rsidRPr="007B5BE6" w14:paraId="63D3B6A7" w14:textId="77777777" w:rsidTr="00C36293">
        <w:tc>
          <w:tcPr>
            <w:tcW w:w="3005" w:type="dxa"/>
          </w:tcPr>
          <w:p w14:paraId="49B3A3AC" w14:textId="77777777" w:rsidR="00B536F5" w:rsidRPr="007B5BE6" w:rsidRDefault="00B536F5" w:rsidP="00C36293">
            <w:pPr>
              <w:jc w:val="left"/>
              <w:rPr>
                <w:sz w:val="20"/>
                <w:szCs w:val="20"/>
              </w:rPr>
            </w:pPr>
            <w:r w:rsidRPr="007B5BE6">
              <w:rPr>
                <w:sz w:val="20"/>
                <w:szCs w:val="20"/>
              </w:rPr>
              <w:t>Safeguarding advice provided, no further assistance required</w:t>
            </w:r>
          </w:p>
        </w:tc>
        <w:tc>
          <w:tcPr>
            <w:tcW w:w="3005" w:type="dxa"/>
          </w:tcPr>
          <w:p w14:paraId="0B9AD9A6" w14:textId="77777777" w:rsidR="00B536F5" w:rsidRPr="007B5BE6" w:rsidRDefault="00B536F5" w:rsidP="00C36293">
            <w:pPr>
              <w:jc w:val="left"/>
              <w:rPr>
                <w:sz w:val="20"/>
                <w:szCs w:val="20"/>
              </w:rPr>
            </w:pPr>
            <w:r w:rsidRPr="007B5BE6">
              <w:rPr>
                <w:sz w:val="20"/>
                <w:szCs w:val="20"/>
              </w:rPr>
              <w:t>Not provided</w:t>
            </w:r>
          </w:p>
        </w:tc>
        <w:tc>
          <w:tcPr>
            <w:tcW w:w="3006" w:type="dxa"/>
          </w:tcPr>
          <w:p w14:paraId="4E9C78D1" w14:textId="77777777" w:rsidR="00B536F5" w:rsidRPr="007B5BE6" w:rsidRDefault="00B536F5" w:rsidP="00C36293">
            <w:pPr>
              <w:jc w:val="left"/>
              <w:rPr>
                <w:sz w:val="20"/>
                <w:szCs w:val="20"/>
              </w:rPr>
            </w:pPr>
            <w:r w:rsidRPr="007B5BE6">
              <w:rPr>
                <w:sz w:val="20"/>
                <w:szCs w:val="20"/>
              </w:rPr>
              <w:t>4.7</w:t>
            </w:r>
          </w:p>
        </w:tc>
      </w:tr>
      <w:tr w:rsidR="00B536F5" w:rsidRPr="007B5BE6" w14:paraId="0687C425" w14:textId="77777777" w:rsidTr="00C36293">
        <w:tc>
          <w:tcPr>
            <w:tcW w:w="3005" w:type="dxa"/>
          </w:tcPr>
          <w:p w14:paraId="4C12FE82" w14:textId="77777777" w:rsidR="00B536F5" w:rsidRPr="007B5BE6" w:rsidRDefault="00B536F5" w:rsidP="00C36293">
            <w:pPr>
              <w:jc w:val="left"/>
              <w:rPr>
                <w:sz w:val="20"/>
                <w:szCs w:val="20"/>
              </w:rPr>
            </w:pPr>
            <w:r w:rsidRPr="007B5BE6">
              <w:rPr>
                <w:sz w:val="20"/>
                <w:szCs w:val="20"/>
              </w:rPr>
              <w:t>Client deceased</w:t>
            </w:r>
          </w:p>
        </w:tc>
        <w:tc>
          <w:tcPr>
            <w:tcW w:w="3005" w:type="dxa"/>
          </w:tcPr>
          <w:p w14:paraId="0FBA92E7" w14:textId="77777777" w:rsidR="00B536F5" w:rsidRPr="007B5BE6" w:rsidRDefault="00B536F5" w:rsidP="00C36293">
            <w:pPr>
              <w:jc w:val="left"/>
              <w:rPr>
                <w:sz w:val="20"/>
                <w:szCs w:val="20"/>
              </w:rPr>
            </w:pPr>
            <w:r w:rsidRPr="007B5BE6">
              <w:rPr>
                <w:sz w:val="20"/>
                <w:szCs w:val="20"/>
              </w:rPr>
              <w:t>Not provided</w:t>
            </w:r>
          </w:p>
        </w:tc>
        <w:tc>
          <w:tcPr>
            <w:tcW w:w="3006" w:type="dxa"/>
          </w:tcPr>
          <w:p w14:paraId="03A25AF3" w14:textId="77777777" w:rsidR="00B536F5" w:rsidRPr="007B5BE6" w:rsidRDefault="00B536F5" w:rsidP="00C36293">
            <w:pPr>
              <w:jc w:val="left"/>
              <w:rPr>
                <w:sz w:val="20"/>
                <w:szCs w:val="20"/>
              </w:rPr>
            </w:pPr>
            <w:r w:rsidRPr="007B5BE6">
              <w:rPr>
                <w:sz w:val="20"/>
                <w:szCs w:val="20"/>
              </w:rPr>
              <w:t>3.1</w:t>
            </w:r>
          </w:p>
        </w:tc>
      </w:tr>
      <w:tr w:rsidR="00B536F5" w:rsidRPr="007B5BE6" w14:paraId="07092C13" w14:textId="77777777" w:rsidTr="00C36293">
        <w:tc>
          <w:tcPr>
            <w:tcW w:w="3005" w:type="dxa"/>
          </w:tcPr>
          <w:p w14:paraId="217C64D5" w14:textId="77777777" w:rsidR="00B536F5" w:rsidRPr="007B5BE6" w:rsidRDefault="00B536F5" w:rsidP="00C36293">
            <w:pPr>
              <w:jc w:val="left"/>
              <w:rPr>
                <w:sz w:val="20"/>
                <w:szCs w:val="20"/>
              </w:rPr>
            </w:pPr>
            <w:r w:rsidRPr="007B5BE6">
              <w:rPr>
                <w:sz w:val="20"/>
                <w:szCs w:val="20"/>
              </w:rPr>
              <w:t xml:space="preserve">More appropriate statutory/regulatory response required </w:t>
            </w:r>
          </w:p>
        </w:tc>
        <w:tc>
          <w:tcPr>
            <w:tcW w:w="3005" w:type="dxa"/>
          </w:tcPr>
          <w:p w14:paraId="3C350B5B" w14:textId="77777777" w:rsidR="00B536F5" w:rsidRPr="007B5BE6" w:rsidRDefault="00B536F5" w:rsidP="00C36293">
            <w:pPr>
              <w:jc w:val="left"/>
              <w:rPr>
                <w:sz w:val="20"/>
                <w:szCs w:val="20"/>
              </w:rPr>
            </w:pPr>
            <w:r w:rsidRPr="007B5BE6">
              <w:rPr>
                <w:sz w:val="20"/>
                <w:szCs w:val="20"/>
              </w:rPr>
              <w:t>Not provided</w:t>
            </w:r>
          </w:p>
        </w:tc>
        <w:tc>
          <w:tcPr>
            <w:tcW w:w="3006" w:type="dxa"/>
          </w:tcPr>
          <w:p w14:paraId="5A0182F1" w14:textId="77777777" w:rsidR="00B536F5" w:rsidRPr="007B5BE6" w:rsidRDefault="00B536F5" w:rsidP="00C36293">
            <w:pPr>
              <w:jc w:val="left"/>
              <w:rPr>
                <w:sz w:val="20"/>
                <w:szCs w:val="20"/>
              </w:rPr>
            </w:pPr>
            <w:r w:rsidRPr="007B5BE6">
              <w:rPr>
                <w:sz w:val="20"/>
                <w:szCs w:val="20"/>
              </w:rPr>
              <w:t>0.9</w:t>
            </w:r>
          </w:p>
        </w:tc>
      </w:tr>
      <w:tr w:rsidR="00B536F5" w:rsidRPr="007B5BE6" w14:paraId="79992223" w14:textId="77777777" w:rsidTr="00C36293">
        <w:tc>
          <w:tcPr>
            <w:tcW w:w="3005" w:type="dxa"/>
          </w:tcPr>
          <w:p w14:paraId="05EC8430" w14:textId="77777777" w:rsidR="00B536F5" w:rsidRPr="007B5BE6" w:rsidRDefault="00B536F5" w:rsidP="00C36293">
            <w:pPr>
              <w:jc w:val="left"/>
              <w:rPr>
                <w:sz w:val="20"/>
                <w:szCs w:val="20"/>
              </w:rPr>
            </w:pPr>
            <w:r w:rsidRPr="007B5BE6">
              <w:rPr>
                <w:sz w:val="20"/>
                <w:szCs w:val="20"/>
              </w:rPr>
              <w:t>Does not meet remit</w:t>
            </w:r>
          </w:p>
        </w:tc>
        <w:tc>
          <w:tcPr>
            <w:tcW w:w="3005" w:type="dxa"/>
          </w:tcPr>
          <w:p w14:paraId="5D97CA27" w14:textId="77777777" w:rsidR="00B536F5" w:rsidRPr="007B5BE6" w:rsidRDefault="00B536F5" w:rsidP="00C36293">
            <w:pPr>
              <w:jc w:val="left"/>
              <w:rPr>
                <w:sz w:val="20"/>
                <w:szCs w:val="20"/>
              </w:rPr>
            </w:pPr>
            <w:r w:rsidRPr="007B5BE6">
              <w:rPr>
                <w:sz w:val="20"/>
                <w:szCs w:val="20"/>
              </w:rPr>
              <w:t>Not provided</w:t>
            </w:r>
          </w:p>
        </w:tc>
        <w:tc>
          <w:tcPr>
            <w:tcW w:w="3006" w:type="dxa"/>
          </w:tcPr>
          <w:p w14:paraId="23331429" w14:textId="77777777" w:rsidR="00B536F5" w:rsidRPr="007B5BE6" w:rsidRDefault="00B536F5" w:rsidP="00C36293">
            <w:pPr>
              <w:jc w:val="left"/>
              <w:rPr>
                <w:sz w:val="20"/>
                <w:szCs w:val="20"/>
              </w:rPr>
            </w:pPr>
            <w:r w:rsidRPr="007B5BE6">
              <w:rPr>
                <w:sz w:val="20"/>
                <w:szCs w:val="20"/>
              </w:rPr>
              <w:t>1.4</w:t>
            </w:r>
          </w:p>
        </w:tc>
      </w:tr>
      <w:tr w:rsidR="00B536F5" w:rsidRPr="007B5BE6" w14:paraId="10C5F98E" w14:textId="77777777" w:rsidTr="00C36293">
        <w:tc>
          <w:tcPr>
            <w:tcW w:w="3005" w:type="dxa"/>
          </w:tcPr>
          <w:p w14:paraId="02BF903B" w14:textId="77777777" w:rsidR="00B536F5" w:rsidRPr="007B5BE6" w:rsidRDefault="00B536F5" w:rsidP="00C36293">
            <w:pPr>
              <w:jc w:val="left"/>
              <w:rPr>
                <w:sz w:val="20"/>
                <w:szCs w:val="20"/>
              </w:rPr>
            </w:pPr>
            <w:r w:rsidRPr="007B5BE6">
              <w:rPr>
                <w:sz w:val="20"/>
                <w:szCs w:val="20"/>
              </w:rPr>
              <w:t>Previously dealt with</w:t>
            </w:r>
          </w:p>
        </w:tc>
        <w:tc>
          <w:tcPr>
            <w:tcW w:w="3005" w:type="dxa"/>
          </w:tcPr>
          <w:p w14:paraId="0A0CD020" w14:textId="77777777" w:rsidR="00B536F5" w:rsidRPr="007B5BE6" w:rsidRDefault="00B536F5" w:rsidP="00C36293">
            <w:pPr>
              <w:jc w:val="left"/>
              <w:rPr>
                <w:sz w:val="20"/>
                <w:szCs w:val="20"/>
              </w:rPr>
            </w:pPr>
            <w:r w:rsidRPr="007B5BE6">
              <w:rPr>
                <w:sz w:val="20"/>
                <w:szCs w:val="20"/>
              </w:rPr>
              <w:t>Not provided</w:t>
            </w:r>
          </w:p>
        </w:tc>
        <w:tc>
          <w:tcPr>
            <w:tcW w:w="3006" w:type="dxa"/>
          </w:tcPr>
          <w:p w14:paraId="289900F2" w14:textId="77777777" w:rsidR="00B536F5" w:rsidRPr="007B5BE6" w:rsidRDefault="00B536F5" w:rsidP="00C36293">
            <w:pPr>
              <w:jc w:val="left"/>
              <w:rPr>
                <w:sz w:val="20"/>
                <w:szCs w:val="20"/>
              </w:rPr>
            </w:pPr>
            <w:r w:rsidRPr="007B5BE6">
              <w:rPr>
                <w:sz w:val="20"/>
                <w:szCs w:val="20"/>
              </w:rPr>
              <w:t>1.0</w:t>
            </w:r>
          </w:p>
        </w:tc>
      </w:tr>
      <w:tr w:rsidR="00B536F5" w:rsidRPr="007B5BE6" w14:paraId="26CA5825" w14:textId="77777777" w:rsidTr="00C36293">
        <w:tc>
          <w:tcPr>
            <w:tcW w:w="3005" w:type="dxa"/>
          </w:tcPr>
          <w:p w14:paraId="16038947" w14:textId="77777777" w:rsidR="00B536F5" w:rsidRPr="007B5BE6" w:rsidRDefault="00B536F5" w:rsidP="00C36293">
            <w:pPr>
              <w:jc w:val="left"/>
              <w:rPr>
                <w:sz w:val="20"/>
                <w:szCs w:val="20"/>
              </w:rPr>
            </w:pPr>
            <w:r w:rsidRPr="007B5BE6">
              <w:rPr>
                <w:sz w:val="20"/>
                <w:szCs w:val="20"/>
              </w:rPr>
              <w:t>Report is trivial, vexatious, frivolous</w:t>
            </w:r>
          </w:p>
        </w:tc>
        <w:tc>
          <w:tcPr>
            <w:tcW w:w="3005" w:type="dxa"/>
          </w:tcPr>
          <w:p w14:paraId="20B62BF8" w14:textId="77777777" w:rsidR="00B536F5" w:rsidRPr="007B5BE6" w:rsidRDefault="00B536F5" w:rsidP="00C36293">
            <w:pPr>
              <w:jc w:val="left"/>
              <w:rPr>
                <w:sz w:val="20"/>
                <w:szCs w:val="20"/>
              </w:rPr>
            </w:pPr>
            <w:r w:rsidRPr="007B5BE6">
              <w:rPr>
                <w:sz w:val="20"/>
                <w:szCs w:val="20"/>
              </w:rPr>
              <w:t>Not provided</w:t>
            </w:r>
          </w:p>
        </w:tc>
        <w:tc>
          <w:tcPr>
            <w:tcW w:w="3006" w:type="dxa"/>
          </w:tcPr>
          <w:p w14:paraId="07C189A6" w14:textId="77777777" w:rsidR="00B536F5" w:rsidRPr="007B5BE6" w:rsidRDefault="00B536F5" w:rsidP="00C36293">
            <w:pPr>
              <w:jc w:val="left"/>
              <w:rPr>
                <w:sz w:val="20"/>
                <w:szCs w:val="20"/>
              </w:rPr>
            </w:pPr>
            <w:r w:rsidRPr="007B5BE6">
              <w:rPr>
                <w:sz w:val="20"/>
                <w:szCs w:val="20"/>
              </w:rPr>
              <w:t>0.6</w:t>
            </w:r>
          </w:p>
        </w:tc>
      </w:tr>
    </w:tbl>
    <w:p w14:paraId="2A2165D6" w14:textId="1DBCA794" w:rsidR="00B536F5" w:rsidRPr="007B5BE6" w:rsidRDefault="00B536F5" w:rsidP="00AE7F20">
      <w:pPr>
        <w:spacing w:before="240" w:after="240"/>
        <w:rPr>
          <w:b/>
          <w:bCs/>
        </w:rPr>
      </w:pPr>
      <w:r w:rsidRPr="007B5BE6">
        <w:rPr>
          <w:b/>
          <w:bCs/>
        </w:rPr>
        <w:lastRenderedPageBreak/>
        <w:t xml:space="preserve">Table </w:t>
      </w:r>
      <w:r w:rsidR="000476AA" w:rsidRPr="007B5BE6">
        <w:rPr>
          <w:b/>
          <w:bCs/>
        </w:rPr>
        <w:t>F.2</w:t>
      </w:r>
      <w:r w:rsidRPr="007B5BE6">
        <w:rPr>
          <w:b/>
          <w:bCs/>
        </w:rPr>
        <w:t>: Outcomes of investigations and safeguarding in closed reports by Adult Safeguarding Unit, 2021–22</w:t>
      </w:r>
      <w:r w:rsidR="004D1F32" w:rsidRPr="007B5BE6">
        <w:rPr>
          <w:rStyle w:val="FootnoteReference"/>
          <w:b/>
          <w:bCs/>
        </w:rPr>
        <w:footnoteReference w:id="976"/>
      </w:r>
      <w:r w:rsidRPr="007B5BE6">
        <w:rPr>
          <w:b/>
          <w:bCs/>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gridCol w:w="3006"/>
      </w:tblGrid>
      <w:tr w:rsidR="00B536F5" w:rsidRPr="007B5BE6" w14:paraId="0915FA92" w14:textId="77777777" w:rsidTr="00AE7F20">
        <w:tc>
          <w:tcPr>
            <w:tcW w:w="3005" w:type="dxa"/>
            <w:tcBorders>
              <w:top w:val="single" w:sz="8" w:space="0" w:color="auto"/>
              <w:bottom w:val="single" w:sz="8" w:space="0" w:color="auto"/>
            </w:tcBorders>
            <w:shd w:val="clear" w:color="auto" w:fill="FFFFFF" w:themeFill="background1"/>
          </w:tcPr>
          <w:p w14:paraId="5E4C8DD2" w14:textId="77777777" w:rsidR="00B536F5" w:rsidRPr="007B5BE6" w:rsidRDefault="00B536F5" w:rsidP="00C36293">
            <w:pPr>
              <w:jc w:val="left"/>
              <w:rPr>
                <w:b/>
                <w:bCs/>
                <w:sz w:val="20"/>
                <w:szCs w:val="20"/>
              </w:rPr>
            </w:pPr>
            <w:r w:rsidRPr="007B5BE6">
              <w:rPr>
                <w:b/>
                <w:bCs/>
                <w:sz w:val="20"/>
                <w:szCs w:val="20"/>
              </w:rPr>
              <w:t xml:space="preserve">Outcome </w:t>
            </w:r>
          </w:p>
        </w:tc>
        <w:tc>
          <w:tcPr>
            <w:tcW w:w="3005" w:type="dxa"/>
            <w:tcBorders>
              <w:top w:val="single" w:sz="8" w:space="0" w:color="auto"/>
              <w:bottom w:val="single" w:sz="8" w:space="0" w:color="auto"/>
            </w:tcBorders>
            <w:shd w:val="clear" w:color="auto" w:fill="FFFFFF" w:themeFill="background1"/>
          </w:tcPr>
          <w:p w14:paraId="39E98B47" w14:textId="77777777" w:rsidR="00B536F5" w:rsidRPr="007B5BE6" w:rsidRDefault="00B536F5" w:rsidP="00C36293">
            <w:pPr>
              <w:jc w:val="left"/>
              <w:rPr>
                <w:b/>
                <w:bCs/>
                <w:sz w:val="20"/>
                <w:szCs w:val="20"/>
              </w:rPr>
            </w:pPr>
            <w:r w:rsidRPr="007B5BE6">
              <w:rPr>
                <w:b/>
                <w:bCs/>
                <w:sz w:val="20"/>
                <w:szCs w:val="20"/>
              </w:rPr>
              <w:t xml:space="preserve">Number </w:t>
            </w:r>
          </w:p>
        </w:tc>
        <w:tc>
          <w:tcPr>
            <w:tcW w:w="3006" w:type="dxa"/>
            <w:tcBorders>
              <w:top w:val="single" w:sz="8" w:space="0" w:color="auto"/>
              <w:bottom w:val="single" w:sz="8" w:space="0" w:color="auto"/>
            </w:tcBorders>
            <w:shd w:val="clear" w:color="auto" w:fill="FFFFFF" w:themeFill="background1"/>
          </w:tcPr>
          <w:p w14:paraId="4F910267" w14:textId="77777777" w:rsidR="00B536F5" w:rsidRPr="007B5BE6" w:rsidRDefault="00B536F5" w:rsidP="00C36293">
            <w:pPr>
              <w:jc w:val="left"/>
              <w:rPr>
                <w:b/>
                <w:bCs/>
                <w:sz w:val="20"/>
                <w:szCs w:val="20"/>
              </w:rPr>
            </w:pPr>
            <w:r w:rsidRPr="007B5BE6">
              <w:rPr>
                <w:b/>
                <w:bCs/>
                <w:sz w:val="20"/>
                <w:szCs w:val="20"/>
              </w:rPr>
              <w:t>%</w:t>
            </w:r>
          </w:p>
        </w:tc>
      </w:tr>
      <w:tr w:rsidR="00B536F5" w:rsidRPr="007B5BE6" w14:paraId="1EFAEEC8" w14:textId="77777777" w:rsidTr="00AE7F20">
        <w:tc>
          <w:tcPr>
            <w:tcW w:w="3005" w:type="dxa"/>
            <w:tcBorders>
              <w:top w:val="single" w:sz="8" w:space="0" w:color="auto"/>
            </w:tcBorders>
          </w:tcPr>
          <w:p w14:paraId="2B3A5BA7" w14:textId="77777777" w:rsidR="00B536F5" w:rsidRPr="007B5BE6" w:rsidRDefault="00B536F5" w:rsidP="00C36293">
            <w:pPr>
              <w:jc w:val="left"/>
              <w:rPr>
                <w:sz w:val="20"/>
                <w:szCs w:val="20"/>
              </w:rPr>
            </w:pPr>
            <w:r w:rsidRPr="007B5BE6">
              <w:rPr>
                <w:sz w:val="20"/>
                <w:szCs w:val="20"/>
              </w:rPr>
              <w:t xml:space="preserve">Information and education provided </w:t>
            </w:r>
          </w:p>
        </w:tc>
        <w:tc>
          <w:tcPr>
            <w:tcW w:w="3005" w:type="dxa"/>
            <w:tcBorders>
              <w:top w:val="single" w:sz="8" w:space="0" w:color="auto"/>
            </w:tcBorders>
          </w:tcPr>
          <w:p w14:paraId="78DADA60" w14:textId="77777777" w:rsidR="00B536F5" w:rsidRPr="007B5BE6" w:rsidRDefault="00B536F5" w:rsidP="00C36293">
            <w:pPr>
              <w:jc w:val="left"/>
              <w:rPr>
                <w:sz w:val="20"/>
                <w:szCs w:val="20"/>
              </w:rPr>
            </w:pPr>
            <w:r w:rsidRPr="007B5BE6">
              <w:rPr>
                <w:sz w:val="20"/>
                <w:szCs w:val="20"/>
              </w:rPr>
              <w:t>47</w:t>
            </w:r>
          </w:p>
        </w:tc>
        <w:tc>
          <w:tcPr>
            <w:tcW w:w="3006" w:type="dxa"/>
            <w:tcBorders>
              <w:top w:val="single" w:sz="8" w:space="0" w:color="auto"/>
            </w:tcBorders>
          </w:tcPr>
          <w:p w14:paraId="7EF8845D" w14:textId="77777777" w:rsidR="00B536F5" w:rsidRPr="007B5BE6" w:rsidRDefault="00B536F5" w:rsidP="00C36293">
            <w:pPr>
              <w:jc w:val="left"/>
              <w:rPr>
                <w:sz w:val="20"/>
                <w:szCs w:val="20"/>
              </w:rPr>
            </w:pPr>
            <w:r w:rsidRPr="007B5BE6">
              <w:rPr>
                <w:sz w:val="20"/>
                <w:szCs w:val="20"/>
              </w:rPr>
              <w:t>61.8</w:t>
            </w:r>
          </w:p>
        </w:tc>
      </w:tr>
      <w:tr w:rsidR="00B536F5" w:rsidRPr="007B5BE6" w14:paraId="50C8B0A9" w14:textId="77777777" w:rsidTr="00C36293">
        <w:tc>
          <w:tcPr>
            <w:tcW w:w="3005" w:type="dxa"/>
          </w:tcPr>
          <w:p w14:paraId="1BA72009" w14:textId="77777777" w:rsidR="00B536F5" w:rsidRPr="007B5BE6" w:rsidRDefault="00B536F5" w:rsidP="00C36293">
            <w:pPr>
              <w:jc w:val="left"/>
              <w:rPr>
                <w:sz w:val="20"/>
                <w:szCs w:val="20"/>
              </w:rPr>
            </w:pPr>
            <w:r w:rsidRPr="007B5BE6">
              <w:rPr>
                <w:sz w:val="20"/>
                <w:szCs w:val="20"/>
              </w:rPr>
              <w:t xml:space="preserve">Aged care supports engaged/increased </w:t>
            </w:r>
          </w:p>
        </w:tc>
        <w:tc>
          <w:tcPr>
            <w:tcW w:w="3005" w:type="dxa"/>
          </w:tcPr>
          <w:p w14:paraId="7584C7A4" w14:textId="77777777" w:rsidR="00B536F5" w:rsidRPr="007B5BE6" w:rsidRDefault="00B536F5" w:rsidP="00C36293">
            <w:pPr>
              <w:jc w:val="left"/>
              <w:rPr>
                <w:sz w:val="20"/>
                <w:szCs w:val="20"/>
              </w:rPr>
            </w:pPr>
            <w:r w:rsidRPr="007B5BE6">
              <w:rPr>
                <w:sz w:val="20"/>
                <w:szCs w:val="20"/>
              </w:rPr>
              <w:t>15</w:t>
            </w:r>
          </w:p>
        </w:tc>
        <w:tc>
          <w:tcPr>
            <w:tcW w:w="3006" w:type="dxa"/>
          </w:tcPr>
          <w:p w14:paraId="01EBDEA2" w14:textId="77777777" w:rsidR="00B536F5" w:rsidRPr="007B5BE6" w:rsidRDefault="00B536F5" w:rsidP="00C36293">
            <w:pPr>
              <w:jc w:val="left"/>
              <w:rPr>
                <w:sz w:val="20"/>
                <w:szCs w:val="20"/>
              </w:rPr>
            </w:pPr>
            <w:r w:rsidRPr="007B5BE6">
              <w:rPr>
                <w:sz w:val="20"/>
                <w:szCs w:val="20"/>
              </w:rPr>
              <w:t>19.2</w:t>
            </w:r>
          </w:p>
        </w:tc>
      </w:tr>
      <w:tr w:rsidR="00B536F5" w:rsidRPr="007B5BE6" w14:paraId="44896227" w14:textId="77777777" w:rsidTr="00C36293">
        <w:tc>
          <w:tcPr>
            <w:tcW w:w="3005" w:type="dxa"/>
          </w:tcPr>
          <w:p w14:paraId="3E2E2BFF" w14:textId="77777777" w:rsidR="00B536F5" w:rsidRPr="007B5BE6" w:rsidRDefault="00B536F5" w:rsidP="00C36293">
            <w:pPr>
              <w:jc w:val="left"/>
              <w:rPr>
                <w:sz w:val="20"/>
                <w:szCs w:val="20"/>
              </w:rPr>
            </w:pPr>
            <w:r w:rsidRPr="007B5BE6">
              <w:rPr>
                <w:sz w:val="20"/>
                <w:szCs w:val="20"/>
              </w:rPr>
              <w:t>Client moved to alternative accommodation</w:t>
            </w:r>
          </w:p>
        </w:tc>
        <w:tc>
          <w:tcPr>
            <w:tcW w:w="3005" w:type="dxa"/>
          </w:tcPr>
          <w:p w14:paraId="0C5AB5FF" w14:textId="77777777" w:rsidR="00B536F5" w:rsidRPr="007B5BE6" w:rsidRDefault="00B536F5" w:rsidP="00C36293">
            <w:pPr>
              <w:jc w:val="left"/>
              <w:rPr>
                <w:sz w:val="20"/>
                <w:szCs w:val="20"/>
              </w:rPr>
            </w:pPr>
            <w:r w:rsidRPr="007B5BE6">
              <w:rPr>
                <w:sz w:val="20"/>
                <w:szCs w:val="20"/>
              </w:rPr>
              <w:t>13</w:t>
            </w:r>
          </w:p>
        </w:tc>
        <w:tc>
          <w:tcPr>
            <w:tcW w:w="3006" w:type="dxa"/>
          </w:tcPr>
          <w:p w14:paraId="0F04C1BE" w14:textId="77777777" w:rsidR="00B536F5" w:rsidRPr="007B5BE6" w:rsidRDefault="00B536F5" w:rsidP="00C36293">
            <w:pPr>
              <w:jc w:val="left"/>
              <w:rPr>
                <w:sz w:val="20"/>
                <w:szCs w:val="20"/>
              </w:rPr>
            </w:pPr>
            <w:r w:rsidRPr="007B5BE6">
              <w:rPr>
                <w:sz w:val="20"/>
                <w:szCs w:val="20"/>
              </w:rPr>
              <w:t>17.1</w:t>
            </w:r>
          </w:p>
        </w:tc>
      </w:tr>
      <w:tr w:rsidR="00B536F5" w:rsidRPr="007B5BE6" w14:paraId="45B09899" w14:textId="77777777" w:rsidTr="00C36293">
        <w:tc>
          <w:tcPr>
            <w:tcW w:w="3005" w:type="dxa"/>
          </w:tcPr>
          <w:p w14:paraId="65873A9F" w14:textId="77777777" w:rsidR="00B536F5" w:rsidRPr="007B5BE6" w:rsidRDefault="00B536F5" w:rsidP="00C36293">
            <w:pPr>
              <w:jc w:val="left"/>
              <w:rPr>
                <w:sz w:val="20"/>
                <w:szCs w:val="20"/>
              </w:rPr>
            </w:pPr>
            <w:r w:rsidRPr="007B5BE6">
              <w:rPr>
                <w:sz w:val="20"/>
                <w:szCs w:val="20"/>
              </w:rPr>
              <w:t>Guardian appointed</w:t>
            </w:r>
          </w:p>
        </w:tc>
        <w:tc>
          <w:tcPr>
            <w:tcW w:w="3005" w:type="dxa"/>
          </w:tcPr>
          <w:p w14:paraId="0FE0D868" w14:textId="77777777" w:rsidR="00B536F5" w:rsidRPr="007B5BE6" w:rsidRDefault="00B536F5" w:rsidP="00C36293">
            <w:pPr>
              <w:jc w:val="left"/>
              <w:rPr>
                <w:sz w:val="20"/>
                <w:szCs w:val="20"/>
              </w:rPr>
            </w:pPr>
            <w:r w:rsidRPr="007B5BE6">
              <w:rPr>
                <w:sz w:val="20"/>
                <w:szCs w:val="20"/>
              </w:rPr>
              <w:t>11</w:t>
            </w:r>
          </w:p>
        </w:tc>
        <w:tc>
          <w:tcPr>
            <w:tcW w:w="3006" w:type="dxa"/>
          </w:tcPr>
          <w:p w14:paraId="3FDABDD0" w14:textId="77777777" w:rsidR="00B536F5" w:rsidRPr="007B5BE6" w:rsidRDefault="00B536F5" w:rsidP="00C36293">
            <w:pPr>
              <w:jc w:val="left"/>
              <w:rPr>
                <w:sz w:val="20"/>
                <w:szCs w:val="20"/>
              </w:rPr>
            </w:pPr>
            <w:r w:rsidRPr="007B5BE6">
              <w:rPr>
                <w:sz w:val="20"/>
                <w:szCs w:val="20"/>
              </w:rPr>
              <w:t>14.5</w:t>
            </w:r>
          </w:p>
        </w:tc>
      </w:tr>
      <w:tr w:rsidR="00B536F5" w:rsidRPr="007B5BE6" w14:paraId="3B495169" w14:textId="77777777" w:rsidTr="00C36293">
        <w:tc>
          <w:tcPr>
            <w:tcW w:w="3005" w:type="dxa"/>
          </w:tcPr>
          <w:p w14:paraId="22DAFCBA" w14:textId="77777777" w:rsidR="00B536F5" w:rsidRPr="007B5BE6" w:rsidRDefault="00B536F5" w:rsidP="00C36293">
            <w:pPr>
              <w:jc w:val="left"/>
              <w:rPr>
                <w:sz w:val="20"/>
                <w:szCs w:val="20"/>
              </w:rPr>
            </w:pPr>
            <w:r w:rsidRPr="007B5BE6">
              <w:rPr>
                <w:sz w:val="20"/>
                <w:szCs w:val="20"/>
              </w:rPr>
              <w:t>Administrator appointed</w:t>
            </w:r>
          </w:p>
        </w:tc>
        <w:tc>
          <w:tcPr>
            <w:tcW w:w="3005" w:type="dxa"/>
          </w:tcPr>
          <w:p w14:paraId="461E2890" w14:textId="77777777" w:rsidR="00B536F5" w:rsidRPr="007B5BE6" w:rsidRDefault="00B536F5" w:rsidP="00C36293">
            <w:pPr>
              <w:jc w:val="left"/>
              <w:rPr>
                <w:sz w:val="20"/>
                <w:szCs w:val="20"/>
              </w:rPr>
            </w:pPr>
            <w:r w:rsidRPr="007B5BE6">
              <w:rPr>
                <w:sz w:val="20"/>
                <w:szCs w:val="20"/>
              </w:rPr>
              <w:t>10</w:t>
            </w:r>
          </w:p>
        </w:tc>
        <w:tc>
          <w:tcPr>
            <w:tcW w:w="3006" w:type="dxa"/>
          </w:tcPr>
          <w:p w14:paraId="0E06F09C" w14:textId="77777777" w:rsidR="00B536F5" w:rsidRPr="007B5BE6" w:rsidRDefault="00B536F5" w:rsidP="00C36293">
            <w:pPr>
              <w:jc w:val="left"/>
              <w:rPr>
                <w:sz w:val="20"/>
                <w:szCs w:val="20"/>
              </w:rPr>
            </w:pPr>
            <w:r w:rsidRPr="007B5BE6">
              <w:rPr>
                <w:sz w:val="20"/>
                <w:szCs w:val="20"/>
              </w:rPr>
              <w:t>13.2</w:t>
            </w:r>
          </w:p>
        </w:tc>
      </w:tr>
      <w:tr w:rsidR="00B536F5" w:rsidRPr="007B5BE6" w14:paraId="3E852409" w14:textId="77777777" w:rsidTr="00C36293">
        <w:tc>
          <w:tcPr>
            <w:tcW w:w="3005" w:type="dxa"/>
          </w:tcPr>
          <w:p w14:paraId="06C50097" w14:textId="77777777" w:rsidR="00B536F5" w:rsidRPr="007B5BE6" w:rsidRDefault="00B536F5" w:rsidP="00C36293">
            <w:pPr>
              <w:jc w:val="left"/>
              <w:rPr>
                <w:sz w:val="20"/>
                <w:szCs w:val="20"/>
              </w:rPr>
            </w:pPr>
            <w:r w:rsidRPr="007B5BE6">
              <w:rPr>
                <w:sz w:val="20"/>
                <w:szCs w:val="20"/>
              </w:rPr>
              <w:t>NDIS supports engaged/increased</w:t>
            </w:r>
          </w:p>
        </w:tc>
        <w:tc>
          <w:tcPr>
            <w:tcW w:w="3005" w:type="dxa"/>
          </w:tcPr>
          <w:p w14:paraId="4EB4535B" w14:textId="77777777" w:rsidR="00B536F5" w:rsidRPr="007B5BE6" w:rsidRDefault="00B536F5" w:rsidP="00C36293">
            <w:pPr>
              <w:jc w:val="left"/>
              <w:rPr>
                <w:sz w:val="20"/>
                <w:szCs w:val="20"/>
              </w:rPr>
            </w:pPr>
            <w:r w:rsidRPr="007B5BE6">
              <w:rPr>
                <w:sz w:val="20"/>
                <w:szCs w:val="20"/>
              </w:rPr>
              <w:t>9</w:t>
            </w:r>
          </w:p>
        </w:tc>
        <w:tc>
          <w:tcPr>
            <w:tcW w:w="3006" w:type="dxa"/>
          </w:tcPr>
          <w:p w14:paraId="76EEB43B" w14:textId="77777777" w:rsidR="00B536F5" w:rsidRPr="007B5BE6" w:rsidRDefault="00B536F5" w:rsidP="00C36293">
            <w:pPr>
              <w:jc w:val="left"/>
              <w:rPr>
                <w:sz w:val="20"/>
                <w:szCs w:val="20"/>
              </w:rPr>
            </w:pPr>
            <w:r w:rsidRPr="007B5BE6">
              <w:rPr>
                <w:sz w:val="20"/>
                <w:szCs w:val="20"/>
              </w:rPr>
              <w:t>11.8</w:t>
            </w:r>
          </w:p>
        </w:tc>
      </w:tr>
      <w:tr w:rsidR="00B536F5" w:rsidRPr="007B5BE6" w14:paraId="2C0F928A" w14:textId="77777777" w:rsidTr="00C36293">
        <w:tc>
          <w:tcPr>
            <w:tcW w:w="3005" w:type="dxa"/>
          </w:tcPr>
          <w:p w14:paraId="14C436A1" w14:textId="77777777" w:rsidR="00B536F5" w:rsidRPr="007B5BE6" w:rsidRDefault="00B536F5" w:rsidP="00C36293">
            <w:pPr>
              <w:jc w:val="left"/>
              <w:rPr>
                <w:sz w:val="20"/>
                <w:szCs w:val="20"/>
              </w:rPr>
            </w:pPr>
            <w:r w:rsidRPr="007B5BE6">
              <w:rPr>
                <w:sz w:val="20"/>
                <w:szCs w:val="20"/>
              </w:rPr>
              <w:t xml:space="preserve">Client situation remains unchanged </w:t>
            </w:r>
          </w:p>
        </w:tc>
        <w:tc>
          <w:tcPr>
            <w:tcW w:w="3005" w:type="dxa"/>
          </w:tcPr>
          <w:p w14:paraId="46706B4C" w14:textId="77777777" w:rsidR="00B536F5" w:rsidRPr="007B5BE6" w:rsidRDefault="00B536F5" w:rsidP="00C36293">
            <w:pPr>
              <w:jc w:val="left"/>
              <w:rPr>
                <w:sz w:val="20"/>
                <w:szCs w:val="20"/>
              </w:rPr>
            </w:pPr>
            <w:r w:rsidRPr="007B5BE6">
              <w:rPr>
                <w:sz w:val="20"/>
                <w:szCs w:val="20"/>
              </w:rPr>
              <w:t>8</w:t>
            </w:r>
          </w:p>
        </w:tc>
        <w:tc>
          <w:tcPr>
            <w:tcW w:w="3006" w:type="dxa"/>
          </w:tcPr>
          <w:p w14:paraId="61D10DE9" w14:textId="77777777" w:rsidR="00B536F5" w:rsidRPr="007B5BE6" w:rsidRDefault="00B536F5" w:rsidP="00C36293">
            <w:pPr>
              <w:jc w:val="left"/>
              <w:rPr>
                <w:sz w:val="20"/>
                <w:szCs w:val="20"/>
              </w:rPr>
            </w:pPr>
            <w:r w:rsidRPr="007B5BE6">
              <w:rPr>
                <w:sz w:val="20"/>
                <w:szCs w:val="20"/>
              </w:rPr>
              <w:t>10.5</w:t>
            </w:r>
          </w:p>
        </w:tc>
      </w:tr>
      <w:tr w:rsidR="00B536F5" w:rsidRPr="007B5BE6" w14:paraId="2888CB70" w14:textId="77777777" w:rsidTr="00C36293">
        <w:tc>
          <w:tcPr>
            <w:tcW w:w="3005" w:type="dxa"/>
          </w:tcPr>
          <w:p w14:paraId="6C758B60" w14:textId="77777777" w:rsidR="00B536F5" w:rsidRPr="007B5BE6" w:rsidRDefault="00B536F5" w:rsidP="00C36293">
            <w:pPr>
              <w:jc w:val="left"/>
              <w:rPr>
                <w:sz w:val="20"/>
                <w:szCs w:val="20"/>
              </w:rPr>
            </w:pPr>
            <w:r w:rsidRPr="007B5BE6">
              <w:rPr>
                <w:sz w:val="20"/>
                <w:szCs w:val="20"/>
              </w:rPr>
              <w:t>Person has moved to alternative accommodation</w:t>
            </w:r>
          </w:p>
        </w:tc>
        <w:tc>
          <w:tcPr>
            <w:tcW w:w="3005" w:type="dxa"/>
          </w:tcPr>
          <w:p w14:paraId="7470DA82" w14:textId="77777777" w:rsidR="00B536F5" w:rsidRPr="007B5BE6" w:rsidRDefault="00B536F5" w:rsidP="00C36293">
            <w:pPr>
              <w:jc w:val="left"/>
              <w:rPr>
                <w:sz w:val="20"/>
                <w:szCs w:val="20"/>
              </w:rPr>
            </w:pPr>
          </w:p>
        </w:tc>
        <w:tc>
          <w:tcPr>
            <w:tcW w:w="3006" w:type="dxa"/>
          </w:tcPr>
          <w:p w14:paraId="287B9827" w14:textId="77777777" w:rsidR="00B536F5" w:rsidRPr="007B5BE6" w:rsidRDefault="00B536F5" w:rsidP="00C36293">
            <w:pPr>
              <w:jc w:val="left"/>
              <w:rPr>
                <w:sz w:val="20"/>
                <w:szCs w:val="20"/>
              </w:rPr>
            </w:pPr>
            <w:r w:rsidRPr="007B5BE6">
              <w:rPr>
                <w:sz w:val="20"/>
                <w:szCs w:val="20"/>
              </w:rPr>
              <w:t>7.9</w:t>
            </w:r>
          </w:p>
        </w:tc>
      </w:tr>
      <w:tr w:rsidR="00B536F5" w:rsidRPr="007B5BE6" w14:paraId="2F2AE9C8" w14:textId="77777777" w:rsidTr="00C36293">
        <w:tc>
          <w:tcPr>
            <w:tcW w:w="3005" w:type="dxa"/>
          </w:tcPr>
          <w:p w14:paraId="22F1552A" w14:textId="77777777" w:rsidR="00B536F5" w:rsidRPr="007B5BE6" w:rsidRDefault="00B536F5" w:rsidP="00C36293">
            <w:pPr>
              <w:jc w:val="left"/>
              <w:rPr>
                <w:sz w:val="20"/>
                <w:szCs w:val="20"/>
              </w:rPr>
            </w:pPr>
            <w:r w:rsidRPr="007B5BE6">
              <w:rPr>
                <w:sz w:val="20"/>
                <w:szCs w:val="20"/>
              </w:rPr>
              <w:t>Referral for legal assistance</w:t>
            </w:r>
          </w:p>
        </w:tc>
        <w:tc>
          <w:tcPr>
            <w:tcW w:w="3005" w:type="dxa"/>
          </w:tcPr>
          <w:p w14:paraId="1F5CFF0E" w14:textId="77777777" w:rsidR="00B536F5" w:rsidRPr="007B5BE6" w:rsidRDefault="00B536F5" w:rsidP="00C36293">
            <w:pPr>
              <w:jc w:val="left"/>
              <w:rPr>
                <w:sz w:val="20"/>
                <w:szCs w:val="20"/>
              </w:rPr>
            </w:pPr>
            <w:r w:rsidRPr="007B5BE6">
              <w:rPr>
                <w:sz w:val="20"/>
                <w:szCs w:val="20"/>
              </w:rPr>
              <w:t>6</w:t>
            </w:r>
          </w:p>
        </w:tc>
        <w:tc>
          <w:tcPr>
            <w:tcW w:w="3006" w:type="dxa"/>
          </w:tcPr>
          <w:p w14:paraId="4DB18AE9" w14:textId="77777777" w:rsidR="00B536F5" w:rsidRPr="007B5BE6" w:rsidRDefault="00B536F5" w:rsidP="00C36293">
            <w:pPr>
              <w:jc w:val="left"/>
              <w:rPr>
                <w:sz w:val="20"/>
                <w:szCs w:val="20"/>
              </w:rPr>
            </w:pPr>
            <w:r w:rsidRPr="007B5BE6">
              <w:rPr>
                <w:sz w:val="20"/>
                <w:szCs w:val="20"/>
              </w:rPr>
              <w:t>7.9</w:t>
            </w:r>
          </w:p>
        </w:tc>
      </w:tr>
      <w:tr w:rsidR="00B536F5" w:rsidRPr="007B5BE6" w14:paraId="363B622B" w14:textId="77777777" w:rsidTr="00C36293">
        <w:tc>
          <w:tcPr>
            <w:tcW w:w="3005" w:type="dxa"/>
          </w:tcPr>
          <w:p w14:paraId="1C576F08" w14:textId="77777777" w:rsidR="00B536F5" w:rsidRPr="007B5BE6" w:rsidRDefault="00B536F5" w:rsidP="00C36293">
            <w:pPr>
              <w:jc w:val="left"/>
              <w:rPr>
                <w:sz w:val="20"/>
                <w:szCs w:val="20"/>
              </w:rPr>
            </w:pPr>
            <w:r w:rsidRPr="007B5BE6">
              <w:rPr>
                <w:sz w:val="20"/>
                <w:szCs w:val="20"/>
              </w:rPr>
              <w:t>Referral to SAPOL</w:t>
            </w:r>
          </w:p>
        </w:tc>
        <w:tc>
          <w:tcPr>
            <w:tcW w:w="3005" w:type="dxa"/>
          </w:tcPr>
          <w:p w14:paraId="614B436C" w14:textId="77777777" w:rsidR="00B536F5" w:rsidRPr="007B5BE6" w:rsidRDefault="00B536F5" w:rsidP="00C36293">
            <w:pPr>
              <w:jc w:val="left"/>
              <w:rPr>
                <w:sz w:val="20"/>
                <w:szCs w:val="20"/>
              </w:rPr>
            </w:pPr>
            <w:r w:rsidRPr="007B5BE6">
              <w:rPr>
                <w:sz w:val="20"/>
                <w:szCs w:val="20"/>
              </w:rPr>
              <w:t>4</w:t>
            </w:r>
          </w:p>
        </w:tc>
        <w:tc>
          <w:tcPr>
            <w:tcW w:w="3006" w:type="dxa"/>
          </w:tcPr>
          <w:p w14:paraId="1F6664F2" w14:textId="77777777" w:rsidR="00B536F5" w:rsidRPr="007B5BE6" w:rsidRDefault="00B536F5" w:rsidP="00C36293">
            <w:pPr>
              <w:jc w:val="left"/>
              <w:rPr>
                <w:sz w:val="20"/>
                <w:szCs w:val="20"/>
              </w:rPr>
            </w:pPr>
            <w:r w:rsidRPr="007B5BE6">
              <w:rPr>
                <w:sz w:val="20"/>
                <w:szCs w:val="20"/>
              </w:rPr>
              <w:t>5.3</w:t>
            </w:r>
          </w:p>
        </w:tc>
      </w:tr>
      <w:tr w:rsidR="00B536F5" w:rsidRPr="007B5BE6" w14:paraId="1F91D784" w14:textId="77777777" w:rsidTr="00C36293">
        <w:tc>
          <w:tcPr>
            <w:tcW w:w="3005" w:type="dxa"/>
          </w:tcPr>
          <w:p w14:paraId="1F31E5B0" w14:textId="77777777" w:rsidR="00B536F5" w:rsidRPr="007B5BE6" w:rsidRDefault="00B536F5" w:rsidP="00C36293">
            <w:pPr>
              <w:jc w:val="left"/>
              <w:rPr>
                <w:sz w:val="20"/>
                <w:szCs w:val="20"/>
              </w:rPr>
            </w:pPr>
            <w:r w:rsidRPr="007B5BE6">
              <w:rPr>
                <w:sz w:val="20"/>
                <w:szCs w:val="20"/>
              </w:rPr>
              <w:t>Support provided to safeguard financial affairs</w:t>
            </w:r>
          </w:p>
        </w:tc>
        <w:tc>
          <w:tcPr>
            <w:tcW w:w="3005" w:type="dxa"/>
          </w:tcPr>
          <w:p w14:paraId="58455126" w14:textId="77777777" w:rsidR="00B536F5" w:rsidRPr="007B5BE6" w:rsidRDefault="00B536F5" w:rsidP="00C36293">
            <w:pPr>
              <w:jc w:val="left"/>
              <w:rPr>
                <w:sz w:val="20"/>
                <w:szCs w:val="20"/>
              </w:rPr>
            </w:pPr>
            <w:r w:rsidRPr="007B5BE6">
              <w:rPr>
                <w:sz w:val="20"/>
                <w:szCs w:val="20"/>
              </w:rPr>
              <w:t>4</w:t>
            </w:r>
          </w:p>
        </w:tc>
        <w:tc>
          <w:tcPr>
            <w:tcW w:w="3006" w:type="dxa"/>
          </w:tcPr>
          <w:p w14:paraId="76471231" w14:textId="77777777" w:rsidR="00B536F5" w:rsidRPr="007B5BE6" w:rsidRDefault="00B536F5" w:rsidP="00C36293">
            <w:pPr>
              <w:jc w:val="left"/>
              <w:rPr>
                <w:sz w:val="20"/>
                <w:szCs w:val="20"/>
              </w:rPr>
            </w:pPr>
            <w:r w:rsidRPr="007B5BE6">
              <w:rPr>
                <w:sz w:val="20"/>
                <w:szCs w:val="20"/>
              </w:rPr>
              <w:t>5.3</w:t>
            </w:r>
          </w:p>
        </w:tc>
      </w:tr>
      <w:tr w:rsidR="00B536F5" w:rsidRPr="007B5BE6" w14:paraId="5452C10F" w14:textId="77777777" w:rsidTr="00C36293">
        <w:tc>
          <w:tcPr>
            <w:tcW w:w="3005" w:type="dxa"/>
          </w:tcPr>
          <w:p w14:paraId="3905A437" w14:textId="77777777" w:rsidR="00B536F5" w:rsidRPr="007B5BE6" w:rsidRDefault="00B536F5" w:rsidP="00C36293">
            <w:pPr>
              <w:jc w:val="left"/>
              <w:rPr>
                <w:sz w:val="20"/>
                <w:szCs w:val="20"/>
              </w:rPr>
            </w:pPr>
            <w:r w:rsidRPr="007B5BE6">
              <w:rPr>
                <w:sz w:val="20"/>
                <w:szCs w:val="20"/>
              </w:rPr>
              <w:t>Referred for advocacy assistance</w:t>
            </w:r>
          </w:p>
        </w:tc>
        <w:tc>
          <w:tcPr>
            <w:tcW w:w="3005" w:type="dxa"/>
          </w:tcPr>
          <w:p w14:paraId="2879B3D7" w14:textId="77777777" w:rsidR="00B536F5" w:rsidRPr="007B5BE6" w:rsidRDefault="00B536F5" w:rsidP="00C36293">
            <w:pPr>
              <w:jc w:val="left"/>
              <w:rPr>
                <w:sz w:val="20"/>
                <w:szCs w:val="20"/>
              </w:rPr>
            </w:pPr>
            <w:r w:rsidRPr="007B5BE6">
              <w:rPr>
                <w:sz w:val="20"/>
                <w:szCs w:val="20"/>
              </w:rPr>
              <w:t>2</w:t>
            </w:r>
          </w:p>
        </w:tc>
        <w:tc>
          <w:tcPr>
            <w:tcW w:w="3006" w:type="dxa"/>
          </w:tcPr>
          <w:p w14:paraId="5FF4FB1F" w14:textId="77777777" w:rsidR="00B536F5" w:rsidRPr="007B5BE6" w:rsidRDefault="00B536F5" w:rsidP="00C36293">
            <w:pPr>
              <w:jc w:val="left"/>
              <w:rPr>
                <w:sz w:val="20"/>
                <w:szCs w:val="20"/>
              </w:rPr>
            </w:pPr>
            <w:r w:rsidRPr="007B5BE6">
              <w:rPr>
                <w:sz w:val="20"/>
                <w:szCs w:val="20"/>
              </w:rPr>
              <w:t>2.6</w:t>
            </w:r>
          </w:p>
        </w:tc>
      </w:tr>
      <w:tr w:rsidR="00B536F5" w:rsidRPr="007B5BE6" w14:paraId="0915C05C" w14:textId="77777777" w:rsidTr="00C36293">
        <w:tc>
          <w:tcPr>
            <w:tcW w:w="3005" w:type="dxa"/>
          </w:tcPr>
          <w:p w14:paraId="05C52C67" w14:textId="77777777" w:rsidR="00B536F5" w:rsidRPr="007B5BE6" w:rsidRDefault="00B536F5" w:rsidP="00C36293">
            <w:pPr>
              <w:jc w:val="left"/>
              <w:rPr>
                <w:sz w:val="20"/>
                <w:szCs w:val="20"/>
              </w:rPr>
            </w:pPr>
            <w:r w:rsidRPr="007B5BE6">
              <w:rPr>
                <w:sz w:val="20"/>
                <w:szCs w:val="20"/>
              </w:rPr>
              <w:t>Intervention order in place</w:t>
            </w:r>
          </w:p>
        </w:tc>
        <w:tc>
          <w:tcPr>
            <w:tcW w:w="3005" w:type="dxa"/>
          </w:tcPr>
          <w:p w14:paraId="7845179F" w14:textId="77777777" w:rsidR="00B536F5" w:rsidRPr="007B5BE6" w:rsidRDefault="00B536F5" w:rsidP="00C36293">
            <w:pPr>
              <w:jc w:val="left"/>
              <w:rPr>
                <w:sz w:val="20"/>
                <w:szCs w:val="20"/>
              </w:rPr>
            </w:pPr>
            <w:r w:rsidRPr="007B5BE6">
              <w:rPr>
                <w:sz w:val="20"/>
                <w:szCs w:val="20"/>
              </w:rPr>
              <w:t>1</w:t>
            </w:r>
          </w:p>
        </w:tc>
        <w:tc>
          <w:tcPr>
            <w:tcW w:w="3006" w:type="dxa"/>
          </w:tcPr>
          <w:p w14:paraId="0DA83569" w14:textId="77777777" w:rsidR="00B536F5" w:rsidRPr="007B5BE6" w:rsidRDefault="00B536F5" w:rsidP="00C36293">
            <w:pPr>
              <w:jc w:val="left"/>
              <w:rPr>
                <w:sz w:val="20"/>
                <w:szCs w:val="20"/>
              </w:rPr>
            </w:pPr>
            <w:r w:rsidRPr="007B5BE6">
              <w:rPr>
                <w:sz w:val="20"/>
                <w:szCs w:val="20"/>
              </w:rPr>
              <w:t>1.3</w:t>
            </w:r>
          </w:p>
        </w:tc>
      </w:tr>
      <w:tr w:rsidR="00B536F5" w:rsidRPr="007B5BE6" w14:paraId="006A2500" w14:textId="77777777" w:rsidTr="00C36293">
        <w:tc>
          <w:tcPr>
            <w:tcW w:w="3005" w:type="dxa"/>
          </w:tcPr>
          <w:p w14:paraId="22813A47" w14:textId="77777777" w:rsidR="00B536F5" w:rsidRPr="007B5BE6" w:rsidRDefault="00B536F5" w:rsidP="00C36293">
            <w:pPr>
              <w:jc w:val="left"/>
              <w:rPr>
                <w:sz w:val="20"/>
                <w:szCs w:val="20"/>
              </w:rPr>
            </w:pPr>
            <w:r w:rsidRPr="007B5BE6">
              <w:rPr>
                <w:sz w:val="20"/>
                <w:szCs w:val="20"/>
              </w:rPr>
              <w:t>Referred for dispute resolution</w:t>
            </w:r>
          </w:p>
        </w:tc>
        <w:tc>
          <w:tcPr>
            <w:tcW w:w="3005" w:type="dxa"/>
          </w:tcPr>
          <w:p w14:paraId="52A579C1" w14:textId="77777777" w:rsidR="00B536F5" w:rsidRPr="007B5BE6" w:rsidRDefault="00B536F5" w:rsidP="00C36293">
            <w:pPr>
              <w:jc w:val="left"/>
              <w:rPr>
                <w:sz w:val="20"/>
                <w:szCs w:val="20"/>
              </w:rPr>
            </w:pPr>
            <w:r w:rsidRPr="007B5BE6">
              <w:rPr>
                <w:sz w:val="20"/>
                <w:szCs w:val="20"/>
              </w:rPr>
              <w:t>0</w:t>
            </w:r>
          </w:p>
        </w:tc>
        <w:tc>
          <w:tcPr>
            <w:tcW w:w="3006" w:type="dxa"/>
          </w:tcPr>
          <w:p w14:paraId="313CB14A" w14:textId="77777777" w:rsidR="00B536F5" w:rsidRPr="007B5BE6" w:rsidRDefault="00B536F5" w:rsidP="00C36293">
            <w:pPr>
              <w:jc w:val="left"/>
              <w:rPr>
                <w:sz w:val="20"/>
                <w:szCs w:val="20"/>
              </w:rPr>
            </w:pPr>
            <w:r w:rsidRPr="007B5BE6">
              <w:rPr>
                <w:sz w:val="20"/>
                <w:szCs w:val="20"/>
              </w:rPr>
              <w:t>0.0</w:t>
            </w:r>
          </w:p>
        </w:tc>
      </w:tr>
      <w:tr w:rsidR="00B536F5" w:rsidRPr="007B5BE6" w14:paraId="17E9A71D" w14:textId="77777777" w:rsidTr="00C36293">
        <w:tc>
          <w:tcPr>
            <w:tcW w:w="3005" w:type="dxa"/>
          </w:tcPr>
          <w:p w14:paraId="031A1E8F" w14:textId="77777777" w:rsidR="00B536F5" w:rsidRPr="007B5BE6" w:rsidRDefault="00B536F5" w:rsidP="00C36293">
            <w:pPr>
              <w:jc w:val="left"/>
              <w:rPr>
                <w:sz w:val="20"/>
                <w:szCs w:val="20"/>
              </w:rPr>
            </w:pPr>
            <w:r w:rsidRPr="007B5BE6">
              <w:rPr>
                <w:sz w:val="20"/>
                <w:szCs w:val="20"/>
              </w:rPr>
              <w:t xml:space="preserve">ACD completed </w:t>
            </w:r>
          </w:p>
        </w:tc>
        <w:tc>
          <w:tcPr>
            <w:tcW w:w="3005" w:type="dxa"/>
          </w:tcPr>
          <w:p w14:paraId="1C131836" w14:textId="77777777" w:rsidR="00B536F5" w:rsidRPr="007B5BE6" w:rsidRDefault="00B536F5" w:rsidP="00C36293">
            <w:pPr>
              <w:jc w:val="left"/>
              <w:rPr>
                <w:sz w:val="20"/>
                <w:szCs w:val="20"/>
              </w:rPr>
            </w:pPr>
            <w:r w:rsidRPr="007B5BE6">
              <w:rPr>
                <w:sz w:val="20"/>
                <w:szCs w:val="20"/>
              </w:rPr>
              <w:t>0</w:t>
            </w:r>
          </w:p>
        </w:tc>
        <w:tc>
          <w:tcPr>
            <w:tcW w:w="3006" w:type="dxa"/>
          </w:tcPr>
          <w:p w14:paraId="2394A0CD" w14:textId="77777777" w:rsidR="00B536F5" w:rsidRPr="007B5BE6" w:rsidRDefault="00B536F5" w:rsidP="00C36293">
            <w:pPr>
              <w:jc w:val="left"/>
              <w:rPr>
                <w:sz w:val="20"/>
                <w:szCs w:val="20"/>
              </w:rPr>
            </w:pPr>
            <w:r w:rsidRPr="007B5BE6">
              <w:rPr>
                <w:sz w:val="20"/>
                <w:szCs w:val="20"/>
              </w:rPr>
              <w:t>0.0</w:t>
            </w:r>
          </w:p>
        </w:tc>
      </w:tr>
      <w:tr w:rsidR="00B536F5" w:rsidRPr="007B5BE6" w14:paraId="3FF0BC48" w14:textId="77777777" w:rsidTr="00C36293">
        <w:tc>
          <w:tcPr>
            <w:tcW w:w="3005" w:type="dxa"/>
          </w:tcPr>
          <w:p w14:paraId="79BCBC11" w14:textId="77777777" w:rsidR="00B536F5" w:rsidRPr="007B5BE6" w:rsidRDefault="00B536F5" w:rsidP="00C36293">
            <w:pPr>
              <w:jc w:val="left"/>
              <w:rPr>
                <w:sz w:val="20"/>
                <w:szCs w:val="20"/>
              </w:rPr>
            </w:pPr>
            <w:r w:rsidRPr="007B5BE6">
              <w:rPr>
                <w:sz w:val="20"/>
                <w:szCs w:val="20"/>
              </w:rPr>
              <w:t xml:space="preserve">EPOA completed </w:t>
            </w:r>
          </w:p>
        </w:tc>
        <w:tc>
          <w:tcPr>
            <w:tcW w:w="3005" w:type="dxa"/>
          </w:tcPr>
          <w:p w14:paraId="5887C708" w14:textId="77777777" w:rsidR="00B536F5" w:rsidRPr="007B5BE6" w:rsidRDefault="00B536F5" w:rsidP="00C36293">
            <w:pPr>
              <w:jc w:val="left"/>
              <w:rPr>
                <w:sz w:val="20"/>
                <w:szCs w:val="20"/>
              </w:rPr>
            </w:pPr>
            <w:r w:rsidRPr="007B5BE6">
              <w:rPr>
                <w:sz w:val="20"/>
                <w:szCs w:val="20"/>
              </w:rPr>
              <w:t>0</w:t>
            </w:r>
          </w:p>
        </w:tc>
        <w:tc>
          <w:tcPr>
            <w:tcW w:w="3006" w:type="dxa"/>
          </w:tcPr>
          <w:p w14:paraId="6BEB60E2" w14:textId="77777777" w:rsidR="00B536F5" w:rsidRPr="007B5BE6" w:rsidRDefault="00B536F5" w:rsidP="00C36293">
            <w:pPr>
              <w:jc w:val="left"/>
              <w:rPr>
                <w:sz w:val="20"/>
                <w:szCs w:val="20"/>
              </w:rPr>
            </w:pPr>
            <w:r w:rsidRPr="007B5BE6">
              <w:rPr>
                <w:sz w:val="20"/>
                <w:szCs w:val="20"/>
              </w:rPr>
              <w:t>0.0</w:t>
            </w:r>
          </w:p>
        </w:tc>
      </w:tr>
    </w:tbl>
    <w:p w14:paraId="1173EB81" w14:textId="77777777" w:rsidR="00B536F5" w:rsidRPr="007B5BE6" w:rsidRDefault="00B536F5" w:rsidP="00B536F5"/>
    <w:p w14:paraId="0D177D75" w14:textId="77777777" w:rsidR="007020B4" w:rsidRPr="007B5BE6" w:rsidRDefault="007020B4">
      <w:pPr>
        <w:spacing w:after="200" w:line="276" w:lineRule="auto"/>
        <w:jc w:val="left"/>
        <w:rPr>
          <w:rFonts w:eastAsia="Times" w:cs="Times New Roman"/>
          <w:b/>
          <w:i/>
          <w:szCs w:val="20"/>
        </w:rPr>
      </w:pPr>
      <w:bookmarkStart w:id="655" w:name="_Toc212561857"/>
      <w:r w:rsidRPr="007B5BE6">
        <w:br w:type="page"/>
      </w:r>
    </w:p>
    <w:p w14:paraId="271E6312" w14:textId="74F8EFE1" w:rsidR="00B536F5" w:rsidRPr="007B5BE6" w:rsidRDefault="00B536F5" w:rsidP="00E80D80">
      <w:pPr>
        <w:pStyle w:val="Sub-HeadingTLRI"/>
        <w:spacing w:before="360"/>
      </w:pPr>
      <w:r w:rsidRPr="007B5BE6">
        <w:lastRenderedPageBreak/>
        <w:t>Data on operation of adult safeguarding – New South Wales</w:t>
      </w:r>
      <w:bookmarkEnd w:id="655"/>
    </w:p>
    <w:p w14:paraId="53CB6DA6" w14:textId="433BC5B5" w:rsidR="00B536F5" w:rsidRPr="007B5BE6" w:rsidRDefault="00B536F5" w:rsidP="00D242C7">
      <w:pPr>
        <w:spacing w:before="240" w:after="240"/>
        <w:rPr>
          <w:b/>
          <w:bCs/>
        </w:rPr>
      </w:pPr>
      <w:r w:rsidRPr="007B5BE6">
        <w:rPr>
          <w:b/>
          <w:bCs/>
        </w:rPr>
        <w:t xml:space="preserve">Table </w:t>
      </w:r>
      <w:r w:rsidR="000476AA" w:rsidRPr="007B5BE6">
        <w:rPr>
          <w:b/>
          <w:bCs/>
        </w:rPr>
        <w:t>F.3</w:t>
      </w:r>
      <w:r w:rsidRPr="007B5BE6">
        <w:rPr>
          <w:b/>
          <w:bCs/>
        </w:rPr>
        <w:t>: Complaints regarding older people and people with disability, 1 January</w:t>
      </w:r>
      <w:r w:rsidR="005E1C8D" w:rsidRPr="007B5BE6">
        <w:rPr>
          <w:b/>
          <w:bCs/>
        </w:rPr>
        <w:t xml:space="preserve"> 2025</w:t>
      </w:r>
      <w:r w:rsidRPr="007B5BE6">
        <w:rPr>
          <w:b/>
          <w:bCs/>
        </w:rPr>
        <w:t xml:space="preserve"> – 31 March 2025 compared with 5-year snapshot from 1 July 2019 to June 2024</w:t>
      </w:r>
      <w:r w:rsidR="00B2619C" w:rsidRPr="007B5BE6">
        <w:rPr>
          <w:rStyle w:val="FootnoteReference"/>
          <w:b/>
          <w:bCs/>
        </w:rPr>
        <w:footnoteReference w:id="977"/>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692"/>
        <w:gridCol w:w="3121"/>
        <w:gridCol w:w="3213"/>
      </w:tblGrid>
      <w:tr w:rsidR="00B536F5" w:rsidRPr="007B5BE6" w14:paraId="1DC29EE2" w14:textId="77777777" w:rsidTr="00AE7F20">
        <w:trPr>
          <w:tblHeader/>
        </w:trPr>
        <w:tc>
          <w:tcPr>
            <w:tcW w:w="1491" w:type="pct"/>
            <w:tcBorders>
              <w:top w:val="single" w:sz="8" w:space="0" w:color="auto"/>
              <w:bottom w:val="single" w:sz="8" w:space="0" w:color="auto"/>
            </w:tcBorders>
            <w:shd w:val="clear" w:color="auto" w:fill="FFFFFF" w:themeFill="background1"/>
          </w:tcPr>
          <w:p w14:paraId="3E3A576A" w14:textId="77777777" w:rsidR="00B536F5" w:rsidRPr="007B5BE6" w:rsidRDefault="00B536F5" w:rsidP="00C36293">
            <w:pPr>
              <w:jc w:val="left"/>
              <w:rPr>
                <w:b/>
                <w:bCs/>
                <w:sz w:val="20"/>
                <w:szCs w:val="20"/>
              </w:rPr>
            </w:pPr>
            <w:r w:rsidRPr="007B5BE6">
              <w:rPr>
                <w:b/>
                <w:bCs/>
                <w:sz w:val="20"/>
                <w:szCs w:val="20"/>
              </w:rPr>
              <w:t xml:space="preserve">Actions/Outcomes </w:t>
            </w:r>
          </w:p>
        </w:tc>
        <w:tc>
          <w:tcPr>
            <w:tcW w:w="1729" w:type="pct"/>
            <w:tcBorders>
              <w:top w:val="single" w:sz="8" w:space="0" w:color="auto"/>
              <w:bottom w:val="single" w:sz="8" w:space="0" w:color="auto"/>
            </w:tcBorders>
            <w:shd w:val="clear" w:color="auto" w:fill="FFFFFF" w:themeFill="background1"/>
          </w:tcPr>
          <w:p w14:paraId="5F385CBD" w14:textId="47F92568" w:rsidR="00B536F5" w:rsidRPr="007B5BE6" w:rsidRDefault="00B536F5" w:rsidP="00C36293">
            <w:pPr>
              <w:jc w:val="left"/>
              <w:rPr>
                <w:b/>
                <w:bCs/>
                <w:sz w:val="20"/>
                <w:szCs w:val="20"/>
              </w:rPr>
            </w:pPr>
            <w:r w:rsidRPr="007B5BE6">
              <w:rPr>
                <w:b/>
                <w:bCs/>
                <w:sz w:val="20"/>
                <w:szCs w:val="20"/>
              </w:rPr>
              <w:t>Complaints regarding older people and people with disability, 1 January</w:t>
            </w:r>
            <w:r w:rsidR="005E1C8D" w:rsidRPr="007B5BE6">
              <w:rPr>
                <w:b/>
                <w:bCs/>
                <w:sz w:val="20"/>
                <w:szCs w:val="20"/>
              </w:rPr>
              <w:t xml:space="preserve"> 2025</w:t>
            </w:r>
            <w:r w:rsidRPr="007B5BE6">
              <w:rPr>
                <w:b/>
                <w:bCs/>
                <w:sz w:val="20"/>
                <w:szCs w:val="20"/>
              </w:rPr>
              <w:t>–31 March 2025</w:t>
            </w:r>
          </w:p>
        </w:tc>
        <w:tc>
          <w:tcPr>
            <w:tcW w:w="1780" w:type="pct"/>
            <w:tcBorders>
              <w:top w:val="single" w:sz="8" w:space="0" w:color="auto"/>
              <w:bottom w:val="single" w:sz="8" w:space="0" w:color="auto"/>
            </w:tcBorders>
            <w:shd w:val="clear" w:color="auto" w:fill="FFFFFF" w:themeFill="background1"/>
          </w:tcPr>
          <w:p w14:paraId="104AB9B2" w14:textId="77777777" w:rsidR="00B536F5" w:rsidRPr="007B5BE6" w:rsidRDefault="00B536F5" w:rsidP="00C36293">
            <w:pPr>
              <w:jc w:val="left"/>
              <w:rPr>
                <w:b/>
                <w:bCs/>
                <w:sz w:val="20"/>
                <w:szCs w:val="20"/>
              </w:rPr>
            </w:pPr>
            <w:r w:rsidRPr="007B5BE6">
              <w:rPr>
                <w:b/>
                <w:bCs/>
                <w:sz w:val="20"/>
                <w:szCs w:val="20"/>
              </w:rPr>
              <w:t>Complaints regarding older people, 1 July 2019 to 20 June 2024</w:t>
            </w:r>
          </w:p>
        </w:tc>
      </w:tr>
      <w:tr w:rsidR="00B536F5" w:rsidRPr="007B5BE6" w14:paraId="2A5EEB0F" w14:textId="77777777" w:rsidTr="00AE7F20">
        <w:tc>
          <w:tcPr>
            <w:tcW w:w="1491" w:type="pct"/>
            <w:tcBorders>
              <w:top w:val="single" w:sz="8" w:space="0" w:color="auto"/>
            </w:tcBorders>
          </w:tcPr>
          <w:p w14:paraId="4E5606F0" w14:textId="77777777" w:rsidR="00B536F5" w:rsidRPr="007B5BE6" w:rsidRDefault="00B536F5" w:rsidP="00C36293">
            <w:pPr>
              <w:jc w:val="left"/>
              <w:rPr>
                <w:b/>
                <w:bCs/>
                <w:i/>
                <w:iCs/>
                <w:sz w:val="20"/>
                <w:szCs w:val="20"/>
              </w:rPr>
            </w:pPr>
            <w:r w:rsidRPr="007B5BE6">
              <w:rPr>
                <w:b/>
                <w:bCs/>
                <w:i/>
                <w:iCs/>
                <w:sz w:val="20"/>
                <w:szCs w:val="20"/>
              </w:rPr>
              <w:t>TOTAL REPORTS CLOSED</w:t>
            </w:r>
          </w:p>
        </w:tc>
        <w:tc>
          <w:tcPr>
            <w:tcW w:w="1729" w:type="pct"/>
            <w:tcBorders>
              <w:top w:val="single" w:sz="8" w:space="0" w:color="auto"/>
            </w:tcBorders>
          </w:tcPr>
          <w:p w14:paraId="5554FFED" w14:textId="77777777" w:rsidR="00B536F5" w:rsidRPr="007B5BE6" w:rsidRDefault="00B536F5" w:rsidP="00C36293">
            <w:pPr>
              <w:jc w:val="left"/>
              <w:rPr>
                <w:b/>
                <w:bCs/>
                <w:i/>
                <w:iCs/>
                <w:sz w:val="20"/>
                <w:szCs w:val="20"/>
              </w:rPr>
            </w:pPr>
            <w:r w:rsidRPr="007B5BE6">
              <w:rPr>
                <w:b/>
                <w:bCs/>
                <w:i/>
                <w:iCs/>
                <w:sz w:val="20"/>
                <w:szCs w:val="20"/>
              </w:rPr>
              <w:t>1,404</w:t>
            </w:r>
          </w:p>
        </w:tc>
        <w:tc>
          <w:tcPr>
            <w:tcW w:w="1780" w:type="pct"/>
            <w:tcBorders>
              <w:top w:val="single" w:sz="8" w:space="0" w:color="auto"/>
            </w:tcBorders>
          </w:tcPr>
          <w:p w14:paraId="38EAFFAA" w14:textId="77777777" w:rsidR="00B536F5" w:rsidRPr="007B5BE6" w:rsidRDefault="00B536F5" w:rsidP="00C36293">
            <w:pPr>
              <w:jc w:val="left"/>
              <w:rPr>
                <w:b/>
                <w:bCs/>
                <w:i/>
                <w:iCs/>
                <w:sz w:val="20"/>
                <w:szCs w:val="20"/>
              </w:rPr>
            </w:pPr>
            <w:r w:rsidRPr="007B5BE6">
              <w:rPr>
                <w:b/>
                <w:bCs/>
                <w:i/>
                <w:iCs/>
                <w:sz w:val="20"/>
                <w:szCs w:val="20"/>
              </w:rPr>
              <w:t>18,404</w:t>
            </w:r>
          </w:p>
        </w:tc>
      </w:tr>
      <w:tr w:rsidR="00B536F5" w:rsidRPr="007B5BE6" w14:paraId="67F1A1C8" w14:textId="77777777" w:rsidTr="00C36293">
        <w:tc>
          <w:tcPr>
            <w:tcW w:w="1491" w:type="pct"/>
          </w:tcPr>
          <w:p w14:paraId="166C712C" w14:textId="77777777" w:rsidR="00B536F5" w:rsidRPr="007B5BE6" w:rsidRDefault="00B536F5" w:rsidP="00C36293">
            <w:pPr>
              <w:jc w:val="left"/>
              <w:rPr>
                <w:sz w:val="20"/>
                <w:szCs w:val="20"/>
              </w:rPr>
            </w:pPr>
            <w:r w:rsidRPr="007B5BE6">
              <w:rPr>
                <w:sz w:val="20"/>
                <w:szCs w:val="20"/>
              </w:rPr>
              <w:t>Reports handled at an early point by Ageing and Disability Abuse Helpline</w:t>
            </w:r>
          </w:p>
        </w:tc>
        <w:tc>
          <w:tcPr>
            <w:tcW w:w="1729" w:type="pct"/>
          </w:tcPr>
          <w:p w14:paraId="593E6CD7" w14:textId="77777777" w:rsidR="00B536F5" w:rsidRPr="007B5BE6" w:rsidRDefault="00B536F5" w:rsidP="00C36293">
            <w:pPr>
              <w:jc w:val="left"/>
              <w:rPr>
                <w:sz w:val="20"/>
                <w:szCs w:val="20"/>
              </w:rPr>
            </w:pPr>
            <w:r w:rsidRPr="007B5BE6">
              <w:rPr>
                <w:sz w:val="20"/>
                <w:szCs w:val="20"/>
              </w:rPr>
              <w:t>1,070 (76.2%)</w:t>
            </w:r>
          </w:p>
        </w:tc>
        <w:tc>
          <w:tcPr>
            <w:tcW w:w="1780" w:type="pct"/>
          </w:tcPr>
          <w:p w14:paraId="4AE2555D" w14:textId="77777777" w:rsidR="00B536F5" w:rsidRPr="007B5BE6" w:rsidRDefault="00B536F5" w:rsidP="00C36293">
            <w:pPr>
              <w:jc w:val="left"/>
              <w:rPr>
                <w:sz w:val="20"/>
                <w:szCs w:val="20"/>
              </w:rPr>
            </w:pPr>
            <w:r w:rsidRPr="007B5BE6">
              <w:rPr>
                <w:sz w:val="20"/>
                <w:szCs w:val="20"/>
              </w:rPr>
              <w:t xml:space="preserve">13,390 (72.7%) </w:t>
            </w:r>
          </w:p>
        </w:tc>
      </w:tr>
      <w:tr w:rsidR="00B536F5" w:rsidRPr="007B5BE6" w14:paraId="4E23B5EE" w14:textId="77777777" w:rsidTr="00C36293">
        <w:tc>
          <w:tcPr>
            <w:tcW w:w="1491" w:type="pct"/>
          </w:tcPr>
          <w:p w14:paraId="3BD85D0F" w14:textId="77777777" w:rsidR="00B536F5" w:rsidRPr="007B5BE6" w:rsidRDefault="00B536F5" w:rsidP="00C36293">
            <w:pPr>
              <w:jc w:val="left"/>
              <w:rPr>
                <w:sz w:val="20"/>
                <w:szCs w:val="20"/>
              </w:rPr>
            </w:pPr>
            <w:r w:rsidRPr="007B5BE6">
              <w:rPr>
                <w:sz w:val="20"/>
                <w:szCs w:val="20"/>
              </w:rPr>
              <w:t>Reports where action taken by the ADC involved further work</w:t>
            </w:r>
          </w:p>
        </w:tc>
        <w:tc>
          <w:tcPr>
            <w:tcW w:w="1729" w:type="pct"/>
          </w:tcPr>
          <w:p w14:paraId="7676D566" w14:textId="77777777" w:rsidR="00B536F5" w:rsidRPr="007B5BE6" w:rsidRDefault="00B536F5" w:rsidP="00C36293">
            <w:pPr>
              <w:jc w:val="left"/>
              <w:rPr>
                <w:sz w:val="20"/>
                <w:szCs w:val="20"/>
              </w:rPr>
            </w:pPr>
            <w:r w:rsidRPr="007B5BE6">
              <w:rPr>
                <w:sz w:val="20"/>
                <w:szCs w:val="20"/>
              </w:rPr>
              <w:t>297 (21.2%)</w:t>
            </w:r>
          </w:p>
        </w:tc>
        <w:tc>
          <w:tcPr>
            <w:tcW w:w="1780" w:type="pct"/>
          </w:tcPr>
          <w:p w14:paraId="47E598CC" w14:textId="77777777" w:rsidR="00B536F5" w:rsidRPr="007B5BE6" w:rsidRDefault="00B536F5" w:rsidP="00C36293">
            <w:pPr>
              <w:jc w:val="left"/>
              <w:rPr>
                <w:sz w:val="20"/>
                <w:szCs w:val="20"/>
              </w:rPr>
            </w:pPr>
            <w:r w:rsidRPr="007B5BE6">
              <w:rPr>
                <w:sz w:val="20"/>
                <w:szCs w:val="20"/>
              </w:rPr>
              <w:t>4,474 (24.8%)</w:t>
            </w:r>
          </w:p>
        </w:tc>
      </w:tr>
      <w:tr w:rsidR="00B536F5" w:rsidRPr="007B5BE6" w14:paraId="732AF36C" w14:textId="77777777" w:rsidTr="00BB7987">
        <w:tc>
          <w:tcPr>
            <w:tcW w:w="5000" w:type="pct"/>
            <w:gridSpan w:val="3"/>
            <w:shd w:val="clear" w:color="auto" w:fill="FFFFFF" w:themeFill="background1"/>
          </w:tcPr>
          <w:p w14:paraId="4B0753E9" w14:textId="77777777" w:rsidR="00B536F5" w:rsidRPr="007B5BE6" w:rsidRDefault="00B536F5" w:rsidP="00C36293">
            <w:pPr>
              <w:jc w:val="left"/>
              <w:rPr>
                <w:b/>
                <w:bCs/>
                <w:sz w:val="20"/>
                <w:szCs w:val="20"/>
              </w:rPr>
            </w:pPr>
            <w:r w:rsidRPr="007B5BE6">
              <w:rPr>
                <w:b/>
                <w:bCs/>
                <w:sz w:val="20"/>
                <w:szCs w:val="20"/>
              </w:rPr>
              <w:t>OUTCOMES FOR THE PERSON</w:t>
            </w:r>
          </w:p>
        </w:tc>
      </w:tr>
      <w:tr w:rsidR="00B536F5" w:rsidRPr="007B5BE6" w14:paraId="7736A00B" w14:textId="77777777" w:rsidTr="00C36293">
        <w:tc>
          <w:tcPr>
            <w:tcW w:w="1491" w:type="pct"/>
          </w:tcPr>
          <w:p w14:paraId="51C97802" w14:textId="77777777" w:rsidR="00B536F5" w:rsidRPr="007B5BE6" w:rsidRDefault="00B536F5" w:rsidP="00C36293">
            <w:pPr>
              <w:jc w:val="left"/>
              <w:rPr>
                <w:sz w:val="20"/>
                <w:szCs w:val="20"/>
              </w:rPr>
            </w:pPr>
            <w:r w:rsidRPr="007B5BE6">
              <w:rPr>
                <w:sz w:val="20"/>
                <w:szCs w:val="20"/>
              </w:rPr>
              <w:t>Referral/help to access other supports</w:t>
            </w:r>
          </w:p>
        </w:tc>
        <w:tc>
          <w:tcPr>
            <w:tcW w:w="1729" w:type="pct"/>
          </w:tcPr>
          <w:p w14:paraId="390DD5A5" w14:textId="77777777" w:rsidR="00B536F5" w:rsidRPr="007B5BE6" w:rsidRDefault="00B536F5" w:rsidP="00C36293">
            <w:pPr>
              <w:jc w:val="left"/>
              <w:rPr>
                <w:sz w:val="20"/>
                <w:szCs w:val="20"/>
              </w:rPr>
            </w:pPr>
            <w:r w:rsidRPr="007B5BE6">
              <w:rPr>
                <w:sz w:val="20"/>
                <w:szCs w:val="20"/>
              </w:rPr>
              <w:t>255</w:t>
            </w:r>
          </w:p>
        </w:tc>
        <w:tc>
          <w:tcPr>
            <w:tcW w:w="1780" w:type="pct"/>
          </w:tcPr>
          <w:p w14:paraId="62C9EA83" w14:textId="77777777" w:rsidR="00B536F5" w:rsidRPr="007B5BE6" w:rsidRDefault="00B536F5" w:rsidP="00C36293">
            <w:pPr>
              <w:jc w:val="left"/>
              <w:rPr>
                <w:sz w:val="20"/>
                <w:szCs w:val="20"/>
              </w:rPr>
            </w:pPr>
            <w:r w:rsidRPr="007B5BE6">
              <w:rPr>
                <w:sz w:val="20"/>
                <w:szCs w:val="20"/>
              </w:rPr>
              <w:t>None reported</w:t>
            </w:r>
          </w:p>
        </w:tc>
      </w:tr>
      <w:tr w:rsidR="00B536F5" w:rsidRPr="007B5BE6" w14:paraId="0B4CA3FB" w14:textId="77777777" w:rsidTr="00C36293">
        <w:tc>
          <w:tcPr>
            <w:tcW w:w="1491" w:type="pct"/>
          </w:tcPr>
          <w:p w14:paraId="05A6BAE3" w14:textId="77777777" w:rsidR="00B536F5" w:rsidRPr="007B5BE6" w:rsidRDefault="00B536F5" w:rsidP="00C36293">
            <w:pPr>
              <w:jc w:val="left"/>
              <w:rPr>
                <w:sz w:val="20"/>
                <w:szCs w:val="20"/>
              </w:rPr>
            </w:pPr>
            <w:r w:rsidRPr="007B5BE6">
              <w:rPr>
                <w:sz w:val="20"/>
                <w:szCs w:val="20"/>
              </w:rPr>
              <w:t xml:space="preserve">Will and preference of person ascertained </w:t>
            </w:r>
          </w:p>
        </w:tc>
        <w:tc>
          <w:tcPr>
            <w:tcW w:w="1729" w:type="pct"/>
          </w:tcPr>
          <w:p w14:paraId="685C57BA" w14:textId="77777777" w:rsidR="00B536F5" w:rsidRPr="007B5BE6" w:rsidRDefault="00B536F5" w:rsidP="00C36293">
            <w:pPr>
              <w:jc w:val="left"/>
              <w:rPr>
                <w:sz w:val="20"/>
                <w:szCs w:val="20"/>
              </w:rPr>
            </w:pPr>
            <w:r w:rsidRPr="007B5BE6">
              <w:rPr>
                <w:sz w:val="20"/>
                <w:szCs w:val="20"/>
              </w:rPr>
              <w:t>134</w:t>
            </w:r>
          </w:p>
        </w:tc>
        <w:tc>
          <w:tcPr>
            <w:tcW w:w="1780" w:type="pct"/>
          </w:tcPr>
          <w:p w14:paraId="399E5C6D" w14:textId="77777777" w:rsidR="00B536F5" w:rsidRPr="007B5BE6" w:rsidRDefault="00B536F5" w:rsidP="00C36293">
            <w:pPr>
              <w:jc w:val="left"/>
              <w:rPr>
                <w:sz w:val="20"/>
                <w:szCs w:val="20"/>
              </w:rPr>
            </w:pPr>
            <w:r w:rsidRPr="007B5BE6">
              <w:rPr>
                <w:sz w:val="20"/>
                <w:szCs w:val="20"/>
              </w:rPr>
              <w:t>2,600</w:t>
            </w:r>
          </w:p>
        </w:tc>
      </w:tr>
      <w:tr w:rsidR="00B536F5" w:rsidRPr="007B5BE6" w14:paraId="46092D33" w14:textId="77777777" w:rsidTr="00C36293">
        <w:tc>
          <w:tcPr>
            <w:tcW w:w="1491" w:type="pct"/>
          </w:tcPr>
          <w:p w14:paraId="163B9A9E" w14:textId="77777777" w:rsidR="00B536F5" w:rsidRPr="007B5BE6" w:rsidRDefault="00B536F5" w:rsidP="00C36293">
            <w:pPr>
              <w:jc w:val="left"/>
              <w:rPr>
                <w:sz w:val="20"/>
                <w:szCs w:val="20"/>
              </w:rPr>
            </w:pPr>
            <w:r w:rsidRPr="007B5BE6">
              <w:rPr>
                <w:sz w:val="20"/>
                <w:szCs w:val="20"/>
              </w:rPr>
              <w:t xml:space="preserve">Will and preference of person respected/upheld </w:t>
            </w:r>
          </w:p>
        </w:tc>
        <w:tc>
          <w:tcPr>
            <w:tcW w:w="1729" w:type="pct"/>
          </w:tcPr>
          <w:p w14:paraId="07A76F5A" w14:textId="77777777" w:rsidR="00B536F5" w:rsidRPr="007B5BE6" w:rsidRDefault="00B536F5" w:rsidP="00C36293">
            <w:pPr>
              <w:jc w:val="left"/>
              <w:rPr>
                <w:sz w:val="20"/>
                <w:szCs w:val="20"/>
              </w:rPr>
            </w:pPr>
            <w:r w:rsidRPr="007B5BE6">
              <w:rPr>
                <w:sz w:val="20"/>
                <w:szCs w:val="20"/>
              </w:rPr>
              <w:t>119</w:t>
            </w:r>
          </w:p>
        </w:tc>
        <w:tc>
          <w:tcPr>
            <w:tcW w:w="1780" w:type="pct"/>
          </w:tcPr>
          <w:p w14:paraId="3D677BE7" w14:textId="77777777" w:rsidR="00B536F5" w:rsidRPr="007B5BE6" w:rsidRDefault="00B536F5" w:rsidP="00C36293">
            <w:pPr>
              <w:jc w:val="left"/>
              <w:rPr>
                <w:sz w:val="20"/>
                <w:szCs w:val="20"/>
              </w:rPr>
            </w:pPr>
            <w:r w:rsidRPr="007B5BE6">
              <w:rPr>
                <w:sz w:val="20"/>
                <w:szCs w:val="20"/>
              </w:rPr>
              <w:t>2,372</w:t>
            </w:r>
          </w:p>
        </w:tc>
      </w:tr>
      <w:tr w:rsidR="00B536F5" w:rsidRPr="007B5BE6" w14:paraId="1FAD5AD1" w14:textId="77777777" w:rsidTr="00C36293">
        <w:tc>
          <w:tcPr>
            <w:tcW w:w="1491" w:type="pct"/>
          </w:tcPr>
          <w:p w14:paraId="6917E706" w14:textId="77777777" w:rsidR="00B536F5" w:rsidRPr="007B5BE6" w:rsidRDefault="00B536F5" w:rsidP="00C36293">
            <w:pPr>
              <w:jc w:val="left"/>
              <w:rPr>
                <w:sz w:val="20"/>
                <w:szCs w:val="20"/>
              </w:rPr>
            </w:pPr>
            <w:r w:rsidRPr="007B5BE6">
              <w:rPr>
                <w:sz w:val="20"/>
                <w:szCs w:val="20"/>
              </w:rPr>
              <w:t xml:space="preserve">Other supports/services provided/ increased </w:t>
            </w:r>
          </w:p>
        </w:tc>
        <w:tc>
          <w:tcPr>
            <w:tcW w:w="1729" w:type="pct"/>
          </w:tcPr>
          <w:p w14:paraId="5506C7CA" w14:textId="77777777" w:rsidR="00B536F5" w:rsidRPr="007B5BE6" w:rsidRDefault="00B536F5" w:rsidP="00C36293">
            <w:pPr>
              <w:jc w:val="left"/>
              <w:rPr>
                <w:sz w:val="20"/>
                <w:szCs w:val="20"/>
              </w:rPr>
            </w:pPr>
            <w:r w:rsidRPr="007B5BE6">
              <w:rPr>
                <w:sz w:val="20"/>
                <w:szCs w:val="20"/>
              </w:rPr>
              <w:t>37</w:t>
            </w:r>
          </w:p>
        </w:tc>
        <w:tc>
          <w:tcPr>
            <w:tcW w:w="1780" w:type="pct"/>
          </w:tcPr>
          <w:p w14:paraId="002B7ED5" w14:textId="77777777" w:rsidR="00B536F5" w:rsidRPr="007B5BE6" w:rsidRDefault="00B536F5" w:rsidP="00C36293">
            <w:pPr>
              <w:jc w:val="left"/>
              <w:rPr>
                <w:sz w:val="20"/>
                <w:szCs w:val="20"/>
              </w:rPr>
            </w:pPr>
            <w:r w:rsidRPr="007B5BE6">
              <w:rPr>
                <w:sz w:val="20"/>
                <w:szCs w:val="20"/>
              </w:rPr>
              <w:t>198</w:t>
            </w:r>
          </w:p>
        </w:tc>
      </w:tr>
      <w:tr w:rsidR="00B536F5" w:rsidRPr="007B5BE6" w14:paraId="0DF6720E" w14:textId="77777777" w:rsidTr="00C36293">
        <w:tc>
          <w:tcPr>
            <w:tcW w:w="1491" w:type="pct"/>
          </w:tcPr>
          <w:p w14:paraId="5881C88F" w14:textId="77777777" w:rsidR="00B536F5" w:rsidRPr="007B5BE6" w:rsidRDefault="00B536F5" w:rsidP="00C36293">
            <w:pPr>
              <w:jc w:val="left"/>
              <w:rPr>
                <w:sz w:val="20"/>
                <w:szCs w:val="20"/>
              </w:rPr>
            </w:pPr>
            <w:r w:rsidRPr="007B5BE6">
              <w:rPr>
                <w:sz w:val="20"/>
                <w:szCs w:val="20"/>
              </w:rPr>
              <w:t xml:space="preserve">Change in accommodation </w:t>
            </w:r>
          </w:p>
        </w:tc>
        <w:tc>
          <w:tcPr>
            <w:tcW w:w="1729" w:type="pct"/>
          </w:tcPr>
          <w:p w14:paraId="05F80CDD" w14:textId="77777777" w:rsidR="00B536F5" w:rsidRPr="007B5BE6" w:rsidRDefault="00B536F5" w:rsidP="00C36293">
            <w:pPr>
              <w:jc w:val="left"/>
              <w:rPr>
                <w:sz w:val="20"/>
                <w:szCs w:val="20"/>
              </w:rPr>
            </w:pPr>
            <w:r w:rsidRPr="007B5BE6">
              <w:rPr>
                <w:sz w:val="20"/>
                <w:szCs w:val="20"/>
              </w:rPr>
              <w:t>29</w:t>
            </w:r>
          </w:p>
        </w:tc>
        <w:tc>
          <w:tcPr>
            <w:tcW w:w="1780" w:type="pct"/>
          </w:tcPr>
          <w:p w14:paraId="181237E1" w14:textId="77777777" w:rsidR="00B536F5" w:rsidRPr="007B5BE6" w:rsidRDefault="00B536F5" w:rsidP="00C36293">
            <w:pPr>
              <w:jc w:val="left"/>
              <w:rPr>
                <w:sz w:val="20"/>
                <w:szCs w:val="20"/>
              </w:rPr>
            </w:pPr>
            <w:r w:rsidRPr="007B5BE6">
              <w:rPr>
                <w:sz w:val="20"/>
                <w:szCs w:val="20"/>
              </w:rPr>
              <w:t>323</w:t>
            </w:r>
          </w:p>
        </w:tc>
      </w:tr>
      <w:tr w:rsidR="00B536F5" w:rsidRPr="007B5BE6" w14:paraId="4B42CEE7" w14:textId="77777777" w:rsidTr="00C36293">
        <w:tc>
          <w:tcPr>
            <w:tcW w:w="1491" w:type="pct"/>
          </w:tcPr>
          <w:p w14:paraId="42824938" w14:textId="77777777" w:rsidR="00B536F5" w:rsidRPr="007B5BE6" w:rsidRDefault="00B536F5" w:rsidP="00C36293">
            <w:pPr>
              <w:jc w:val="left"/>
              <w:rPr>
                <w:sz w:val="20"/>
                <w:szCs w:val="20"/>
              </w:rPr>
            </w:pPr>
            <w:r w:rsidRPr="007B5BE6">
              <w:rPr>
                <w:sz w:val="20"/>
                <w:szCs w:val="20"/>
              </w:rPr>
              <w:t>Referral/help to access aged care supports</w:t>
            </w:r>
          </w:p>
        </w:tc>
        <w:tc>
          <w:tcPr>
            <w:tcW w:w="1729" w:type="pct"/>
          </w:tcPr>
          <w:p w14:paraId="1B3FC3C9" w14:textId="77777777" w:rsidR="00B536F5" w:rsidRPr="007B5BE6" w:rsidRDefault="00B536F5" w:rsidP="00C36293">
            <w:pPr>
              <w:jc w:val="left"/>
              <w:rPr>
                <w:sz w:val="20"/>
                <w:szCs w:val="20"/>
              </w:rPr>
            </w:pPr>
            <w:r w:rsidRPr="007B5BE6">
              <w:rPr>
                <w:sz w:val="20"/>
                <w:szCs w:val="20"/>
              </w:rPr>
              <w:t>23</w:t>
            </w:r>
          </w:p>
        </w:tc>
        <w:tc>
          <w:tcPr>
            <w:tcW w:w="1780" w:type="pct"/>
          </w:tcPr>
          <w:p w14:paraId="7846B2B5" w14:textId="77777777" w:rsidR="00B536F5" w:rsidRPr="007B5BE6" w:rsidRDefault="00B536F5" w:rsidP="00C36293">
            <w:pPr>
              <w:jc w:val="left"/>
              <w:rPr>
                <w:sz w:val="20"/>
                <w:szCs w:val="20"/>
              </w:rPr>
            </w:pPr>
            <w:r w:rsidRPr="007B5BE6">
              <w:rPr>
                <w:sz w:val="20"/>
                <w:szCs w:val="20"/>
              </w:rPr>
              <w:t>411</w:t>
            </w:r>
          </w:p>
        </w:tc>
      </w:tr>
      <w:tr w:rsidR="00B536F5" w:rsidRPr="007B5BE6" w14:paraId="5B009946" w14:textId="77777777" w:rsidTr="00C36293">
        <w:tc>
          <w:tcPr>
            <w:tcW w:w="1491" w:type="pct"/>
          </w:tcPr>
          <w:p w14:paraId="5D084537" w14:textId="77777777" w:rsidR="00B536F5" w:rsidRPr="007B5BE6" w:rsidRDefault="00B536F5" w:rsidP="00C36293">
            <w:pPr>
              <w:jc w:val="left"/>
              <w:rPr>
                <w:sz w:val="20"/>
                <w:szCs w:val="20"/>
              </w:rPr>
            </w:pPr>
            <w:r w:rsidRPr="007B5BE6">
              <w:rPr>
                <w:sz w:val="20"/>
                <w:szCs w:val="20"/>
              </w:rPr>
              <w:t xml:space="preserve">Referral/help to access legal support </w:t>
            </w:r>
          </w:p>
        </w:tc>
        <w:tc>
          <w:tcPr>
            <w:tcW w:w="1729" w:type="pct"/>
          </w:tcPr>
          <w:p w14:paraId="21542BE5" w14:textId="77777777" w:rsidR="00B536F5" w:rsidRPr="007B5BE6" w:rsidRDefault="00B536F5" w:rsidP="00C36293">
            <w:pPr>
              <w:jc w:val="left"/>
              <w:rPr>
                <w:sz w:val="20"/>
                <w:szCs w:val="20"/>
              </w:rPr>
            </w:pPr>
            <w:r w:rsidRPr="007B5BE6">
              <w:rPr>
                <w:sz w:val="20"/>
                <w:szCs w:val="20"/>
              </w:rPr>
              <w:t>22</w:t>
            </w:r>
          </w:p>
        </w:tc>
        <w:tc>
          <w:tcPr>
            <w:tcW w:w="1780" w:type="pct"/>
          </w:tcPr>
          <w:p w14:paraId="3524ACA9" w14:textId="77777777" w:rsidR="00B536F5" w:rsidRPr="007B5BE6" w:rsidRDefault="00B536F5" w:rsidP="00C36293">
            <w:pPr>
              <w:jc w:val="left"/>
              <w:rPr>
                <w:sz w:val="20"/>
                <w:szCs w:val="20"/>
              </w:rPr>
            </w:pPr>
            <w:r w:rsidRPr="007B5BE6">
              <w:rPr>
                <w:sz w:val="20"/>
                <w:szCs w:val="20"/>
              </w:rPr>
              <w:t>328</w:t>
            </w:r>
          </w:p>
        </w:tc>
      </w:tr>
      <w:tr w:rsidR="00B536F5" w:rsidRPr="007B5BE6" w14:paraId="11A26B2A" w14:textId="77777777" w:rsidTr="00C36293">
        <w:tc>
          <w:tcPr>
            <w:tcW w:w="1491" w:type="pct"/>
          </w:tcPr>
          <w:p w14:paraId="4104F004" w14:textId="77777777" w:rsidR="00B536F5" w:rsidRPr="007B5BE6" w:rsidRDefault="00B536F5" w:rsidP="00C36293">
            <w:pPr>
              <w:jc w:val="left"/>
              <w:rPr>
                <w:sz w:val="20"/>
                <w:szCs w:val="20"/>
              </w:rPr>
            </w:pPr>
            <w:r w:rsidRPr="007B5BE6">
              <w:rPr>
                <w:sz w:val="20"/>
                <w:szCs w:val="20"/>
              </w:rPr>
              <w:t xml:space="preserve">Health/medical support provided/ increased </w:t>
            </w:r>
          </w:p>
        </w:tc>
        <w:tc>
          <w:tcPr>
            <w:tcW w:w="1729" w:type="pct"/>
          </w:tcPr>
          <w:p w14:paraId="75789E45" w14:textId="77777777" w:rsidR="00B536F5" w:rsidRPr="007B5BE6" w:rsidRDefault="00B536F5" w:rsidP="00C36293">
            <w:pPr>
              <w:jc w:val="left"/>
              <w:rPr>
                <w:sz w:val="20"/>
                <w:szCs w:val="20"/>
              </w:rPr>
            </w:pPr>
            <w:r w:rsidRPr="007B5BE6">
              <w:rPr>
                <w:sz w:val="20"/>
                <w:szCs w:val="20"/>
              </w:rPr>
              <w:t>22</w:t>
            </w:r>
          </w:p>
        </w:tc>
        <w:tc>
          <w:tcPr>
            <w:tcW w:w="1780" w:type="pct"/>
          </w:tcPr>
          <w:p w14:paraId="2F5CAE96" w14:textId="77777777" w:rsidR="00B536F5" w:rsidRPr="007B5BE6" w:rsidRDefault="00B536F5" w:rsidP="00C36293">
            <w:pPr>
              <w:jc w:val="left"/>
              <w:rPr>
                <w:sz w:val="20"/>
                <w:szCs w:val="20"/>
              </w:rPr>
            </w:pPr>
            <w:r w:rsidRPr="007B5BE6">
              <w:rPr>
                <w:sz w:val="20"/>
                <w:szCs w:val="20"/>
              </w:rPr>
              <w:t>None reported</w:t>
            </w:r>
          </w:p>
        </w:tc>
      </w:tr>
      <w:tr w:rsidR="00B536F5" w:rsidRPr="007B5BE6" w14:paraId="13717798" w14:textId="77777777" w:rsidTr="00C36293">
        <w:tc>
          <w:tcPr>
            <w:tcW w:w="1491" w:type="pct"/>
          </w:tcPr>
          <w:p w14:paraId="1EF5E65A" w14:textId="77777777" w:rsidR="00B536F5" w:rsidRPr="007B5BE6" w:rsidRDefault="00B536F5" w:rsidP="00C36293">
            <w:pPr>
              <w:jc w:val="left"/>
              <w:rPr>
                <w:sz w:val="20"/>
                <w:szCs w:val="20"/>
              </w:rPr>
            </w:pPr>
            <w:r w:rsidRPr="007B5BE6">
              <w:rPr>
                <w:sz w:val="20"/>
                <w:szCs w:val="20"/>
              </w:rPr>
              <w:t>Review/assessment of aged care supports</w:t>
            </w:r>
          </w:p>
        </w:tc>
        <w:tc>
          <w:tcPr>
            <w:tcW w:w="1729" w:type="pct"/>
          </w:tcPr>
          <w:p w14:paraId="5A92D818" w14:textId="77777777" w:rsidR="00B536F5" w:rsidRPr="007B5BE6" w:rsidRDefault="00B536F5" w:rsidP="00C36293">
            <w:pPr>
              <w:jc w:val="left"/>
              <w:rPr>
                <w:sz w:val="20"/>
                <w:szCs w:val="20"/>
              </w:rPr>
            </w:pPr>
            <w:r w:rsidRPr="007B5BE6">
              <w:rPr>
                <w:sz w:val="20"/>
                <w:szCs w:val="20"/>
              </w:rPr>
              <w:t>21</w:t>
            </w:r>
          </w:p>
        </w:tc>
        <w:tc>
          <w:tcPr>
            <w:tcW w:w="1780" w:type="pct"/>
          </w:tcPr>
          <w:p w14:paraId="4E7902E9" w14:textId="77777777" w:rsidR="00B536F5" w:rsidRPr="007B5BE6" w:rsidRDefault="00B536F5" w:rsidP="00C36293">
            <w:pPr>
              <w:jc w:val="left"/>
              <w:rPr>
                <w:sz w:val="20"/>
                <w:szCs w:val="20"/>
              </w:rPr>
            </w:pPr>
            <w:r w:rsidRPr="007B5BE6">
              <w:rPr>
                <w:sz w:val="20"/>
                <w:szCs w:val="20"/>
              </w:rPr>
              <w:t>313</w:t>
            </w:r>
          </w:p>
        </w:tc>
      </w:tr>
      <w:tr w:rsidR="00B536F5" w:rsidRPr="007B5BE6" w14:paraId="759326FC" w14:textId="77777777" w:rsidTr="00C36293">
        <w:tc>
          <w:tcPr>
            <w:tcW w:w="1491" w:type="pct"/>
          </w:tcPr>
          <w:p w14:paraId="0305B89F" w14:textId="77777777" w:rsidR="00B536F5" w:rsidRPr="007B5BE6" w:rsidRDefault="00B536F5" w:rsidP="00C36293">
            <w:pPr>
              <w:jc w:val="left"/>
              <w:rPr>
                <w:sz w:val="20"/>
                <w:szCs w:val="20"/>
              </w:rPr>
            </w:pPr>
            <w:r w:rsidRPr="007B5BE6">
              <w:rPr>
                <w:sz w:val="20"/>
                <w:szCs w:val="20"/>
              </w:rPr>
              <w:t xml:space="preserve">Referral/help to access health services </w:t>
            </w:r>
          </w:p>
        </w:tc>
        <w:tc>
          <w:tcPr>
            <w:tcW w:w="1729" w:type="pct"/>
          </w:tcPr>
          <w:p w14:paraId="0D885A4C" w14:textId="77777777" w:rsidR="00B536F5" w:rsidRPr="007B5BE6" w:rsidRDefault="00B536F5" w:rsidP="00C36293">
            <w:pPr>
              <w:jc w:val="left"/>
              <w:rPr>
                <w:sz w:val="20"/>
                <w:szCs w:val="20"/>
              </w:rPr>
            </w:pPr>
            <w:r w:rsidRPr="007B5BE6">
              <w:rPr>
                <w:sz w:val="20"/>
                <w:szCs w:val="20"/>
              </w:rPr>
              <w:t>20</w:t>
            </w:r>
          </w:p>
        </w:tc>
        <w:tc>
          <w:tcPr>
            <w:tcW w:w="1780" w:type="pct"/>
          </w:tcPr>
          <w:p w14:paraId="42FCC15F" w14:textId="77777777" w:rsidR="00B536F5" w:rsidRPr="007B5BE6" w:rsidRDefault="00B536F5" w:rsidP="00C36293">
            <w:pPr>
              <w:jc w:val="left"/>
              <w:rPr>
                <w:sz w:val="20"/>
                <w:szCs w:val="20"/>
              </w:rPr>
            </w:pPr>
            <w:r w:rsidRPr="007B5BE6">
              <w:rPr>
                <w:sz w:val="20"/>
                <w:szCs w:val="20"/>
              </w:rPr>
              <w:t>172</w:t>
            </w:r>
          </w:p>
        </w:tc>
      </w:tr>
      <w:tr w:rsidR="00B536F5" w:rsidRPr="007B5BE6" w14:paraId="08060B2F" w14:textId="77777777" w:rsidTr="00C36293">
        <w:tc>
          <w:tcPr>
            <w:tcW w:w="1491" w:type="pct"/>
          </w:tcPr>
          <w:p w14:paraId="294B8AB5" w14:textId="77777777" w:rsidR="00B536F5" w:rsidRPr="007B5BE6" w:rsidRDefault="00B536F5" w:rsidP="00C36293">
            <w:pPr>
              <w:jc w:val="left"/>
              <w:rPr>
                <w:sz w:val="20"/>
                <w:szCs w:val="20"/>
              </w:rPr>
            </w:pPr>
            <w:r w:rsidRPr="007B5BE6">
              <w:rPr>
                <w:sz w:val="20"/>
                <w:szCs w:val="20"/>
              </w:rPr>
              <w:t>Other police/justice action</w:t>
            </w:r>
          </w:p>
        </w:tc>
        <w:tc>
          <w:tcPr>
            <w:tcW w:w="1729" w:type="pct"/>
          </w:tcPr>
          <w:p w14:paraId="521510A7" w14:textId="77777777" w:rsidR="00B536F5" w:rsidRPr="007B5BE6" w:rsidRDefault="00B536F5" w:rsidP="00C36293">
            <w:pPr>
              <w:jc w:val="left"/>
              <w:rPr>
                <w:sz w:val="20"/>
                <w:szCs w:val="20"/>
              </w:rPr>
            </w:pPr>
            <w:r w:rsidRPr="007B5BE6">
              <w:rPr>
                <w:sz w:val="20"/>
                <w:szCs w:val="20"/>
              </w:rPr>
              <w:t>None reported</w:t>
            </w:r>
          </w:p>
        </w:tc>
        <w:tc>
          <w:tcPr>
            <w:tcW w:w="1780" w:type="pct"/>
          </w:tcPr>
          <w:p w14:paraId="0D2CBAC7" w14:textId="77777777" w:rsidR="00B536F5" w:rsidRPr="007B5BE6" w:rsidRDefault="00B536F5" w:rsidP="00C36293">
            <w:pPr>
              <w:jc w:val="left"/>
              <w:rPr>
                <w:sz w:val="20"/>
                <w:szCs w:val="20"/>
              </w:rPr>
            </w:pPr>
            <w:r w:rsidRPr="007B5BE6">
              <w:rPr>
                <w:sz w:val="20"/>
                <w:szCs w:val="20"/>
              </w:rPr>
              <w:t>370</w:t>
            </w:r>
          </w:p>
        </w:tc>
      </w:tr>
      <w:tr w:rsidR="00B536F5" w:rsidRPr="007B5BE6" w14:paraId="1A738369" w14:textId="77777777" w:rsidTr="00C36293">
        <w:tc>
          <w:tcPr>
            <w:tcW w:w="1491" w:type="pct"/>
          </w:tcPr>
          <w:p w14:paraId="6AE7C7F6" w14:textId="77777777" w:rsidR="00B536F5" w:rsidRPr="007B5BE6" w:rsidRDefault="00B536F5" w:rsidP="00C36293">
            <w:pPr>
              <w:jc w:val="left"/>
              <w:rPr>
                <w:sz w:val="20"/>
                <w:szCs w:val="20"/>
              </w:rPr>
            </w:pPr>
            <w:r w:rsidRPr="007B5BE6">
              <w:rPr>
                <w:sz w:val="20"/>
                <w:szCs w:val="20"/>
              </w:rPr>
              <w:t xml:space="preserve">Aged care support provided or increased </w:t>
            </w:r>
          </w:p>
        </w:tc>
        <w:tc>
          <w:tcPr>
            <w:tcW w:w="1729" w:type="pct"/>
          </w:tcPr>
          <w:p w14:paraId="58EF29EB" w14:textId="77777777" w:rsidR="00B536F5" w:rsidRPr="007B5BE6" w:rsidRDefault="00B536F5" w:rsidP="00C36293">
            <w:pPr>
              <w:jc w:val="left"/>
              <w:rPr>
                <w:sz w:val="20"/>
                <w:szCs w:val="20"/>
              </w:rPr>
            </w:pPr>
            <w:r w:rsidRPr="007B5BE6">
              <w:rPr>
                <w:sz w:val="20"/>
                <w:szCs w:val="20"/>
              </w:rPr>
              <w:t>None reported</w:t>
            </w:r>
          </w:p>
        </w:tc>
        <w:tc>
          <w:tcPr>
            <w:tcW w:w="1780" w:type="pct"/>
          </w:tcPr>
          <w:p w14:paraId="6A27F875" w14:textId="77777777" w:rsidR="00B536F5" w:rsidRPr="007B5BE6" w:rsidRDefault="00B536F5" w:rsidP="00C36293">
            <w:pPr>
              <w:jc w:val="left"/>
              <w:rPr>
                <w:sz w:val="20"/>
                <w:szCs w:val="20"/>
              </w:rPr>
            </w:pPr>
            <w:r w:rsidRPr="007B5BE6">
              <w:rPr>
                <w:sz w:val="20"/>
                <w:szCs w:val="20"/>
              </w:rPr>
              <w:t>305</w:t>
            </w:r>
          </w:p>
        </w:tc>
      </w:tr>
      <w:tr w:rsidR="00B536F5" w:rsidRPr="007B5BE6" w14:paraId="07DA6445" w14:textId="77777777" w:rsidTr="00C36293">
        <w:tc>
          <w:tcPr>
            <w:tcW w:w="1491" w:type="pct"/>
          </w:tcPr>
          <w:p w14:paraId="5C8523FE" w14:textId="77777777" w:rsidR="00B536F5" w:rsidRPr="007B5BE6" w:rsidRDefault="00B536F5" w:rsidP="00C36293">
            <w:pPr>
              <w:jc w:val="left"/>
              <w:rPr>
                <w:sz w:val="20"/>
                <w:szCs w:val="20"/>
              </w:rPr>
            </w:pPr>
            <w:r w:rsidRPr="007B5BE6">
              <w:rPr>
                <w:sz w:val="20"/>
                <w:szCs w:val="20"/>
              </w:rPr>
              <w:lastRenderedPageBreak/>
              <w:t>Referral or help to access other supports</w:t>
            </w:r>
          </w:p>
        </w:tc>
        <w:tc>
          <w:tcPr>
            <w:tcW w:w="1729" w:type="pct"/>
          </w:tcPr>
          <w:p w14:paraId="7AC2A0BC" w14:textId="77777777" w:rsidR="00B536F5" w:rsidRPr="007B5BE6" w:rsidRDefault="00B536F5" w:rsidP="00C36293">
            <w:pPr>
              <w:jc w:val="left"/>
              <w:rPr>
                <w:sz w:val="20"/>
                <w:szCs w:val="20"/>
              </w:rPr>
            </w:pPr>
            <w:r w:rsidRPr="007B5BE6">
              <w:rPr>
                <w:sz w:val="20"/>
                <w:szCs w:val="20"/>
              </w:rPr>
              <w:t>None reported</w:t>
            </w:r>
          </w:p>
        </w:tc>
        <w:tc>
          <w:tcPr>
            <w:tcW w:w="1780" w:type="pct"/>
          </w:tcPr>
          <w:p w14:paraId="179D47DB" w14:textId="77777777" w:rsidR="00B536F5" w:rsidRPr="007B5BE6" w:rsidRDefault="00B536F5" w:rsidP="00C36293">
            <w:pPr>
              <w:jc w:val="left"/>
              <w:rPr>
                <w:sz w:val="20"/>
                <w:szCs w:val="20"/>
              </w:rPr>
            </w:pPr>
            <w:r w:rsidRPr="007B5BE6">
              <w:rPr>
                <w:sz w:val="20"/>
                <w:szCs w:val="20"/>
              </w:rPr>
              <w:t>288</w:t>
            </w:r>
          </w:p>
        </w:tc>
      </w:tr>
      <w:tr w:rsidR="00B536F5" w:rsidRPr="007B5BE6" w14:paraId="3B066AAD" w14:textId="77777777" w:rsidTr="00C36293">
        <w:tc>
          <w:tcPr>
            <w:tcW w:w="1491" w:type="pct"/>
          </w:tcPr>
          <w:p w14:paraId="60455806" w14:textId="77777777" w:rsidR="00B536F5" w:rsidRPr="007B5BE6" w:rsidRDefault="00B536F5" w:rsidP="00C36293">
            <w:pPr>
              <w:jc w:val="left"/>
              <w:rPr>
                <w:sz w:val="20"/>
                <w:szCs w:val="20"/>
              </w:rPr>
            </w:pPr>
            <w:r w:rsidRPr="007B5BE6">
              <w:rPr>
                <w:sz w:val="20"/>
                <w:szCs w:val="20"/>
              </w:rPr>
              <w:t>Review/assessment of disability supports</w:t>
            </w:r>
          </w:p>
        </w:tc>
        <w:tc>
          <w:tcPr>
            <w:tcW w:w="1729" w:type="pct"/>
          </w:tcPr>
          <w:p w14:paraId="5F4EB76B" w14:textId="77777777" w:rsidR="00B536F5" w:rsidRPr="007B5BE6" w:rsidRDefault="00B536F5" w:rsidP="00C36293">
            <w:pPr>
              <w:jc w:val="left"/>
              <w:rPr>
                <w:sz w:val="20"/>
                <w:szCs w:val="20"/>
              </w:rPr>
            </w:pPr>
            <w:r w:rsidRPr="007B5BE6">
              <w:rPr>
                <w:sz w:val="20"/>
                <w:szCs w:val="20"/>
              </w:rPr>
              <w:t>None reported</w:t>
            </w:r>
          </w:p>
        </w:tc>
        <w:tc>
          <w:tcPr>
            <w:tcW w:w="1780" w:type="pct"/>
          </w:tcPr>
          <w:p w14:paraId="69DF6A85" w14:textId="77777777" w:rsidR="00B536F5" w:rsidRPr="007B5BE6" w:rsidRDefault="00B536F5" w:rsidP="00C36293">
            <w:pPr>
              <w:jc w:val="left"/>
              <w:rPr>
                <w:sz w:val="20"/>
                <w:szCs w:val="20"/>
              </w:rPr>
            </w:pPr>
            <w:r w:rsidRPr="007B5BE6">
              <w:rPr>
                <w:sz w:val="20"/>
                <w:szCs w:val="20"/>
              </w:rPr>
              <w:t>287</w:t>
            </w:r>
          </w:p>
        </w:tc>
      </w:tr>
      <w:tr w:rsidR="00B536F5" w:rsidRPr="007B5BE6" w14:paraId="2DFA1DE3" w14:textId="77777777" w:rsidTr="00C36293">
        <w:tc>
          <w:tcPr>
            <w:tcW w:w="1491" w:type="pct"/>
          </w:tcPr>
          <w:p w14:paraId="00373A14" w14:textId="77777777" w:rsidR="00B536F5" w:rsidRPr="007B5BE6" w:rsidRDefault="00B536F5" w:rsidP="00C36293">
            <w:pPr>
              <w:jc w:val="left"/>
              <w:rPr>
                <w:sz w:val="20"/>
                <w:szCs w:val="20"/>
              </w:rPr>
            </w:pPr>
            <w:r w:rsidRPr="007B5BE6">
              <w:rPr>
                <w:sz w:val="20"/>
                <w:szCs w:val="20"/>
              </w:rPr>
              <w:t>Disability support provided or increased</w:t>
            </w:r>
          </w:p>
        </w:tc>
        <w:tc>
          <w:tcPr>
            <w:tcW w:w="1729" w:type="pct"/>
          </w:tcPr>
          <w:p w14:paraId="61BBD2D3" w14:textId="77777777" w:rsidR="00B536F5" w:rsidRPr="007B5BE6" w:rsidRDefault="00B536F5" w:rsidP="00C36293">
            <w:pPr>
              <w:jc w:val="left"/>
              <w:rPr>
                <w:sz w:val="20"/>
                <w:szCs w:val="20"/>
              </w:rPr>
            </w:pPr>
            <w:r w:rsidRPr="007B5BE6">
              <w:rPr>
                <w:sz w:val="20"/>
                <w:szCs w:val="20"/>
              </w:rPr>
              <w:t>None reported</w:t>
            </w:r>
          </w:p>
        </w:tc>
        <w:tc>
          <w:tcPr>
            <w:tcW w:w="1780" w:type="pct"/>
          </w:tcPr>
          <w:p w14:paraId="7D93E661" w14:textId="77777777" w:rsidR="00B536F5" w:rsidRPr="007B5BE6" w:rsidRDefault="00B536F5" w:rsidP="00C36293">
            <w:pPr>
              <w:jc w:val="left"/>
              <w:rPr>
                <w:sz w:val="20"/>
                <w:szCs w:val="20"/>
              </w:rPr>
            </w:pPr>
            <w:r w:rsidRPr="007B5BE6">
              <w:rPr>
                <w:sz w:val="20"/>
                <w:szCs w:val="20"/>
              </w:rPr>
              <w:t>251</w:t>
            </w:r>
          </w:p>
        </w:tc>
      </w:tr>
      <w:tr w:rsidR="00B536F5" w:rsidRPr="007B5BE6" w14:paraId="44E492E3" w14:textId="77777777" w:rsidTr="00C36293">
        <w:tc>
          <w:tcPr>
            <w:tcW w:w="1491" w:type="pct"/>
          </w:tcPr>
          <w:p w14:paraId="6F5950AC" w14:textId="77777777" w:rsidR="00B536F5" w:rsidRPr="007B5BE6" w:rsidRDefault="00B536F5" w:rsidP="00C36293">
            <w:pPr>
              <w:jc w:val="left"/>
              <w:rPr>
                <w:sz w:val="20"/>
                <w:szCs w:val="20"/>
              </w:rPr>
            </w:pPr>
            <w:r w:rsidRPr="007B5BE6">
              <w:rPr>
                <w:sz w:val="20"/>
                <w:szCs w:val="20"/>
              </w:rPr>
              <w:t>Referral or help to access advocacy supports</w:t>
            </w:r>
          </w:p>
        </w:tc>
        <w:tc>
          <w:tcPr>
            <w:tcW w:w="1729" w:type="pct"/>
          </w:tcPr>
          <w:p w14:paraId="5078D410" w14:textId="77777777" w:rsidR="00B536F5" w:rsidRPr="007B5BE6" w:rsidRDefault="00B536F5" w:rsidP="00C36293">
            <w:pPr>
              <w:jc w:val="left"/>
              <w:rPr>
                <w:sz w:val="20"/>
                <w:szCs w:val="20"/>
              </w:rPr>
            </w:pPr>
            <w:r w:rsidRPr="007B5BE6">
              <w:rPr>
                <w:sz w:val="20"/>
                <w:szCs w:val="20"/>
              </w:rPr>
              <w:t>None reported</w:t>
            </w:r>
          </w:p>
        </w:tc>
        <w:tc>
          <w:tcPr>
            <w:tcW w:w="1780" w:type="pct"/>
          </w:tcPr>
          <w:p w14:paraId="466C5423" w14:textId="77777777" w:rsidR="00B536F5" w:rsidRPr="007B5BE6" w:rsidRDefault="00B536F5" w:rsidP="00C36293">
            <w:pPr>
              <w:jc w:val="left"/>
              <w:rPr>
                <w:sz w:val="20"/>
                <w:szCs w:val="20"/>
              </w:rPr>
            </w:pPr>
            <w:r w:rsidRPr="007B5BE6">
              <w:rPr>
                <w:sz w:val="20"/>
                <w:szCs w:val="20"/>
              </w:rPr>
              <w:t>237</w:t>
            </w:r>
          </w:p>
        </w:tc>
      </w:tr>
      <w:tr w:rsidR="00B536F5" w:rsidRPr="007B5BE6" w14:paraId="2BA8BA07" w14:textId="77777777" w:rsidTr="00C36293">
        <w:tc>
          <w:tcPr>
            <w:tcW w:w="1491" w:type="pct"/>
          </w:tcPr>
          <w:p w14:paraId="0FE3F5F2" w14:textId="77777777" w:rsidR="00B536F5" w:rsidRPr="007B5BE6" w:rsidRDefault="00B536F5" w:rsidP="00C36293">
            <w:pPr>
              <w:jc w:val="left"/>
              <w:rPr>
                <w:sz w:val="20"/>
                <w:szCs w:val="20"/>
              </w:rPr>
            </w:pPr>
            <w:r w:rsidRPr="007B5BE6">
              <w:rPr>
                <w:sz w:val="20"/>
                <w:szCs w:val="20"/>
              </w:rPr>
              <w:t>Referral or help to access disability supports</w:t>
            </w:r>
          </w:p>
        </w:tc>
        <w:tc>
          <w:tcPr>
            <w:tcW w:w="1729" w:type="pct"/>
          </w:tcPr>
          <w:p w14:paraId="375EF279" w14:textId="77777777" w:rsidR="00B536F5" w:rsidRPr="007B5BE6" w:rsidRDefault="00B536F5" w:rsidP="00C36293">
            <w:pPr>
              <w:jc w:val="left"/>
              <w:rPr>
                <w:sz w:val="20"/>
                <w:szCs w:val="20"/>
              </w:rPr>
            </w:pPr>
            <w:r w:rsidRPr="007B5BE6">
              <w:rPr>
                <w:sz w:val="20"/>
                <w:szCs w:val="20"/>
              </w:rPr>
              <w:t>None reported</w:t>
            </w:r>
          </w:p>
        </w:tc>
        <w:tc>
          <w:tcPr>
            <w:tcW w:w="1780" w:type="pct"/>
          </w:tcPr>
          <w:p w14:paraId="5088D037" w14:textId="77777777" w:rsidR="00B536F5" w:rsidRPr="007B5BE6" w:rsidRDefault="00B536F5" w:rsidP="00C36293">
            <w:pPr>
              <w:jc w:val="left"/>
              <w:rPr>
                <w:sz w:val="20"/>
                <w:szCs w:val="20"/>
              </w:rPr>
            </w:pPr>
            <w:r w:rsidRPr="007B5BE6">
              <w:rPr>
                <w:sz w:val="20"/>
                <w:szCs w:val="20"/>
              </w:rPr>
              <w:t>187</w:t>
            </w:r>
          </w:p>
        </w:tc>
      </w:tr>
      <w:tr w:rsidR="00B536F5" w:rsidRPr="007B5BE6" w14:paraId="1DAADE31" w14:textId="77777777" w:rsidTr="00BB7987">
        <w:tc>
          <w:tcPr>
            <w:tcW w:w="5000" w:type="pct"/>
            <w:gridSpan w:val="3"/>
            <w:shd w:val="clear" w:color="auto" w:fill="FFFFFF" w:themeFill="background1"/>
          </w:tcPr>
          <w:p w14:paraId="02F5758A" w14:textId="77777777" w:rsidR="00B536F5" w:rsidRPr="007B5BE6" w:rsidRDefault="00B536F5" w:rsidP="00C36293">
            <w:pPr>
              <w:jc w:val="left"/>
              <w:rPr>
                <w:b/>
                <w:bCs/>
                <w:sz w:val="20"/>
                <w:szCs w:val="20"/>
              </w:rPr>
            </w:pPr>
            <w:r w:rsidRPr="007B5BE6">
              <w:rPr>
                <w:b/>
                <w:bCs/>
                <w:sz w:val="20"/>
                <w:szCs w:val="20"/>
              </w:rPr>
              <w:t xml:space="preserve">OUTCOMES </w:t>
            </w:r>
            <w:r w:rsidRPr="007B5BE6">
              <w:rPr>
                <w:b/>
                <w:bCs/>
                <w:sz w:val="20"/>
                <w:szCs w:val="20"/>
                <w:shd w:val="clear" w:color="auto" w:fill="FFFFFF" w:themeFill="background1"/>
              </w:rPr>
              <w:t>FOR THE SUBJECT OF ALLEGATION</w:t>
            </w:r>
          </w:p>
        </w:tc>
      </w:tr>
      <w:tr w:rsidR="00B536F5" w:rsidRPr="007B5BE6" w14:paraId="12E36DB9" w14:textId="77777777" w:rsidTr="00C36293">
        <w:tc>
          <w:tcPr>
            <w:tcW w:w="1491" w:type="pct"/>
          </w:tcPr>
          <w:p w14:paraId="3F1AB3FA" w14:textId="77777777" w:rsidR="00B536F5" w:rsidRPr="007B5BE6" w:rsidRDefault="00B536F5" w:rsidP="00C36293">
            <w:pPr>
              <w:jc w:val="left"/>
              <w:rPr>
                <w:sz w:val="20"/>
                <w:szCs w:val="20"/>
              </w:rPr>
            </w:pPr>
            <w:r w:rsidRPr="007B5BE6">
              <w:rPr>
                <w:sz w:val="20"/>
                <w:szCs w:val="20"/>
              </w:rPr>
              <w:t xml:space="preserve">Education or advice provided </w:t>
            </w:r>
          </w:p>
        </w:tc>
        <w:tc>
          <w:tcPr>
            <w:tcW w:w="1729" w:type="pct"/>
          </w:tcPr>
          <w:p w14:paraId="7E7754CF" w14:textId="77777777" w:rsidR="00B536F5" w:rsidRPr="007B5BE6" w:rsidRDefault="00B536F5" w:rsidP="00C36293">
            <w:pPr>
              <w:jc w:val="left"/>
              <w:rPr>
                <w:sz w:val="20"/>
                <w:szCs w:val="20"/>
              </w:rPr>
            </w:pPr>
            <w:r w:rsidRPr="007B5BE6">
              <w:rPr>
                <w:sz w:val="20"/>
                <w:szCs w:val="20"/>
              </w:rPr>
              <w:t>122</w:t>
            </w:r>
          </w:p>
        </w:tc>
        <w:tc>
          <w:tcPr>
            <w:tcW w:w="1780" w:type="pct"/>
          </w:tcPr>
          <w:p w14:paraId="42FD84FB" w14:textId="77777777" w:rsidR="00B536F5" w:rsidRPr="007B5BE6" w:rsidRDefault="00B536F5" w:rsidP="00C36293">
            <w:pPr>
              <w:jc w:val="left"/>
              <w:rPr>
                <w:sz w:val="20"/>
                <w:szCs w:val="20"/>
              </w:rPr>
            </w:pPr>
            <w:r w:rsidRPr="007B5BE6">
              <w:rPr>
                <w:sz w:val="20"/>
                <w:szCs w:val="20"/>
              </w:rPr>
              <w:t>1,968</w:t>
            </w:r>
          </w:p>
        </w:tc>
      </w:tr>
      <w:tr w:rsidR="00B536F5" w:rsidRPr="007B5BE6" w14:paraId="6E6C61E1" w14:textId="77777777" w:rsidTr="00C36293">
        <w:tc>
          <w:tcPr>
            <w:tcW w:w="1491" w:type="pct"/>
          </w:tcPr>
          <w:p w14:paraId="39F51232" w14:textId="77777777" w:rsidR="00B536F5" w:rsidRPr="007B5BE6" w:rsidRDefault="00B536F5" w:rsidP="00C36293">
            <w:pPr>
              <w:jc w:val="left"/>
              <w:rPr>
                <w:sz w:val="20"/>
                <w:szCs w:val="20"/>
              </w:rPr>
            </w:pPr>
            <w:r w:rsidRPr="007B5BE6">
              <w:rPr>
                <w:sz w:val="20"/>
                <w:szCs w:val="20"/>
              </w:rPr>
              <w:t>Linked to/received more support</w:t>
            </w:r>
          </w:p>
        </w:tc>
        <w:tc>
          <w:tcPr>
            <w:tcW w:w="1729" w:type="pct"/>
          </w:tcPr>
          <w:p w14:paraId="09C7E6A7" w14:textId="77777777" w:rsidR="00B536F5" w:rsidRPr="007B5BE6" w:rsidRDefault="00B536F5" w:rsidP="00C36293">
            <w:pPr>
              <w:jc w:val="left"/>
              <w:rPr>
                <w:sz w:val="20"/>
                <w:szCs w:val="20"/>
              </w:rPr>
            </w:pPr>
            <w:r w:rsidRPr="007B5BE6">
              <w:rPr>
                <w:sz w:val="20"/>
                <w:szCs w:val="20"/>
              </w:rPr>
              <w:t>48</w:t>
            </w:r>
          </w:p>
        </w:tc>
        <w:tc>
          <w:tcPr>
            <w:tcW w:w="1780" w:type="pct"/>
          </w:tcPr>
          <w:p w14:paraId="54E84A04" w14:textId="77777777" w:rsidR="00B536F5" w:rsidRPr="007B5BE6" w:rsidRDefault="00B536F5" w:rsidP="00C36293">
            <w:pPr>
              <w:jc w:val="left"/>
              <w:rPr>
                <w:sz w:val="20"/>
                <w:szCs w:val="20"/>
              </w:rPr>
            </w:pPr>
            <w:r w:rsidRPr="007B5BE6">
              <w:rPr>
                <w:sz w:val="20"/>
                <w:szCs w:val="20"/>
              </w:rPr>
              <w:t>433</w:t>
            </w:r>
          </w:p>
        </w:tc>
      </w:tr>
      <w:tr w:rsidR="00B536F5" w:rsidRPr="007B5BE6" w14:paraId="6A1147D9" w14:textId="77777777" w:rsidTr="00C36293">
        <w:tc>
          <w:tcPr>
            <w:tcW w:w="1491" w:type="pct"/>
          </w:tcPr>
          <w:p w14:paraId="4EF3DA31" w14:textId="77777777" w:rsidR="00B536F5" w:rsidRPr="007B5BE6" w:rsidRDefault="00B536F5" w:rsidP="00C36293">
            <w:pPr>
              <w:jc w:val="left"/>
              <w:rPr>
                <w:sz w:val="20"/>
                <w:szCs w:val="20"/>
              </w:rPr>
            </w:pPr>
            <w:r w:rsidRPr="007B5BE6">
              <w:rPr>
                <w:sz w:val="20"/>
                <w:szCs w:val="20"/>
              </w:rPr>
              <w:t xml:space="preserve">Prevented from access </w:t>
            </w:r>
          </w:p>
        </w:tc>
        <w:tc>
          <w:tcPr>
            <w:tcW w:w="1729" w:type="pct"/>
          </w:tcPr>
          <w:p w14:paraId="7C06618A" w14:textId="77777777" w:rsidR="00B536F5" w:rsidRPr="007B5BE6" w:rsidRDefault="00B536F5" w:rsidP="00C36293">
            <w:pPr>
              <w:jc w:val="left"/>
              <w:rPr>
                <w:sz w:val="20"/>
                <w:szCs w:val="20"/>
              </w:rPr>
            </w:pPr>
            <w:r w:rsidRPr="007B5BE6">
              <w:rPr>
                <w:sz w:val="20"/>
                <w:szCs w:val="20"/>
              </w:rPr>
              <w:t>10</w:t>
            </w:r>
          </w:p>
        </w:tc>
        <w:tc>
          <w:tcPr>
            <w:tcW w:w="1780" w:type="pct"/>
          </w:tcPr>
          <w:p w14:paraId="1BD8DFE0" w14:textId="77777777" w:rsidR="00B536F5" w:rsidRPr="007B5BE6" w:rsidRDefault="00B536F5" w:rsidP="00C36293">
            <w:pPr>
              <w:jc w:val="left"/>
              <w:rPr>
                <w:sz w:val="20"/>
                <w:szCs w:val="20"/>
              </w:rPr>
            </w:pPr>
            <w:r w:rsidRPr="007B5BE6">
              <w:rPr>
                <w:sz w:val="20"/>
                <w:szCs w:val="20"/>
              </w:rPr>
              <w:t>90</w:t>
            </w:r>
          </w:p>
        </w:tc>
      </w:tr>
      <w:tr w:rsidR="00B536F5" w:rsidRPr="007B5BE6" w14:paraId="0498ADAE" w14:textId="77777777" w:rsidTr="00C36293">
        <w:tc>
          <w:tcPr>
            <w:tcW w:w="1491" w:type="pct"/>
          </w:tcPr>
          <w:p w14:paraId="33FE47DE" w14:textId="77777777" w:rsidR="00B536F5" w:rsidRPr="007B5BE6" w:rsidRDefault="00B536F5" w:rsidP="00C36293">
            <w:pPr>
              <w:jc w:val="left"/>
              <w:rPr>
                <w:sz w:val="20"/>
                <w:szCs w:val="20"/>
              </w:rPr>
            </w:pPr>
            <w:r w:rsidRPr="007B5BE6">
              <w:rPr>
                <w:sz w:val="20"/>
                <w:szCs w:val="20"/>
              </w:rPr>
              <w:t>Reduced/supervised access</w:t>
            </w:r>
          </w:p>
        </w:tc>
        <w:tc>
          <w:tcPr>
            <w:tcW w:w="1729" w:type="pct"/>
          </w:tcPr>
          <w:p w14:paraId="3D17E90A" w14:textId="77777777" w:rsidR="00B536F5" w:rsidRPr="007B5BE6" w:rsidRDefault="00B536F5" w:rsidP="00C36293">
            <w:pPr>
              <w:jc w:val="left"/>
              <w:rPr>
                <w:sz w:val="20"/>
                <w:szCs w:val="20"/>
              </w:rPr>
            </w:pPr>
            <w:r w:rsidRPr="007B5BE6">
              <w:rPr>
                <w:sz w:val="20"/>
                <w:szCs w:val="20"/>
              </w:rPr>
              <w:t>9</w:t>
            </w:r>
          </w:p>
        </w:tc>
        <w:tc>
          <w:tcPr>
            <w:tcW w:w="1780" w:type="pct"/>
          </w:tcPr>
          <w:p w14:paraId="5953F2DB" w14:textId="77777777" w:rsidR="00B536F5" w:rsidRPr="007B5BE6" w:rsidRDefault="00B536F5" w:rsidP="00C36293">
            <w:pPr>
              <w:jc w:val="left"/>
              <w:rPr>
                <w:sz w:val="20"/>
                <w:szCs w:val="20"/>
              </w:rPr>
            </w:pPr>
            <w:r w:rsidRPr="007B5BE6">
              <w:rPr>
                <w:sz w:val="20"/>
                <w:szCs w:val="20"/>
              </w:rPr>
              <w:t>96</w:t>
            </w:r>
          </w:p>
        </w:tc>
      </w:tr>
      <w:tr w:rsidR="00B536F5" w:rsidRPr="007B5BE6" w14:paraId="1855C466" w14:textId="77777777" w:rsidTr="00C36293">
        <w:tc>
          <w:tcPr>
            <w:tcW w:w="1491" w:type="pct"/>
          </w:tcPr>
          <w:p w14:paraId="704B91D3" w14:textId="77777777" w:rsidR="00B536F5" w:rsidRPr="007B5BE6" w:rsidRDefault="00B536F5" w:rsidP="00C36293">
            <w:pPr>
              <w:jc w:val="left"/>
              <w:rPr>
                <w:sz w:val="20"/>
                <w:szCs w:val="20"/>
              </w:rPr>
            </w:pPr>
            <w:r w:rsidRPr="007B5BE6">
              <w:rPr>
                <w:sz w:val="20"/>
                <w:szCs w:val="20"/>
              </w:rPr>
              <w:t>ADVO put in place</w:t>
            </w:r>
          </w:p>
        </w:tc>
        <w:tc>
          <w:tcPr>
            <w:tcW w:w="1729" w:type="pct"/>
          </w:tcPr>
          <w:p w14:paraId="1E262C89" w14:textId="77777777" w:rsidR="00B536F5" w:rsidRPr="007B5BE6" w:rsidRDefault="00B536F5" w:rsidP="00C36293">
            <w:pPr>
              <w:jc w:val="left"/>
              <w:rPr>
                <w:sz w:val="20"/>
                <w:szCs w:val="20"/>
              </w:rPr>
            </w:pPr>
            <w:r w:rsidRPr="007B5BE6">
              <w:rPr>
                <w:sz w:val="20"/>
                <w:szCs w:val="20"/>
              </w:rPr>
              <w:t>9</w:t>
            </w:r>
          </w:p>
        </w:tc>
        <w:tc>
          <w:tcPr>
            <w:tcW w:w="1780" w:type="pct"/>
          </w:tcPr>
          <w:p w14:paraId="3987585D" w14:textId="77777777" w:rsidR="00B536F5" w:rsidRPr="007B5BE6" w:rsidRDefault="00B536F5" w:rsidP="00C36293">
            <w:pPr>
              <w:jc w:val="left"/>
              <w:rPr>
                <w:sz w:val="20"/>
                <w:szCs w:val="20"/>
              </w:rPr>
            </w:pPr>
            <w:r w:rsidRPr="007B5BE6">
              <w:rPr>
                <w:sz w:val="20"/>
                <w:szCs w:val="20"/>
              </w:rPr>
              <w:t>115</w:t>
            </w:r>
          </w:p>
        </w:tc>
      </w:tr>
      <w:tr w:rsidR="00B536F5" w:rsidRPr="007B5BE6" w14:paraId="787DE2F9" w14:textId="77777777" w:rsidTr="00C36293">
        <w:tc>
          <w:tcPr>
            <w:tcW w:w="1491" w:type="pct"/>
          </w:tcPr>
          <w:p w14:paraId="2D5C4403" w14:textId="77777777" w:rsidR="00B536F5" w:rsidRPr="007B5BE6" w:rsidRDefault="00B536F5" w:rsidP="00C36293">
            <w:pPr>
              <w:jc w:val="left"/>
              <w:rPr>
                <w:sz w:val="20"/>
                <w:szCs w:val="20"/>
              </w:rPr>
            </w:pPr>
            <w:r w:rsidRPr="007B5BE6">
              <w:rPr>
                <w:sz w:val="20"/>
                <w:szCs w:val="20"/>
              </w:rPr>
              <w:t>Removal as Power of Attorney or Enduring POA</w:t>
            </w:r>
          </w:p>
        </w:tc>
        <w:tc>
          <w:tcPr>
            <w:tcW w:w="1729" w:type="pct"/>
          </w:tcPr>
          <w:p w14:paraId="47AA0174" w14:textId="77777777" w:rsidR="00B536F5" w:rsidRPr="007B5BE6" w:rsidRDefault="00B536F5" w:rsidP="00C36293">
            <w:pPr>
              <w:jc w:val="left"/>
              <w:rPr>
                <w:sz w:val="20"/>
                <w:szCs w:val="20"/>
              </w:rPr>
            </w:pPr>
            <w:r w:rsidRPr="007B5BE6">
              <w:rPr>
                <w:sz w:val="20"/>
                <w:szCs w:val="20"/>
              </w:rPr>
              <w:t>6</w:t>
            </w:r>
          </w:p>
        </w:tc>
        <w:tc>
          <w:tcPr>
            <w:tcW w:w="1780" w:type="pct"/>
          </w:tcPr>
          <w:p w14:paraId="60069B3A" w14:textId="77777777" w:rsidR="00B536F5" w:rsidRPr="007B5BE6" w:rsidRDefault="00B536F5" w:rsidP="00C36293">
            <w:pPr>
              <w:jc w:val="left"/>
              <w:rPr>
                <w:sz w:val="20"/>
                <w:szCs w:val="20"/>
              </w:rPr>
            </w:pPr>
            <w:r w:rsidRPr="007B5BE6">
              <w:rPr>
                <w:sz w:val="20"/>
                <w:szCs w:val="20"/>
              </w:rPr>
              <w:t>56</w:t>
            </w:r>
          </w:p>
        </w:tc>
      </w:tr>
      <w:tr w:rsidR="00B536F5" w:rsidRPr="007B5BE6" w14:paraId="3BAC2A76" w14:textId="77777777" w:rsidTr="00C36293">
        <w:tc>
          <w:tcPr>
            <w:tcW w:w="1491" w:type="pct"/>
          </w:tcPr>
          <w:p w14:paraId="107961AC" w14:textId="77777777" w:rsidR="00B536F5" w:rsidRPr="007B5BE6" w:rsidRDefault="00B536F5" w:rsidP="00C36293">
            <w:pPr>
              <w:jc w:val="left"/>
              <w:rPr>
                <w:sz w:val="20"/>
                <w:szCs w:val="20"/>
              </w:rPr>
            </w:pPr>
            <w:r w:rsidRPr="007B5BE6">
              <w:rPr>
                <w:sz w:val="20"/>
                <w:szCs w:val="20"/>
              </w:rPr>
              <w:t>Removed from premises</w:t>
            </w:r>
          </w:p>
        </w:tc>
        <w:tc>
          <w:tcPr>
            <w:tcW w:w="1729" w:type="pct"/>
          </w:tcPr>
          <w:p w14:paraId="1BA4B6AA" w14:textId="77777777" w:rsidR="00B536F5" w:rsidRPr="007B5BE6" w:rsidRDefault="00B536F5" w:rsidP="00C36293">
            <w:pPr>
              <w:jc w:val="left"/>
              <w:rPr>
                <w:sz w:val="20"/>
                <w:szCs w:val="20"/>
              </w:rPr>
            </w:pPr>
            <w:r w:rsidRPr="007B5BE6">
              <w:rPr>
                <w:sz w:val="20"/>
                <w:szCs w:val="20"/>
              </w:rPr>
              <w:t>5</w:t>
            </w:r>
          </w:p>
        </w:tc>
        <w:tc>
          <w:tcPr>
            <w:tcW w:w="1780" w:type="pct"/>
          </w:tcPr>
          <w:p w14:paraId="19004D8F" w14:textId="77777777" w:rsidR="00B536F5" w:rsidRPr="007B5BE6" w:rsidRDefault="00B536F5" w:rsidP="00C36293">
            <w:pPr>
              <w:jc w:val="left"/>
              <w:rPr>
                <w:sz w:val="20"/>
                <w:szCs w:val="20"/>
              </w:rPr>
            </w:pPr>
            <w:r w:rsidRPr="007B5BE6">
              <w:rPr>
                <w:sz w:val="20"/>
                <w:szCs w:val="20"/>
              </w:rPr>
              <w:t>None reported</w:t>
            </w:r>
          </w:p>
        </w:tc>
      </w:tr>
      <w:tr w:rsidR="00B536F5" w:rsidRPr="007B5BE6" w14:paraId="5D0BC5A6" w14:textId="77777777" w:rsidTr="00C36293">
        <w:tc>
          <w:tcPr>
            <w:tcW w:w="1491" w:type="pct"/>
          </w:tcPr>
          <w:p w14:paraId="56E5BD98" w14:textId="77777777" w:rsidR="00B536F5" w:rsidRPr="007B5BE6" w:rsidRDefault="00B536F5" w:rsidP="00C36293">
            <w:pPr>
              <w:jc w:val="left"/>
              <w:rPr>
                <w:sz w:val="20"/>
                <w:szCs w:val="20"/>
              </w:rPr>
            </w:pPr>
            <w:r w:rsidRPr="007B5BE6">
              <w:rPr>
                <w:sz w:val="20"/>
                <w:szCs w:val="20"/>
              </w:rPr>
              <w:t>Other removal/change to benefit</w:t>
            </w:r>
          </w:p>
        </w:tc>
        <w:tc>
          <w:tcPr>
            <w:tcW w:w="1729" w:type="pct"/>
          </w:tcPr>
          <w:p w14:paraId="46A74A0F" w14:textId="77777777" w:rsidR="00B536F5" w:rsidRPr="007B5BE6" w:rsidRDefault="00B536F5" w:rsidP="00C36293">
            <w:pPr>
              <w:jc w:val="left"/>
              <w:rPr>
                <w:sz w:val="20"/>
                <w:szCs w:val="20"/>
              </w:rPr>
            </w:pPr>
            <w:r w:rsidRPr="007B5BE6">
              <w:rPr>
                <w:sz w:val="20"/>
                <w:szCs w:val="20"/>
              </w:rPr>
              <w:t>4</w:t>
            </w:r>
          </w:p>
        </w:tc>
        <w:tc>
          <w:tcPr>
            <w:tcW w:w="1780" w:type="pct"/>
          </w:tcPr>
          <w:p w14:paraId="1AD0F320" w14:textId="77777777" w:rsidR="00B536F5" w:rsidRPr="007B5BE6" w:rsidRDefault="00B536F5" w:rsidP="00C36293">
            <w:pPr>
              <w:jc w:val="left"/>
              <w:rPr>
                <w:sz w:val="20"/>
                <w:szCs w:val="20"/>
              </w:rPr>
            </w:pPr>
            <w:r w:rsidRPr="007B5BE6">
              <w:rPr>
                <w:sz w:val="20"/>
                <w:szCs w:val="20"/>
              </w:rPr>
              <w:t>None reported</w:t>
            </w:r>
          </w:p>
        </w:tc>
      </w:tr>
      <w:tr w:rsidR="00B536F5" w:rsidRPr="007B5BE6" w14:paraId="6C2073B5" w14:textId="77777777" w:rsidTr="00C36293">
        <w:tc>
          <w:tcPr>
            <w:tcW w:w="1491" w:type="pct"/>
          </w:tcPr>
          <w:p w14:paraId="27AA65E5" w14:textId="77777777" w:rsidR="00B536F5" w:rsidRPr="007B5BE6" w:rsidRDefault="00B536F5" w:rsidP="00C36293">
            <w:pPr>
              <w:jc w:val="left"/>
              <w:rPr>
                <w:sz w:val="20"/>
                <w:szCs w:val="20"/>
              </w:rPr>
            </w:pPr>
            <w:r w:rsidRPr="007B5BE6">
              <w:rPr>
                <w:sz w:val="20"/>
                <w:szCs w:val="20"/>
              </w:rPr>
              <w:t>Benefit changed</w:t>
            </w:r>
          </w:p>
        </w:tc>
        <w:tc>
          <w:tcPr>
            <w:tcW w:w="1729" w:type="pct"/>
          </w:tcPr>
          <w:p w14:paraId="4F13CDF1" w14:textId="77777777" w:rsidR="00B536F5" w:rsidRPr="007B5BE6" w:rsidRDefault="00B536F5" w:rsidP="00C36293">
            <w:pPr>
              <w:jc w:val="left"/>
              <w:rPr>
                <w:sz w:val="20"/>
                <w:szCs w:val="20"/>
              </w:rPr>
            </w:pPr>
            <w:r w:rsidRPr="007B5BE6">
              <w:rPr>
                <w:sz w:val="20"/>
                <w:szCs w:val="20"/>
              </w:rPr>
              <w:t>3</w:t>
            </w:r>
          </w:p>
        </w:tc>
        <w:tc>
          <w:tcPr>
            <w:tcW w:w="1780" w:type="pct"/>
          </w:tcPr>
          <w:p w14:paraId="45D088E4" w14:textId="77777777" w:rsidR="00B536F5" w:rsidRPr="007B5BE6" w:rsidRDefault="00B536F5" w:rsidP="00C36293">
            <w:pPr>
              <w:jc w:val="left"/>
              <w:rPr>
                <w:sz w:val="20"/>
                <w:szCs w:val="20"/>
              </w:rPr>
            </w:pPr>
            <w:r w:rsidRPr="007B5BE6">
              <w:rPr>
                <w:sz w:val="20"/>
                <w:szCs w:val="20"/>
              </w:rPr>
              <w:t>12</w:t>
            </w:r>
          </w:p>
        </w:tc>
      </w:tr>
      <w:tr w:rsidR="00B536F5" w:rsidRPr="007B5BE6" w14:paraId="5474E7FD" w14:textId="77777777" w:rsidTr="00C36293">
        <w:tc>
          <w:tcPr>
            <w:tcW w:w="1491" w:type="pct"/>
          </w:tcPr>
          <w:p w14:paraId="3403E1A3" w14:textId="77777777" w:rsidR="00B536F5" w:rsidRPr="007B5BE6" w:rsidRDefault="00B536F5" w:rsidP="00C36293">
            <w:pPr>
              <w:jc w:val="left"/>
              <w:rPr>
                <w:sz w:val="20"/>
                <w:szCs w:val="20"/>
              </w:rPr>
            </w:pPr>
            <w:r w:rsidRPr="007B5BE6">
              <w:rPr>
                <w:sz w:val="20"/>
                <w:szCs w:val="20"/>
              </w:rPr>
              <w:t xml:space="preserve">Criminal charges </w:t>
            </w:r>
          </w:p>
        </w:tc>
        <w:tc>
          <w:tcPr>
            <w:tcW w:w="1729" w:type="pct"/>
          </w:tcPr>
          <w:p w14:paraId="13F3FFDC" w14:textId="77777777" w:rsidR="00B536F5" w:rsidRPr="007B5BE6" w:rsidRDefault="00B536F5" w:rsidP="00C36293">
            <w:pPr>
              <w:jc w:val="left"/>
              <w:rPr>
                <w:sz w:val="20"/>
                <w:szCs w:val="20"/>
              </w:rPr>
            </w:pPr>
            <w:r w:rsidRPr="007B5BE6">
              <w:rPr>
                <w:sz w:val="20"/>
                <w:szCs w:val="20"/>
              </w:rPr>
              <w:t>3</w:t>
            </w:r>
          </w:p>
        </w:tc>
        <w:tc>
          <w:tcPr>
            <w:tcW w:w="1780" w:type="pct"/>
          </w:tcPr>
          <w:p w14:paraId="12AB6601" w14:textId="77777777" w:rsidR="00B536F5" w:rsidRPr="007B5BE6" w:rsidRDefault="00B536F5" w:rsidP="00C36293">
            <w:pPr>
              <w:jc w:val="left"/>
              <w:rPr>
                <w:sz w:val="20"/>
                <w:szCs w:val="20"/>
              </w:rPr>
            </w:pPr>
            <w:r w:rsidRPr="007B5BE6">
              <w:rPr>
                <w:sz w:val="20"/>
                <w:szCs w:val="20"/>
              </w:rPr>
              <w:t>53</w:t>
            </w:r>
          </w:p>
        </w:tc>
      </w:tr>
      <w:tr w:rsidR="00B536F5" w:rsidRPr="007B5BE6" w14:paraId="38AEC51D" w14:textId="77777777" w:rsidTr="00C36293">
        <w:tc>
          <w:tcPr>
            <w:tcW w:w="1491" w:type="pct"/>
          </w:tcPr>
          <w:p w14:paraId="23F4B485" w14:textId="77777777" w:rsidR="00B536F5" w:rsidRPr="007B5BE6" w:rsidRDefault="00B536F5" w:rsidP="00C36293">
            <w:pPr>
              <w:jc w:val="left"/>
              <w:rPr>
                <w:sz w:val="20"/>
                <w:szCs w:val="20"/>
              </w:rPr>
            </w:pPr>
            <w:r w:rsidRPr="007B5BE6">
              <w:rPr>
                <w:sz w:val="20"/>
                <w:szCs w:val="20"/>
              </w:rPr>
              <w:t>Removal as NDIS nominee</w:t>
            </w:r>
          </w:p>
        </w:tc>
        <w:tc>
          <w:tcPr>
            <w:tcW w:w="1729" w:type="pct"/>
          </w:tcPr>
          <w:p w14:paraId="7DBE2376" w14:textId="77777777" w:rsidR="00B536F5" w:rsidRPr="007B5BE6" w:rsidRDefault="00B536F5" w:rsidP="00C36293">
            <w:pPr>
              <w:jc w:val="left"/>
              <w:rPr>
                <w:sz w:val="20"/>
                <w:szCs w:val="20"/>
              </w:rPr>
            </w:pPr>
          </w:p>
        </w:tc>
        <w:tc>
          <w:tcPr>
            <w:tcW w:w="1780" w:type="pct"/>
          </w:tcPr>
          <w:p w14:paraId="02635B36" w14:textId="77777777" w:rsidR="00B536F5" w:rsidRPr="007B5BE6" w:rsidRDefault="00B536F5" w:rsidP="00C36293">
            <w:pPr>
              <w:jc w:val="left"/>
              <w:rPr>
                <w:sz w:val="20"/>
                <w:szCs w:val="20"/>
              </w:rPr>
            </w:pPr>
            <w:r w:rsidRPr="007B5BE6">
              <w:rPr>
                <w:sz w:val="20"/>
                <w:szCs w:val="20"/>
              </w:rPr>
              <w:t>28</w:t>
            </w:r>
          </w:p>
        </w:tc>
      </w:tr>
      <w:tr w:rsidR="00B536F5" w:rsidRPr="007B5BE6" w14:paraId="4E597168" w14:textId="77777777" w:rsidTr="00C36293">
        <w:tc>
          <w:tcPr>
            <w:tcW w:w="1491" w:type="pct"/>
          </w:tcPr>
          <w:p w14:paraId="23CCC09B" w14:textId="77777777" w:rsidR="00B536F5" w:rsidRPr="007B5BE6" w:rsidRDefault="00B536F5" w:rsidP="00C36293">
            <w:pPr>
              <w:jc w:val="left"/>
              <w:rPr>
                <w:sz w:val="20"/>
                <w:szCs w:val="20"/>
              </w:rPr>
            </w:pPr>
            <w:r w:rsidRPr="007B5BE6">
              <w:rPr>
                <w:sz w:val="20"/>
                <w:szCs w:val="20"/>
              </w:rPr>
              <w:t>Removal as enduring guardian</w:t>
            </w:r>
          </w:p>
        </w:tc>
        <w:tc>
          <w:tcPr>
            <w:tcW w:w="1729" w:type="pct"/>
          </w:tcPr>
          <w:p w14:paraId="0105C757" w14:textId="77777777" w:rsidR="00B536F5" w:rsidRPr="007B5BE6" w:rsidRDefault="00B536F5" w:rsidP="00C36293">
            <w:pPr>
              <w:jc w:val="left"/>
              <w:rPr>
                <w:sz w:val="20"/>
                <w:szCs w:val="20"/>
              </w:rPr>
            </w:pPr>
            <w:r w:rsidRPr="007B5BE6">
              <w:rPr>
                <w:sz w:val="20"/>
                <w:szCs w:val="20"/>
              </w:rPr>
              <w:t>None reported</w:t>
            </w:r>
          </w:p>
        </w:tc>
        <w:tc>
          <w:tcPr>
            <w:tcW w:w="1780" w:type="pct"/>
          </w:tcPr>
          <w:p w14:paraId="55BCFD97" w14:textId="77777777" w:rsidR="00B536F5" w:rsidRPr="007B5BE6" w:rsidRDefault="00B536F5" w:rsidP="00C36293">
            <w:pPr>
              <w:jc w:val="left"/>
              <w:rPr>
                <w:sz w:val="20"/>
                <w:szCs w:val="20"/>
              </w:rPr>
            </w:pPr>
            <w:r w:rsidRPr="007B5BE6">
              <w:rPr>
                <w:sz w:val="20"/>
                <w:szCs w:val="20"/>
              </w:rPr>
              <w:t>24</w:t>
            </w:r>
          </w:p>
        </w:tc>
      </w:tr>
      <w:tr w:rsidR="00B536F5" w:rsidRPr="007B5BE6" w14:paraId="43413491" w14:textId="77777777" w:rsidTr="00C36293">
        <w:tc>
          <w:tcPr>
            <w:tcW w:w="1491" w:type="pct"/>
          </w:tcPr>
          <w:p w14:paraId="58608922" w14:textId="77777777" w:rsidR="00B536F5" w:rsidRPr="007B5BE6" w:rsidRDefault="00B536F5" w:rsidP="00C36293">
            <w:pPr>
              <w:jc w:val="left"/>
              <w:rPr>
                <w:sz w:val="20"/>
                <w:szCs w:val="20"/>
              </w:rPr>
            </w:pPr>
            <w:r w:rsidRPr="007B5BE6">
              <w:rPr>
                <w:sz w:val="20"/>
                <w:szCs w:val="20"/>
              </w:rPr>
              <w:t>Removal as guardian</w:t>
            </w:r>
          </w:p>
        </w:tc>
        <w:tc>
          <w:tcPr>
            <w:tcW w:w="1729" w:type="pct"/>
          </w:tcPr>
          <w:p w14:paraId="0A79BBD7" w14:textId="77777777" w:rsidR="00B536F5" w:rsidRPr="007B5BE6" w:rsidRDefault="00B536F5" w:rsidP="00C36293">
            <w:pPr>
              <w:jc w:val="left"/>
              <w:rPr>
                <w:sz w:val="20"/>
                <w:szCs w:val="20"/>
              </w:rPr>
            </w:pPr>
            <w:r w:rsidRPr="007B5BE6">
              <w:rPr>
                <w:sz w:val="20"/>
                <w:szCs w:val="20"/>
              </w:rPr>
              <w:t>None reported</w:t>
            </w:r>
          </w:p>
        </w:tc>
        <w:tc>
          <w:tcPr>
            <w:tcW w:w="1780" w:type="pct"/>
          </w:tcPr>
          <w:p w14:paraId="7B27DC73" w14:textId="77777777" w:rsidR="00B536F5" w:rsidRPr="007B5BE6" w:rsidRDefault="00B536F5" w:rsidP="00C36293">
            <w:pPr>
              <w:jc w:val="left"/>
              <w:rPr>
                <w:sz w:val="20"/>
                <w:szCs w:val="20"/>
              </w:rPr>
            </w:pPr>
            <w:r w:rsidRPr="007B5BE6">
              <w:rPr>
                <w:sz w:val="20"/>
                <w:szCs w:val="20"/>
              </w:rPr>
              <w:t>18</w:t>
            </w:r>
          </w:p>
        </w:tc>
      </w:tr>
      <w:tr w:rsidR="00B536F5" w:rsidRPr="007B5BE6" w14:paraId="215595D0" w14:textId="77777777" w:rsidTr="00C36293">
        <w:tc>
          <w:tcPr>
            <w:tcW w:w="1491" w:type="pct"/>
          </w:tcPr>
          <w:p w14:paraId="378A8434" w14:textId="77777777" w:rsidR="00B536F5" w:rsidRPr="007B5BE6" w:rsidRDefault="00B536F5" w:rsidP="00C36293">
            <w:pPr>
              <w:jc w:val="left"/>
              <w:rPr>
                <w:sz w:val="20"/>
                <w:szCs w:val="20"/>
              </w:rPr>
            </w:pPr>
            <w:r w:rsidRPr="007B5BE6">
              <w:rPr>
                <w:sz w:val="20"/>
                <w:szCs w:val="20"/>
              </w:rPr>
              <w:t>Removal of other authority</w:t>
            </w:r>
          </w:p>
        </w:tc>
        <w:tc>
          <w:tcPr>
            <w:tcW w:w="1729" w:type="pct"/>
          </w:tcPr>
          <w:p w14:paraId="57FE9D73" w14:textId="77777777" w:rsidR="00B536F5" w:rsidRPr="007B5BE6" w:rsidRDefault="00B536F5" w:rsidP="00C36293">
            <w:pPr>
              <w:jc w:val="left"/>
              <w:rPr>
                <w:sz w:val="20"/>
                <w:szCs w:val="20"/>
              </w:rPr>
            </w:pPr>
            <w:r w:rsidRPr="007B5BE6">
              <w:rPr>
                <w:sz w:val="20"/>
                <w:szCs w:val="20"/>
              </w:rPr>
              <w:t>None reported</w:t>
            </w:r>
          </w:p>
        </w:tc>
        <w:tc>
          <w:tcPr>
            <w:tcW w:w="1780" w:type="pct"/>
          </w:tcPr>
          <w:p w14:paraId="5DEB2775" w14:textId="77777777" w:rsidR="00B536F5" w:rsidRPr="007B5BE6" w:rsidRDefault="00B536F5" w:rsidP="00C36293">
            <w:pPr>
              <w:jc w:val="left"/>
              <w:rPr>
                <w:sz w:val="20"/>
                <w:szCs w:val="20"/>
              </w:rPr>
            </w:pPr>
            <w:r w:rsidRPr="007B5BE6">
              <w:rPr>
                <w:sz w:val="20"/>
                <w:szCs w:val="20"/>
              </w:rPr>
              <w:t>23</w:t>
            </w:r>
          </w:p>
        </w:tc>
      </w:tr>
      <w:tr w:rsidR="00B536F5" w:rsidRPr="007B5BE6" w14:paraId="470FEBFB" w14:textId="77777777" w:rsidTr="00C36293">
        <w:tc>
          <w:tcPr>
            <w:tcW w:w="1491" w:type="pct"/>
          </w:tcPr>
          <w:p w14:paraId="6B610C06" w14:textId="77777777" w:rsidR="00B536F5" w:rsidRPr="007B5BE6" w:rsidRDefault="00B536F5" w:rsidP="00C36293">
            <w:pPr>
              <w:jc w:val="left"/>
              <w:rPr>
                <w:sz w:val="20"/>
                <w:szCs w:val="20"/>
              </w:rPr>
            </w:pPr>
            <w:r w:rsidRPr="007B5BE6">
              <w:rPr>
                <w:sz w:val="20"/>
                <w:szCs w:val="20"/>
              </w:rPr>
              <w:t>Criminal conviction</w:t>
            </w:r>
          </w:p>
        </w:tc>
        <w:tc>
          <w:tcPr>
            <w:tcW w:w="1729" w:type="pct"/>
          </w:tcPr>
          <w:p w14:paraId="05173C9E" w14:textId="77777777" w:rsidR="00B536F5" w:rsidRPr="007B5BE6" w:rsidRDefault="00B536F5" w:rsidP="00C36293">
            <w:pPr>
              <w:jc w:val="left"/>
              <w:rPr>
                <w:sz w:val="20"/>
                <w:szCs w:val="20"/>
              </w:rPr>
            </w:pPr>
            <w:r w:rsidRPr="007B5BE6">
              <w:rPr>
                <w:sz w:val="20"/>
                <w:szCs w:val="20"/>
              </w:rPr>
              <w:t>None reported</w:t>
            </w:r>
          </w:p>
        </w:tc>
        <w:tc>
          <w:tcPr>
            <w:tcW w:w="1780" w:type="pct"/>
          </w:tcPr>
          <w:p w14:paraId="677D2561" w14:textId="77777777" w:rsidR="00B536F5" w:rsidRPr="007B5BE6" w:rsidRDefault="00B536F5" w:rsidP="00C36293">
            <w:pPr>
              <w:jc w:val="left"/>
              <w:rPr>
                <w:sz w:val="20"/>
                <w:szCs w:val="20"/>
              </w:rPr>
            </w:pPr>
            <w:r w:rsidRPr="007B5BE6">
              <w:rPr>
                <w:sz w:val="20"/>
                <w:szCs w:val="20"/>
              </w:rPr>
              <w:t>17</w:t>
            </w:r>
          </w:p>
        </w:tc>
      </w:tr>
      <w:tr w:rsidR="00B536F5" w:rsidRPr="007B5BE6" w14:paraId="3180DDBD" w14:textId="77777777" w:rsidTr="00C36293">
        <w:tc>
          <w:tcPr>
            <w:tcW w:w="1491" w:type="pct"/>
          </w:tcPr>
          <w:p w14:paraId="48DCCBAF" w14:textId="77777777" w:rsidR="00B536F5" w:rsidRPr="007B5BE6" w:rsidRDefault="00B536F5" w:rsidP="00C36293">
            <w:pPr>
              <w:jc w:val="left"/>
              <w:rPr>
                <w:sz w:val="20"/>
                <w:szCs w:val="20"/>
              </w:rPr>
            </w:pPr>
            <w:r w:rsidRPr="007B5BE6">
              <w:rPr>
                <w:sz w:val="20"/>
                <w:szCs w:val="20"/>
              </w:rPr>
              <w:t>Removal as financial manager</w:t>
            </w:r>
          </w:p>
        </w:tc>
        <w:tc>
          <w:tcPr>
            <w:tcW w:w="1729" w:type="pct"/>
          </w:tcPr>
          <w:p w14:paraId="597EC7B3" w14:textId="77777777" w:rsidR="00B536F5" w:rsidRPr="007B5BE6" w:rsidRDefault="00B536F5" w:rsidP="00C36293">
            <w:pPr>
              <w:jc w:val="left"/>
              <w:rPr>
                <w:sz w:val="20"/>
                <w:szCs w:val="20"/>
              </w:rPr>
            </w:pPr>
            <w:r w:rsidRPr="007B5BE6">
              <w:rPr>
                <w:sz w:val="20"/>
                <w:szCs w:val="20"/>
              </w:rPr>
              <w:t>None reported</w:t>
            </w:r>
          </w:p>
        </w:tc>
        <w:tc>
          <w:tcPr>
            <w:tcW w:w="1780" w:type="pct"/>
          </w:tcPr>
          <w:p w14:paraId="6FBFF0AC" w14:textId="77777777" w:rsidR="00B536F5" w:rsidRPr="007B5BE6" w:rsidRDefault="00B536F5" w:rsidP="00C36293">
            <w:pPr>
              <w:jc w:val="left"/>
              <w:rPr>
                <w:sz w:val="20"/>
                <w:szCs w:val="20"/>
              </w:rPr>
            </w:pPr>
            <w:r w:rsidRPr="007B5BE6">
              <w:rPr>
                <w:sz w:val="20"/>
                <w:szCs w:val="20"/>
              </w:rPr>
              <w:t>12</w:t>
            </w:r>
          </w:p>
        </w:tc>
      </w:tr>
    </w:tbl>
    <w:p w14:paraId="3637E066" w14:textId="77777777" w:rsidR="002A6D05" w:rsidRPr="007B5BE6" w:rsidRDefault="002A6D05" w:rsidP="00B536F5">
      <w:pPr>
        <w:sectPr w:rsidR="002A6D05" w:rsidRPr="007B5BE6" w:rsidSect="003A1D83">
          <w:pgSz w:w="11906" w:h="16838"/>
          <w:pgMar w:top="1440" w:right="1440" w:bottom="1440" w:left="1440" w:header="708" w:footer="708" w:gutter="0"/>
          <w:cols w:space="708"/>
          <w:docGrid w:linePitch="360"/>
        </w:sectPr>
      </w:pPr>
    </w:p>
    <w:p w14:paraId="02287C91" w14:textId="3E01DF7D" w:rsidR="0090072A" w:rsidRPr="007B5BE6" w:rsidRDefault="002A6D05" w:rsidP="00703E24">
      <w:pPr>
        <w:pStyle w:val="Headingunnumbered"/>
      </w:pPr>
      <w:bookmarkStart w:id="656" w:name="_Toc212561858"/>
      <w:r w:rsidRPr="007B5BE6">
        <w:lastRenderedPageBreak/>
        <w:t xml:space="preserve">Appendix </w:t>
      </w:r>
      <w:r w:rsidR="00703E24" w:rsidRPr="007B5BE6">
        <w:t>G</w:t>
      </w:r>
      <w:r w:rsidRPr="007B5BE6">
        <w:t xml:space="preserve">: </w:t>
      </w:r>
      <w:r w:rsidR="00D82CF3" w:rsidRPr="007B5BE6">
        <w:t>C</w:t>
      </w:r>
      <w:r w:rsidR="0090072A" w:rsidRPr="007B5BE6">
        <w:t xml:space="preserve">riminal offences </w:t>
      </w:r>
      <w:r w:rsidR="00D82CF3" w:rsidRPr="007B5BE6">
        <w:t>under Tasmanian law</w:t>
      </w:r>
      <w:bookmarkEnd w:id="656"/>
    </w:p>
    <w:p w14:paraId="4A0AAC8F" w14:textId="51EEAE1B" w:rsidR="00D82CF3" w:rsidRPr="007B5BE6" w:rsidRDefault="00D82CF3" w:rsidP="00D242C7">
      <w:pPr>
        <w:spacing w:before="240" w:after="240"/>
      </w:pPr>
      <w:r w:rsidRPr="007B5BE6">
        <w:rPr>
          <w:b/>
          <w:bCs/>
        </w:rPr>
        <w:t>Table G.1: Potential criminal offences applicable to abuse, neglect or mistreatment of older Tasmanians</w:t>
      </w:r>
    </w:p>
    <w:tbl>
      <w:tblPr>
        <w:tblStyle w:val="TableGrid"/>
        <w:tblW w:w="0" w:type="auto"/>
        <w:tblLook w:val="04A0" w:firstRow="1" w:lastRow="0" w:firstColumn="1" w:lastColumn="0" w:noHBand="0" w:noVBand="1"/>
      </w:tblPr>
      <w:tblGrid>
        <w:gridCol w:w="1555"/>
        <w:gridCol w:w="2409"/>
        <w:gridCol w:w="5052"/>
      </w:tblGrid>
      <w:tr w:rsidR="00CC6106" w:rsidRPr="007B5BE6" w14:paraId="0D7253B4" w14:textId="77777777" w:rsidTr="00BB7987">
        <w:trPr>
          <w:tblHeader/>
        </w:trPr>
        <w:tc>
          <w:tcPr>
            <w:tcW w:w="1555" w:type="dxa"/>
            <w:tcBorders>
              <w:top w:val="single" w:sz="8" w:space="0" w:color="auto"/>
              <w:left w:val="nil"/>
              <w:bottom w:val="single" w:sz="8" w:space="0" w:color="auto"/>
              <w:right w:val="nil"/>
            </w:tcBorders>
            <w:shd w:val="clear" w:color="auto" w:fill="FFFFFF" w:themeFill="background1"/>
          </w:tcPr>
          <w:p w14:paraId="62462ADB" w14:textId="77777777" w:rsidR="00CC6106" w:rsidRPr="007B5BE6" w:rsidRDefault="00CC6106" w:rsidP="00C36293">
            <w:pPr>
              <w:jc w:val="left"/>
              <w:rPr>
                <w:b/>
                <w:bCs/>
                <w:sz w:val="20"/>
                <w:szCs w:val="20"/>
              </w:rPr>
            </w:pPr>
            <w:r w:rsidRPr="007B5BE6">
              <w:rPr>
                <w:b/>
                <w:bCs/>
                <w:sz w:val="20"/>
                <w:szCs w:val="20"/>
              </w:rPr>
              <w:t>Abuse type</w:t>
            </w:r>
          </w:p>
        </w:tc>
        <w:tc>
          <w:tcPr>
            <w:tcW w:w="2409" w:type="dxa"/>
            <w:tcBorders>
              <w:top w:val="single" w:sz="8" w:space="0" w:color="auto"/>
              <w:left w:val="nil"/>
              <w:bottom w:val="single" w:sz="8" w:space="0" w:color="auto"/>
              <w:right w:val="nil"/>
            </w:tcBorders>
            <w:shd w:val="clear" w:color="auto" w:fill="FFFFFF" w:themeFill="background1"/>
          </w:tcPr>
          <w:p w14:paraId="38E6F9E9" w14:textId="77777777" w:rsidR="00CC6106" w:rsidRPr="007B5BE6" w:rsidRDefault="00CC6106" w:rsidP="00C36293">
            <w:pPr>
              <w:jc w:val="left"/>
              <w:rPr>
                <w:b/>
                <w:bCs/>
                <w:sz w:val="20"/>
                <w:szCs w:val="20"/>
              </w:rPr>
            </w:pPr>
            <w:r w:rsidRPr="007B5BE6">
              <w:rPr>
                <w:b/>
                <w:bCs/>
                <w:sz w:val="20"/>
                <w:szCs w:val="20"/>
              </w:rPr>
              <w:t>Legislation</w:t>
            </w:r>
          </w:p>
        </w:tc>
        <w:tc>
          <w:tcPr>
            <w:tcW w:w="5052" w:type="dxa"/>
            <w:tcBorders>
              <w:top w:val="single" w:sz="8" w:space="0" w:color="auto"/>
              <w:left w:val="nil"/>
              <w:bottom w:val="single" w:sz="8" w:space="0" w:color="auto"/>
              <w:right w:val="nil"/>
            </w:tcBorders>
            <w:shd w:val="clear" w:color="auto" w:fill="FFFFFF" w:themeFill="background1"/>
          </w:tcPr>
          <w:p w14:paraId="100E3E22" w14:textId="77777777" w:rsidR="00CC6106" w:rsidRPr="007B5BE6" w:rsidRDefault="00CC6106" w:rsidP="00C36293">
            <w:pPr>
              <w:jc w:val="left"/>
              <w:rPr>
                <w:b/>
                <w:bCs/>
                <w:sz w:val="20"/>
                <w:szCs w:val="20"/>
              </w:rPr>
            </w:pPr>
            <w:r w:rsidRPr="007B5BE6">
              <w:rPr>
                <w:b/>
                <w:bCs/>
                <w:sz w:val="20"/>
                <w:szCs w:val="20"/>
              </w:rPr>
              <w:t xml:space="preserve">Offences </w:t>
            </w:r>
          </w:p>
        </w:tc>
      </w:tr>
      <w:tr w:rsidR="00CC6106" w:rsidRPr="007B5BE6" w14:paraId="18798C6E" w14:textId="77777777" w:rsidTr="00BB7987">
        <w:tc>
          <w:tcPr>
            <w:tcW w:w="1555" w:type="dxa"/>
            <w:tcBorders>
              <w:top w:val="single" w:sz="8" w:space="0" w:color="auto"/>
              <w:left w:val="nil"/>
              <w:bottom w:val="nil"/>
              <w:right w:val="nil"/>
            </w:tcBorders>
          </w:tcPr>
          <w:p w14:paraId="7601E074" w14:textId="77777777" w:rsidR="00CC6106" w:rsidRPr="007B5BE6" w:rsidRDefault="00CC6106" w:rsidP="00C36293">
            <w:pPr>
              <w:jc w:val="left"/>
              <w:rPr>
                <w:b/>
                <w:bCs/>
                <w:sz w:val="20"/>
                <w:szCs w:val="20"/>
              </w:rPr>
            </w:pPr>
            <w:r w:rsidRPr="007B5BE6">
              <w:rPr>
                <w:b/>
                <w:bCs/>
                <w:sz w:val="20"/>
                <w:szCs w:val="20"/>
              </w:rPr>
              <w:t xml:space="preserve">Physical </w:t>
            </w:r>
          </w:p>
        </w:tc>
        <w:tc>
          <w:tcPr>
            <w:tcW w:w="2409" w:type="dxa"/>
            <w:tcBorders>
              <w:top w:val="single" w:sz="8" w:space="0" w:color="auto"/>
              <w:left w:val="nil"/>
              <w:right w:val="nil"/>
            </w:tcBorders>
          </w:tcPr>
          <w:p w14:paraId="410CA798" w14:textId="65DD8276" w:rsidR="00CC6106" w:rsidRPr="007B5BE6" w:rsidRDefault="00CC6106" w:rsidP="00C36293">
            <w:pPr>
              <w:jc w:val="left"/>
              <w:rPr>
                <w:sz w:val="20"/>
                <w:szCs w:val="20"/>
              </w:rPr>
            </w:pPr>
            <w:r w:rsidRPr="007B5BE6">
              <w:rPr>
                <w:i/>
                <w:iCs/>
                <w:sz w:val="20"/>
                <w:szCs w:val="20"/>
              </w:rPr>
              <w:t xml:space="preserve">Criminal Code </w:t>
            </w:r>
            <w:r w:rsidR="009328BB" w:rsidRPr="007B5BE6">
              <w:rPr>
                <w:i/>
                <w:iCs/>
                <w:szCs w:val="22"/>
              </w:rPr>
              <w:t>Act 1924</w:t>
            </w:r>
            <w:r w:rsidR="009328BB" w:rsidRPr="007B5BE6">
              <w:rPr>
                <w:szCs w:val="22"/>
              </w:rPr>
              <w:t xml:space="preserve"> </w:t>
            </w:r>
            <w:r w:rsidRPr="007B5BE6">
              <w:rPr>
                <w:sz w:val="20"/>
                <w:szCs w:val="20"/>
              </w:rPr>
              <w:t xml:space="preserve">(Tas) </w:t>
            </w:r>
          </w:p>
          <w:p w14:paraId="1D8649F6" w14:textId="77777777" w:rsidR="00CC6106" w:rsidRPr="007B5BE6" w:rsidRDefault="00CC6106" w:rsidP="00C36293">
            <w:pPr>
              <w:jc w:val="left"/>
              <w:rPr>
                <w:sz w:val="20"/>
                <w:szCs w:val="20"/>
              </w:rPr>
            </w:pPr>
          </w:p>
        </w:tc>
        <w:tc>
          <w:tcPr>
            <w:tcW w:w="5052" w:type="dxa"/>
            <w:tcBorders>
              <w:top w:val="single" w:sz="8" w:space="0" w:color="auto"/>
              <w:left w:val="nil"/>
              <w:right w:val="nil"/>
            </w:tcBorders>
          </w:tcPr>
          <w:p w14:paraId="43D030BE" w14:textId="77777777" w:rsidR="00CC6106" w:rsidRPr="007B5BE6" w:rsidRDefault="00CC6106" w:rsidP="00C36293">
            <w:pPr>
              <w:jc w:val="left"/>
              <w:rPr>
                <w:sz w:val="20"/>
                <w:szCs w:val="20"/>
              </w:rPr>
            </w:pPr>
            <w:r w:rsidRPr="007B5BE6">
              <w:rPr>
                <w:sz w:val="20"/>
                <w:szCs w:val="20"/>
              </w:rPr>
              <w:t>Murder (s 158)</w:t>
            </w:r>
          </w:p>
          <w:p w14:paraId="24EAC2B7" w14:textId="77777777" w:rsidR="00CC6106" w:rsidRPr="007B5BE6" w:rsidRDefault="00CC6106" w:rsidP="00C36293">
            <w:pPr>
              <w:jc w:val="left"/>
              <w:rPr>
                <w:sz w:val="20"/>
                <w:szCs w:val="20"/>
              </w:rPr>
            </w:pPr>
            <w:r w:rsidRPr="007B5BE6">
              <w:rPr>
                <w:sz w:val="20"/>
                <w:szCs w:val="20"/>
              </w:rPr>
              <w:t>Manslaughter (s 159)</w:t>
            </w:r>
          </w:p>
          <w:p w14:paraId="5D3CAA37" w14:textId="77777777" w:rsidR="00CC6106" w:rsidRPr="007B5BE6" w:rsidRDefault="00CC6106" w:rsidP="00C36293">
            <w:pPr>
              <w:jc w:val="left"/>
              <w:rPr>
                <w:sz w:val="20"/>
                <w:szCs w:val="20"/>
              </w:rPr>
            </w:pPr>
            <w:r w:rsidRPr="007B5BE6">
              <w:rPr>
                <w:sz w:val="20"/>
                <w:szCs w:val="20"/>
              </w:rPr>
              <w:t>Aiding suicide (s 163)</w:t>
            </w:r>
          </w:p>
          <w:p w14:paraId="7B5AE19C" w14:textId="77777777" w:rsidR="00CC6106" w:rsidRPr="007B5BE6" w:rsidRDefault="00CC6106" w:rsidP="00C36293">
            <w:pPr>
              <w:jc w:val="left"/>
              <w:rPr>
                <w:sz w:val="20"/>
                <w:szCs w:val="20"/>
              </w:rPr>
            </w:pPr>
            <w:r w:rsidRPr="007B5BE6">
              <w:rPr>
                <w:sz w:val="20"/>
                <w:szCs w:val="20"/>
              </w:rPr>
              <w:t>Strangulation (s 170B)</w:t>
            </w:r>
          </w:p>
          <w:p w14:paraId="688E1182" w14:textId="77777777" w:rsidR="00CC6106" w:rsidRPr="007B5BE6" w:rsidRDefault="00CC6106" w:rsidP="00C36293">
            <w:pPr>
              <w:jc w:val="left"/>
              <w:rPr>
                <w:sz w:val="20"/>
                <w:szCs w:val="20"/>
              </w:rPr>
            </w:pPr>
            <w:r w:rsidRPr="007B5BE6">
              <w:rPr>
                <w:sz w:val="20"/>
                <w:szCs w:val="20"/>
              </w:rPr>
              <w:t>Wounding or causing grievous bodily harm (s 172)</w:t>
            </w:r>
          </w:p>
          <w:p w14:paraId="2D42A189" w14:textId="77777777" w:rsidR="00CC6106" w:rsidRPr="007B5BE6" w:rsidRDefault="00CC6106" w:rsidP="00C36293">
            <w:pPr>
              <w:jc w:val="left"/>
              <w:rPr>
                <w:sz w:val="20"/>
                <w:szCs w:val="20"/>
              </w:rPr>
            </w:pPr>
            <w:r w:rsidRPr="007B5BE6">
              <w:rPr>
                <w:sz w:val="20"/>
                <w:szCs w:val="20"/>
              </w:rPr>
              <w:t>Causing injury by poison (s 175)</w:t>
            </w:r>
          </w:p>
          <w:p w14:paraId="703BE187" w14:textId="77777777" w:rsidR="00CC6106" w:rsidRPr="007B5BE6" w:rsidRDefault="00CC6106" w:rsidP="00C36293">
            <w:pPr>
              <w:jc w:val="left"/>
              <w:rPr>
                <w:sz w:val="20"/>
                <w:szCs w:val="20"/>
              </w:rPr>
            </w:pPr>
            <w:r w:rsidRPr="007B5BE6">
              <w:rPr>
                <w:sz w:val="20"/>
                <w:szCs w:val="20"/>
              </w:rPr>
              <w:t>Administering poison (s 176)</w:t>
            </w:r>
          </w:p>
          <w:p w14:paraId="4447F34D" w14:textId="77777777" w:rsidR="00CC6106" w:rsidRPr="007B5BE6" w:rsidRDefault="00CC6106" w:rsidP="00C36293">
            <w:pPr>
              <w:jc w:val="left"/>
              <w:rPr>
                <w:sz w:val="20"/>
                <w:szCs w:val="20"/>
              </w:rPr>
            </w:pPr>
            <w:r w:rsidRPr="007B5BE6">
              <w:rPr>
                <w:sz w:val="20"/>
                <w:szCs w:val="20"/>
              </w:rPr>
              <w:t>Aggravated assault (s 183)</w:t>
            </w:r>
          </w:p>
          <w:p w14:paraId="174DA32C" w14:textId="77777777" w:rsidR="00CC6106" w:rsidRPr="007B5BE6" w:rsidRDefault="00CC6106" w:rsidP="00C36293">
            <w:pPr>
              <w:jc w:val="left"/>
              <w:rPr>
                <w:sz w:val="20"/>
                <w:szCs w:val="20"/>
              </w:rPr>
            </w:pPr>
            <w:r w:rsidRPr="007B5BE6">
              <w:rPr>
                <w:sz w:val="20"/>
                <w:szCs w:val="20"/>
              </w:rPr>
              <w:t>Common assault (s 184)</w:t>
            </w:r>
          </w:p>
        </w:tc>
      </w:tr>
      <w:tr w:rsidR="00CC6106" w:rsidRPr="007B5BE6" w14:paraId="00FD26CF" w14:textId="77777777" w:rsidTr="00C36293">
        <w:tc>
          <w:tcPr>
            <w:tcW w:w="1555" w:type="dxa"/>
            <w:tcBorders>
              <w:top w:val="nil"/>
              <w:left w:val="nil"/>
              <w:bottom w:val="single" w:sz="4" w:space="0" w:color="auto"/>
              <w:right w:val="nil"/>
            </w:tcBorders>
          </w:tcPr>
          <w:p w14:paraId="0A0D0958" w14:textId="77777777" w:rsidR="00CC6106" w:rsidRPr="007B5BE6" w:rsidRDefault="00CC6106" w:rsidP="00C36293">
            <w:pPr>
              <w:jc w:val="left"/>
              <w:rPr>
                <w:sz w:val="20"/>
                <w:szCs w:val="20"/>
              </w:rPr>
            </w:pPr>
          </w:p>
        </w:tc>
        <w:tc>
          <w:tcPr>
            <w:tcW w:w="2409" w:type="dxa"/>
            <w:tcBorders>
              <w:left w:val="nil"/>
              <w:right w:val="nil"/>
            </w:tcBorders>
          </w:tcPr>
          <w:p w14:paraId="312C1CFB" w14:textId="77777777" w:rsidR="00CC6106" w:rsidRPr="007B5BE6" w:rsidRDefault="00CC6106" w:rsidP="00C36293">
            <w:pPr>
              <w:jc w:val="left"/>
              <w:rPr>
                <w:sz w:val="20"/>
                <w:szCs w:val="20"/>
              </w:rPr>
            </w:pPr>
            <w:r w:rsidRPr="007B5BE6">
              <w:rPr>
                <w:i/>
                <w:iCs/>
                <w:sz w:val="20"/>
                <w:szCs w:val="20"/>
              </w:rPr>
              <w:t>Police Offences Act 1935</w:t>
            </w:r>
            <w:r w:rsidRPr="007B5BE6">
              <w:rPr>
                <w:sz w:val="20"/>
                <w:szCs w:val="20"/>
              </w:rPr>
              <w:t xml:space="preserve"> (Tas)</w:t>
            </w:r>
          </w:p>
        </w:tc>
        <w:tc>
          <w:tcPr>
            <w:tcW w:w="5052" w:type="dxa"/>
            <w:tcBorders>
              <w:left w:val="nil"/>
              <w:right w:val="nil"/>
            </w:tcBorders>
          </w:tcPr>
          <w:p w14:paraId="0460A2E0" w14:textId="77777777" w:rsidR="00CC6106" w:rsidRPr="007B5BE6" w:rsidRDefault="00CC6106" w:rsidP="00C36293">
            <w:pPr>
              <w:jc w:val="left"/>
              <w:rPr>
                <w:sz w:val="20"/>
                <w:szCs w:val="20"/>
              </w:rPr>
            </w:pPr>
            <w:r w:rsidRPr="007B5BE6">
              <w:rPr>
                <w:sz w:val="20"/>
                <w:szCs w:val="20"/>
              </w:rPr>
              <w:t>Unlawfully administering drug (s 21A)</w:t>
            </w:r>
          </w:p>
          <w:p w14:paraId="0A552F1D" w14:textId="77777777" w:rsidR="00CC6106" w:rsidRPr="007B5BE6" w:rsidRDefault="00CC6106" w:rsidP="00C36293">
            <w:pPr>
              <w:jc w:val="left"/>
              <w:rPr>
                <w:sz w:val="20"/>
                <w:szCs w:val="20"/>
              </w:rPr>
            </w:pPr>
            <w:r w:rsidRPr="007B5BE6">
              <w:rPr>
                <w:sz w:val="20"/>
                <w:szCs w:val="20"/>
              </w:rPr>
              <w:t>Common assault and aggravated assault (s 35)</w:t>
            </w:r>
          </w:p>
        </w:tc>
      </w:tr>
      <w:tr w:rsidR="00CC6106" w:rsidRPr="007B5BE6" w14:paraId="16CFB21C" w14:textId="77777777" w:rsidTr="00C36293">
        <w:tc>
          <w:tcPr>
            <w:tcW w:w="1555" w:type="dxa"/>
            <w:tcBorders>
              <w:left w:val="nil"/>
              <w:bottom w:val="nil"/>
              <w:right w:val="nil"/>
            </w:tcBorders>
          </w:tcPr>
          <w:p w14:paraId="0AC67A51" w14:textId="77777777" w:rsidR="00CC6106" w:rsidRPr="007B5BE6" w:rsidRDefault="00CC6106" w:rsidP="00C36293">
            <w:pPr>
              <w:jc w:val="left"/>
              <w:rPr>
                <w:b/>
                <w:bCs/>
                <w:sz w:val="20"/>
                <w:szCs w:val="20"/>
              </w:rPr>
            </w:pPr>
            <w:r w:rsidRPr="007B5BE6">
              <w:rPr>
                <w:b/>
                <w:bCs/>
                <w:sz w:val="20"/>
                <w:szCs w:val="20"/>
              </w:rPr>
              <w:t xml:space="preserve">Sexual </w:t>
            </w:r>
          </w:p>
        </w:tc>
        <w:tc>
          <w:tcPr>
            <w:tcW w:w="2409" w:type="dxa"/>
            <w:tcBorders>
              <w:left w:val="nil"/>
              <w:right w:val="nil"/>
            </w:tcBorders>
          </w:tcPr>
          <w:p w14:paraId="7B4F21DB" w14:textId="4F9702E7" w:rsidR="00CC6106" w:rsidRPr="007B5BE6" w:rsidRDefault="00CC6106" w:rsidP="00C36293">
            <w:pPr>
              <w:jc w:val="left"/>
              <w:rPr>
                <w:sz w:val="20"/>
                <w:szCs w:val="20"/>
              </w:rPr>
            </w:pPr>
            <w:r w:rsidRPr="007B5BE6">
              <w:rPr>
                <w:i/>
                <w:iCs/>
                <w:sz w:val="20"/>
                <w:szCs w:val="20"/>
              </w:rPr>
              <w:t xml:space="preserve">Criminal Code </w:t>
            </w:r>
            <w:r w:rsidR="009328BB" w:rsidRPr="007B5BE6">
              <w:rPr>
                <w:i/>
                <w:iCs/>
                <w:szCs w:val="22"/>
              </w:rPr>
              <w:t>Act 1924</w:t>
            </w:r>
            <w:r w:rsidR="009328BB" w:rsidRPr="007B5BE6">
              <w:rPr>
                <w:szCs w:val="22"/>
              </w:rPr>
              <w:t xml:space="preserve"> </w:t>
            </w:r>
            <w:r w:rsidRPr="007B5BE6">
              <w:rPr>
                <w:sz w:val="20"/>
                <w:szCs w:val="20"/>
              </w:rPr>
              <w:t xml:space="preserve">(Tas) </w:t>
            </w:r>
          </w:p>
          <w:p w14:paraId="25D2CF40" w14:textId="77777777" w:rsidR="00CC6106" w:rsidRPr="007B5BE6" w:rsidRDefault="00CC6106" w:rsidP="00C36293">
            <w:pPr>
              <w:jc w:val="left"/>
              <w:rPr>
                <w:sz w:val="20"/>
                <w:szCs w:val="20"/>
              </w:rPr>
            </w:pPr>
          </w:p>
        </w:tc>
        <w:tc>
          <w:tcPr>
            <w:tcW w:w="5052" w:type="dxa"/>
            <w:tcBorders>
              <w:left w:val="nil"/>
              <w:right w:val="nil"/>
            </w:tcBorders>
          </w:tcPr>
          <w:p w14:paraId="23658FB6" w14:textId="77777777" w:rsidR="00CC6106" w:rsidRPr="007B5BE6" w:rsidRDefault="00CC6106" w:rsidP="00C36293">
            <w:pPr>
              <w:jc w:val="left"/>
              <w:rPr>
                <w:sz w:val="20"/>
                <w:szCs w:val="20"/>
              </w:rPr>
            </w:pPr>
            <w:r w:rsidRPr="007B5BE6">
              <w:rPr>
                <w:sz w:val="20"/>
                <w:szCs w:val="20"/>
              </w:rPr>
              <w:t>Penetrative sexual abuse of a person with a mental impairment (s 126)</w:t>
            </w:r>
          </w:p>
          <w:p w14:paraId="0A46FB35" w14:textId="77777777" w:rsidR="00CC6106" w:rsidRPr="007B5BE6" w:rsidRDefault="00CC6106" w:rsidP="00C36293">
            <w:pPr>
              <w:jc w:val="left"/>
              <w:rPr>
                <w:sz w:val="20"/>
                <w:szCs w:val="20"/>
              </w:rPr>
            </w:pPr>
            <w:r w:rsidRPr="007B5BE6">
              <w:rPr>
                <w:sz w:val="20"/>
                <w:szCs w:val="20"/>
              </w:rPr>
              <w:t>Indecent assault (s 127)</w:t>
            </w:r>
          </w:p>
          <w:p w14:paraId="601FDBAC" w14:textId="77777777" w:rsidR="00CC6106" w:rsidRPr="007B5BE6" w:rsidRDefault="00CC6106" w:rsidP="00C36293">
            <w:pPr>
              <w:jc w:val="left"/>
              <w:rPr>
                <w:sz w:val="20"/>
                <w:szCs w:val="20"/>
              </w:rPr>
            </w:pPr>
            <w:r w:rsidRPr="007B5BE6">
              <w:rPr>
                <w:sz w:val="20"/>
                <w:szCs w:val="20"/>
              </w:rPr>
              <w:t>Procuring a person for penetrative sexual abuse by threats or fraud (s 129)</w:t>
            </w:r>
          </w:p>
          <w:p w14:paraId="413B30E6" w14:textId="77777777" w:rsidR="00CC6106" w:rsidRPr="007B5BE6" w:rsidRDefault="00CC6106" w:rsidP="00C36293">
            <w:pPr>
              <w:jc w:val="left"/>
              <w:rPr>
                <w:sz w:val="20"/>
                <w:szCs w:val="20"/>
              </w:rPr>
            </w:pPr>
            <w:r w:rsidRPr="007B5BE6">
              <w:rPr>
                <w:sz w:val="20"/>
                <w:szCs w:val="20"/>
              </w:rPr>
              <w:t>Rape (s 185)</w:t>
            </w:r>
          </w:p>
        </w:tc>
      </w:tr>
      <w:tr w:rsidR="00CC6106" w:rsidRPr="007B5BE6" w14:paraId="73E0DA97" w14:textId="77777777" w:rsidTr="00C36293">
        <w:tc>
          <w:tcPr>
            <w:tcW w:w="1555" w:type="dxa"/>
            <w:tcBorders>
              <w:top w:val="nil"/>
              <w:left w:val="nil"/>
              <w:right w:val="nil"/>
            </w:tcBorders>
          </w:tcPr>
          <w:p w14:paraId="38F0ABBF" w14:textId="77777777" w:rsidR="00CC6106" w:rsidRPr="007B5BE6" w:rsidRDefault="00CC6106" w:rsidP="00C36293">
            <w:pPr>
              <w:jc w:val="left"/>
              <w:rPr>
                <w:sz w:val="20"/>
                <w:szCs w:val="20"/>
              </w:rPr>
            </w:pPr>
          </w:p>
        </w:tc>
        <w:tc>
          <w:tcPr>
            <w:tcW w:w="2409" w:type="dxa"/>
            <w:tcBorders>
              <w:left w:val="nil"/>
              <w:right w:val="nil"/>
            </w:tcBorders>
          </w:tcPr>
          <w:p w14:paraId="03F9947C" w14:textId="77777777" w:rsidR="00CC6106" w:rsidRPr="007B5BE6" w:rsidRDefault="00CC6106" w:rsidP="00C36293">
            <w:pPr>
              <w:jc w:val="left"/>
              <w:rPr>
                <w:sz w:val="20"/>
                <w:szCs w:val="20"/>
              </w:rPr>
            </w:pPr>
            <w:r w:rsidRPr="007B5BE6">
              <w:rPr>
                <w:i/>
                <w:iCs/>
                <w:sz w:val="20"/>
                <w:szCs w:val="20"/>
              </w:rPr>
              <w:t>Police Offences Act 1935</w:t>
            </w:r>
            <w:r w:rsidRPr="007B5BE6">
              <w:rPr>
                <w:sz w:val="20"/>
                <w:szCs w:val="20"/>
              </w:rPr>
              <w:t xml:space="preserve"> (Tas)</w:t>
            </w:r>
          </w:p>
        </w:tc>
        <w:tc>
          <w:tcPr>
            <w:tcW w:w="5052" w:type="dxa"/>
            <w:tcBorders>
              <w:left w:val="nil"/>
              <w:right w:val="nil"/>
            </w:tcBorders>
          </w:tcPr>
          <w:p w14:paraId="18C20136" w14:textId="77777777" w:rsidR="00CC6106" w:rsidRPr="007B5BE6" w:rsidRDefault="00CC6106" w:rsidP="00C36293">
            <w:pPr>
              <w:jc w:val="left"/>
              <w:rPr>
                <w:sz w:val="20"/>
                <w:szCs w:val="20"/>
              </w:rPr>
            </w:pPr>
            <w:r w:rsidRPr="007B5BE6">
              <w:rPr>
                <w:sz w:val="20"/>
                <w:szCs w:val="20"/>
              </w:rPr>
              <w:t xml:space="preserve">Prohibited behaviour (indecent or offensive) (s 21) </w:t>
            </w:r>
          </w:p>
          <w:p w14:paraId="65B535E1" w14:textId="77777777" w:rsidR="00CC6106" w:rsidRPr="007B5BE6" w:rsidRDefault="00CC6106" w:rsidP="00C36293">
            <w:pPr>
              <w:jc w:val="left"/>
              <w:rPr>
                <w:sz w:val="20"/>
                <w:szCs w:val="20"/>
              </w:rPr>
            </w:pPr>
            <w:r w:rsidRPr="007B5BE6">
              <w:rPr>
                <w:sz w:val="20"/>
                <w:szCs w:val="20"/>
              </w:rPr>
              <w:t>Common assault or aggravated assault with indecent intent (s 35(3))</w:t>
            </w:r>
          </w:p>
        </w:tc>
      </w:tr>
      <w:tr w:rsidR="00CC6106" w:rsidRPr="007B5BE6" w14:paraId="2BB2F207" w14:textId="77777777" w:rsidTr="00C36293">
        <w:tc>
          <w:tcPr>
            <w:tcW w:w="1555" w:type="dxa"/>
            <w:tcBorders>
              <w:left w:val="nil"/>
              <w:bottom w:val="nil"/>
              <w:right w:val="nil"/>
            </w:tcBorders>
          </w:tcPr>
          <w:p w14:paraId="142EDB9A" w14:textId="77777777" w:rsidR="00CC6106" w:rsidRPr="007B5BE6" w:rsidRDefault="00CC6106" w:rsidP="00C36293">
            <w:pPr>
              <w:jc w:val="left"/>
              <w:rPr>
                <w:b/>
                <w:bCs/>
                <w:sz w:val="20"/>
                <w:szCs w:val="20"/>
              </w:rPr>
            </w:pPr>
            <w:r w:rsidRPr="007B5BE6">
              <w:rPr>
                <w:b/>
                <w:bCs/>
                <w:sz w:val="20"/>
                <w:szCs w:val="20"/>
              </w:rPr>
              <w:t xml:space="preserve">Financial </w:t>
            </w:r>
          </w:p>
        </w:tc>
        <w:tc>
          <w:tcPr>
            <w:tcW w:w="2409" w:type="dxa"/>
            <w:tcBorders>
              <w:left w:val="nil"/>
              <w:right w:val="nil"/>
            </w:tcBorders>
          </w:tcPr>
          <w:p w14:paraId="64AB6973" w14:textId="1006FE9B" w:rsidR="00CC6106" w:rsidRPr="007B5BE6" w:rsidRDefault="00CC6106" w:rsidP="00C36293">
            <w:pPr>
              <w:jc w:val="left"/>
              <w:rPr>
                <w:sz w:val="20"/>
                <w:szCs w:val="20"/>
              </w:rPr>
            </w:pPr>
            <w:r w:rsidRPr="007B5BE6">
              <w:rPr>
                <w:i/>
                <w:iCs/>
                <w:sz w:val="20"/>
                <w:szCs w:val="20"/>
              </w:rPr>
              <w:t xml:space="preserve">Criminal Code </w:t>
            </w:r>
            <w:r w:rsidR="009328BB" w:rsidRPr="007B5BE6">
              <w:rPr>
                <w:i/>
                <w:iCs/>
                <w:szCs w:val="22"/>
              </w:rPr>
              <w:t>Act 1924</w:t>
            </w:r>
            <w:r w:rsidR="009328BB" w:rsidRPr="007B5BE6">
              <w:rPr>
                <w:szCs w:val="22"/>
              </w:rPr>
              <w:t xml:space="preserve"> </w:t>
            </w:r>
            <w:r w:rsidRPr="007B5BE6">
              <w:rPr>
                <w:sz w:val="20"/>
                <w:szCs w:val="20"/>
              </w:rPr>
              <w:t xml:space="preserve">(Tas) </w:t>
            </w:r>
          </w:p>
          <w:p w14:paraId="1EF95E0F" w14:textId="77777777" w:rsidR="00CC6106" w:rsidRPr="007B5BE6" w:rsidRDefault="00CC6106" w:rsidP="00C36293">
            <w:pPr>
              <w:jc w:val="left"/>
              <w:rPr>
                <w:sz w:val="20"/>
                <w:szCs w:val="20"/>
              </w:rPr>
            </w:pPr>
          </w:p>
        </w:tc>
        <w:tc>
          <w:tcPr>
            <w:tcW w:w="5052" w:type="dxa"/>
            <w:tcBorders>
              <w:left w:val="nil"/>
              <w:right w:val="nil"/>
            </w:tcBorders>
          </w:tcPr>
          <w:p w14:paraId="5F9A33E6" w14:textId="77777777" w:rsidR="00CC6106" w:rsidRPr="007B5BE6" w:rsidRDefault="00CC6106" w:rsidP="00C36293">
            <w:pPr>
              <w:jc w:val="left"/>
              <w:rPr>
                <w:sz w:val="20"/>
                <w:szCs w:val="20"/>
              </w:rPr>
            </w:pPr>
            <w:r w:rsidRPr="007B5BE6">
              <w:rPr>
                <w:sz w:val="20"/>
                <w:szCs w:val="20"/>
              </w:rPr>
              <w:t>Stealing (s 234), including:</w:t>
            </w:r>
          </w:p>
          <w:p w14:paraId="39C5DF36" w14:textId="77777777" w:rsidR="00CC6106" w:rsidRPr="007B5BE6" w:rsidRDefault="00CC6106" w:rsidP="007020B4">
            <w:pPr>
              <w:pStyle w:val="DotPointTLRI"/>
              <w:rPr>
                <w:sz w:val="20"/>
                <w:szCs w:val="20"/>
              </w:rPr>
            </w:pPr>
            <w:r w:rsidRPr="007B5BE6">
              <w:rPr>
                <w:sz w:val="20"/>
                <w:szCs w:val="20"/>
              </w:rPr>
              <w:t>special cases of stealing (s 228)</w:t>
            </w:r>
          </w:p>
          <w:p w14:paraId="77110097" w14:textId="77777777" w:rsidR="00CC6106" w:rsidRPr="007B5BE6" w:rsidRDefault="00CC6106" w:rsidP="007020B4">
            <w:pPr>
              <w:pStyle w:val="DotPointTLRI"/>
              <w:rPr>
                <w:sz w:val="20"/>
                <w:szCs w:val="20"/>
              </w:rPr>
            </w:pPr>
            <w:r w:rsidRPr="007B5BE6">
              <w:rPr>
                <w:sz w:val="20"/>
                <w:szCs w:val="20"/>
              </w:rPr>
              <w:t>stealing by agent (s 229)</w:t>
            </w:r>
          </w:p>
          <w:p w14:paraId="6250A939" w14:textId="77777777" w:rsidR="00CC6106" w:rsidRPr="007B5BE6" w:rsidRDefault="00CC6106" w:rsidP="007020B4">
            <w:pPr>
              <w:pStyle w:val="DotPointTLRI"/>
              <w:rPr>
                <w:sz w:val="20"/>
                <w:szCs w:val="20"/>
              </w:rPr>
            </w:pPr>
            <w:r w:rsidRPr="007B5BE6">
              <w:rPr>
                <w:sz w:val="20"/>
                <w:szCs w:val="20"/>
              </w:rPr>
              <w:t>stealing by person holding power of attorney (s 230)</w:t>
            </w:r>
          </w:p>
          <w:p w14:paraId="4B78E006" w14:textId="77777777" w:rsidR="00CC6106" w:rsidRPr="007B5BE6" w:rsidRDefault="00CC6106" w:rsidP="007020B4">
            <w:pPr>
              <w:pStyle w:val="DotPointTLRI"/>
              <w:rPr>
                <w:sz w:val="20"/>
                <w:szCs w:val="20"/>
              </w:rPr>
            </w:pPr>
            <w:r w:rsidRPr="007B5BE6">
              <w:rPr>
                <w:sz w:val="20"/>
                <w:szCs w:val="20"/>
              </w:rPr>
              <w:t>stealing by misappropriation (s 231)</w:t>
            </w:r>
          </w:p>
          <w:p w14:paraId="77372ABB" w14:textId="77777777" w:rsidR="00CC6106" w:rsidRPr="007B5BE6" w:rsidRDefault="00CC6106" w:rsidP="00C36293">
            <w:pPr>
              <w:jc w:val="left"/>
              <w:rPr>
                <w:sz w:val="20"/>
                <w:szCs w:val="20"/>
              </w:rPr>
            </w:pPr>
            <w:r w:rsidRPr="007B5BE6">
              <w:rPr>
                <w:sz w:val="20"/>
                <w:szCs w:val="20"/>
              </w:rPr>
              <w:t>Unlawfully dealing with a testamentary instrument (wills and documents of title) (s 236)</w:t>
            </w:r>
          </w:p>
          <w:p w14:paraId="1A6F3EFF" w14:textId="77777777" w:rsidR="00CC6106" w:rsidRPr="007B5BE6" w:rsidRDefault="00CC6106" w:rsidP="00C36293">
            <w:pPr>
              <w:jc w:val="left"/>
              <w:rPr>
                <w:sz w:val="20"/>
                <w:szCs w:val="20"/>
              </w:rPr>
            </w:pPr>
            <w:r w:rsidRPr="007B5BE6">
              <w:rPr>
                <w:sz w:val="20"/>
                <w:szCs w:val="20"/>
              </w:rPr>
              <w:t>Obtaining goods by false pretences (s 250)</w:t>
            </w:r>
          </w:p>
          <w:p w14:paraId="38D0883D" w14:textId="77777777" w:rsidR="00CC6106" w:rsidRPr="007B5BE6" w:rsidRDefault="00CC6106" w:rsidP="00C36293">
            <w:pPr>
              <w:jc w:val="left"/>
              <w:rPr>
                <w:sz w:val="20"/>
                <w:szCs w:val="20"/>
              </w:rPr>
            </w:pPr>
            <w:r w:rsidRPr="007B5BE6">
              <w:rPr>
                <w:sz w:val="20"/>
                <w:szCs w:val="20"/>
              </w:rPr>
              <w:t>Obtaining execution of a security by false pretences (s 251)</w:t>
            </w:r>
          </w:p>
          <w:p w14:paraId="33077091" w14:textId="2F6CCCE2" w:rsidR="00CC6106" w:rsidRPr="007B5BE6" w:rsidRDefault="00CC6106" w:rsidP="00C36293">
            <w:pPr>
              <w:jc w:val="left"/>
              <w:rPr>
                <w:sz w:val="20"/>
                <w:szCs w:val="20"/>
              </w:rPr>
            </w:pPr>
            <w:r w:rsidRPr="007B5BE6">
              <w:rPr>
                <w:sz w:val="20"/>
                <w:szCs w:val="20"/>
              </w:rPr>
              <w:lastRenderedPageBreak/>
              <w:t>Fraud (s 253A)</w:t>
            </w:r>
            <w:r w:rsidR="00B2619C" w:rsidRPr="007B5BE6">
              <w:rPr>
                <w:rStyle w:val="FootnoteReference"/>
                <w:sz w:val="20"/>
                <w:szCs w:val="20"/>
              </w:rPr>
              <w:footnoteReference w:id="978"/>
            </w:r>
          </w:p>
          <w:p w14:paraId="3F762D70" w14:textId="77777777" w:rsidR="00CC6106" w:rsidRPr="007B5BE6" w:rsidRDefault="00CC6106" w:rsidP="00C36293">
            <w:pPr>
              <w:jc w:val="left"/>
              <w:rPr>
                <w:sz w:val="20"/>
                <w:szCs w:val="20"/>
              </w:rPr>
            </w:pPr>
            <w:r w:rsidRPr="007B5BE6">
              <w:rPr>
                <w:sz w:val="20"/>
                <w:szCs w:val="20"/>
              </w:rPr>
              <w:t>Fraud on sale or mortgage of property (s 254)</w:t>
            </w:r>
          </w:p>
          <w:p w14:paraId="33B9F575" w14:textId="77777777" w:rsidR="00CC6106" w:rsidRPr="007B5BE6" w:rsidRDefault="00CC6106" w:rsidP="00C36293">
            <w:pPr>
              <w:jc w:val="left"/>
              <w:rPr>
                <w:sz w:val="20"/>
                <w:szCs w:val="20"/>
              </w:rPr>
            </w:pPr>
            <w:r w:rsidRPr="007B5BE6">
              <w:rPr>
                <w:sz w:val="20"/>
                <w:szCs w:val="20"/>
              </w:rPr>
              <w:t>Fraud as to land under Land Titles Act 1980 (s 255)</w:t>
            </w:r>
          </w:p>
          <w:p w14:paraId="000A6632" w14:textId="77777777" w:rsidR="00CC6106" w:rsidRPr="007B5BE6" w:rsidRDefault="00CC6106" w:rsidP="00C36293">
            <w:pPr>
              <w:jc w:val="left"/>
              <w:rPr>
                <w:sz w:val="20"/>
                <w:szCs w:val="20"/>
              </w:rPr>
            </w:pPr>
            <w:r w:rsidRPr="007B5BE6">
              <w:rPr>
                <w:sz w:val="20"/>
                <w:szCs w:val="20"/>
              </w:rPr>
              <w:t>Forgery (s 278)</w:t>
            </w:r>
          </w:p>
          <w:p w14:paraId="29FF33BA" w14:textId="77777777" w:rsidR="00CC6106" w:rsidRPr="007B5BE6" w:rsidRDefault="00CC6106" w:rsidP="00C36293">
            <w:pPr>
              <w:jc w:val="left"/>
              <w:rPr>
                <w:sz w:val="20"/>
                <w:szCs w:val="20"/>
              </w:rPr>
            </w:pPr>
            <w:r w:rsidRPr="007B5BE6">
              <w:rPr>
                <w:sz w:val="20"/>
                <w:szCs w:val="20"/>
              </w:rPr>
              <w:t>Uttering (s 279)</w:t>
            </w:r>
          </w:p>
          <w:p w14:paraId="3E703CD1" w14:textId="77777777" w:rsidR="00CC6106" w:rsidRPr="007B5BE6" w:rsidRDefault="00CC6106" w:rsidP="00C36293">
            <w:pPr>
              <w:jc w:val="left"/>
              <w:rPr>
                <w:sz w:val="20"/>
                <w:szCs w:val="20"/>
              </w:rPr>
            </w:pPr>
            <w:r w:rsidRPr="007B5BE6">
              <w:rPr>
                <w:sz w:val="20"/>
                <w:szCs w:val="20"/>
              </w:rPr>
              <w:t>Obtaining property by false documents or dies (s 280)</w:t>
            </w:r>
          </w:p>
          <w:p w14:paraId="72D9E1A8" w14:textId="77777777" w:rsidR="00CC6106" w:rsidRPr="007B5BE6" w:rsidRDefault="00CC6106" w:rsidP="00C36293">
            <w:pPr>
              <w:jc w:val="left"/>
              <w:rPr>
                <w:sz w:val="20"/>
                <w:szCs w:val="20"/>
              </w:rPr>
            </w:pPr>
            <w:r w:rsidRPr="007B5BE6">
              <w:rPr>
                <w:sz w:val="20"/>
                <w:szCs w:val="20"/>
              </w:rPr>
              <w:t>Procuring unauthorized status; fraudulently misrepresenting status (s 283)</w:t>
            </w:r>
          </w:p>
        </w:tc>
      </w:tr>
      <w:tr w:rsidR="00CC6106" w:rsidRPr="007B5BE6" w14:paraId="03C77C57" w14:textId="77777777" w:rsidTr="00C36293">
        <w:trPr>
          <w:trHeight w:val="70"/>
        </w:trPr>
        <w:tc>
          <w:tcPr>
            <w:tcW w:w="1555" w:type="dxa"/>
            <w:tcBorders>
              <w:top w:val="nil"/>
              <w:left w:val="nil"/>
              <w:bottom w:val="nil"/>
              <w:right w:val="nil"/>
            </w:tcBorders>
          </w:tcPr>
          <w:p w14:paraId="0AFBC419" w14:textId="77777777" w:rsidR="00CC6106" w:rsidRPr="007B5BE6" w:rsidRDefault="00CC6106" w:rsidP="00C36293">
            <w:pPr>
              <w:jc w:val="left"/>
              <w:rPr>
                <w:sz w:val="20"/>
                <w:szCs w:val="20"/>
              </w:rPr>
            </w:pPr>
          </w:p>
        </w:tc>
        <w:tc>
          <w:tcPr>
            <w:tcW w:w="2409" w:type="dxa"/>
            <w:tcBorders>
              <w:left w:val="nil"/>
              <w:right w:val="nil"/>
            </w:tcBorders>
          </w:tcPr>
          <w:p w14:paraId="779EA67B" w14:textId="77777777" w:rsidR="00CC6106" w:rsidRPr="007B5BE6" w:rsidRDefault="00CC6106" w:rsidP="00C36293">
            <w:pPr>
              <w:jc w:val="left"/>
              <w:rPr>
                <w:sz w:val="20"/>
                <w:szCs w:val="20"/>
              </w:rPr>
            </w:pPr>
            <w:r w:rsidRPr="007B5BE6">
              <w:rPr>
                <w:i/>
                <w:iCs/>
                <w:sz w:val="20"/>
                <w:szCs w:val="20"/>
              </w:rPr>
              <w:t>Police Offences Act 1935</w:t>
            </w:r>
            <w:r w:rsidRPr="007B5BE6">
              <w:rPr>
                <w:sz w:val="20"/>
                <w:szCs w:val="20"/>
              </w:rPr>
              <w:t xml:space="preserve"> (Tas)</w:t>
            </w:r>
          </w:p>
        </w:tc>
        <w:tc>
          <w:tcPr>
            <w:tcW w:w="5052" w:type="dxa"/>
            <w:tcBorders>
              <w:left w:val="nil"/>
              <w:right w:val="nil"/>
            </w:tcBorders>
          </w:tcPr>
          <w:p w14:paraId="1C65ADC1" w14:textId="77777777" w:rsidR="00CC6106" w:rsidRPr="007B5BE6" w:rsidRDefault="00CC6106" w:rsidP="00C36293">
            <w:pPr>
              <w:jc w:val="left"/>
              <w:rPr>
                <w:sz w:val="20"/>
                <w:szCs w:val="20"/>
              </w:rPr>
            </w:pPr>
            <w:r w:rsidRPr="007B5BE6">
              <w:rPr>
                <w:sz w:val="20"/>
                <w:szCs w:val="20"/>
              </w:rPr>
              <w:t>Taking or using property (animal, vehicle or vessel) without owner’s consent (s 42)</w:t>
            </w:r>
          </w:p>
        </w:tc>
      </w:tr>
      <w:tr w:rsidR="00CC6106" w:rsidRPr="007B5BE6" w14:paraId="497C936D" w14:textId="77777777" w:rsidTr="00C36293">
        <w:tc>
          <w:tcPr>
            <w:tcW w:w="1555" w:type="dxa"/>
            <w:tcBorders>
              <w:top w:val="nil"/>
              <w:left w:val="nil"/>
              <w:bottom w:val="nil"/>
              <w:right w:val="nil"/>
            </w:tcBorders>
          </w:tcPr>
          <w:p w14:paraId="16F9C410" w14:textId="77777777" w:rsidR="00CC6106" w:rsidRPr="007B5BE6" w:rsidRDefault="00CC6106" w:rsidP="00C36293">
            <w:pPr>
              <w:jc w:val="left"/>
              <w:rPr>
                <w:sz w:val="20"/>
                <w:szCs w:val="20"/>
              </w:rPr>
            </w:pPr>
          </w:p>
        </w:tc>
        <w:tc>
          <w:tcPr>
            <w:tcW w:w="2409" w:type="dxa"/>
            <w:tcBorders>
              <w:left w:val="nil"/>
              <w:right w:val="nil"/>
            </w:tcBorders>
          </w:tcPr>
          <w:p w14:paraId="06E364F8" w14:textId="3C5CEFA9" w:rsidR="00CC6106" w:rsidRPr="007B5BE6" w:rsidRDefault="00CC6106" w:rsidP="00C36293">
            <w:pPr>
              <w:jc w:val="left"/>
              <w:rPr>
                <w:sz w:val="20"/>
                <w:szCs w:val="20"/>
              </w:rPr>
            </w:pPr>
            <w:r w:rsidRPr="007B5BE6">
              <w:rPr>
                <w:i/>
                <w:iCs/>
                <w:sz w:val="20"/>
                <w:szCs w:val="20"/>
              </w:rPr>
              <w:t>Family Violence Act 2004</w:t>
            </w:r>
            <w:r w:rsidRPr="007B5BE6">
              <w:rPr>
                <w:sz w:val="20"/>
                <w:szCs w:val="20"/>
              </w:rPr>
              <w:t xml:space="preserve"> (</w:t>
            </w:r>
            <w:r w:rsidR="00C3588F" w:rsidRPr="007B5BE6">
              <w:rPr>
                <w:sz w:val="20"/>
                <w:szCs w:val="20"/>
              </w:rPr>
              <w:t>Tas</w:t>
            </w:r>
            <w:r w:rsidRPr="007B5BE6">
              <w:rPr>
                <w:sz w:val="20"/>
                <w:szCs w:val="20"/>
              </w:rPr>
              <w:t xml:space="preserve">) </w:t>
            </w:r>
          </w:p>
        </w:tc>
        <w:tc>
          <w:tcPr>
            <w:tcW w:w="5052" w:type="dxa"/>
            <w:tcBorders>
              <w:left w:val="nil"/>
              <w:right w:val="nil"/>
            </w:tcBorders>
          </w:tcPr>
          <w:p w14:paraId="5CA538B0" w14:textId="77777777" w:rsidR="00CC6106" w:rsidRPr="007B5BE6" w:rsidRDefault="00CC6106" w:rsidP="00C36293">
            <w:pPr>
              <w:jc w:val="left"/>
              <w:rPr>
                <w:sz w:val="20"/>
                <w:szCs w:val="20"/>
              </w:rPr>
            </w:pPr>
            <w:r w:rsidRPr="007B5BE6">
              <w:rPr>
                <w:sz w:val="20"/>
                <w:szCs w:val="20"/>
              </w:rPr>
              <w:t>Financial abuse (s 9) (within ‘family relationship’)</w:t>
            </w:r>
          </w:p>
        </w:tc>
      </w:tr>
      <w:tr w:rsidR="00CC6106" w:rsidRPr="007B5BE6" w14:paraId="739A7813" w14:textId="77777777" w:rsidTr="00C36293">
        <w:tc>
          <w:tcPr>
            <w:tcW w:w="1555" w:type="dxa"/>
            <w:tcBorders>
              <w:top w:val="nil"/>
              <w:left w:val="nil"/>
              <w:bottom w:val="nil"/>
              <w:right w:val="nil"/>
            </w:tcBorders>
          </w:tcPr>
          <w:p w14:paraId="4B308E1F" w14:textId="77777777" w:rsidR="00CC6106" w:rsidRPr="007B5BE6" w:rsidRDefault="00CC6106" w:rsidP="00C36293">
            <w:pPr>
              <w:jc w:val="left"/>
              <w:rPr>
                <w:sz w:val="20"/>
                <w:szCs w:val="20"/>
              </w:rPr>
            </w:pPr>
          </w:p>
        </w:tc>
        <w:tc>
          <w:tcPr>
            <w:tcW w:w="2409" w:type="dxa"/>
            <w:tcBorders>
              <w:left w:val="nil"/>
              <w:right w:val="nil"/>
            </w:tcBorders>
          </w:tcPr>
          <w:p w14:paraId="20C906B7" w14:textId="77777777" w:rsidR="00CC6106" w:rsidRPr="007B5BE6" w:rsidRDefault="00CC6106" w:rsidP="00C36293">
            <w:pPr>
              <w:jc w:val="left"/>
              <w:rPr>
                <w:sz w:val="20"/>
                <w:szCs w:val="20"/>
              </w:rPr>
            </w:pPr>
            <w:r w:rsidRPr="007B5BE6">
              <w:rPr>
                <w:i/>
                <w:iCs/>
                <w:sz w:val="20"/>
                <w:szCs w:val="20"/>
              </w:rPr>
              <w:t xml:space="preserve">Guardianship and Administration Act 1995 </w:t>
            </w:r>
            <w:r w:rsidRPr="007B5BE6">
              <w:rPr>
                <w:sz w:val="20"/>
                <w:szCs w:val="20"/>
              </w:rPr>
              <w:t>(Tas) (administration orders)</w:t>
            </w:r>
          </w:p>
        </w:tc>
        <w:tc>
          <w:tcPr>
            <w:tcW w:w="5052" w:type="dxa"/>
            <w:tcBorders>
              <w:left w:val="nil"/>
              <w:right w:val="nil"/>
            </w:tcBorders>
          </w:tcPr>
          <w:p w14:paraId="5B1370F2" w14:textId="77777777" w:rsidR="00CC6106" w:rsidRPr="007B5BE6" w:rsidRDefault="00CC6106" w:rsidP="00C36293">
            <w:pPr>
              <w:jc w:val="left"/>
              <w:rPr>
                <w:sz w:val="20"/>
                <w:szCs w:val="20"/>
              </w:rPr>
            </w:pPr>
            <w:r w:rsidRPr="007B5BE6">
              <w:rPr>
                <w:sz w:val="20"/>
                <w:szCs w:val="20"/>
              </w:rPr>
              <w:t>Keep records (s 62A)</w:t>
            </w:r>
          </w:p>
          <w:p w14:paraId="13E0E549" w14:textId="77777777" w:rsidR="00CC6106" w:rsidRPr="007B5BE6" w:rsidRDefault="00CC6106" w:rsidP="00C36293">
            <w:pPr>
              <w:jc w:val="left"/>
              <w:rPr>
                <w:sz w:val="20"/>
                <w:szCs w:val="20"/>
              </w:rPr>
            </w:pPr>
            <w:r w:rsidRPr="007B5BE6">
              <w:rPr>
                <w:sz w:val="20"/>
                <w:szCs w:val="20"/>
              </w:rPr>
              <w:t>Comply with reporting requirements (s 63)</w:t>
            </w:r>
          </w:p>
          <w:p w14:paraId="35C8CE2E" w14:textId="77777777" w:rsidR="00CC6106" w:rsidRPr="007B5BE6" w:rsidRDefault="00CC6106" w:rsidP="00C36293">
            <w:pPr>
              <w:jc w:val="left"/>
              <w:rPr>
                <w:sz w:val="20"/>
                <w:szCs w:val="20"/>
              </w:rPr>
            </w:pPr>
            <w:r w:rsidRPr="007B5BE6">
              <w:rPr>
                <w:sz w:val="20"/>
                <w:szCs w:val="20"/>
              </w:rPr>
              <w:t>Provide annual reports (s 66)</w:t>
            </w:r>
          </w:p>
        </w:tc>
      </w:tr>
      <w:tr w:rsidR="00CC6106" w:rsidRPr="007B5BE6" w14:paraId="52538ABE" w14:textId="77777777" w:rsidTr="00C36293">
        <w:tc>
          <w:tcPr>
            <w:tcW w:w="1555" w:type="dxa"/>
            <w:tcBorders>
              <w:top w:val="nil"/>
              <w:left w:val="nil"/>
              <w:right w:val="nil"/>
            </w:tcBorders>
          </w:tcPr>
          <w:p w14:paraId="07FD680B" w14:textId="77777777" w:rsidR="00CC6106" w:rsidRPr="007B5BE6" w:rsidRDefault="00CC6106" w:rsidP="00C36293">
            <w:pPr>
              <w:jc w:val="left"/>
              <w:rPr>
                <w:b/>
                <w:bCs/>
                <w:sz w:val="20"/>
                <w:szCs w:val="20"/>
              </w:rPr>
            </w:pPr>
          </w:p>
        </w:tc>
        <w:tc>
          <w:tcPr>
            <w:tcW w:w="2409" w:type="dxa"/>
            <w:tcBorders>
              <w:left w:val="nil"/>
              <w:right w:val="nil"/>
            </w:tcBorders>
          </w:tcPr>
          <w:p w14:paraId="1F8D1A48" w14:textId="77777777" w:rsidR="00CC6106" w:rsidRPr="007B5BE6" w:rsidRDefault="00CC6106" w:rsidP="00C36293">
            <w:pPr>
              <w:jc w:val="left"/>
              <w:rPr>
                <w:sz w:val="20"/>
                <w:szCs w:val="20"/>
              </w:rPr>
            </w:pPr>
            <w:r w:rsidRPr="007B5BE6">
              <w:rPr>
                <w:i/>
                <w:iCs/>
                <w:sz w:val="20"/>
                <w:szCs w:val="20"/>
              </w:rPr>
              <w:t>Powers of Attorney Act 2000</w:t>
            </w:r>
            <w:r w:rsidRPr="007B5BE6">
              <w:rPr>
                <w:sz w:val="20"/>
                <w:szCs w:val="20"/>
              </w:rPr>
              <w:t xml:space="preserve"> (Tas) (enduring power of attorney)</w:t>
            </w:r>
          </w:p>
        </w:tc>
        <w:tc>
          <w:tcPr>
            <w:tcW w:w="5052" w:type="dxa"/>
            <w:tcBorders>
              <w:left w:val="nil"/>
              <w:right w:val="nil"/>
            </w:tcBorders>
          </w:tcPr>
          <w:p w14:paraId="0335FD0C" w14:textId="7C1F861D" w:rsidR="00CC6106" w:rsidRPr="007B5BE6" w:rsidRDefault="002428E6" w:rsidP="00C36293">
            <w:pPr>
              <w:jc w:val="left"/>
              <w:rPr>
                <w:sz w:val="20"/>
                <w:szCs w:val="20"/>
              </w:rPr>
            </w:pPr>
            <w:r w:rsidRPr="007B5BE6">
              <w:rPr>
                <w:sz w:val="20"/>
                <w:szCs w:val="20"/>
              </w:rPr>
              <w:t>Fail to k</w:t>
            </w:r>
            <w:r w:rsidR="00CC6106" w:rsidRPr="007B5BE6">
              <w:rPr>
                <w:sz w:val="20"/>
                <w:szCs w:val="20"/>
              </w:rPr>
              <w:t xml:space="preserve">eep any property of the donor separate from the property of the donor (32(3)) </w:t>
            </w:r>
          </w:p>
          <w:p w14:paraId="49397460" w14:textId="0086DE03" w:rsidR="00CC6106" w:rsidRPr="007B5BE6" w:rsidRDefault="002428E6" w:rsidP="00C36293">
            <w:pPr>
              <w:jc w:val="left"/>
              <w:rPr>
                <w:sz w:val="20"/>
                <w:szCs w:val="20"/>
              </w:rPr>
            </w:pPr>
            <w:r w:rsidRPr="007B5BE6">
              <w:rPr>
                <w:sz w:val="20"/>
                <w:szCs w:val="20"/>
              </w:rPr>
              <w:t xml:space="preserve">Fail to keep </w:t>
            </w:r>
            <w:r w:rsidR="00CC6106" w:rsidRPr="007B5BE6">
              <w:rPr>
                <w:sz w:val="20"/>
                <w:szCs w:val="20"/>
              </w:rPr>
              <w:t xml:space="preserve">accurate records of all dealings and transactions made as the attorney (32AD) </w:t>
            </w:r>
          </w:p>
          <w:p w14:paraId="3C325780" w14:textId="77777777" w:rsidR="00CC6106" w:rsidRPr="007B5BE6" w:rsidRDefault="00CC6106" w:rsidP="00C36293">
            <w:pPr>
              <w:jc w:val="left"/>
              <w:rPr>
                <w:sz w:val="20"/>
                <w:szCs w:val="20"/>
              </w:rPr>
            </w:pPr>
            <w:r w:rsidRPr="007B5BE6">
              <w:rPr>
                <w:sz w:val="20"/>
                <w:szCs w:val="20"/>
              </w:rPr>
              <w:t>Contravene a direction by a Tribunal given to an attorney under power of attorney (s 35)</w:t>
            </w:r>
          </w:p>
          <w:p w14:paraId="7253A50F" w14:textId="77777777" w:rsidR="00CC6106" w:rsidRPr="007B5BE6" w:rsidRDefault="00CC6106" w:rsidP="00C36293">
            <w:pPr>
              <w:jc w:val="left"/>
              <w:rPr>
                <w:sz w:val="20"/>
                <w:szCs w:val="20"/>
              </w:rPr>
            </w:pPr>
            <w:r w:rsidRPr="007B5BE6">
              <w:rPr>
                <w:sz w:val="20"/>
                <w:szCs w:val="20"/>
              </w:rPr>
              <w:t>False or misleading applications (s 36)</w:t>
            </w:r>
          </w:p>
          <w:p w14:paraId="0DF02F4E" w14:textId="77777777" w:rsidR="00CC6106" w:rsidRPr="007B5BE6" w:rsidRDefault="00CC6106" w:rsidP="00C36293">
            <w:pPr>
              <w:jc w:val="left"/>
              <w:rPr>
                <w:sz w:val="20"/>
                <w:szCs w:val="20"/>
              </w:rPr>
            </w:pPr>
            <w:r w:rsidRPr="007B5BE6">
              <w:rPr>
                <w:sz w:val="20"/>
                <w:szCs w:val="20"/>
              </w:rPr>
              <w:t>Refuse or neglect to produce a power of attorney document required by a Tribunal (s 48)</w:t>
            </w:r>
          </w:p>
        </w:tc>
      </w:tr>
      <w:tr w:rsidR="00CC6106" w:rsidRPr="007B5BE6" w14:paraId="6F9EC375" w14:textId="77777777" w:rsidTr="00C36293">
        <w:tc>
          <w:tcPr>
            <w:tcW w:w="1555" w:type="dxa"/>
            <w:tcBorders>
              <w:left w:val="nil"/>
              <w:bottom w:val="nil"/>
              <w:right w:val="nil"/>
            </w:tcBorders>
          </w:tcPr>
          <w:p w14:paraId="69FE78D5" w14:textId="77777777" w:rsidR="00CC6106" w:rsidRPr="007B5BE6" w:rsidRDefault="00CC6106" w:rsidP="00C36293">
            <w:pPr>
              <w:jc w:val="left"/>
              <w:rPr>
                <w:b/>
                <w:bCs/>
                <w:sz w:val="20"/>
                <w:szCs w:val="20"/>
              </w:rPr>
            </w:pPr>
            <w:r w:rsidRPr="007B5BE6">
              <w:rPr>
                <w:b/>
                <w:bCs/>
                <w:sz w:val="20"/>
                <w:szCs w:val="20"/>
              </w:rPr>
              <w:t>Emotional or psychological</w:t>
            </w:r>
          </w:p>
        </w:tc>
        <w:tc>
          <w:tcPr>
            <w:tcW w:w="2409" w:type="dxa"/>
            <w:tcBorders>
              <w:left w:val="nil"/>
              <w:right w:val="nil"/>
            </w:tcBorders>
          </w:tcPr>
          <w:p w14:paraId="43A41093" w14:textId="77777777" w:rsidR="009328BB" w:rsidRPr="007B5BE6" w:rsidRDefault="009328BB" w:rsidP="00C36293">
            <w:pPr>
              <w:jc w:val="left"/>
              <w:rPr>
                <w:sz w:val="20"/>
                <w:szCs w:val="20"/>
              </w:rPr>
            </w:pPr>
            <w:r w:rsidRPr="007B5BE6">
              <w:rPr>
                <w:i/>
                <w:iCs/>
                <w:sz w:val="20"/>
                <w:szCs w:val="20"/>
              </w:rPr>
              <w:t xml:space="preserve">Criminal Code </w:t>
            </w:r>
            <w:r w:rsidRPr="007B5BE6">
              <w:rPr>
                <w:i/>
                <w:iCs/>
                <w:szCs w:val="22"/>
              </w:rPr>
              <w:t>Act 1924</w:t>
            </w:r>
            <w:r w:rsidRPr="007B5BE6">
              <w:rPr>
                <w:szCs w:val="22"/>
              </w:rPr>
              <w:t xml:space="preserve"> </w:t>
            </w:r>
            <w:r w:rsidRPr="007B5BE6">
              <w:rPr>
                <w:sz w:val="20"/>
                <w:szCs w:val="20"/>
              </w:rPr>
              <w:t xml:space="preserve">(Tas) </w:t>
            </w:r>
          </w:p>
          <w:p w14:paraId="415C6399" w14:textId="4DA21C06" w:rsidR="00CC6106" w:rsidRPr="007B5BE6" w:rsidRDefault="00CC6106" w:rsidP="00C36293">
            <w:pPr>
              <w:jc w:val="left"/>
              <w:rPr>
                <w:sz w:val="20"/>
                <w:szCs w:val="20"/>
              </w:rPr>
            </w:pPr>
          </w:p>
        </w:tc>
        <w:tc>
          <w:tcPr>
            <w:tcW w:w="5052" w:type="dxa"/>
            <w:tcBorders>
              <w:left w:val="nil"/>
              <w:right w:val="nil"/>
            </w:tcBorders>
          </w:tcPr>
          <w:p w14:paraId="1065C6AB" w14:textId="77777777" w:rsidR="00CC6106" w:rsidRPr="007B5BE6" w:rsidRDefault="00CC6106" w:rsidP="00C36293">
            <w:pPr>
              <w:jc w:val="left"/>
              <w:rPr>
                <w:sz w:val="20"/>
                <w:szCs w:val="20"/>
              </w:rPr>
            </w:pPr>
            <w:r w:rsidRPr="007B5BE6">
              <w:rPr>
                <w:sz w:val="20"/>
                <w:szCs w:val="20"/>
              </w:rPr>
              <w:t>Stalking and bullying (s 192)</w:t>
            </w:r>
          </w:p>
          <w:p w14:paraId="2B8338AF" w14:textId="77777777" w:rsidR="00CC6106" w:rsidRPr="007B5BE6" w:rsidRDefault="00CC6106" w:rsidP="00C36293">
            <w:pPr>
              <w:jc w:val="left"/>
              <w:rPr>
                <w:sz w:val="20"/>
                <w:szCs w:val="20"/>
              </w:rPr>
            </w:pPr>
            <w:r w:rsidRPr="007B5BE6">
              <w:rPr>
                <w:sz w:val="20"/>
                <w:szCs w:val="20"/>
              </w:rPr>
              <w:t>Robbery (s 240)</w:t>
            </w:r>
          </w:p>
          <w:p w14:paraId="64224BA4" w14:textId="77777777" w:rsidR="00CC6106" w:rsidRPr="007B5BE6" w:rsidRDefault="00CC6106" w:rsidP="00C36293">
            <w:pPr>
              <w:jc w:val="left"/>
              <w:rPr>
                <w:sz w:val="20"/>
                <w:szCs w:val="20"/>
              </w:rPr>
            </w:pPr>
            <w:r w:rsidRPr="007B5BE6">
              <w:rPr>
                <w:sz w:val="20"/>
                <w:szCs w:val="20"/>
              </w:rPr>
              <w:t>Blackmail (s 241)</w:t>
            </w:r>
          </w:p>
          <w:p w14:paraId="12BCCA04" w14:textId="77777777" w:rsidR="00CC6106" w:rsidRPr="007B5BE6" w:rsidRDefault="00CC6106" w:rsidP="00C36293">
            <w:pPr>
              <w:jc w:val="left"/>
              <w:rPr>
                <w:sz w:val="20"/>
                <w:szCs w:val="20"/>
              </w:rPr>
            </w:pPr>
            <w:r w:rsidRPr="007B5BE6">
              <w:rPr>
                <w:sz w:val="20"/>
                <w:szCs w:val="20"/>
              </w:rPr>
              <w:lastRenderedPageBreak/>
              <w:t>Demanding with menaces with intent to steal (s 242)</w:t>
            </w:r>
          </w:p>
        </w:tc>
      </w:tr>
      <w:tr w:rsidR="00CC6106" w:rsidRPr="007B5BE6" w14:paraId="0CF24BB5" w14:textId="77777777" w:rsidTr="00C36293">
        <w:tc>
          <w:tcPr>
            <w:tcW w:w="1555" w:type="dxa"/>
            <w:tcBorders>
              <w:top w:val="nil"/>
              <w:left w:val="nil"/>
              <w:bottom w:val="nil"/>
              <w:right w:val="nil"/>
            </w:tcBorders>
          </w:tcPr>
          <w:p w14:paraId="38BD4EB3" w14:textId="77777777" w:rsidR="00CC6106" w:rsidRPr="007B5BE6" w:rsidRDefault="00CC6106" w:rsidP="00C36293">
            <w:pPr>
              <w:jc w:val="left"/>
              <w:rPr>
                <w:sz w:val="20"/>
                <w:szCs w:val="20"/>
              </w:rPr>
            </w:pPr>
          </w:p>
        </w:tc>
        <w:tc>
          <w:tcPr>
            <w:tcW w:w="2409" w:type="dxa"/>
            <w:tcBorders>
              <w:left w:val="nil"/>
              <w:right w:val="nil"/>
            </w:tcBorders>
          </w:tcPr>
          <w:p w14:paraId="5180F1C8" w14:textId="77777777" w:rsidR="00CC6106" w:rsidRPr="007B5BE6" w:rsidRDefault="00CC6106" w:rsidP="00C36293">
            <w:pPr>
              <w:jc w:val="left"/>
              <w:rPr>
                <w:sz w:val="20"/>
                <w:szCs w:val="20"/>
              </w:rPr>
            </w:pPr>
            <w:r w:rsidRPr="007B5BE6">
              <w:rPr>
                <w:i/>
                <w:iCs/>
                <w:sz w:val="20"/>
                <w:szCs w:val="20"/>
              </w:rPr>
              <w:t>Police Offences Act 1935</w:t>
            </w:r>
            <w:r w:rsidRPr="007B5BE6">
              <w:rPr>
                <w:sz w:val="20"/>
                <w:szCs w:val="20"/>
              </w:rPr>
              <w:t xml:space="preserve"> (Tas)</w:t>
            </w:r>
          </w:p>
        </w:tc>
        <w:tc>
          <w:tcPr>
            <w:tcW w:w="5052" w:type="dxa"/>
            <w:tcBorders>
              <w:left w:val="nil"/>
              <w:right w:val="nil"/>
            </w:tcBorders>
          </w:tcPr>
          <w:p w14:paraId="5AC86DCE" w14:textId="77777777" w:rsidR="00CC6106" w:rsidRPr="007B5BE6" w:rsidRDefault="00CC6106" w:rsidP="00C36293">
            <w:pPr>
              <w:jc w:val="left"/>
              <w:rPr>
                <w:sz w:val="20"/>
                <w:szCs w:val="20"/>
              </w:rPr>
            </w:pPr>
            <w:r w:rsidRPr="007B5BE6">
              <w:rPr>
                <w:sz w:val="20"/>
                <w:szCs w:val="20"/>
              </w:rPr>
              <w:t>Prohibited language and behaviour (s 12)</w:t>
            </w:r>
          </w:p>
          <w:p w14:paraId="5629641B" w14:textId="77777777" w:rsidR="00CC6106" w:rsidRPr="007B5BE6" w:rsidRDefault="00CC6106" w:rsidP="00C36293">
            <w:pPr>
              <w:jc w:val="left"/>
              <w:rPr>
                <w:sz w:val="20"/>
                <w:szCs w:val="20"/>
              </w:rPr>
            </w:pPr>
            <w:r w:rsidRPr="007B5BE6">
              <w:rPr>
                <w:sz w:val="20"/>
                <w:szCs w:val="20"/>
              </w:rPr>
              <w:t>Stealing with force (s 38B)</w:t>
            </w:r>
          </w:p>
        </w:tc>
      </w:tr>
      <w:tr w:rsidR="00CC6106" w:rsidRPr="007B5BE6" w14:paraId="7C71E925" w14:textId="77777777" w:rsidTr="00C36293">
        <w:tc>
          <w:tcPr>
            <w:tcW w:w="1555" w:type="dxa"/>
            <w:tcBorders>
              <w:top w:val="nil"/>
              <w:left w:val="nil"/>
              <w:right w:val="nil"/>
            </w:tcBorders>
          </w:tcPr>
          <w:p w14:paraId="464F27CF" w14:textId="77777777" w:rsidR="00CC6106" w:rsidRPr="007B5BE6" w:rsidRDefault="00CC6106" w:rsidP="00C36293">
            <w:pPr>
              <w:jc w:val="left"/>
              <w:rPr>
                <w:sz w:val="20"/>
                <w:szCs w:val="20"/>
              </w:rPr>
            </w:pPr>
          </w:p>
        </w:tc>
        <w:tc>
          <w:tcPr>
            <w:tcW w:w="2409" w:type="dxa"/>
            <w:tcBorders>
              <w:left w:val="nil"/>
              <w:right w:val="nil"/>
            </w:tcBorders>
          </w:tcPr>
          <w:p w14:paraId="65B70DDC" w14:textId="3D43A3D2" w:rsidR="00CC6106" w:rsidRPr="007B5BE6" w:rsidRDefault="00CC6106" w:rsidP="00C36293">
            <w:pPr>
              <w:jc w:val="left"/>
              <w:rPr>
                <w:sz w:val="20"/>
                <w:szCs w:val="20"/>
              </w:rPr>
            </w:pPr>
            <w:r w:rsidRPr="007B5BE6">
              <w:rPr>
                <w:i/>
                <w:iCs/>
                <w:sz w:val="20"/>
                <w:szCs w:val="20"/>
              </w:rPr>
              <w:t>Family Violence Act 2004</w:t>
            </w:r>
            <w:r w:rsidRPr="007B5BE6">
              <w:rPr>
                <w:sz w:val="20"/>
                <w:szCs w:val="20"/>
              </w:rPr>
              <w:t xml:space="preserve"> (</w:t>
            </w:r>
            <w:r w:rsidR="00B45111" w:rsidRPr="007B5BE6">
              <w:rPr>
                <w:sz w:val="20"/>
                <w:szCs w:val="20"/>
              </w:rPr>
              <w:t>Tas</w:t>
            </w:r>
            <w:r w:rsidRPr="007B5BE6">
              <w:rPr>
                <w:sz w:val="20"/>
                <w:szCs w:val="20"/>
              </w:rPr>
              <w:t xml:space="preserve">) </w:t>
            </w:r>
          </w:p>
        </w:tc>
        <w:tc>
          <w:tcPr>
            <w:tcW w:w="5052" w:type="dxa"/>
            <w:tcBorders>
              <w:left w:val="nil"/>
              <w:right w:val="nil"/>
            </w:tcBorders>
          </w:tcPr>
          <w:p w14:paraId="3A9B8CB6" w14:textId="77777777" w:rsidR="00CC6106" w:rsidRPr="007B5BE6" w:rsidRDefault="00CC6106" w:rsidP="00C36293">
            <w:pPr>
              <w:jc w:val="left"/>
              <w:rPr>
                <w:sz w:val="20"/>
                <w:szCs w:val="20"/>
              </w:rPr>
            </w:pPr>
            <w:r w:rsidRPr="007B5BE6">
              <w:rPr>
                <w:sz w:val="20"/>
                <w:szCs w:val="20"/>
              </w:rPr>
              <w:t>Emotional abuse or intimidation (s 8) (within ‘family relationship’)</w:t>
            </w:r>
          </w:p>
        </w:tc>
      </w:tr>
      <w:tr w:rsidR="00CC6106" w:rsidRPr="007B5BE6" w14:paraId="7575D4FD" w14:textId="77777777" w:rsidTr="00C36293">
        <w:tc>
          <w:tcPr>
            <w:tcW w:w="1555" w:type="dxa"/>
            <w:tcBorders>
              <w:left w:val="nil"/>
              <w:bottom w:val="single" w:sz="4" w:space="0" w:color="auto"/>
              <w:right w:val="nil"/>
            </w:tcBorders>
          </w:tcPr>
          <w:p w14:paraId="390A3823" w14:textId="77777777" w:rsidR="00CC6106" w:rsidRPr="007B5BE6" w:rsidRDefault="00CC6106" w:rsidP="00C36293">
            <w:pPr>
              <w:jc w:val="left"/>
              <w:rPr>
                <w:b/>
                <w:bCs/>
                <w:sz w:val="20"/>
                <w:szCs w:val="20"/>
              </w:rPr>
            </w:pPr>
            <w:r w:rsidRPr="007B5BE6">
              <w:rPr>
                <w:b/>
                <w:bCs/>
                <w:sz w:val="20"/>
                <w:szCs w:val="20"/>
              </w:rPr>
              <w:t>Neglect</w:t>
            </w:r>
          </w:p>
        </w:tc>
        <w:tc>
          <w:tcPr>
            <w:tcW w:w="2409" w:type="dxa"/>
            <w:tcBorders>
              <w:left w:val="nil"/>
              <w:right w:val="nil"/>
            </w:tcBorders>
          </w:tcPr>
          <w:p w14:paraId="58186EC1" w14:textId="486DDB49" w:rsidR="00CC6106" w:rsidRPr="007B5BE6" w:rsidRDefault="009328BB" w:rsidP="00C36293">
            <w:pPr>
              <w:jc w:val="left"/>
              <w:rPr>
                <w:sz w:val="20"/>
                <w:szCs w:val="20"/>
              </w:rPr>
            </w:pPr>
            <w:r w:rsidRPr="007B5BE6">
              <w:rPr>
                <w:i/>
                <w:iCs/>
                <w:sz w:val="20"/>
                <w:szCs w:val="20"/>
              </w:rPr>
              <w:t xml:space="preserve">Criminal Code </w:t>
            </w:r>
            <w:r w:rsidRPr="007B5BE6">
              <w:rPr>
                <w:i/>
                <w:iCs/>
                <w:szCs w:val="22"/>
              </w:rPr>
              <w:t>Act 1924</w:t>
            </w:r>
            <w:r w:rsidRPr="007B5BE6">
              <w:rPr>
                <w:szCs w:val="22"/>
              </w:rPr>
              <w:t xml:space="preserve"> </w:t>
            </w:r>
            <w:r w:rsidRPr="007B5BE6">
              <w:rPr>
                <w:sz w:val="20"/>
                <w:szCs w:val="20"/>
              </w:rPr>
              <w:t xml:space="preserve">(Tas) </w:t>
            </w:r>
          </w:p>
        </w:tc>
        <w:tc>
          <w:tcPr>
            <w:tcW w:w="5052" w:type="dxa"/>
            <w:tcBorders>
              <w:left w:val="nil"/>
              <w:right w:val="nil"/>
            </w:tcBorders>
          </w:tcPr>
          <w:p w14:paraId="3C5DCC5D" w14:textId="77777777" w:rsidR="00CC6106" w:rsidRPr="007B5BE6" w:rsidRDefault="00CC6106" w:rsidP="00C36293">
            <w:pPr>
              <w:jc w:val="left"/>
              <w:rPr>
                <w:sz w:val="20"/>
                <w:szCs w:val="20"/>
              </w:rPr>
            </w:pPr>
            <w:r w:rsidRPr="007B5BE6">
              <w:rPr>
                <w:sz w:val="20"/>
                <w:szCs w:val="20"/>
              </w:rPr>
              <w:t>Failing to supply necessaries (s 177)</w:t>
            </w:r>
          </w:p>
        </w:tc>
      </w:tr>
      <w:tr w:rsidR="00CC6106" w:rsidRPr="007B5BE6" w14:paraId="1A3AC4A5" w14:textId="77777777" w:rsidTr="00C36293">
        <w:tc>
          <w:tcPr>
            <w:tcW w:w="1555" w:type="dxa"/>
            <w:tcBorders>
              <w:left w:val="nil"/>
              <w:bottom w:val="nil"/>
              <w:right w:val="nil"/>
            </w:tcBorders>
          </w:tcPr>
          <w:p w14:paraId="4478D982" w14:textId="77777777" w:rsidR="00CC6106" w:rsidRPr="007B5BE6" w:rsidRDefault="00CC6106" w:rsidP="00C36293">
            <w:pPr>
              <w:jc w:val="left"/>
              <w:rPr>
                <w:b/>
                <w:bCs/>
                <w:sz w:val="20"/>
                <w:szCs w:val="20"/>
              </w:rPr>
            </w:pPr>
            <w:r w:rsidRPr="007B5BE6">
              <w:rPr>
                <w:b/>
                <w:bCs/>
                <w:sz w:val="20"/>
                <w:szCs w:val="20"/>
              </w:rPr>
              <w:t>Religious or cultural</w:t>
            </w:r>
          </w:p>
        </w:tc>
        <w:tc>
          <w:tcPr>
            <w:tcW w:w="2409" w:type="dxa"/>
            <w:tcBorders>
              <w:left w:val="nil"/>
              <w:right w:val="nil"/>
            </w:tcBorders>
          </w:tcPr>
          <w:p w14:paraId="23922AB7" w14:textId="7EE6706C" w:rsidR="00CC6106" w:rsidRPr="007B5BE6" w:rsidRDefault="009328BB" w:rsidP="00C36293">
            <w:pPr>
              <w:jc w:val="left"/>
              <w:rPr>
                <w:sz w:val="20"/>
                <w:szCs w:val="20"/>
              </w:rPr>
            </w:pPr>
            <w:r w:rsidRPr="007B5BE6">
              <w:rPr>
                <w:i/>
                <w:iCs/>
                <w:sz w:val="20"/>
                <w:szCs w:val="20"/>
              </w:rPr>
              <w:t xml:space="preserve">Criminal Code </w:t>
            </w:r>
            <w:r w:rsidRPr="007B5BE6">
              <w:rPr>
                <w:i/>
                <w:iCs/>
                <w:szCs w:val="22"/>
              </w:rPr>
              <w:t>Act 1924</w:t>
            </w:r>
            <w:r w:rsidRPr="007B5BE6">
              <w:rPr>
                <w:szCs w:val="22"/>
              </w:rPr>
              <w:t xml:space="preserve"> </w:t>
            </w:r>
            <w:r w:rsidRPr="007B5BE6">
              <w:rPr>
                <w:sz w:val="20"/>
                <w:szCs w:val="20"/>
              </w:rPr>
              <w:t xml:space="preserve">(Tas) </w:t>
            </w:r>
          </w:p>
        </w:tc>
        <w:tc>
          <w:tcPr>
            <w:tcW w:w="5052" w:type="dxa"/>
            <w:tcBorders>
              <w:left w:val="nil"/>
              <w:right w:val="nil"/>
            </w:tcBorders>
          </w:tcPr>
          <w:p w14:paraId="397D628E" w14:textId="77777777" w:rsidR="00CC6106" w:rsidRPr="007B5BE6" w:rsidRDefault="00CC6106" w:rsidP="00C36293">
            <w:pPr>
              <w:jc w:val="left"/>
              <w:rPr>
                <w:sz w:val="20"/>
                <w:szCs w:val="20"/>
              </w:rPr>
            </w:pPr>
            <w:r w:rsidRPr="007B5BE6">
              <w:rPr>
                <w:sz w:val="20"/>
                <w:szCs w:val="20"/>
              </w:rPr>
              <w:t>Disturbing religious worship (s 121)</w:t>
            </w:r>
          </w:p>
        </w:tc>
      </w:tr>
      <w:tr w:rsidR="00CC6106" w:rsidRPr="007B5BE6" w14:paraId="3717A813" w14:textId="77777777" w:rsidTr="00C36293">
        <w:tc>
          <w:tcPr>
            <w:tcW w:w="1555" w:type="dxa"/>
            <w:tcBorders>
              <w:top w:val="nil"/>
              <w:left w:val="nil"/>
              <w:bottom w:val="single" w:sz="4" w:space="0" w:color="auto"/>
              <w:right w:val="nil"/>
            </w:tcBorders>
          </w:tcPr>
          <w:p w14:paraId="5B96A65C" w14:textId="77777777" w:rsidR="00CC6106" w:rsidRPr="007B5BE6" w:rsidRDefault="00CC6106" w:rsidP="00C36293">
            <w:pPr>
              <w:jc w:val="left"/>
              <w:rPr>
                <w:sz w:val="20"/>
                <w:szCs w:val="20"/>
              </w:rPr>
            </w:pPr>
          </w:p>
        </w:tc>
        <w:tc>
          <w:tcPr>
            <w:tcW w:w="2409" w:type="dxa"/>
            <w:tcBorders>
              <w:left w:val="nil"/>
              <w:right w:val="nil"/>
            </w:tcBorders>
          </w:tcPr>
          <w:p w14:paraId="3D790F02" w14:textId="77777777" w:rsidR="00CC6106" w:rsidRPr="007B5BE6" w:rsidRDefault="00CC6106" w:rsidP="00C36293">
            <w:pPr>
              <w:jc w:val="left"/>
              <w:rPr>
                <w:sz w:val="20"/>
                <w:szCs w:val="20"/>
              </w:rPr>
            </w:pPr>
            <w:r w:rsidRPr="007B5BE6">
              <w:rPr>
                <w:i/>
                <w:iCs/>
                <w:sz w:val="20"/>
                <w:szCs w:val="20"/>
              </w:rPr>
              <w:t>Police Offences Act 1935</w:t>
            </w:r>
            <w:r w:rsidRPr="007B5BE6">
              <w:rPr>
                <w:sz w:val="20"/>
                <w:szCs w:val="20"/>
              </w:rPr>
              <w:t xml:space="preserve"> (Tas)</w:t>
            </w:r>
          </w:p>
        </w:tc>
        <w:tc>
          <w:tcPr>
            <w:tcW w:w="5052" w:type="dxa"/>
            <w:tcBorders>
              <w:left w:val="nil"/>
              <w:right w:val="nil"/>
            </w:tcBorders>
          </w:tcPr>
          <w:p w14:paraId="684195AB" w14:textId="77777777" w:rsidR="00CC6106" w:rsidRPr="007B5BE6" w:rsidRDefault="00CC6106" w:rsidP="00C36293">
            <w:pPr>
              <w:jc w:val="left"/>
              <w:rPr>
                <w:sz w:val="20"/>
                <w:szCs w:val="20"/>
              </w:rPr>
            </w:pPr>
            <w:r w:rsidRPr="007B5BE6">
              <w:rPr>
                <w:sz w:val="20"/>
                <w:szCs w:val="20"/>
              </w:rPr>
              <w:t>Public annoyance (wilfully disquiet or disturb meeting, assembly or congregation for religious worship) (s 13(3))</w:t>
            </w:r>
          </w:p>
        </w:tc>
      </w:tr>
      <w:tr w:rsidR="00CC6106" w:rsidRPr="007B5BE6" w14:paraId="6806654C" w14:textId="77777777" w:rsidTr="00C36293">
        <w:tc>
          <w:tcPr>
            <w:tcW w:w="1555" w:type="dxa"/>
            <w:tcBorders>
              <w:left w:val="nil"/>
              <w:bottom w:val="nil"/>
              <w:right w:val="nil"/>
            </w:tcBorders>
          </w:tcPr>
          <w:p w14:paraId="2197AA69" w14:textId="77777777" w:rsidR="00CC6106" w:rsidRPr="007B5BE6" w:rsidRDefault="00CC6106" w:rsidP="00C36293">
            <w:pPr>
              <w:jc w:val="left"/>
              <w:rPr>
                <w:sz w:val="20"/>
                <w:szCs w:val="20"/>
              </w:rPr>
            </w:pPr>
            <w:r w:rsidRPr="007B5BE6">
              <w:rPr>
                <w:b/>
                <w:bCs/>
                <w:sz w:val="20"/>
                <w:szCs w:val="20"/>
              </w:rPr>
              <w:t>Other</w:t>
            </w:r>
          </w:p>
        </w:tc>
        <w:tc>
          <w:tcPr>
            <w:tcW w:w="2409" w:type="dxa"/>
            <w:tcBorders>
              <w:left w:val="nil"/>
              <w:right w:val="nil"/>
            </w:tcBorders>
          </w:tcPr>
          <w:p w14:paraId="527138E3" w14:textId="77777777" w:rsidR="00CC6106" w:rsidRPr="007B5BE6" w:rsidRDefault="00CC6106" w:rsidP="00C36293">
            <w:pPr>
              <w:jc w:val="left"/>
              <w:rPr>
                <w:i/>
                <w:iCs/>
                <w:sz w:val="20"/>
                <w:szCs w:val="20"/>
              </w:rPr>
            </w:pPr>
            <w:r w:rsidRPr="007B5BE6">
              <w:rPr>
                <w:i/>
                <w:iCs/>
                <w:sz w:val="20"/>
                <w:szCs w:val="20"/>
              </w:rPr>
              <w:t xml:space="preserve">Family Violence Act 2004 </w:t>
            </w:r>
            <w:r w:rsidRPr="007B5BE6">
              <w:rPr>
                <w:sz w:val="20"/>
                <w:szCs w:val="20"/>
              </w:rPr>
              <w:t>(Tas)</w:t>
            </w:r>
          </w:p>
        </w:tc>
        <w:tc>
          <w:tcPr>
            <w:tcW w:w="5052" w:type="dxa"/>
            <w:tcBorders>
              <w:left w:val="nil"/>
              <w:right w:val="nil"/>
            </w:tcBorders>
          </w:tcPr>
          <w:p w14:paraId="5CA045E3" w14:textId="1B9603E3" w:rsidR="00CC6106" w:rsidRPr="007B5BE6" w:rsidRDefault="00CC6106" w:rsidP="00C36293">
            <w:pPr>
              <w:jc w:val="left"/>
              <w:rPr>
                <w:sz w:val="20"/>
                <w:szCs w:val="20"/>
              </w:rPr>
            </w:pPr>
            <w:r w:rsidRPr="007B5BE6">
              <w:rPr>
                <w:sz w:val="20"/>
                <w:szCs w:val="20"/>
              </w:rPr>
              <w:t xml:space="preserve">Contravention of family violence order (within ‘family relationship’) </w:t>
            </w:r>
            <w:r w:rsidR="00CC3B83" w:rsidRPr="007B5BE6">
              <w:rPr>
                <w:sz w:val="20"/>
                <w:szCs w:val="20"/>
              </w:rPr>
              <w:t xml:space="preserve">(s </w:t>
            </w:r>
            <w:r w:rsidR="00C20759" w:rsidRPr="007B5BE6">
              <w:rPr>
                <w:sz w:val="20"/>
                <w:szCs w:val="20"/>
              </w:rPr>
              <w:t>35)</w:t>
            </w:r>
          </w:p>
          <w:p w14:paraId="0BA6051D" w14:textId="2855DE37" w:rsidR="00CC6106" w:rsidRPr="007B5BE6" w:rsidRDefault="00CC6106" w:rsidP="00C36293">
            <w:pPr>
              <w:jc w:val="left"/>
              <w:rPr>
                <w:sz w:val="20"/>
                <w:szCs w:val="20"/>
              </w:rPr>
            </w:pPr>
            <w:r w:rsidRPr="007B5BE6">
              <w:rPr>
                <w:sz w:val="20"/>
                <w:szCs w:val="20"/>
              </w:rPr>
              <w:t>Contravention of police family violence order (within ‘family relationship’)</w:t>
            </w:r>
            <w:r w:rsidR="00B45111" w:rsidRPr="007B5BE6">
              <w:rPr>
                <w:sz w:val="20"/>
                <w:szCs w:val="20"/>
              </w:rPr>
              <w:t xml:space="preserve"> </w:t>
            </w:r>
            <w:r w:rsidR="00C20759" w:rsidRPr="007B5BE6">
              <w:rPr>
                <w:sz w:val="20"/>
                <w:szCs w:val="20"/>
              </w:rPr>
              <w:t>(s 35)</w:t>
            </w:r>
          </w:p>
          <w:p w14:paraId="7B1ECF5F" w14:textId="509E8480" w:rsidR="00CC6106" w:rsidRPr="007B5BE6" w:rsidRDefault="00CC6106" w:rsidP="00C36293">
            <w:pPr>
              <w:jc w:val="left"/>
              <w:rPr>
                <w:sz w:val="20"/>
                <w:szCs w:val="20"/>
              </w:rPr>
            </w:pPr>
            <w:r w:rsidRPr="007B5BE6">
              <w:rPr>
                <w:sz w:val="20"/>
                <w:szCs w:val="20"/>
              </w:rPr>
              <w:t>Contravention of interim family violence order (within ‘family relationship’)</w:t>
            </w:r>
            <w:r w:rsidR="00B45111" w:rsidRPr="007B5BE6">
              <w:rPr>
                <w:sz w:val="20"/>
                <w:szCs w:val="20"/>
              </w:rPr>
              <w:t xml:space="preserve"> (s </w:t>
            </w:r>
            <w:r w:rsidR="00C20759" w:rsidRPr="007B5BE6">
              <w:rPr>
                <w:sz w:val="20"/>
                <w:szCs w:val="20"/>
              </w:rPr>
              <w:t>35</w:t>
            </w:r>
            <w:r w:rsidR="00B45111" w:rsidRPr="007B5BE6">
              <w:rPr>
                <w:sz w:val="20"/>
                <w:szCs w:val="20"/>
              </w:rPr>
              <w:t>)</w:t>
            </w:r>
          </w:p>
        </w:tc>
      </w:tr>
      <w:tr w:rsidR="00CC6106" w:rsidRPr="007B5BE6" w14:paraId="059333D0" w14:textId="77777777" w:rsidTr="00C36293">
        <w:tc>
          <w:tcPr>
            <w:tcW w:w="1555" w:type="dxa"/>
            <w:tcBorders>
              <w:top w:val="nil"/>
              <w:left w:val="nil"/>
              <w:bottom w:val="nil"/>
              <w:right w:val="nil"/>
            </w:tcBorders>
          </w:tcPr>
          <w:p w14:paraId="58690321" w14:textId="77777777" w:rsidR="00CC6106" w:rsidRPr="007B5BE6" w:rsidRDefault="00CC6106" w:rsidP="00C36293">
            <w:pPr>
              <w:jc w:val="left"/>
              <w:rPr>
                <w:sz w:val="20"/>
                <w:szCs w:val="20"/>
              </w:rPr>
            </w:pPr>
          </w:p>
        </w:tc>
        <w:tc>
          <w:tcPr>
            <w:tcW w:w="2409" w:type="dxa"/>
            <w:tcBorders>
              <w:left w:val="nil"/>
              <w:right w:val="nil"/>
            </w:tcBorders>
          </w:tcPr>
          <w:p w14:paraId="4FA9DFC1" w14:textId="31E28B2B" w:rsidR="00CC6106" w:rsidRPr="007B5BE6" w:rsidRDefault="00CC6106" w:rsidP="00C36293">
            <w:pPr>
              <w:jc w:val="left"/>
              <w:rPr>
                <w:i/>
                <w:iCs/>
                <w:sz w:val="20"/>
                <w:szCs w:val="20"/>
              </w:rPr>
            </w:pPr>
            <w:r w:rsidRPr="007B5BE6">
              <w:rPr>
                <w:i/>
                <w:iCs/>
                <w:sz w:val="20"/>
                <w:szCs w:val="20"/>
              </w:rPr>
              <w:t>Justices Act 195</w:t>
            </w:r>
            <w:r w:rsidR="00477F94" w:rsidRPr="007B5BE6">
              <w:rPr>
                <w:i/>
                <w:iCs/>
                <w:sz w:val="20"/>
                <w:szCs w:val="20"/>
              </w:rPr>
              <w:t>9</w:t>
            </w:r>
            <w:r w:rsidRPr="007B5BE6">
              <w:rPr>
                <w:sz w:val="20"/>
                <w:szCs w:val="20"/>
              </w:rPr>
              <w:t xml:space="preserve"> (Tas)</w:t>
            </w:r>
          </w:p>
        </w:tc>
        <w:tc>
          <w:tcPr>
            <w:tcW w:w="5052" w:type="dxa"/>
            <w:tcBorders>
              <w:left w:val="nil"/>
              <w:right w:val="nil"/>
            </w:tcBorders>
          </w:tcPr>
          <w:p w14:paraId="42F9D5FD" w14:textId="77777777" w:rsidR="00CC6106" w:rsidRPr="007B5BE6" w:rsidRDefault="00CC6106" w:rsidP="00C36293">
            <w:pPr>
              <w:jc w:val="left"/>
              <w:rPr>
                <w:sz w:val="20"/>
                <w:szCs w:val="20"/>
              </w:rPr>
            </w:pPr>
            <w:r w:rsidRPr="007B5BE6">
              <w:rPr>
                <w:sz w:val="20"/>
                <w:szCs w:val="20"/>
              </w:rPr>
              <w:t>Contravention of a restraint order (s 106I)</w:t>
            </w:r>
          </w:p>
        </w:tc>
      </w:tr>
      <w:tr w:rsidR="00CC6106" w:rsidRPr="007B5BE6" w14:paraId="04E956BC" w14:textId="77777777" w:rsidTr="00EE2B6D">
        <w:tc>
          <w:tcPr>
            <w:tcW w:w="1555" w:type="dxa"/>
            <w:tcBorders>
              <w:top w:val="nil"/>
              <w:left w:val="nil"/>
              <w:bottom w:val="nil"/>
              <w:right w:val="nil"/>
            </w:tcBorders>
          </w:tcPr>
          <w:p w14:paraId="7B37716D" w14:textId="77777777" w:rsidR="00CC6106" w:rsidRPr="007B5BE6" w:rsidRDefault="00CC6106" w:rsidP="00C36293">
            <w:pPr>
              <w:jc w:val="left"/>
              <w:rPr>
                <w:sz w:val="20"/>
                <w:szCs w:val="20"/>
              </w:rPr>
            </w:pPr>
          </w:p>
        </w:tc>
        <w:tc>
          <w:tcPr>
            <w:tcW w:w="2409" w:type="dxa"/>
            <w:tcBorders>
              <w:left w:val="nil"/>
              <w:right w:val="nil"/>
            </w:tcBorders>
          </w:tcPr>
          <w:p w14:paraId="19074BA6" w14:textId="77777777" w:rsidR="00CC6106" w:rsidRPr="007B5BE6" w:rsidRDefault="00CC6106" w:rsidP="00C36293">
            <w:pPr>
              <w:jc w:val="left"/>
              <w:rPr>
                <w:sz w:val="20"/>
                <w:szCs w:val="20"/>
              </w:rPr>
            </w:pPr>
            <w:r w:rsidRPr="007B5BE6">
              <w:rPr>
                <w:i/>
                <w:iCs/>
                <w:sz w:val="20"/>
                <w:szCs w:val="20"/>
              </w:rPr>
              <w:t xml:space="preserve">End of Life Choices (Voluntary Assisted Dying) Act 2021 </w:t>
            </w:r>
            <w:r w:rsidRPr="007B5BE6">
              <w:rPr>
                <w:sz w:val="20"/>
                <w:szCs w:val="20"/>
              </w:rPr>
              <w:t xml:space="preserve">(Tas) </w:t>
            </w:r>
          </w:p>
        </w:tc>
        <w:tc>
          <w:tcPr>
            <w:tcW w:w="5052" w:type="dxa"/>
            <w:tcBorders>
              <w:left w:val="nil"/>
              <w:right w:val="nil"/>
            </w:tcBorders>
          </w:tcPr>
          <w:p w14:paraId="47EDEC42" w14:textId="77777777" w:rsidR="00CC6106" w:rsidRPr="007B5BE6" w:rsidRDefault="00CC6106" w:rsidP="00C36293">
            <w:pPr>
              <w:jc w:val="left"/>
              <w:rPr>
                <w:sz w:val="20"/>
                <w:szCs w:val="20"/>
              </w:rPr>
            </w:pPr>
            <w:r w:rsidRPr="007B5BE6">
              <w:rPr>
                <w:sz w:val="20"/>
                <w:szCs w:val="20"/>
              </w:rPr>
              <w:t>Offer inducements, or by dishonesty or undue influence, induce or attempt to induce a person to give final permission to end life (s 124)</w:t>
            </w:r>
          </w:p>
          <w:p w14:paraId="0D8D685C" w14:textId="77777777" w:rsidR="00CC6106" w:rsidRPr="007B5BE6" w:rsidRDefault="00CC6106" w:rsidP="00C36293">
            <w:pPr>
              <w:jc w:val="left"/>
              <w:rPr>
                <w:sz w:val="20"/>
                <w:szCs w:val="20"/>
              </w:rPr>
            </w:pPr>
            <w:r w:rsidRPr="007B5BE6">
              <w:rPr>
                <w:sz w:val="20"/>
                <w:szCs w:val="20"/>
              </w:rPr>
              <w:t>Dishonestly or by undue influence, inducing or attempting to induce another person to self-administer a voluntary assisted dying substance (s 129)</w:t>
            </w:r>
          </w:p>
        </w:tc>
      </w:tr>
      <w:tr w:rsidR="00EE2B6D" w:rsidRPr="007B5BE6" w14:paraId="5C2F0C01" w14:textId="77777777" w:rsidTr="00C36293">
        <w:tc>
          <w:tcPr>
            <w:tcW w:w="1555" w:type="dxa"/>
            <w:tcBorders>
              <w:top w:val="nil"/>
              <w:left w:val="nil"/>
              <w:right w:val="nil"/>
            </w:tcBorders>
          </w:tcPr>
          <w:p w14:paraId="64463B60" w14:textId="77777777" w:rsidR="00EE2B6D" w:rsidRPr="007B5BE6" w:rsidRDefault="00EE2B6D" w:rsidP="00C36293">
            <w:pPr>
              <w:jc w:val="left"/>
              <w:rPr>
                <w:sz w:val="20"/>
                <w:szCs w:val="20"/>
              </w:rPr>
            </w:pPr>
          </w:p>
        </w:tc>
        <w:tc>
          <w:tcPr>
            <w:tcW w:w="2409" w:type="dxa"/>
            <w:tcBorders>
              <w:left w:val="nil"/>
              <w:right w:val="nil"/>
            </w:tcBorders>
          </w:tcPr>
          <w:p w14:paraId="7560C4D0" w14:textId="1E8E5FE4" w:rsidR="00EE2B6D" w:rsidRPr="007B5BE6" w:rsidRDefault="00EE2B6D" w:rsidP="00C36293">
            <w:pPr>
              <w:jc w:val="left"/>
              <w:rPr>
                <w:i/>
                <w:iCs/>
                <w:sz w:val="20"/>
                <w:szCs w:val="20"/>
              </w:rPr>
            </w:pPr>
            <w:r w:rsidRPr="007B5BE6">
              <w:rPr>
                <w:i/>
                <w:iCs/>
                <w:sz w:val="20"/>
                <w:szCs w:val="20"/>
              </w:rPr>
              <w:t xml:space="preserve">Guardianship and Administration Act 1995 </w:t>
            </w:r>
            <w:r w:rsidRPr="007B5BE6">
              <w:rPr>
                <w:sz w:val="20"/>
                <w:szCs w:val="20"/>
              </w:rPr>
              <w:t>(Tas) (guardianship)</w:t>
            </w:r>
          </w:p>
        </w:tc>
        <w:tc>
          <w:tcPr>
            <w:tcW w:w="5052" w:type="dxa"/>
            <w:tcBorders>
              <w:left w:val="nil"/>
              <w:right w:val="nil"/>
            </w:tcBorders>
          </w:tcPr>
          <w:p w14:paraId="09C78B88" w14:textId="3D7E96FF" w:rsidR="00446BC1" w:rsidRPr="007B5BE6" w:rsidRDefault="002428E6" w:rsidP="00C36293">
            <w:pPr>
              <w:jc w:val="left"/>
              <w:rPr>
                <w:sz w:val="20"/>
                <w:szCs w:val="20"/>
              </w:rPr>
            </w:pPr>
            <w:r w:rsidRPr="007B5BE6">
              <w:rPr>
                <w:sz w:val="20"/>
                <w:szCs w:val="20"/>
              </w:rPr>
              <w:t>Fail to k</w:t>
            </w:r>
            <w:r w:rsidR="00446BC1" w:rsidRPr="007B5BE6">
              <w:rPr>
                <w:sz w:val="20"/>
                <w:szCs w:val="20"/>
              </w:rPr>
              <w:t xml:space="preserve">eep accurate records of all dealings and transactions made </w:t>
            </w:r>
            <w:r w:rsidRPr="007B5BE6">
              <w:rPr>
                <w:sz w:val="20"/>
                <w:szCs w:val="20"/>
              </w:rPr>
              <w:t>as guardian (s 27A)</w:t>
            </w:r>
          </w:p>
          <w:p w14:paraId="0EE31B8C" w14:textId="60ED46F2" w:rsidR="00EE2B6D" w:rsidRPr="007B5BE6" w:rsidRDefault="000C2734" w:rsidP="00C36293">
            <w:pPr>
              <w:jc w:val="left"/>
              <w:rPr>
                <w:sz w:val="20"/>
                <w:szCs w:val="20"/>
              </w:rPr>
            </w:pPr>
            <w:r w:rsidRPr="007B5BE6">
              <w:rPr>
                <w:sz w:val="20"/>
                <w:szCs w:val="20"/>
              </w:rPr>
              <w:t>Delay o</w:t>
            </w:r>
            <w:r w:rsidR="001C6E1B" w:rsidRPr="007B5BE6">
              <w:rPr>
                <w:sz w:val="20"/>
                <w:szCs w:val="20"/>
              </w:rPr>
              <w:t xml:space="preserve">r </w:t>
            </w:r>
            <w:r w:rsidR="00AC445E" w:rsidRPr="007B5BE6">
              <w:rPr>
                <w:sz w:val="20"/>
                <w:szCs w:val="20"/>
              </w:rPr>
              <w:t xml:space="preserve">obstruct exercise of powers </w:t>
            </w:r>
            <w:r w:rsidR="00E369FC" w:rsidRPr="007B5BE6">
              <w:rPr>
                <w:sz w:val="20"/>
                <w:szCs w:val="20"/>
              </w:rPr>
              <w:t>in case of unlawful detention of persons in need of guardian (s 29)</w:t>
            </w:r>
          </w:p>
          <w:p w14:paraId="5D178E89" w14:textId="4BE00C32" w:rsidR="00957773" w:rsidRPr="007B5BE6" w:rsidRDefault="00421E79" w:rsidP="00C36293">
            <w:pPr>
              <w:jc w:val="left"/>
              <w:rPr>
                <w:sz w:val="20"/>
                <w:szCs w:val="20"/>
              </w:rPr>
            </w:pPr>
            <w:r w:rsidRPr="007B5BE6">
              <w:rPr>
                <w:sz w:val="20"/>
                <w:szCs w:val="20"/>
              </w:rPr>
              <w:t>Contraven</w:t>
            </w:r>
            <w:r w:rsidR="00B16372" w:rsidRPr="007B5BE6">
              <w:rPr>
                <w:sz w:val="20"/>
                <w:szCs w:val="20"/>
              </w:rPr>
              <w:t>e a</w:t>
            </w:r>
            <w:r w:rsidR="00CA79AC" w:rsidRPr="007B5BE6">
              <w:rPr>
                <w:sz w:val="20"/>
                <w:szCs w:val="20"/>
              </w:rPr>
              <w:t xml:space="preserve"> direction by a</w:t>
            </w:r>
            <w:r w:rsidR="00B16372" w:rsidRPr="007B5BE6">
              <w:rPr>
                <w:sz w:val="20"/>
                <w:szCs w:val="20"/>
              </w:rPr>
              <w:t xml:space="preserve"> Tribunal</w:t>
            </w:r>
            <w:r w:rsidRPr="007B5BE6">
              <w:rPr>
                <w:sz w:val="20"/>
                <w:szCs w:val="20"/>
              </w:rPr>
              <w:t xml:space="preserve"> direction </w:t>
            </w:r>
            <w:r w:rsidR="00CA79AC" w:rsidRPr="007B5BE6">
              <w:rPr>
                <w:sz w:val="20"/>
                <w:szCs w:val="20"/>
              </w:rPr>
              <w:t xml:space="preserve">given to a guardian </w:t>
            </w:r>
            <w:r w:rsidRPr="007B5BE6">
              <w:rPr>
                <w:sz w:val="20"/>
                <w:szCs w:val="20"/>
              </w:rPr>
              <w:t xml:space="preserve">(s </w:t>
            </w:r>
            <w:r w:rsidR="00957773" w:rsidRPr="007B5BE6">
              <w:rPr>
                <w:sz w:val="20"/>
                <w:szCs w:val="20"/>
              </w:rPr>
              <w:t>31)</w:t>
            </w:r>
          </w:p>
          <w:p w14:paraId="788D6DB2" w14:textId="77777777" w:rsidR="00E369FC" w:rsidRPr="007B5BE6" w:rsidRDefault="00957773" w:rsidP="00C36293">
            <w:pPr>
              <w:jc w:val="left"/>
              <w:rPr>
                <w:sz w:val="20"/>
                <w:szCs w:val="20"/>
              </w:rPr>
            </w:pPr>
            <w:r w:rsidRPr="007B5BE6">
              <w:rPr>
                <w:sz w:val="20"/>
                <w:szCs w:val="20"/>
              </w:rPr>
              <w:t>Dis</w:t>
            </w:r>
            <w:r w:rsidR="007037A1" w:rsidRPr="007B5BE6">
              <w:rPr>
                <w:sz w:val="20"/>
                <w:szCs w:val="20"/>
              </w:rPr>
              <w:t>close protected information given to a person (s 86)</w:t>
            </w:r>
          </w:p>
          <w:p w14:paraId="1C6B51D5" w14:textId="06619D2E" w:rsidR="00345CA0" w:rsidRPr="007B5BE6" w:rsidRDefault="00345CA0" w:rsidP="00C36293">
            <w:pPr>
              <w:jc w:val="left"/>
              <w:rPr>
                <w:sz w:val="20"/>
                <w:szCs w:val="20"/>
              </w:rPr>
            </w:pPr>
            <w:r w:rsidRPr="007B5BE6">
              <w:rPr>
                <w:sz w:val="20"/>
                <w:szCs w:val="20"/>
              </w:rPr>
              <w:t>Conduct relating to health and medical research (ss 48Q, 48R)</w:t>
            </w:r>
          </w:p>
        </w:tc>
      </w:tr>
    </w:tbl>
    <w:p w14:paraId="2A97F53E" w14:textId="77777777" w:rsidR="00813B20" w:rsidRPr="007B5BE6" w:rsidRDefault="00813B20" w:rsidP="001C09C6"/>
    <w:p w14:paraId="4145DB37" w14:textId="77777777" w:rsidR="002828F1" w:rsidRPr="007B5BE6" w:rsidRDefault="002828F1" w:rsidP="001C09C6"/>
    <w:p w14:paraId="4954C8A5" w14:textId="77777777" w:rsidR="002828F1" w:rsidRPr="007B5BE6" w:rsidRDefault="002828F1" w:rsidP="001C09C6"/>
    <w:p w14:paraId="7418D729" w14:textId="28694236" w:rsidR="003B4ABF" w:rsidRDefault="003B4ABF" w:rsidP="001C09C6">
      <w:r w:rsidRPr="007B5BE6">
        <w:fldChar w:fldCharType="begin"/>
      </w:r>
      <w:r w:rsidRPr="007B5BE6">
        <w:instrText xml:space="preserve"> ADDIN EN.REFLIST </w:instrText>
      </w:r>
      <w:r w:rsidRPr="007B5BE6">
        <w:fldChar w:fldCharType="separate"/>
      </w:r>
      <w:r w:rsidRPr="007B5BE6">
        <w:fldChar w:fldCharType="end"/>
      </w:r>
    </w:p>
    <w:sectPr w:rsidR="003B4ABF" w:rsidSect="003A1D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2C6A" w14:textId="77777777" w:rsidR="00790C4E" w:rsidRDefault="00790C4E" w:rsidP="00D8729E">
      <w:pPr>
        <w:spacing w:after="0"/>
      </w:pPr>
      <w:r>
        <w:separator/>
      </w:r>
    </w:p>
  </w:endnote>
  <w:endnote w:type="continuationSeparator" w:id="0">
    <w:p w14:paraId="21B0D2B1" w14:textId="77777777" w:rsidR="00790C4E" w:rsidRDefault="00790C4E" w:rsidP="00D8729E">
      <w:pPr>
        <w:spacing w:after="0"/>
      </w:pPr>
      <w:r>
        <w:continuationSeparator/>
      </w:r>
    </w:p>
  </w:endnote>
  <w:endnote w:type="continuationNotice" w:id="1">
    <w:p w14:paraId="77C7DA93" w14:textId="77777777" w:rsidR="00790C4E" w:rsidRDefault="00790C4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17650"/>
      <w:docPartObj>
        <w:docPartGallery w:val="Page Numbers (Bottom of Page)"/>
        <w:docPartUnique/>
      </w:docPartObj>
    </w:sdtPr>
    <w:sdtEndPr>
      <w:rPr>
        <w:rFonts w:ascii="Times New Roman" w:hAnsi="Times New Roman" w:cs="Times New Roman"/>
        <w:noProof/>
      </w:rPr>
    </w:sdtEndPr>
    <w:sdtContent>
      <w:p w14:paraId="6E4DA225" w14:textId="77777777" w:rsidR="00D8729E" w:rsidRPr="00D8729E" w:rsidRDefault="00D8729E">
        <w:pPr>
          <w:pStyle w:val="Footer"/>
          <w:rPr>
            <w:rFonts w:ascii="Times New Roman" w:hAnsi="Times New Roman" w:cs="Times New Roman"/>
          </w:rPr>
        </w:pPr>
        <w:r w:rsidRPr="00D8729E">
          <w:rPr>
            <w:rFonts w:ascii="Times New Roman" w:hAnsi="Times New Roman" w:cs="Times New Roman"/>
          </w:rPr>
          <w:fldChar w:fldCharType="begin"/>
        </w:r>
        <w:r w:rsidRPr="00D8729E">
          <w:rPr>
            <w:rFonts w:ascii="Times New Roman" w:hAnsi="Times New Roman" w:cs="Times New Roman"/>
          </w:rPr>
          <w:instrText xml:space="preserve"> PAGE   \* MERGEFORMAT </w:instrText>
        </w:r>
        <w:r w:rsidRPr="00D8729E">
          <w:rPr>
            <w:rFonts w:ascii="Times New Roman" w:hAnsi="Times New Roman" w:cs="Times New Roman"/>
          </w:rPr>
          <w:fldChar w:fldCharType="separate"/>
        </w:r>
        <w:r w:rsidRPr="00D8729E">
          <w:rPr>
            <w:rFonts w:ascii="Times New Roman" w:hAnsi="Times New Roman" w:cs="Times New Roman"/>
            <w:noProof/>
          </w:rPr>
          <w:t>2</w:t>
        </w:r>
        <w:r w:rsidRPr="00D8729E">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4015629"/>
      <w:docPartObj>
        <w:docPartGallery w:val="Page Numbers (Bottom of Page)"/>
        <w:docPartUnique/>
      </w:docPartObj>
    </w:sdtPr>
    <w:sdtEndPr>
      <w:rPr>
        <w:rStyle w:val="PageNumber"/>
        <w:rFonts w:ascii="Times New Roman" w:hAnsi="Times New Roman" w:cs="Times New Roman"/>
      </w:rPr>
    </w:sdtEndPr>
    <w:sdtContent>
      <w:p w14:paraId="7A20C78C" w14:textId="77777777" w:rsidR="0092433F" w:rsidRPr="00DB6B44" w:rsidRDefault="0092433F" w:rsidP="00EB098C">
        <w:pPr>
          <w:pStyle w:val="Footer"/>
          <w:framePr w:wrap="none" w:vAnchor="text" w:hAnchor="margin" w:xAlign="right" w:y="1"/>
          <w:rPr>
            <w:rStyle w:val="PageNumber"/>
            <w:rFonts w:ascii="Times New Roman" w:hAnsi="Times New Roman" w:cs="Times New Roman"/>
          </w:rPr>
        </w:pPr>
        <w:r w:rsidRPr="00DB6B44">
          <w:rPr>
            <w:rStyle w:val="PageNumber"/>
            <w:rFonts w:ascii="Times New Roman" w:hAnsi="Times New Roman" w:cs="Times New Roman"/>
          </w:rPr>
          <w:fldChar w:fldCharType="begin"/>
        </w:r>
        <w:r w:rsidRPr="00DB6B44">
          <w:rPr>
            <w:rStyle w:val="PageNumber"/>
            <w:rFonts w:ascii="Times New Roman" w:hAnsi="Times New Roman" w:cs="Times New Roman"/>
          </w:rPr>
          <w:instrText xml:space="preserve"> PAGE </w:instrText>
        </w:r>
        <w:r w:rsidRPr="00DB6B44">
          <w:rPr>
            <w:rStyle w:val="PageNumber"/>
            <w:rFonts w:ascii="Times New Roman" w:hAnsi="Times New Roman" w:cs="Times New Roman"/>
          </w:rPr>
          <w:fldChar w:fldCharType="separate"/>
        </w:r>
        <w:r w:rsidRPr="00DB6B44">
          <w:rPr>
            <w:rStyle w:val="PageNumber"/>
            <w:rFonts w:ascii="Times New Roman" w:hAnsi="Times New Roman" w:cs="Times New Roman"/>
            <w:noProof/>
          </w:rPr>
          <w:t>42</w:t>
        </w:r>
        <w:r w:rsidRPr="00DB6B44">
          <w:rPr>
            <w:rStyle w:val="PageNumber"/>
            <w:rFonts w:ascii="Times New Roman" w:hAnsi="Times New Roman" w:cs="Times New Roman"/>
          </w:rPr>
          <w:fldChar w:fldCharType="end"/>
        </w:r>
      </w:p>
    </w:sdtContent>
  </w:sdt>
  <w:p w14:paraId="56944D7B" w14:textId="77777777" w:rsidR="0092433F" w:rsidRPr="00DB6B44" w:rsidRDefault="0092433F" w:rsidP="00EB098C">
    <w:pPr>
      <w:pStyle w:val="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529E" w14:textId="77777777" w:rsidR="0092433F" w:rsidRDefault="0092433F" w:rsidP="00EB09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8E24D" w14:textId="77777777" w:rsidR="00790C4E" w:rsidRDefault="00790C4E" w:rsidP="00D8729E">
      <w:pPr>
        <w:spacing w:after="0"/>
      </w:pPr>
      <w:r>
        <w:separator/>
      </w:r>
    </w:p>
  </w:footnote>
  <w:footnote w:type="continuationSeparator" w:id="0">
    <w:p w14:paraId="2C946B5A" w14:textId="77777777" w:rsidR="00790C4E" w:rsidRDefault="00790C4E" w:rsidP="00D8729E">
      <w:pPr>
        <w:spacing w:after="0"/>
      </w:pPr>
      <w:r>
        <w:continuationSeparator/>
      </w:r>
    </w:p>
  </w:footnote>
  <w:footnote w:type="continuationNotice" w:id="1">
    <w:p w14:paraId="43F24678" w14:textId="77777777" w:rsidR="00790C4E" w:rsidRDefault="00790C4E">
      <w:pPr>
        <w:spacing w:after="0"/>
      </w:pPr>
    </w:p>
  </w:footnote>
  <w:footnote w:id="2">
    <w:p w14:paraId="250E67DE" w14:textId="69470950" w:rsidR="00304CA2" w:rsidRDefault="00304CA2">
      <w:pPr>
        <w:pStyle w:val="FootnoteText"/>
      </w:pPr>
      <w:r>
        <w:rPr>
          <w:rStyle w:val="FootnoteReference"/>
        </w:rPr>
        <w:footnoteRef/>
      </w:r>
      <w:r>
        <w:t xml:space="preserve"> </w:t>
      </w:r>
      <w:r w:rsidR="00A06D53" w:rsidRPr="00F0420F">
        <w:t xml:space="preserve">The term ‘elder abuse’ has been predominantly used as a broad term to describe the abuse of older people. However, this Paper prefers the term ‘abuse of older people’ or ‘abuse of older Tasmanians’ to ensure that it refers to abuse of older people as defined by age, rather than using the term ‘elder’. This recognises that ‘in Aboriginal and Torres Strait Islander culture, </w:t>
      </w:r>
      <w:r w:rsidR="00A06D53" w:rsidRPr="006C4062">
        <w:t>the term “Elder” refers to appointed community representatives with cultural and other responsibilities. An Aboriginal and Torres Strait</w:t>
      </w:r>
      <w:r w:rsidR="00A06D53" w:rsidRPr="00F0420F">
        <w:t xml:space="preserve"> Islander person is not necessarily an older person’</w:t>
      </w:r>
      <w:r w:rsidR="00A06D53">
        <w:t xml:space="preserve">: </w:t>
      </w:r>
      <w:r w:rsidR="008A5070">
        <w:t xml:space="preserve">Council of Attorneys-General, </w:t>
      </w:r>
      <w:r w:rsidR="008A5070">
        <w:rPr>
          <w:i/>
          <w:iCs/>
        </w:rPr>
        <w:t xml:space="preserve">National Plan to Respond to </w:t>
      </w:r>
      <w:r w:rsidR="00746603">
        <w:rPr>
          <w:i/>
          <w:iCs/>
        </w:rPr>
        <w:t>the Abuse of Older Australians (Elder Abuse) 2019–2023</w:t>
      </w:r>
      <w:r w:rsidR="00746603">
        <w:t xml:space="preserve"> (</w:t>
      </w:r>
      <w:r w:rsidR="00940557">
        <w:t>8 July 2019) &lt;</w:t>
      </w:r>
      <w:hyperlink r:id="rId1" w:history="1">
        <w:r w:rsidR="001A75E5" w:rsidRPr="00383BA9">
          <w:rPr>
            <w:rStyle w:val="Hyperlink"/>
          </w:rPr>
          <w:t>https://www.ag.gov.au/rights-and-protections/publications/national-plan-respond-abuse-older-australians-elder-abuse-2019-2023</w:t>
        </w:r>
      </w:hyperlink>
      <w:r w:rsidR="00940557">
        <w:t>&gt;</w:t>
      </w:r>
      <w:r w:rsidR="00262EAB">
        <w:t xml:space="preserve"> (‘Council of Attorneys-General, </w:t>
      </w:r>
      <w:r w:rsidR="00262EAB" w:rsidRPr="00262EAB">
        <w:rPr>
          <w:i/>
          <w:iCs/>
        </w:rPr>
        <w:t>National Plan 2019–2023</w:t>
      </w:r>
      <w:r w:rsidR="00262EAB">
        <w:t>’)</w:t>
      </w:r>
      <w:r w:rsidR="00D378B4">
        <w:t xml:space="preserve"> 2</w:t>
      </w:r>
      <w:r w:rsidR="001E55AD">
        <w:t>.</w:t>
      </w:r>
    </w:p>
  </w:footnote>
  <w:footnote w:id="3">
    <w:p w14:paraId="023D2D1A" w14:textId="7443ECF0" w:rsidR="001E55AD" w:rsidRDefault="001E55AD">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w:t>
      </w:r>
      <w:r w:rsidRPr="003C4B61">
        <w:t xml:space="preserve">. </w:t>
      </w:r>
      <w:r>
        <w:t xml:space="preserve">Recommendations </w:t>
      </w:r>
      <w:r w:rsidRPr="006C4062">
        <w:t>included enactment of adult protection legislation, reform of guardianship, power of attorney and related laws, reviewing criminal laws, mandatory reporting requirements, community awareness campaigns, expansion of the role of helplines or a public advocate role including the power to investigate suspected abuse cases, and training service providers in detecting and responding to abuse of older Tasmanians</w:t>
      </w:r>
      <w:r>
        <w:t>.</w:t>
      </w:r>
    </w:p>
  </w:footnote>
  <w:footnote w:id="4">
    <w:p w14:paraId="50E3D2A5" w14:textId="1AA114F7" w:rsidR="001E55AD" w:rsidRDefault="001E55AD">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 </w:t>
      </w:r>
      <w:r w:rsidRPr="003C4B61">
        <w:t>42 [194]</w:t>
      </w:r>
      <w:r>
        <w:t>.</w:t>
      </w:r>
    </w:p>
  </w:footnote>
  <w:footnote w:id="5">
    <w:p w14:paraId="5ED72344" w14:textId="6542227B" w:rsidR="006A2D68" w:rsidRPr="003C4B61" w:rsidRDefault="006A2D68" w:rsidP="006D671B">
      <w:pPr>
        <w:pStyle w:val="FootnoteText"/>
      </w:pPr>
      <w:r w:rsidRPr="003C4B61">
        <w:rPr>
          <w:rStyle w:val="FootnoteReference"/>
          <w:rFonts w:cs="Times New Roman"/>
          <w:sz w:val="18"/>
          <w:szCs w:val="18"/>
        </w:rPr>
        <w:footnoteRef/>
      </w:r>
      <w:r w:rsidR="00291D5F">
        <w:t xml:space="preserve"> </w:t>
      </w:r>
      <w:r w:rsidRPr="002E0766">
        <w:t xml:space="preserve">Symposium </w:t>
      </w:r>
      <w:r w:rsidR="00CA23C0" w:rsidRPr="002E0766">
        <w:t>on Elder Abuse and Neglect</w:t>
      </w:r>
      <w:r w:rsidR="002E0766">
        <w:t xml:space="preserve">, </w:t>
      </w:r>
      <w:r w:rsidR="00291D5F" w:rsidRPr="002E0766">
        <w:rPr>
          <w:i/>
          <w:iCs/>
        </w:rPr>
        <w:t>Report and Recommendations</w:t>
      </w:r>
      <w:r w:rsidR="002E0766">
        <w:t xml:space="preserve"> (</w:t>
      </w:r>
      <w:r w:rsidR="00291D5F">
        <w:t xml:space="preserve">15 November 2017) </w:t>
      </w:r>
      <w:r w:rsidR="002E0766">
        <w:t>(Hosted by Equal Opportunity Tasmania</w:t>
      </w:r>
      <w:r w:rsidR="00DA53D8">
        <w:t xml:space="preserve"> (</w:t>
      </w:r>
      <w:r w:rsidR="00BC60E1">
        <w:t>from</w:t>
      </w:r>
      <w:r w:rsidR="00DA53D8">
        <w:t xml:space="preserve"> September 2</w:t>
      </w:r>
      <w:r w:rsidR="004F6B30">
        <w:t xml:space="preserve">024, Office of the </w:t>
      </w:r>
      <w:r w:rsidR="004F6B30" w:rsidRPr="004F6B30">
        <w:t>Anti-Discrimination</w:t>
      </w:r>
      <w:r w:rsidR="004F6B30">
        <w:t xml:space="preserve"> Commissioner</w:t>
      </w:r>
      <w:r w:rsidR="0074615F">
        <w:t>)</w:t>
      </w:r>
      <w:r w:rsidR="002E0766">
        <w:t>, Council on the Ageing (COTA) Tasmania, University of Tasmania and Tasmania Law Reform Institute</w:t>
      </w:r>
      <w:r w:rsidR="00D562D7">
        <w:t xml:space="preserve">); </w:t>
      </w:r>
      <w:r w:rsidR="00E4757D" w:rsidRPr="00E4757D">
        <w:t xml:space="preserve">Suanne Lawrence, Susan Banks and Terese Henning, </w:t>
      </w:r>
      <w:r w:rsidR="00E4757D" w:rsidRPr="00E4757D">
        <w:rPr>
          <w:i/>
          <w:iCs/>
        </w:rPr>
        <w:t>Service Driven Responses to Preventing and Responding to Elder Abuse in Tasmania (SAPEA): Summary of Factors and Responses from SAPEA_South and SAPEA_North Reports</w:t>
      </w:r>
      <w:r w:rsidR="00E4757D" w:rsidRPr="00E4757D">
        <w:t xml:space="preserve"> (University of Tasmania, Tasmanian Government, 2021) (‘</w:t>
      </w:r>
      <w:r w:rsidR="00E4757D" w:rsidRPr="00E4757D">
        <w:rPr>
          <w:i/>
          <w:iCs/>
        </w:rPr>
        <w:t>SAPEA: Summary</w:t>
      </w:r>
      <w:r w:rsidR="00E4757D" w:rsidRPr="00E4757D">
        <w:t>’)</w:t>
      </w:r>
      <w:r w:rsidR="00E4757D">
        <w:t xml:space="preserve">; </w:t>
      </w:r>
      <w:r w:rsidR="00BA52B8" w:rsidRPr="00BA52B8">
        <w:t xml:space="preserve">Suanne Lawrence, Susan Banks, Megwyn Mosenthal and Terese Henning, </w:t>
      </w:r>
      <w:r w:rsidR="00BA52B8" w:rsidRPr="00BA52B8">
        <w:rPr>
          <w:i/>
          <w:iCs/>
        </w:rPr>
        <w:t>Service Driven Responses to Preventing and Responding to Elder Abuse in Northern Tasmania (SAPEA_North)</w:t>
      </w:r>
      <w:r w:rsidR="00BA52B8" w:rsidRPr="00BA52B8">
        <w:t xml:space="preserve"> (University of Tasmania, Tasmanian Government, 2021) (‘</w:t>
      </w:r>
      <w:r w:rsidR="00BA52B8" w:rsidRPr="00C06F38">
        <w:rPr>
          <w:i/>
          <w:iCs/>
        </w:rPr>
        <w:t>SAPEA_North</w:t>
      </w:r>
      <w:r w:rsidR="00BA52B8" w:rsidRPr="00BA52B8">
        <w:t>’)</w:t>
      </w:r>
      <w:r w:rsidR="00BA52B8">
        <w:t xml:space="preserve"> </w:t>
      </w:r>
      <w:r w:rsidRPr="003C4B61">
        <w:t xml:space="preserve">95–6; </w:t>
      </w:r>
      <w:r w:rsidR="00C06F38" w:rsidRPr="00C06F38">
        <w:t>Suanne Lawrence, Susan Banks, Megwyn Mosenthal and Terese Henning, Service Driven Responses to Preventing and Responding to Elder Abuse in Southern Tasmania (SAPEA_South) (University of Tasmania, Tasmanian Government, 2021) (</w:t>
      </w:r>
      <w:r w:rsidR="00C06F38" w:rsidRPr="00C06F38">
        <w:rPr>
          <w:i/>
          <w:iCs/>
        </w:rPr>
        <w:t>SAPEA_South</w:t>
      </w:r>
      <w:r w:rsidR="00C06F38" w:rsidRPr="00C06F38">
        <w:t>’)</w:t>
      </w:r>
      <w:r w:rsidRPr="003C4B61">
        <w:t xml:space="preserve"> 49</w:t>
      </w:r>
      <w:r w:rsidR="00C06F38">
        <w:t>–</w:t>
      </w:r>
      <w:r w:rsidRPr="003C4B61">
        <w:t>50.</w:t>
      </w:r>
    </w:p>
  </w:footnote>
  <w:footnote w:id="6">
    <w:p w14:paraId="169162BE" w14:textId="01688908" w:rsidR="000D25CE" w:rsidRDefault="000D25CE">
      <w:pPr>
        <w:pStyle w:val="FootnoteText"/>
      </w:pPr>
      <w:r>
        <w:rPr>
          <w:rStyle w:val="FootnoteReference"/>
        </w:rPr>
        <w:footnoteRef/>
      </w:r>
      <w:r>
        <w:t xml:space="preserve"> See [1.2.1].</w:t>
      </w:r>
    </w:p>
  </w:footnote>
  <w:footnote w:id="7">
    <w:p w14:paraId="614CF042" w14:textId="6FD56D4E" w:rsidR="000D25CE" w:rsidRDefault="000D25CE">
      <w:pPr>
        <w:pStyle w:val="FootnoteText"/>
      </w:pPr>
      <w:r>
        <w:rPr>
          <w:rStyle w:val="FootnoteReference"/>
        </w:rPr>
        <w:footnoteRef/>
      </w:r>
      <w:r>
        <w:t xml:space="preserve"> </w:t>
      </w:r>
      <w:r w:rsidR="00335450" w:rsidRPr="00335450">
        <w:t xml:space="preserve">Australian Law Reform Commission (‘ALRC’), </w:t>
      </w:r>
      <w:r w:rsidR="00335450" w:rsidRPr="003210B3">
        <w:rPr>
          <w:i/>
          <w:iCs/>
        </w:rPr>
        <w:t>Elder Abuse—A National Legal Response</w:t>
      </w:r>
      <w:r w:rsidR="00335450" w:rsidRPr="00335450">
        <w:t xml:space="preserve"> (Final Report No 131, May 2017) </w:t>
      </w:r>
      <w:r w:rsidR="003210B3">
        <w:t xml:space="preserve">(‘ALRC, </w:t>
      </w:r>
      <w:r w:rsidR="003210B3" w:rsidRPr="003210B3">
        <w:rPr>
          <w:i/>
          <w:iCs/>
        </w:rPr>
        <w:t>Elder Abuse</w:t>
      </w:r>
      <w:r w:rsidR="003210B3">
        <w:t xml:space="preserve">’) </w:t>
      </w:r>
      <w:r w:rsidRPr="000D25CE">
        <w:t xml:space="preserve">[2.3]. See also </w:t>
      </w:r>
      <w:r w:rsidR="00BA168C" w:rsidRPr="00A1596B">
        <w:rPr>
          <w:i/>
          <w:iCs/>
        </w:rPr>
        <w:t xml:space="preserve">Human Rights Council, </w:t>
      </w:r>
      <w:r w:rsidR="00F904ED" w:rsidRPr="00A1596B">
        <w:rPr>
          <w:i/>
          <w:iCs/>
        </w:rPr>
        <w:t>Report of the Independent Expert on the Enjoyment of all Human Rights by Older Persons, Claudia Mahler</w:t>
      </w:r>
      <w:r w:rsidR="00A1596B">
        <w:t xml:space="preserve">, </w:t>
      </w:r>
      <w:r w:rsidR="00AE2B60">
        <w:t>UN GA,</w:t>
      </w:r>
      <w:r w:rsidR="00C976CA">
        <w:t xml:space="preserve"> 48</w:t>
      </w:r>
      <w:r w:rsidR="00C976CA" w:rsidRPr="00C976CA">
        <w:rPr>
          <w:vertAlign w:val="superscript"/>
        </w:rPr>
        <w:t>th</w:t>
      </w:r>
      <w:r w:rsidR="00C976CA">
        <w:t xml:space="preserve"> session, Agenda Item 3, </w:t>
      </w:r>
      <w:r w:rsidR="00A1596B">
        <w:t>UN Doc A/HRC/48/53</w:t>
      </w:r>
      <w:r w:rsidR="005147A4">
        <w:t xml:space="preserve"> (4 August 2021)</w:t>
      </w:r>
      <w:r w:rsidR="00D06010">
        <w:t xml:space="preserve"> </w:t>
      </w:r>
      <w:r w:rsidR="008B4FE2">
        <w:t>&lt;</w:t>
      </w:r>
      <w:hyperlink r:id="rId2" w:history="1">
        <w:r w:rsidR="008B4FE2" w:rsidRPr="00383BA9">
          <w:rPr>
            <w:rStyle w:val="Hyperlink"/>
          </w:rPr>
          <w:t>https://docs.un.org/en/A/HRC/48/53</w:t>
        </w:r>
      </w:hyperlink>
      <w:r w:rsidR="008B4FE2">
        <w:t xml:space="preserve">&gt; </w:t>
      </w:r>
      <w:r w:rsidRPr="000D25CE">
        <w:t>8.</w:t>
      </w:r>
    </w:p>
  </w:footnote>
  <w:footnote w:id="8">
    <w:p w14:paraId="03BF8760" w14:textId="4E9E3F7F" w:rsidR="00A565E2" w:rsidRPr="00E60737" w:rsidRDefault="00A565E2">
      <w:pPr>
        <w:pStyle w:val="FootnoteText"/>
      </w:pPr>
      <w:r>
        <w:rPr>
          <w:rStyle w:val="FootnoteReference"/>
        </w:rPr>
        <w:footnoteRef/>
      </w:r>
      <w:r>
        <w:t xml:space="preserve"> </w:t>
      </w:r>
      <w:r w:rsidRPr="00A565E2">
        <w:t xml:space="preserve">Australian Institute of Health and Welfare (‘AIHW’), </w:t>
      </w:r>
      <w:r w:rsidRPr="00857818">
        <w:rPr>
          <w:i/>
          <w:iCs/>
        </w:rPr>
        <w:t>Older Australians</w:t>
      </w:r>
      <w:r w:rsidRPr="00A565E2">
        <w:t xml:space="preserve"> (Web Report, 2 July 2024) &lt;</w:t>
      </w:r>
      <w:hyperlink r:id="rId3" w:history="1">
        <w:r w:rsidRPr="00383BA9">
          <w:rPr>
            <w:rStyle w:val="Hyperlink"/>
          </w:rPr>
          <w:t>https://www.aihw.gov.au/reports/older-people/older-australians/contents/summary</w:t>
        </w:r>
      </w:hyperlink>
      <w:r w:rsidRPr="00A565E2">
        <w:t>&gt;</w:t>
      </w:r>
      <w:r w:rsidR="00E60737">
        <w:t xml:space="preserve"> (‘AIHW, </w:t>
      </w:r>
      <w:r w:rsidR="00E60737" w:rsidRPr="00E60737">
        <w:rPr>
          <w:i/>
          <w:iCs/>
        </w:rPr>
        <w:t>Older Australians</w:t>
      </w:r>
      <w:r w:rsidR="00E60737">
        <w:t>’).</w:t>
      </w:r>
      <w:r w:rsidR="00467E6B">
        <w:t xml:space="preserve"> In this Research Paper,</w:t>
      </w:r>
      <w:r w:rsidR="00EB7613">
        <w:t xml:space="preserve"> </w:t>
      </w:r>
      <w:r w:rsidR="001C5963">
        <w:t>‘</w:t>
      </w:r>
      <w:r w:rsidR="00EB7613">
        <w:t>Aboriginal people</w:t>
      </w:r>
      <w:r w:rsidR="00617B74">
        <w:t>’</w:t>
      </w:r>
      <w:r w:rsidR="00EB7613">
        <w:t xml:space="preserve"> is used </w:t>
      </w:r>
      <w:r w:rsidR="00C92D61">
        <w:t xml:space="preserve">when referring to First Nations </w:t>
      </w:r>
      <w:r w:rsidR="000B509A">
        <w:t xml:space="preserve">people in Tasmania and </w:t>
      </w:r>
      <w:r w:rsidR="00EB7613">
        <w:t xml:space="preserve">the Tasmanian </w:t>
      </w:r>
      <w:r w:rsidR="000B509A">
        <w:t xml:space="preserve">policy </w:t>
      </w:r>
      <w:r w:rsidR="00EB7613">
        <w:t xml:space="preserve">context, </w:t>
      </w:r>
      <w:r w:rsidR="000B509A">
        <w:t xml:space="preserve">and </w:t>
      </w:r>
      <w:r w:rsidR="00EB7613">
        <w:t xml:space="preserve">‘Aboriginal and Torres Strait Islander people’ is used </w:t>
      </w:r>
      <w:r w:rsidR="00312675">
        <w:t xml:space="preserve">when referring to First Nations people of Australia </w:t>
      </w:r>
      <w:r w:rsidR="00814DD5">
        <w:t xml:space="preserve">generally </w:t>
      </w:r>
      <w:r w:rsidR="00312675">
        <w:t xml:space="preserve">and in the broader national policy context. </w:t>
      </w:r>
    </w:p>
  </w:footnote>
  <w:footnote w:id="9">
    <w:p w14:paraId="13615A86" w14:textId="35FF55EC" w:rsidR="00A565E2" w:rsidRDefault="00A565E2">
      <w:pPr>
        <w:pStyle w:val="FootnoteText"/>
      </w:pPr>
      <w:r>
        <w:rPr>
          <w:rStyle w:val="FootnoteReference"/>
        </w:rPr>
        <w:footnoteRef/>
      </w:r>
      <w:r>
        <w:t xml:space="preserve"> </w:t>
      </w:r>
      <w:r w:rsidRPr="00A565E2">
        <w:t xml:space="preserve">See </w:t>
      </w:r>
      <w:r w:rsidR="00934084">
        <w:t>[3.4.3]–[3.4.4]</w:t>
      </w:r>
      <w:r w:rsidR="005D5B89">
        <w:t xml:space="preserve"> and [3.4.10]–[3.4.13].</w:t>
      </w:r>
    </w:p>
  </w:footnote>
  <w:footnote w:id="10">
    <w:p w14:paraId="4E7DDA3D" w14:textId="3034C38A" w:rsidR="005D5B89" w:rsidRDefault="005D5B89">
      <w:pPr>
        <w:pStyle w:val="FootnoteText"/>
      </w:pPr>
      <w:r>
        <w:rPr>
          <w:rStyle w:val="FootnoteReference"/>
        </w:rPr>
        <w:footnoteRef/>
      </w:r>
      <w:r>
        <w:t xml:space="preserve"> </w:t>
      </w:r>
      <w:r w:rsidRPr="005D5B89">
        <w:t>See also [3.4] regarding Tasmanian services part of the specialist approach to addressing and responding to the abuse of ‘older people’.</w:t>
      </w:r>
    </w:p>
  </w:footnote>
  <w:footnote w:id="11">
    <w:p w14:paraId="3C60565A" w14:textId="17238351" w:rsidR="004E6BA3" w:rsidRDefault="004E6BA3" w:rsidP="004E6BA3">
      <w:pPr>
        <w:pStyle w:val="FootnoteText"/>
      </w:pPr>
      <w:r>
        <w:rPr>
          <w:rStyle w:val="FootnoteReference"/>
        </w:rPr>
        <w:footnoteRef/>
      </w:r>
      <w:r>
        <w:t xml:space="preserve"> </w:t>
      </w:r>
      <w:r w:rsidR="00005178">
        <w:t xml:space="preserve">‘What is Safeguarding?’, </w:t>
      </w:r>
      <w:r w:rsidR="000E3C89" w:rsidRPr="00005178">
        <w:rPr>
          <w:i/>
          <w:iCs/>
        </w:rPr>
        <w:t>Social Care Institute for Excellence</w:t>
      </w:r>
      <w:r w:rsidR="00424710">
        <w:t xml:space="preserve"> (Web Page</w:t>
      </w:r>
      <w:r w:rsidR="0063481F">
        <w:t>)</w:t>
      </w:r>
      <w:r w:rsidR="000A2A00">
        <w:t xml:space="preserve">, </w:t>
      </w:r>
      <w:r w:rsidR="003C5527">
        <w:t>&lt;</w:t>
      </w:r>
      <w:hyperlink r:id="rId4" w:history="1">
        <w:r w:rsidR="008543AE" w:rsidRPr="004D6DCB">
          <w:rPr>
            <w:rStyle w:val="Hyperlink"/>
          </w:rPr>
          <w:t>https://www.scie.org.uk/safeguarding/adults/introduction/what-is/</w:t>
        </w:r>
      </w:hyperlink>
      <w:r w:rsidR="003C5527">
        <w:t>&gt;</w:t>
      </w:r>
      <w:r w:rsidR="00FD51C4">
        <w:t>,</w:t>
      </w:r>
      <w:r w:rsidR="003C5527">
        <w:t xml:space="preserve"> referring to statutory guidance under the </w:t>
      </w:r>
      <w:r w:rsidR="003C5527" w:rsidRPr="003C5527">
        <w:rPr>
          <w:i/>
          <w:iCs/>
        </w:rPr>
        <w:t>Care Act 2014</w:t>
      </w:r>
      <w:r w:rsidR="003C5527">
        <w:t xml:space="preserve"> (</w:t>
      </w:r>
      <w:r w:rsidR="003C5527" w:rsidRPr="004E6BA3">
        <w:t>U</w:t>
      </w:r>
      <w:r w:rsidR="003C5527">
        <w:t>K)</w:t>
      </w:r>
      <w:r w:rsidR="00C36421">
        <w:t>.</w:t>
      </w:r>
    </w:p>
  </w:footnote>
  <w:footnote w:id="12">
    <w:p w14:paraId="1185609F" w14:textId="2D70071B" w:rsidR="00DD1979" w:rsidRDefault="00DD1979" w:rsidP="00DD1979">
      <w:pPr>
        <w:pStyle w:val="FootnoteText"/>
      </w:pPr>
      <w:r>
        <w:rPr>
          <w:rStyle w:val="FootnoteReference"/>
        </w:rPr>
        <w:footnoteRef/>
      </w:r>
      <w:r>
        <w:t xml:space="preserve"> </w:t>
      </w:r>
      <w:r w:rsidR="00E936B8" w:rsidRPr="00E936B8">
        <w:t xml:space="preserve">South Australian Law Reform Institute ('SALRI'), </w:t>
      </w:r>
      <w:r w:rsidR="00E936B8" w:rsidRPr="00E936B8">
        <w:rPr>
          <w:i/>
          <w:iCs/>
        </w:rPr>
        <w:t>‘Autonomy and Safeguarding are not Mutually Inconsistent': A Review of the Operation of the Ageing and Adult Safeguarding Act 1995 (SA)</w:t>
      </w:r>
      <w:r w:rsidR="00E936B8" w:rsidRPr="00E936B8">
        <w:t xml:space="preserve"> (Report No 17, September 2022)</w:t>
      </w:r>
      <w:r w:rsidR="00C95B13">
        <w:t xml:space="preserve"> </w:t>
      </w:r>
      <w:r w:rsidR="007A3116">
        <w:t>x</w:t>
      </w:r>
      <w:r w:rsidR="00C95B13">
        <w:t>x</w:t>
      </w:r>
      <w:r w:rsidR="007A3116">
        <w:t>ii–xxiii.</w:t>
      </w:r>
    </w:p>
  </w:footnote>
  <w:footnote w:id="13">
    <w:p w14:paraId="6A9E8EC4" w14:textId="7EDF763E" w:rsidR="008543AE" w:rsidRDefault="008543AE" w:rsidP="008543AE">
      <w:pPr>
        <w:pStyle w:val="FootnoteText"/>
      </w:pPr>
      <w:r>
        <w:rPr>
          <w:rStyle w:val="FootnoteReference"/>
        </w:rPr>
        <w:footnoteRef/>
      </w:r>
      <w:r>
        <w:t xml:space="preserve"> </w:t>
      </w:r>
      <w:r w:rsidR="00D57D20" w:rsidRPr="00D57D20">
        <w:t xml:space="preserve">Joint Committee on Matters Relating to Elder Abuse (Parliament of South Australia), </w:t>
      </w:r>
      <w:r w:rsidR="00D57D20" w:rsidRPr="00D57D20">
        <w:rPr>
          <w:i/>
          <w:iCs/>
        </w:rPr>
        <w:t>Final Report of the Joint Committee on Matters Relating to Elder Abuse</w:t>
      </w:r>
      <w:r w:rsidR="00D57D20" w:rsidRPr="00D57D20">
        <w:t xml:space="preserve"> (Report, October 2017)</w:t>
      </w:r>
      <w:r w:rsidRPr="003C4B61">
        <w:t xml:space="preserve"> 33, citing Wendy Lacey; </w:t>
      </w:r>
      <w:r w:rsidR="003210B3">
        <w:t xml:space="preserve">ALRC, </w:t>
      </w:r>
      <w:r w:rsidR="003210B3" w:rsidRPr="003210B3">
        <w:rPr>
          <w:i/>
          <w:iCs/>
        </w:rPr>
        <w:t>Elder Abuse</w:t>
      </w:r>
      <w:r w:rsidR="00D57D20" w:rsidRPr="00D57D20">
        <w:t xml:space="preserve"> (n 6)</w:t>
      </w:r>
      <w:r w:rsidRPr="003C4B61">
        <w:t xml:space="preserve"> 20: ‘autonomy </w:t>
      </w:r>
      <w:r w:rsidRPr="008543AE">
        <w:t>and</w:t>
      </w:r>
      <w:r w:rsidRPr="003C4B61">
        <w:t xml:space="preserve"> safeguarding are not mutually inconsistent, as safeguarding responses also act to support and promote the autonomy of older people’. See also </w:t>
      </w:r>
      <w:r w:rsidR="00D57D20">
        <w:t>SALRI (n 11).</w:t>
      </w:r>
    </w:p>
  </w:footnote>
  <w:footnote w:id="14">
    <w:p w14:paraId="23F7AF73" w14:textId="3B031557" w:rsidR="007A1419" w:rsidRDefault="007A1419">
      <w:pPr>
        <w:pStyle w:val="FootnoteText"/>
      </w:pPr>
      <w:r>
        <w:rPr>
          <w:rStyle w:val="FootnoteReference"/>
        </w:rPr>
        <w:footnoteRef/>
      </w:r>
      <w:r>
        <w:t xml:space="preserve"> </w:t>
      </w:r>
      <w:r w:rsidR="001E0DDA">
        <w:t xml:space="preserve">International Covenant on </w:t>
      </w:r>
      <w:r w:rsidR="00C2283D">
        <w:t>Economic, Social and Cultural Rights, opened for signature 16 December 19</w:t>
      </w:r>
      <w:r w:rsidR="001A2F60">
        <w:t>6</w:t>
      </w:r>
      <w:r w:rsidR="00C2283D">
        <w:t>6, 99</w:t>
      </w:r>
      <w:r w:rsidR="008156E0">
        <w:t xml:space="preserve">3 UNTS 3 (entered into force 3 January 1976). </w:t>
      </w:r>
    </w:p>
  </w:footnote>
  <w:footnote w:id="15">
    <w:p w14:paraId="1157ECAE" w14:textId="2328BF4A" w:rsidR="003947FB" w:rsidRDefault="003947FB">
      <w:pPr>
        <w:pStyle w:val="FootnoteText"/>
      </w:pPr>
      <w:r>
        <w:rPr>
          <w:rStyle w:val="FootnoteReference"/>
        </w:rPr>
        <w:footnoteRef/>
      </w:r>
      <w:r>
        <w:t xml:space="preserve"> </w:t>
      </w:r>
      <w:r w:rsidRPr="003947FB">
        <w:t>See [2.4.2]–[2.4.3].</w:t>
      </w:r>
    </w:p>
  </w:footnote>
  <w:footnote w:id="16">
    <w:p w14:paraId="673F2DA5" w14:textId="4C15A0BF" w:rsidR="00C04260" w:rsidRDefault="00C04260" w:rsidP="00C04260">
      <w:pPr>
        <w:pStyle w:val="FootnoteText"/>
      </w:pPr>
      <w:r>
        <w:rPr>
          <w:rStyle w:val="FootnoteReference"/>
        </w:rPr>
        <w:footnoteRef/>
      </w:r>
      <w:r w:rsidR="004E30E8">
        <w:t xml:space="preserve"> </w:t>
      </w:r>
      <w:r w:rsidR="00C253C0">
        <w:t xml:space="preserve">‘Financial Elder Abuse Project’, </w:t>
      </w:r>
      <w:r>
        <w:t>Australian Human Rights Commission</w:t>
      </w:r>
      <w:r w:rsidR="00E572FD">
        <w:t xml:space="preserve"> (Web Page) &lt;</w:t>
      </w:r>
      <w:hyperlink r:id="rId5" w:history="1">
        <w:r w:rsidR="00E572FD" w:rsidRPr="00383BA9">
          <w:rPr>
            <w:rStyle w:val="Hyperlink"/>
          </w:rPr>
          <w:t>https://humanrights.gov.au/financial-elder-abuse-project</w:t>
        </w:r>
      </w:hyperlink>
      <w:r w:rsidR="00E572FD">
        <w:t>&gt;</w:t>
      </w:r>
      <w:r>
        <w:t xml:space="preserve">. It is acknowledged that this is not the experience for </w:t>
      </w:r>
      <w:r w:rsidR="00224C9E">
        <w:t>everyone in Australia</w:t>
      </w:r>
      <w:r w:rsidR="00727F7B">
        <w:t>: see</w:t>
      </w:r>
      <w:r w:rsidR="000E19C0">
        <w:t>,</w:t>
      </w:r>
      <w:r w:rsidR="00727F7B">
        <w:t xml:space="preserve"> eg: Salvation Army, ‘Cost of Living’, </w:t>
      </w:r>
      <w:r w:rsidR="00727F7B" w:rsidRPr="00002F41">
        <w:rPr>
          <w:i/>
          <w:iCs/>
        </w:rPr>
        <w:t>Red Sheild Report</w:t>
      </w:r>
      <w:r w:rsidR="00002F41">
        <w:t xml:space="preserve"> (2025)</w:t>
      </w:r>
      <w:r w:rsidR="00727F7B">
        <w:t xml:space="preserve"> </w:t>
      </w:r>
      <w:r w:rsidR="00002F41">
        <w:t>&lt;</w:t>
      </w:r>
      <w:hyperlink r:id="rId6" w:history="1">
        <w:r w:rsidR="00002F41" w:rsidRPr="00383BA9">
          <w:rPr>
            <w:rStyle w:val="Hyperlink"/>
          </w:rPr>
          <w:t>https://www.salvationarmy.org.au/the-red-shield-report-2025/cost-of-living/</w:t>
        </w:r>
      </w:hyperlink>
      <w:r w:rsidR="00002F41">
        <w:t>&gt;</w:t>
      </w:r>
      <w:r w:rsidR="002961FE">
        <w:t xml:space="preserve">; </w:t>
      </w:r>
      <w:r w:rsidR="00CB7432">
        <w:t>National In</w:t>
      </w:r>
      <w:r w:rsidR="00587B98">
        <w:t xml:space="preserve">digenous Australians Agency (NIAA), </w:t>
      </w:r>
      <w:r w:rsidR="00587B98" w:rsidRPr="00EB7903">
        <w:rPr>
          <w:i/>
          <w:iCs/>
        </w:rPr>
        <w:t>Commonwealth Closing the Gap 2024 Annual Report and 2025 Implementation Plan</w:t>
      </w:r>
      <w:r w:rsidR="00587B98">
        <w:t xml:space="preserve"> (</w:t>
      </w:r>
      <w:r w:rsidR="00C900B3">
        <w:t>Commonwealth of Australia, 2025) &lt;</w:t>
      </w:r>
      <w:hyperlink r:id="rId7" w:history="1">
        <w:r w:rsidR="00C900B3" w:rsidRPr="00383BA9">
          <w:rPr>
            <w:rStyle w:val="Hyperlink"/>
          </w:rPr>
          <w:t>https://www.niaa.gov.au/resource-centre/commonwealth-closing-gap-2024-annual-report-and-2025-implementation-plan</w:t>
        </w:r>
      </w:hyperlink>
      <w:r w:rsidR="00C900B3">
        <w:t>&gt;</w:t>
      </w:r>
      <w:r w:rsidR="007A1419">
        <w:t>.</w:t>
      </w:r>
    </w:p>
  </w:footnote>
  <w:footnote w:id="17">
    <w:p w14:paraId="7DC6F073" w14:textId="6020FAB2" w:rsidR="00C04260" w:rsidRPr="006C54D3" w:rsidRDefault="00C04260" w:rsidP="00C04260">
      <w:pPr>
        <w:pStyle w:val="FootnoteText"/>
      </w:pPr>
      <w:r>
        <w:rPr>
          <w:rStyle w:val="FootnoteReference"/>
        </w:rPr>
        <w:footnoteRef/>
      </w:r>
      <w:r>
        <w:t xml:space="preserve"> </w:t>
      </w:r>
      <w:r w:rsidR="00EB7570">
        <w:t xml:space="preserve">Elisabeth Shaw, ‘It’s </w:t>
      </w:r>
      <w:r w:rsidR="00EB7903">
        <w:t>T</w:t>
      </w:r>
      <w:r w:rsidR="00EB7570">
        <w:t xml:space="preserve">ime </w:t>
      </w:r>
      <w:r w:rsidR="00EB7903">
        <w:t>W</w:t>
      </w:r>
      <w:r w:rsidR="00EB7570">
        <w:t xml:space="preserve">e </w:t>
      </w:r>
      <w:r w:rsidR="00EB7903">
        <w:t>R</w:t>
      </w:r>
      <w:r w:rsidR="00EB7570">
        <w:t xml:space="preserve">ecognised the </w:t>
      </w:r>
      <w:r w:rsidR="00EB7903">
        <w:t>D</w:t>
      </w:r>
      <w:r w:rsidR="00EB7570">
        <w:t xml:space="preserve">omestic </w:t>
      </w:r>
      <w:r w:rsidR="00EB7903">
        <w:t>V</w:t>
      </w:r>
      <w:r w:rsidR="00EB7570">
        <w:t xml:space="preserve">iolence </w:t>
      </w:r>
      <w:r w:rsidR="00EB7903">
        <w:t>C</w:t>
      </w:r>
      <w:r w:rsidR="00EB7570">
        <w:t xml:space="preserve">risis </w:t>
      </w:r>
      <w:r w:rsidR="00EB7903">
        <w:t>F</w:t>
      </w:r>
      <w:r w:rsidR="00EB7570">
        <w:t xml:space="preserve">acing </w:t>
      </w:r>
      <w:r w:rsidR="00EB7903">
        <w:t>W</w:t>
      </w:r>
      <w:r w:rsidR="00EB7570">
        <w:t xml:space="preserve">omen </w:t>
      </w:r>
      <w:r w:rsidR="00EB7903">
        <w:t>O</w:t>
      </w:r>
      <w:r w:rsidR="00EB7570">
        <w:t xml:space="preserve">ver 55’, </w:t>
      </w:r>
      <w:r w:rsidR="00EB7570" w:rsidRPr="009D518C">
        <w:rPr>
          <w:i/>
          <w:iCs/>
        </w:rPr>
        <w:t>Women</w:t>
      </w:r>
      <w:r w:rsidR="005B3CF9" w:rsidRPr="009D518C">
        <w:rPr>
          <w:i/>
          <w:iCs/>
        </w:rPr>
        <w:t>’s Agenda</w:t>
      </w:r>
      <w:r w:rsidR="005B3CF9">
        <w:t xml:space="preserve"> </w:t>
      </w:r>
      <w:r w:rsidR="00F02D61">
        <w:t>(</w:t>
      </w:r>
      <w:r w:rsidR="00EC056A">
        <w:t xml:space="preserve">online, </w:t>
      </w:r>
      <w:r w:rsidR="005B3CF9">
        <w:t>7 March 2025)</w:t>
      </w:r>
      <w:r w:rsidR="002E1881">
        <w:t xml:space="preserve"> &lt; </w:t>
      </w:r>
      <w:hyperlink r:id="rId8" w:anchor=":~:text=The%20latest%20data%20from%20the%20Australian%20Bureau%20of,all%20alleged%20domestic%20violence%20homicides%20for%20that%20year" w:history="1">
        <w:r w:rsidR="00FA3FBD" w:rsidRPr="00383BA9">
          <w:rPr>
            <w:rStyle w:val="Hyperlink"/>
          </w:rPr>
          <w:t>https://womensagenda.com.au/latest/its-time-we-recognised-the-domestic-violence-crisis-facing-women-over-55/#:~:text=The%20latest%20data%20from%20the%20Australian%20Bureau%20of,all%20alleged%20domestic%20violence%20homicides%20for%20that%20year</w:t>
        </w:r>
      </w:hyperlink>
      <w:r w:rsidR="00FA3FBD" w:rsidRPr="00FA3FBD">
        <w:t>.</w:t>
      </w:r>
      <w:r w:rsidR="00FA3FBD">
        <w:t xml:space="preserve">&gt;; </w:t>
      </w:r>
      <w:r w:rsidR="0017664B">
        <w:t xml:space="preserve">Kate Lyons, ‘Older </w:t>
      </w:r>
      <w:r w:rsidR="00EB7903">
        <w:t>W</w:t>
      </w:r>
      <w:r w:rsidR="0017664B">
        <w:t xml:space="preserve">omen </w:t>
      </w:r>
      <w:r w:rsidR="00EB7903">
        <w:t>A</w:t>
      </w:r>
      <w:r w:rsidR="0017664B">
        <w:t xml:space="preserve">llegedly </w:t>
      </w:r>
      <w:r w:rsidR="00EB7903">
        <w:t>K</w:t>
      </w:r>
      <w:r w:rsidR="0017664B">
        <w:t xml:space="preserve">illed by </w:t>
      </w:r>
      <w:r w:rsidR="00EB7903">
        <w:t>F</w:t>
      </w:r>
      <w:r w:rsidR="0017664B">
        <w:t xml:space="preserve">amily </w:t>
      </w:r>
      <w:r w:rsidR="00EB7903">
        <w:t>M</w:t>
      </w:r>
      <w:r w:rsidR="0017664B">
        <w:t xml:space="preserve">embers a </w:t>
      </w:r>
      <w:r w:rsidR="004E5C01">
        <w:t>“S</w:t>
      </w:r>
      <w:r w:rsidR="0017664B">
        <w:t xml:space="preserve">ilent </w:t>
      </w:r>
      <w:r w:rsidR="004E5C01">
        <w:t>C</w:t>
      </w:r>
      <w:r w:rsidR="0017664B">
        <w:t>risis</w:t>
      </w:r>
      <w:r w:rsidR="004E5C01">
        <w:t>”</w:t>
      </w:r>
      <w:r w:rsidR="0017664B">
        <w:t xml:space="preserve">, </w:t>
      </w:r>
      <w:r w:rsidR="004E5C01">
        <w:t>E</w:t>
      </w:r>
      <w:r w:rsidR="0017664B">
        <w:t xml:space="preserve">xperts </w:t>
      </w:r>
      <w:r w:rsidR="004E5C01">
        <w:t>S</w:t>
      </w:r>
      <w:r w:rsidR="0017664B">
        <w:t xml:space="preserve">ay’, </w:t>
      </w:r>
      <w:r w:rsidR="0017664B" w:rsidRPr="0017664B">
        <w:rPr>
          <w:i/>
          <w:iCs/>
        </w:rPr>
        <w:t>The Guardian</w:t>
      </w:r>
      <w:r w:rsidR="0017664B">
        <w:t xml:space="preserve"> (</w:t>
      </w:r>
      <w:r w:rsidR="00F02D61">
        <w:t xml:space="preserve">online, </w:t>
      </w:r>
      <w:r w:rsidR="0017664B">
        <w:t xml:space="preserve">27 January 2025) </w:t>
      </w:r>
      <w:r w:rsidR="00496CA8">
        <w:t>&lt;</w:t>
      </w:r>
      <w:hyperlink r:id="rId9" w:history="1">
        <w:r w:rsidR="00496CA8" w:rsidRPr="00383BA9">
          <w:rPr>
            <w:rStyle w:val="Hyperlink"/>
          </w:rPr>
          <w:t>https://www.theguardian.com/global/2025/jan/27/older-women-killed-by-family-members-a-silent-crisis-no-one-is-talking-about-experts-say-ntwnfb</w:t>
        </w:r>
      </w:hyperlink>
      <w:r w:rsidR="00496CA8">
        <w:t xml:space="preserve">&gt;; </w:t>
      </w:r>
      <w:r w:rsidR="009E3018">
        <w:t>Elder Abuse Action Australia (</w:t>
      </w:r>
      <w:r w:rsidR="00496CA8">
        <w:t>‘</w:t>
      </w:r>
      <w:r w:rsidR="009E3018">
        <w:t>EAAA</w:t>
      </w:r>
      <w:r w:rsidR="00496CA8">
        <w:t>’</w:t>
      </w:r>
      <w:r w:rsidR="009E3018">
        <w:t xml:space="preserve">), ‘Guardian </w:t>
      </w:r>
      <w:r w:rsidR="004E5C01">
        <w:t>A</w:t>
      </w:r>
      <w:r w:rsidR="009E3018">
        <w:t xml:space="preserve">rticle </w:t>
      </w:r>
      <w:r w:rsidR="004E5C01">
        <w:t>H</w:t>
      </w:r>
      <w:r w:rsidR="009E3018">
        <w:t xml:space="preserve">ighlights the </w:t>
      </w:r>
      <w:r w:rsidR="004E5C01">
        <w:t>D</w:t>
      </w:r>
      <w:r w:rsidR="009E3018">
        <w:t xml:space="preserve">ual </w:t>
      </w:r>
      <w:r w:rsidR="004E5C01">
        <w:t>R</w:t>
      </w:r>
      <w:r w:rsidR="009E3018">
        <w:t xml:space="preserve">isk of </w:t>
      </w:r>
      <w:r w:rsidR="004E5C01">
        <w:t>D</w:t>
      </w:r>
      <w:r w:rsidR="009E3018">
        <w:t xml:space="preserve">omestic </w:t>
      </w:r>
      <w:r w:rsidR="001F5C9F">
        <w:t xml:space="preserve">Violence </w:t>
      </w:r>
      <w:r w:rsidR="009E3018">
        <w:t xml:space="preserve">for </w:t>
      </w:r>
      <w:r w:rsidR="001F5C9F">
        <w:t>O</w:t>
      </w:r>
      <w:r w:rsidR="009E3018">
        <w:t xml:space="preserve">lder </w:t>
      </w:r>
      <w:r w:rsidR="001F5C9F">
        <w:t>W</w:t>
      </w:r>
      <w:r w:rsidR="009E3018">
        <w:t>omen</w:t>
      </w:r>
      <w:r w:rsidR="002C6D92">
        <w:t xml:space="preserve">’ (Media Release, 12 February 2025) </w:t>
      </w:r>
      <w:r w:rsidR="001F5C9F">
        <w:t>&lt;</w:t>
      </w:r>
      <w:hyperlink r:id="rId10" w:history="1">
        <w:r w:rsidR="00C20EE8" w:rsidRPr="00383BA9">
          <w:rPr>
            <w:rStyle w:val="Hyperlink"/>
          </w:rPr>
          <w:t>https://eaaa.org.au/wp-content/uploads/2025/02/Media-release-women-homelessness-Guardian-article-12022055.pdf</w:t>
        </w:r>
      </w:hyperlink>
      <w:r w:rsidR="00C20EE8">
        <w:t>&gt;.</w:t>
      </w:r>
    </w:p>
  </w:footnote>
  <w:footnote w:id="18">
    <w:p w14:paraId="54035FFD" w14:textId="74337100" w:rsidR="00C04260" w:rsidRPr="00E178A9" w:rsidRDefault="00C04260" w:rsidP="00C04260">
      <w:pPr>
        <w:pStyle w:val="FootnoteText"/>
      </w:pPr>
      <w:r w:rsidRPr="006C54D3">
        <w:rPr>
          <w:rStyle w:val="FootnoteReference"/>
        </w:rPr>
        <w:footnoteRef/>
      </w:r>
      <w:r w:rsidRPr="006C54D3">
        <w:t xml:space="preserve"> </w:t>
      </w:r>
      <w:r w:rsidR="00B42939">
        <w:t>Australian Institute of Health and Welfare</w:t>
      </w:r>
      <w:r w:rsidR="00AA04F2">
        <w:t xml:space="preserve"> (</w:t>
      </w:r>
      <w:r w:rsidR="00C20EE8">
        <w:t>‘</w:t>
      </w:r>
      <w:r w:rsidR="00AA04F2">
        <w:t>AIHW</w:t>
      </w:r>
      <w:r w:rsidR="00C20EE8">
        <w:t>’</w:t>
      </w:r>
      <w:r w:rsidR="00AA04F2">
        <w:t xml:space="preserve">), ‘Older </w:t>
      </w:r>
      <w:r w:rsidR="00541D22">
        <w:t>P</w:t>
      </w:r>
      <w:r w:rsidR="00AA04F2">
        <w:t>eople’</w:t>
      </w:r>
      <w:r w:rsidR="00B7014F">
        <w:t>,</w:t>
      </w:r>
      <w:r w:rsidR="00AA04F2">
        <w:t xml:space="preserve"> </w:t>
      </w:r>
      <w:r w:rsidR="00B7014F" w:rsidRPr="00AA04F2">
        <w:rPr>
          <w:i/>
          <w:iCs/>
        </w:rPr>
        <w:t xml:space="preserve">Family, </w:t>
      </w:r>
      <w:r w:rsidR="00193DD4">
        <w:rPr>
          <w:i/>
          <w:iCs/>
        </w:rPr>
        <w:t>D</w:t>
      </w:r>
      <w:r w:rsidR="00B7014F" w:rsidRPr="00AA04F2">
        <w:rPr>
          <w:i/>
          <w:iCs/>
        </w:rPr>
        <w:t xml:space="preserve">omestic and </w:t>
      </w:r>
      <w:r w:rsidR="00193DD4">
        <w:rPr>
          <w:i/>
          <w:iCs/>
        </w:rPr>
        <w:t>S</w:t>
      </w:r>
      <w:r w:rsidR="00B7014F" w:rsidRPr="00AA04F2">
        <w:rPr>
          <w:i/>
          <w:iCs/>
        </w:rPr>
        <w:t xml:space="preserve">exual </w:t>
      </w:r>
      <w:r w:rsidR="00193DD4">
        <w:rPr>
          <w:i/>
          <w:iCs/>
        </w:rPr>
        <w:t>V</w:t>
      </w:r>
      <w:r w:rsidR="00B7014F" w:rsidRPr="00AA04F2">
        <w:rPr>
          <w:i/>
          <w:iCs/>
        </w:rPr>
        <w:t>iolence</w:t>
      </w:r>
      <w:r w:rsidR="00B7014F">
        <w:t xml:space="preserve"> (Web </w:t>
      </w:r>
      <w:r w:rsidR="00496889">
        <w:t xml:space="preserve">Page, 30 July 2025) </w:t>
      </w:r>
      <w:r w:rsidR="00B7014F">
        <w:t>&lt;</w:t>
      </w:r>
      <w:hyperlink r:id="rId11" w:history="1">
        <w:r w:rsidR="00496889" w:rsidRPr="00383BA9">
          <w:rPr>
            <w:rStyle w:val="Hyperlink"/>
          </w:rPr>
          <w:t>https://www.aihw.gov.au/family-domestic-and-sexual-violence/population-groups/older-people</w:t>
        </w:r>
      </w:hyperlink>
      <w:r w:rsidR="00B7014F">
        <w:t>&gt;</w:t>
      </w:r>
      <w:r w:rsidR="00D21EC6">
        <w:t xml:space="preserve">; </w:t>
      </w:r>
      <w:r w:rsidR="00D53BF7">
        <w:t>Melanie Joosten, Freda Vrant</w:t>
      </w:r>
      <w:r w:rsidR="005220A4">
        <w:t xml:space="preserve">sidis and Briony Dow, </w:t>
      </w:r>
      <w:r w:rsidR="005220A4">
        <w:rPr>
          <w:i/>
          <w:iCs/>
        </w:rPr>
        <w:t>Understanding Elder Abuse</w:t>
      </w:r>
      <w:r w:rsidR="00A553C5">
        <w:rPr>
          <w:i/>
          <w:iCs/>
        </w:rPr>
        <w:t>: A Scoping Study</w:t>
      </w:r>
      <w:r w:rsidR="00E178A9">
        <w:t xml:space="preserve"> (</w:t>
      </w:r>
      <w:r w:rsidR="00A553C5">
        <w:t>University of Melbourne and the National Ageing Research Institute</w:t>
      </w:r>
      <w:r w:rsidR="00FE4BB0">
        <w:t xml:space="preserve"> (‘NARI’)</w:t>
      </w:r>
      <w:r w:rsidR="00A553C5">
        <w:t xml:space="preserve">, </w:t>
      </w:r>
      <w:r w:rsidR="00E178A9">
        <w:t xml:space="preserve">2017); Timothy Brody et al for the NSW Ageing and Disability Commission, </w:t>
      </w:r>
      <w:r w:rsidR="00E178A9">
        <w:rPr>
          <w:i/>
          <w:iCs/>
        </w:rPr>
        <w:t>Literature Review on the Abuse, Neglect, and Exploitation of Adults with Disability and Older People by Carers</w:t>
      </w:r>
      <w:r w:rsidR="00E178A9">
        <w:t xml:space="preserve"> (</w:t>
      </w:r>
      <w:r w:rsidR="005E26ED">
        <w:t xml:space="preserve">UNSW Social Policy Research Centre, </w:t>
      </w:r>
      <w:r w:rsidR="00E178A9">
        <w:t>April 202</w:t>
      </w:r>
      <w:r w:rsidR="005E26ED">
        <w:t>4).</w:t>
      </w:r>
    </w:p>
  </w:footnote>
  <w:footnote w:id="19">
    <w:p w14:paraId="6D981250" w14:textId="59C19C68" w:rsidR="00AF5ADD" w:rsidRDefault="00AF5ADD">
      <w:pPr>
        <w:pStyle w:val="FootnoteText"/>
      </w:pPr>
      <w:r>
        <w:rPr>
          <w:rStyle w:val="FootnoteReference"/>
        </w:rPr>
        <w:footnoteRef/>
      </w:r>
      <w:r>
        <w:t xml:space="preserve"> </w:t>
      </w:r>
      <w:r w:rsidRPr="00AF5ADD">
        <w:t xml:space="preserve">Tasmanian Government (Community and Government Services: Department of Premier and Cabinet), </w:t>
      </w:r>
      <w:r w:rsidRPr="00AF5ADD">
        <w:rPr>
          <w:i/>
          <w:iCs/>
        </w:rPr>
        <w:t>A Respectful, Age-Friendly Island: Older Tasmanians Action Plan 2025–2029</w:t>
      </w:r>
      <w:r w:rsidRPr="00AF5ADD">
        <w:t xml:space="preserve"> (December 2024) </w:t>
      </w:r>
      <w:r w:rsidR="006969DB" w:rsidRPr="006969DB">
        <w:t xml:space="preserve">(‘Tasmanian Government, </w:t>
      </w:r>
      <w:r w:rsidR="006969DB" w:rsidRPr="006969DB">
        <w:rPr>
          <w:i/>
          <w:iCs/>
        </w:rPr>
        <w:t>Action Plan 2025–2029</w:t>
      </w:r>
      <w:r w:rsidR="006969DB" w:rsidRPr="006969DB">
        <w:t>’)</w:t>
      </w:r>
      <w:r w:rsidR="006969DB">
        <w:t xml:space="preserve"> </w:t>
      </w:r>
      <w:r w:rsidRPr="00AF5ADD">
        <w:t>6.</w:t>
      </w:r>
    </w:p>
  </w:footnote>
  <w:footnote w:id="20">
    <w:p w14:paraId="0BD0E290" w14:textId="3F2316DC" w:rsidR="00B06E9F" w:rsidRDefault="00B06E9F">
      <w:pPr>
        <w:pStyle w:val="FootnoteText"/>
      </w:pPr>
      <w:r>
        <w:rPr>
          <w:rStyle w:val="FootnoteReference"/>
        </w:rPr>
        <w:footnoteRef/>
      </w:r>
      <w:r>
        <w:t xml:space="preserve"> </w:t>
      </w:r>
      <w:r w:rsidRPr="00B06E9F">
        <w:t xml:space="preserve">Tasmanian Government </w:t>
      </w:r>
      <w:r>
        <w:t>(</w:t>
      </w:r>
      <w:r w:rsidRPr="00B06E9F">
        <w:t xml:space="preserve">Community Partnerships and Priorities, Department of Premier and Cabinet), </w:t>
      </w:r>
      <w:r w:rsidRPr="00B06E9F">
        <w:rPr>
          <w:i/>
          <w:iCs/>
        </w:rPr>
        <w:t xml:space="preserve">Lifelong Respect: Tasmania’s Strategy to </w:t>
      </w:r>
      <w:r w:rsidR="00A844CB">
        <w:rPr>
          <w:i/>
          <w:iCs/>
        </w:rPr>
        <w:t>E</w:t>
      </w:r>
      <w:r w:rsidRPr="00B06E9F">
        <w:rPr>
          <w:i/>
          <w:iCs/>
        </w:rPr>
        <w:t xml:space="preserve">nd the </w:t>
      </w:r>
      <w:r w:rsidR="00A844CB">
        <w:rPr>
          <w:i/>
          <w:iCs/>
        </w:rPr>
        <w:t>A</w:t>
      </w:r>
      <w:r w:rsidRPr="00B06E9F">
        <w:rPr>
          <w:i/>
          <w:iCs/>
        </w:rPr>
        <w:t xml:space="preserve">buse of </w:t>
      </w:r>
      <w:r w:rsidR="00A844CB">
        <w:rPr>
          <w:i/>
          <w:iCs/>
        </w:rPr>
        <w:t>O</w:t>
      </w:r>
      <w:r w:rsidRPr="00B06E9F">
        <w:rPr>
          <w:i/>
          <w:iCs/>
        </w:rPr>
        <w:t xml:space="preserve">lder </w:t>
      </w:r>
      <w:r w:rsidR="00A844CB">
        <w:rPr>
          <w:i/>
          <w:iCs/>
        </w:rPr>
        <w:t>P</w:t>
      </w:r>
      <w:r w:rsidRPr="00B06E9F">
        <w:rPr>
          <w:i/>
          <w:iCs/>
        </w:rPr>
        <w:t>eople (Elder Abuse) 2023–2029</w:t>
      </w:r>
      <w:r w:rsidRPr="00B06E9F">
        <w:t xml:space="preserve"> (2023)</w:t>
      </w:r>
      <w:r>
        <w:t xml:space="preserve"> </w:t>
      </w:r>
      <w:r w:rsidR="00A844CB">
        <w:t>(‘</w:t>
      </w:r>
      <w:r>
        <w:t xml:space="preserve">Tasmanian Government, </w:t>
      </w:r>
      <w:r w:rsidR="00A844CB" w:rsidRPr="00A844CB">
        <w:rPr>
          <w:i/>
          <w:iCs/>
        </w:rPr>
        <w:t>Lifelong Respect Strategy</w:t>
      </w:r>
      <w:r w:rsidR="00A844CB">
        <w:t xml:space="preserve"> </w:t>
      </w:r>
      <w:r w:rsidR="00A844CB" w:rsidRPr="00B06E9F">
        <w:rPr>
          <w:i/>
          <w:iCs/>
        </w:rPr>
        <w:t>2023–2029</w:t>
      </w:r>
      <w:r w:rsidR="00A844CB">
        <w:t>’)</w:t>
      </w:r>
      <w:r w:rsidR="00A844CB" w:rsidRPr="00B06E9F">
        <w:t xml:space="preserve"> </w:t>
      </w:r>
      <w:r w:rsidRPr="00B06E9F">
        <w:t>8–9.</w:t>
      </w:r>
    </w:p>
  </w:footnote>
  <w:footnote w:id="21">
    <w:p w14:paraId="37ED2419" w14:textId="01C858B7" w:rsidR="008E5003" w:rsidRDefault="008E5003" w:rsidP="008E5003">
      <w:pPr>
        <w:pStyle w:val="FootnoteText"/>
      </w:pPr>
      <w:r>
        <w:rPr>
          <w:rStyle w:val="FootnoteReference"/>
        </w:rPr>
        <w:footnoteRef/>
      </w:r>
      <w:r>
        <w:t xml:space="preserve"> </w:t>
      </w:r>
      <w:r w:rsidR="002A27EF">
        <w:t>Ibid</w:t>
      </w:r>
      <w:r w:rsidR="00C7229C" w:rsidRPr="00C7229C">
        <w:t>. In both 2019 and 2022, Tasmania had the highest median age rate and the fastest ageing population structure Australia-wide, with a trend of increased numbers of older people in all Tasmanian regions over the last 10 years expected to continue</w:t>
      </w:r>
      <w:r w:rsidR="002A27EF">
        <w:t xml:space="preserve">: at </w:t>
      </w:r>
      <w:r w:rsidR="00C7229C" w:rsidRPr="00C7229C">
        <w:t>4</w:t>
      </w:r>
      <w:r w:rsidR="006D671B">
        <w:t xml:space="preserve">. </w:t>
      </w:r>
      <w:r w:rsidR="005529E2">
        <w:t xml:space="preserve">See also: </w:t>
      </w:r>
      <w:r w:rsidRPr="005529E2">
        <w:t>A</w:t>
      </w:r>
      <w:r w:rsidR="005529E2">
        <w:t>ustralian Bureau of Statistics (‘A</w:t>
      </w:r>
      <w:r w:rsidRPr="005529E2">
        <w:t>BS</w:t>
      </w:r>
      <w:r w:rsidR="005529E2">
        <w:t>’)</w:t>
      </w:r>
      <w:r w:rsidR="000E79A0">
        <w:t xml:space="preserve">, </w:t>
      </w:r>
      <w:r w:rsidR="000E79A0" w:rsidRPr="00222D55">
        <w:rPr>
          <w:i/>
          <w:iCs/>
        </w:rPr>
        <w:t>National, State and Territory Population</w:t>
      </w:r>
      <w:r w:rsidR="00BF5AE6">
        <w:t xml:space="preserve"> (</w:t>
      </w:r>
      <w:r w:rsidR="003C6E52">
        <w:t xml:space="preserve">Reference Period </w:t>
      </w:r>
      <w:r w:rsidR="00BF5AE6">
        <w:t>March 20</w:t>
      </w:r>
      <w:r w:rsidR="00B15D8A">
        <w:t>2</w:t>
      </w:r>
      <w:r w:rsidR="00BF5AE6">
        <w:t>4</w:t>
      </w:r>
      <w:r w:rsidR="003C6E52">
        <w:t>, 19 September 2024</w:t>
      </w:r>
      <w:r w:rsidR="00BF5AE6">
        <w:t>)</w:t>
      </w:r>
      <w:r w:rsidR="00C46350">
        <w:t xml:space="preserve"> ‘</w:t>
      </w:r>
      <w:r w:rsidR="004400F6">
        <w:t>National, State and Territory Population Tables: Tables 6 and 7 &lt;</w:t>
      </w:r>
      <w:hyperlink r:id="rId12" w:anchor="data-downloads-data-cubes" w:history="1">
        <w:r w:rsidR="00222D55" w:rsidRPr="00D5594D">
          <w:rPr>
            <w:rStyle w:val="Hyperlink"/>
          </w:rPr>
          <w:t>https://www.abs.gov.au/statistics/people/population/national-state-and-territory-population/mar-2024#data-downloads-data-cubes</w:t>
        </w:r>
      </w:hyperlink>
      <w:r w:rsidR="009C3BDE">
        <w:t>&gt;</w:t>
      </w:r>
      <w:r w:rsidRPr="005529E2">
        <w:t xml:space="preserve">. See further </w:t>
      </w:r>
      <w:r w:rsidR="00855EA7">
        <w:t>[</w:t>
      </w:r>
      <w:r w:rsidR="00222D55">
        <w:t>2.4.2]</w:t>
      </w:r>
      <w:r w:rsidRPr="005529E2">
        <w:t>.</w:t>
      </w:r>
    </w:p>
  </w:footnote>
  <w:footnote w:id="22">
    <w:p w14:paraId="1F8E9B51" w14:textId="50EB183D" w:rsidR="008E5003" w:rsidRPr="0052177E" w:rsidRDefault="008E5003" w:rsidP="008E5003">
      <w:pPr>
        <w:pStyle w:val="FootnoteText"/>
      </w:pPr>
      <w:r>
        <w:rPr>
          <w:rStyle w:val="FootnoteReference"/>
        </w:rPr>
        <w:footnoteRef/>
      </w:r>
      <w:r>
        <w:t xml:space="preserve"> </w:t>
      </w:r>
      <w:r w:rsidR="00EB3435">
        <w:t>In 2018, over one-quarter (26.</w:t>
      </w:r>
      <w:r w:rsidR="00092828">
        <w:t>8</w:t>
      </w:r>
      <w:r w:rsidR="00EB3435">
        <w:t xml:space="preserve">%) of people in Tasmania had disability, higher than all states and territories, followed by the Australian Capital Territory and South Australia (both 19.4%): </w:t>
      </w:r>
      <w:r w:rsidR="00222D55" w:rsidRPr="005529E2">
        <w:t>A</w:t>
      </w:r>
      <w:r w:rsidR="00222D55">
        <w:t>ustralian Bureau of Statistics (‘A</w:t>
      </w:r>
      <w:r w:rsidR="00222D55" w:rsidRPr="005529E2">
        <w:t>BS</w:t>
      </w:r>
      <w:r w:rsidR="00222D55">
        <w:t xml:space="preserve">’), </w:t>
      </w:r>
      <w:r w:rsidR="00222D55" w:rsidRPr="00D94F64">
        <w:rPr>
          <w:i/>
          <w:iCs/>
        </w:rPr>
        <w:t>Disability, Ageing and Carers, Australia: Summary of Findings</w:t>
      </w:r>
      <w:r w:rsidR="00222D55">
        <w:t xml:space="preserve"> (Reference Period </w:t>
      </w:r>
      <w:r w:rsidR="00B15D8A">
        <w:t>2018</w:t>
      </w:r>
      <w:r w:rsidR="00222D55">
        <w:t xml:space="preserve">, </w:t>
      </w:r>
      <w:r w:rsidR="00B15D8A">
        <w:t>24 October</w:t>
      </w:r>
      <w:r w:rsidR="00222D55">
        <w:t xml:space="preserve"> 20</w:t>
      </w:r>
      <w:r w:rsidR="00B15D8A">
        <w:t>19</w:t>
      </w:r>
      <w:r w:rsidR="00222D55">
        <w:t>)</w:t>
      </w:r>
      <w:r w:rsidR="00D94F64">
        <w:t xml:space="preserve"> ‘Disability Prevalence in States and Territories’ </w:t>
      </w:r>
      <w:r w:rsidR="00222D55">
        <w:t xml:space="preserve"> </w:t>
      </w:r>
      <w:r w:rsidR="00A35015">
        <w:t>&lt;</w:t>
      </w:r>
      <w:hyperlink r:id="rId13" w:history="1">
        <w:r w:rsidR="00CE2B27" w:rsidRPr="00D5594D">
          <w:rPr>
            <w:rStyle w:val="Hyperlink"/>
          </w:rPr>
          <w:t>https://www.abs.gov.au/statistics/health/disability/disability-ageing-and-carers-australia-summary-findings/2018</w:t>
        </w:r>
      </w:hyperlink>
      <w:r w:rsidR="00A35015">
        <w:t>&gt;</w:t>
      </w:r>
      <w:r w:rsidR="00E00FEE">
        <w:t xml:space="preserve"> (‘ABS, </w:t>
      </w:r>
      <w:r w:rsidR="00A35015">
        <w:t xml:space="preserve"> </w:t>
      </w:r>
      <w:r w:rsidR="00E00FEE" w:rsidRPr="00D94F64">
        <w:rPr>
          <w:i/>
          <w:iCs/>
        </w:rPr>
        <w:t>Disability, Ageing and Carers, Australia: Summary of Findings</w:t>
      </w:r>
      <w:r w:rsidR="00E71A83">
        <w:t>, 2018</w:t>
      </w:r>
      <w:r w:rsidR="00CB3C43">
        <w:t xml:space="preserve">’). </w:t>
      </w:r>
      <w:r w:rsidR="00E00FEE">
        <w:t xml:space="preserve"> </w:t>
      </w:r>
      <w:r>
        <w:t>See further</w:t>
      </w:r>
      <w:r w:rsidR="00080AA6">
        <w:t xml:space="preserve"> [2.4.3]</w:t>
      </w:r>
      <w:r>
        <w:t>.</w:t>
      </w:r>
      <w:r w:rsidR="00EE3B03">
        <w:t xml:space="preserve"> </w:t>
      </w:r>
      <w:r w:rsidR="00F02200">
        <w:t xml:space="preserve">It is noted that a more recent release </w:t>
      </w:r>
      <w:r w:rsidR="002665C4">
        <w:t xml:space="preserve">of these data </w:t>
      </w:r>
      <w:r w:rsidR="001E58EE">
        <w:t xml:space="preserve">from the </w:t>
      </w:r>
      <w:r w:rsidR="004C1C79">
        <w:t xml:space="preserve">Survey of Disability, Ageing and Caring (‘SDAC’) </w:t>
      </w:r>
      <w:r w:rsidR="002665C4">
        <w:t>for Reference Period 2022 is available</w:t>
      </w:r>
      <w:r w:rsidR="004C1C79">
        <w:t xml:space="preserve">; however, </w:t>
      </w:r>
      <w:r w:rsidR="00580E32">
        <w:t>it</w:t>
      </w:r>
      <w:r w:rsidR="002665C4">
        <w:t xml:space="preserve"> does not </w:t>
      </w:r>
      <w:r w:rsidR="005A4195">
        <w:t xml:space="preserve">include data </w:t>
      </w:r>
      <w:r w:rsidR="00580E32">
        <w:t xml:space="preserve">for people with disability </w:t>
      </w:r>
      <w:r w:rsidR="0047382A">
        <w:t xml:space="preserve">by state and territory population. </w:t>
      </w:r>
      <w:r w:rsidR="00BF1D1D">
        <w:t>Since 2024, a</w:t>
      </w:r>
      <w:r w:rsidR="004C1C79">
        <w:t xml:space="preserve"> </w:t>
      </w:r>
      <w:r w:rsidR="00527C6E">
        <w:t>new</w:t>
      </w:r>
      <w:r w:rsidR="00FC497B">
        <w:t xml:space="preserve"> dataset</w:t>
      </w:r>
      <w:r w:rsidR="00527C6E">
        <w:t>, the</w:t>
      </w:r>
      <w:r w:rsidR="00FC497B">
        <w:t xml:space="preserve"> </w:t>
      </w:r>
      <w:r w:rsidR="00D13C4D">
        <w:t>National Disability Data Asset</w:t>
      </w:r>
      <w:r w:rsidR="00527C6E">
        <w:t xml:space="preserve"> (‘NDDA’), </w:t>
      </w:r>
      <w:r w:rsidR="002A6A7E">
        <w:t xml:space="preserve">includes 18 datasets </w:t>
      </w:r>
      <w:r w:rsidR="0022238D">
        <w:t>of</w:t>
      </w:r>
      <w:r w:rsidR="00A77563">
        <w:t xml:space="preserve"> de-identified disability and health-related data </w:t>
      </w:r>
      <w:r w:rsidR="0022238D">
        <w:t>(accessible by application)</w:t>
      </w:r>
      <w:r w:rsidR="00EC2917">
        <w:t xml:space="preserve">, which is </w:t>
      </w:r>
      <w:r w:rsidR="00527C6E">
        <w:t xml:space="preserve">provided by </w:t>
      </w:r>
      <w:r w:rsidR="00963316">
        <w:t>Commonwealth, state and territory governmen</w:t>
      </w:r>
      <w:r w:rsidR="00527C6E">
        <w:t>ts under an agreement</w:t>
      </w:r>
      <w:r w:rsidR="00963316">
        <w:t xml:space="preserve">: see </w:t>
      </w:r>
      <w:r w:rsidR="0052177E">
        <w:t>Australian Government, ‘</w:t>
      </w:r>
      <w:r w:rsidR="001754BA">
        <w:t xml:space="preserve">About the National Disability Data Asset’, </w:t>
      </w:r>
      <w:r w:rsidR="0052177E" w:rsidRPr="001754BA">
        <w:rPr>
          <w:i/>
          <w:iCs/>
        </w:rPr>
        <w:t>National Disability Data Asset</w:t>
      </w:r>
      <w:r w:rsidR="0052177E">
        <w:t xml:space="preserve"> (</w:t>
      </w:r>
      <w:r w:rsidR="001754BA">
        <w:t>W</w:t>
      </w:r>
      <w:r w:rsidR="0052177E">
        <w:t xml:space="preserve">eb Page, </w:t>
      </w:r>
      <w:r w:rsidR="001754BA">
        <w:t>2024) &lt;</w:t>
      </w:r>
      <w:hyperlink r:id="rId14" w:history="1">
        <w:r w:rsidR="00580E32" w:rsidRPr="00D5594D">
          <w:rPr>
            <w:rStyle w:val="Hyperlink"/>
          </w:rPr>
          <w:t>https://www.ndda.gov.au/about-national-disability-data-asset</w:t>
        </w:r>
      </w:hyperlink>
      <w:r w:rsidR="00580E32">
        <w:t>&gt;.</w:t>
      </w:r>
    </w:p>
  </w:footnote>
  <w:footnote w:id="23">
    <w:p w14:paraId="09A36BA0" w14:textId="4633156B" w:rsidR="00324BE6" w:rsidRDefault="00324BE6">
      <w:pPr>
        <w:pStyle w:val="FootnoteText"/>
      </w:pPr>
      <w:r>
        <w:rPr>
          <w:rStyle w:val="FootnoteReference"/>
        </w:rPr>
        <w:footnoteRef/>
      </w:r>
      <w:r>
        <w:t xml:space="preserve"> </w:t>
      </w:r>
      <w:r w:rsidRPr="003C4B61">
        <w:t>This involved informal discussions with key agencies in Tasmania with knowledge and/or experience</w:t>
      </w:r>
      <w:r w:rsidR="00EC2917">
        <w:t xml:space="preserve"> around</w:t>
      </w:r>
      <w:r w:rsidRPr="003C4B61">
        <w:t xml:space="preserve"> </w:t>
      </w:r>
      <w:r w:rsidR="001F31C5">
        <w:t>issues regarding the</w:t>
      </w:r>
      <w:r w:rsidRPr="003C4B61">
        <w:t xml:space="preserve"> legal rights and interests of older Tasmanians to identify current issues and inquire about the availability of data that inform consideration of these issues. This informed the development of the scope of the study to focus on the legal landscape for safeguarding against abuse of older Tasmanians, framed around four project objectives and seven research questions.</w:t>
      </w:r>
    </w:p>
  </w:footnote>
  <w:footnote w:id="24">
    <w:p w14:paraId="1FADD7B7" w14:textId="392A75F5" w:rsidR="00324BE6" w:rsidRDefault="00324BE6">
      <w:pPr>
        <w:pStyle w:val="FootnoteText"/>
      </w:pPr>
      <w:r>
        <w:rPr>
          <w:rStyle w:val="FootnoteReference"/>
        </w:rPr>
        <w:footnoteRef/>
      </w:r>
      <w:r>
        <w:t xml:space="preserve"> </w:t>
      </w:r>
      <w:r w:rsidRPr="003C4B61">
        <w:t xml:space="preserve">The Fellowship </w:t>
      </w:r>
      <w:r w:rsidRPr="00B356E5">
        <w:t>required</w:t>
      </w:r>
      <w:r w:rsidRPr="003C4B61">
        <w:t xml:space="preserve"> that the study be undertaken by a Senior Research Fellow with high level doctrinal legal research, empirical research and liaison with internal and external stakeholders, culminating in findings presented in a TLRI Research Paper, approved by the Board. See </w:t>
      </w:r>
      <w:r w:rsidRPr="00C36293">
        <w:rPr>
          <w:b/>
          <w:bCs/>
        </w:rPr>
        <w:t>Appendix A</w:t>
      </w:r>
      <w:r>
        <w:t xml:space="preserve"> for </w:t>
      </w:r>
      <w:r w:rsidRPr="003C4B61">
        <w:t>further discussion of the methodology</w:t>
      </w:r>
      <w:r>
        <w:t>.</w:t>
      </w:r>
    </w:p>
  </w:footnote>
  <w:footnote w:id="25">
    <w:p w14:paraId="06536B70" w14:textId="30566B3A" w:rsidR="00EF153F" w:rsidRDefault="00EF153F">
      <w:pPr>
        <w:pStyle w:val="FootnoteText"/>
      </w:pPr>
      <w:r>
        <w:rPr>
          <w:rStyle w:val="FootnoteReference"/>
        </w:rPr>
        <w:footnoteRef/>
      </w:r>
      <w:r>
        <w:t xml:space="preserve"> </w:t>
      </w:r>
      <w:r w:rsidRPr="00EF153F">
        <w:t xml:space="preserve">In addition, one agency met with the TLRI for an informal discussion. See </w:t>
      </w:r>
      <w:r w:rsidRPr="00EF153F">
        <w:rPr>
          <w:b/>
          <w:bCs/>
        </w:rPr>
        <w:t>Appendix A</w:t>
      </w:r>
      <w:r w:rsidRPr="00EF153F">
        <w:t xml:space="preserve"> for details about the recruitment of participants and conduct of interviews.</w:t>
      </w:r>
    </w:p>
  </w:footnote>
  <w:footnote w:id="26">
    <w:p w14:paraId="27D25483" w14:textId="1BE4B619" w:rsidR="00EF153F" w:rsidRDefault="00EF153F">
      <w:pPr>
        <w:pStyle w:val="FootnoteText"/>
      </w:pPr>
      <w:r>
        <w:rPr>
          <w:rStyle w:val="FootnoteReference"/>
        </w:rPr>
        <w:footnoteRef/>
      </w:r>
      <w:r>
        <w:t xml:space="preserve"> </w:t>
      </w:r>
      <w:r w:rsidRPr="00EF153F">
        <w:t>The Tasmanian Elder Abuse Helpline (</w:t>
      </w:r>
      <w:r w:rsidR="006A03FF">
        <w:t>‘</w:t>
      </w:r>
      <w:r w:rsidRPr="00EF153F">
        <w:t xml:space="preserve">the Helpline’) is described in </w:t>
      </w:r>
      <w:r w:rsidRPr="00EF153F">
        <w:rPr>
          <w:b/>
          <w:bCs/>
        </w:rPr>
        <w:t xml:space="preserve">Part </w:t>
      </w:r>
      <w:r w:rsidR="00DB5A90">
        <w:rPr>
          <w:b/>
          <w:bCs/>
        </w:rPr>
        <w:t>3</w:t>
      </w:r>
      <w:r w:rsidRPr="00EF153F">
        <w:t xml:space="preserve"> </w:t>
      </w:r>
      <w:r w:rsidRPr="00DB5A90">
        <w:t>at [</w:t>
      </w:r>
      <w:r w:rsidR="00DB5A90" w:rsidRPr="00DB5A90">
        <w:t>3.4.3</w:t>
      </w:r>
      <w:r w:rsidRPr="00DB5A90">
        <w:t>]</w:t>
      </w:r>
      <w:r w:rsidR="00DB5A90" w:rsidRPr="00DB5A90">
        <w:t>–[3.4.4]</w:t>
      </w:r>
      <w:r w:rsidRPr="00DB5A90">
        <w:t>.</w:t>
      </w:r>
    </w:p>
  </w:footnote>
  <w:footnote w:id="27">
    <w:p w14:paraId="79263253" w14:textId="3C542FB6" w:rsidR="00EF153F" w:rsidRDefault="00EF153F">
      <w:pPr>
        <w:pStyle w:val="FootnoteText"/>
      </w:pPr>
      <w:r>
        <w:rPr>
          <w:rStyle w:val="FootnoteReference"/>
        </w:rPr>
        <w:footnoteRef/>
      </w:r>
      <w:r>
        <w:t xml:space="preserve"> </w:t>
      </w:r>
      <w:r w:rsidRPr="00EF153F">
        <w:t xml:space="preserve">Tasmania Legal Aid’s Senior Assist </w:t>
      </w:r>
      <w:r w:rsidR="00151134">
        <w:t>P</w:t>
      </w:r>
      <w:r w:rsidRPr="00EF153F">
        <w:t xml:space="preserve">rogram (‘Senior Assist’) is described in </w:t>
      </w:r>
      <w:r w:rsidRPr="00EF153F">
        <w:rPr>
          <w:b/>
          <w:bCs/>
        </w:rPr>
        <w:t xml:space="preserve">Part </w:t>
      </w:r>
      <w:r w:rsidR="00DB5A90">
        <w:rPr>
          <w:b/>
          <w:bCs/>
        </w:rPr>
        <w:t>3</w:t>
      </w:r>
      <w:r w:rsidRPr="00EF153F">
        <w:t xml:space="preserve"> at </w:t>
      </w:r>
      <w:r w:rsidR="00DB5A90" w:rsidRPr="00DB5A90">
        <w:t>[3.4.</w:t>
      </w:r>
      <w:r w:rsidR="00DB5A90">
        <w:t>10</w:t>
      </w:r>
      <w:r w:rsidR="00DB5A90" w:rsidRPr="00DB5A90">
        <w:t>]–[3.4.</w:t>
      </w:r>
      <w:r w:rsidR="00DB5A90">
        <w:t>13</w:t>
      </w:r>
      <w:r w:rsidR="00DB5A90" w:rsidRPr="00DB5A90">
        <w:t>].</w:t>
      </w:r>
    </w:p>
  </w:footnote>
  <w:footnote w:id="28">
    <w:p w14:paraId="4114659F" w14:textId="5BD8D0E7" w:rsidR="00525756" w:rsidRDefault="00525756" w:rsidP="00525756">
      <w:pPr>
        <w:pStyle w:val="FootnoteText"/>
      </w:pPr>
      <w:r>
        <w:rPr>
          <w:rStyle w:val="FootnoteReference"/>
        </w:rPr>
        <w:footnoteRef/>
      </w:r>
      <w:r>
        <w:t xml:space="preserve"> </w:t>
      </w:r>
      <w:r w:rsidR="00717DC8">
        <w:t>R</w:t>
      </w:r>
      <w:r w:rsidR="00F30D63">
        <w:t>ecords of coronial inquests</w:t>
      </w:r>
      <w:r w:rsidR="00317803">
        <w:t xml:space="preserve"> published on the website of the Coroners Court of Tasmania</w:t>
      </w:r>
      <w:r w:rsidR="009E2361">
        <w:t>:</w:t>
      </w:r>
      <w:r w:rsidR="00A66B7A">
        <w:t xml:space="preserve"> </w:t>
      </w:r>
      <w:r w:rsidR="00DC5B25">
        <w:t xml:space="preserve"> Magistrates Court of Tasmania, ‘Findings’, </w:t>
      </w:r>
      <w:r w:rsidR="00DC5B25" w:rsidRPr="00221894">
        <w:rPr>
          <w:i/>
          <w:iCs/>
        </w:rPr>
        <w:t>Coroners Court</w:t>
      </w:r>
      <w:r w:rsidR="00DC5B25">
        <w:t xml:space="preserve"> (</w:t>
      </w:r>
      <w:r w:rsidR="00F00EBF">
        <w:t>Web Page, 16 July 2024) &lt;</w:t>
      </w:r>
      <w:hyperlink r:id="rId15" w:history="1">
        <w:r w:rsidR="00F00EBF" w:rsidRPr="00D5594D">
          <w:rPr>
            <w:rStyle w:val="Hyperlink"/>
          </w:rPr>
          <w:t>https://www.magistratescourt.tas.gov.au/coronerscourt/findings</w:t>
        </w:r>
      </w:hyperlink>
      <w:r w:rsidR="00F00EBF">
        <w:t>&gt;</w:t>
      </w:r>
      <w:r w:rsidR="00466B62">
        <w:t xml:space="preserve"> </w:t>
      </w:r>
      <w:r w:rsidR="00470A2A">
        <w:t xml:space="preserve">(‘Magistrates Court of Tasmania, </w:t>
      </w:r>
      <w:r w:rsidR="00470A2A" w:rsidRPr="00691087">
        <w:rPr>
          <w:i/>
          <w:iCs/>
        </w:rPr>
        <w:t xml:space="preserve">Coroners </w:t>
      </w:r>
      <w:r w:rsidR="00470A2A" w:rsidRPr="00470A2A">
        <w:rPr>
          <w:i/>
          <w:iCs/>
        </w:rPr>
        <w:t>Court</w:t>
      </w:r>
      <w:r w:rsidR="00470A2A">
        <w:t>’)</w:t>
      </w:r>
      <w:r w:rsidR="009F3C58">
        <w:t>;</w:t>
      </w:r>
      <w:r w:rsidR="00470A2A">
        <w:t xml:space="preserve"> </w:t>
      </w:r>
      <w:r w:rsidR="00317803" w:rsidRPr="00470A2A">
        <w:t>and</w:t>
      </w:r>
      <w:r w:rsidR="00317803">
        <w:t xml:space="preserve"> in </w:t>
      </w:r>
      <w:r w:rsidR="0079036A">
        <w:t>annual reports of the Magistrates’ Court of Tasmania from 201</w:t>
      </w:r>
      <w:r w:rsidR="0010586A">
        <w:t>7</w:t>
      </w:r>
      <w:r w:rsidR="0079036A">
        <w:t>–1</w:t>
      </w:r>
      <w:r w:rsidR="0010586A">
        <w:t>8</w:t>
      </w:r>
      <w:r w:rsidR="0079036A">
        <w:t xml:space="preserve"> to 2023–24</w:t>
      </w:r>
      <w:r w:rsidR="00E0565B">
        <w:t xml:space="preserve">: </w:t>
      </w:r>
      <w:r w:rsidR="000415E1">
        <w:t xml:space="preserve">Magistrates Court of Tasmania, </w:t>
      </w:r>
      <w:r w:rsidR="0006495F">
        <w:t>‘</w:t>
      </w:r>
      <w:r w:rsidR="000415E1">
        <w:t>Annual Reports</w:t>
      </w:r>
      <w:r w:rsidR="0006495F">
        <w:t xml:space="preserve">’, </w:t>
      </w:r>
      <w:r w:rsidR="0006495F" w:rsidRPr="00360AE3">
        <w:rPr>
          <w:i/>
          <w:iCs/>
        </w:rPr>
        <w:t>Magistrates Court of Tasmania</w:t>
      </w:r>
      <w:r w:rsidR="0006495F">
        <w:t xml:space="preserve"> (Web Page</w:t>
      </w:r>
      <w:r w:rsidR="000C684C">
        <w:t>) &lt;</w:t>
      </w:r>
      <w:hyperlink r:id="rId16" w:history="1">
        <w:r w:rsidR="000C684C" w:rsidRPr="00D5594D">
          <w:rPr>
            <w:rStyle w:val="Hyperlink"/>
          </w:rPr>
          <w:t>https://www.magistratescourt.tas.gov.au/about_us/publications/annual-report-2021-to-2022/annual-reports</w:t>
        </w:r>
      </w:hyperlink>
      <w:r w:rsidR="000C684C">
        <w:t>&gt;</w:t>
      </w:r>
      <w:r w:rsidR="00DC3D81">
        <w:t xml:space="preserve"> </w:t>
      </w:r>
      <w:r w:rsidR="00DC3D81" w:rsidRPr="00DC3D81">
        <w:t>(‘Magistrates Court of Tasmania, Annual Reports</w:t>
      </w:r>
      <w:r w:rsidR="00BB731E">
        <w:t>’</w:t>
      </w:r>
      <w:r w:rsidR="00DC3D81">
        <w:t>)</w:t>
      </w:r>
      <w:r w:rsidR="00717DC8">
        <w:t>. D</w:t>
      </w:r>
      <w:r w:rsidR="00BB2A56" w:rsidRPr="00BB2A56">
        <w:t>ecisions of the Tasmanian Civil and Administrative Tribunal (TASCAT) in its Guardianship stream</w:t>
      </w:r>
      <w:r w:rsidR="00BB2A56">
        <w:t xml:space="preserve"> </w:t>
      </w:r>
      <w:r w:rsidR="000843FB">
        <w:t xml:space="preserve">published on </w:t>
      </w:r>
      <w:r w:rsidR="00221894">
        <w:t>‘</w:t>
      </w:r>
      <w:r w:rsidR="000843FB">
        <w:t>AustLII</w:t>
      </w:r>
      <w:r w:rsidR="00221894">
        <w:t>’</w:t>
      </w:r>
      <w:r w:rsidR="00E0565B">
        <w:t xml:space="preserve">: </w:t>
      </w:r>
      <w:r w:rsidR="001109F5">
        <w:t xml:space="preserve">‘Tasmanian Civil and Administrative Tribunal’, </w:t>
      </w:r>
      <w:r w:rsidR="004578D9" w:rsidRPr="001109F5">
        <w:rPr>
          <w:i/>
          <w:iCs/>
        </w:rPr>
        <w:t>Australasian Legal Information Institute</w:t>
      </w:r>
      <w:r w:rsidR="00532B59">
        <w:t xml:space="preserve">, </w:t>
      </w:r>
      <w:r w:rsidR="000E2C4A">
        <w:t xml:space="preserve">(Web Page, </w:t>
      </w:r>
      <w:r w:rsidR="000F1792">
        <w:t>20245) &lt;</w:t>
      </w:r>
      <w:hyperlink r:id="rId17" w:history="1">
        <w:r w:rsidR="00F14189" w:rsidRPr="00D5594D">
          <w:rPr>
            <w:rStyle w:val="Hyperlink"/>
          </w:rPr>
          <w:t>https://www.austlii.edu.au/cgi-bin/viewdb/au/cases/tas/TASCAT/</w:t>
        </w:r>
      </w:hyperlink>
      <w:r w:rsidR="00F14189">
        <w:t>&gt;</w:t>
      </w:r>
      <w:r w:rsidR="00E01576">
        <w:t xml:space="preserve"> </w:t>
      </w:r>
      <w:r w:rsidR="00E01576" w:rsidRPr="00E01576">
        <w:t>(</w:t>
      </w:r>
      <w:r w:rsidR="00256DB0">
        <w:t>‘</w:t>
      </w:r>
      <w:r w:rsidR="00E01576" w:rsidRPr="001109F5">
        <w:rPr>
          <w:i/>
          <w:iCs/>
        </w:rPr>
        <w:t>AustLII</w:t>
      </w:r>
      <w:r w:rsidR="00E01576" w:rsidRPr="00E01576">
        <w:t>’)</w:t>
      </w:r>
      <w:r w:rsidR="00717DC8">
        <w:t>. S</w:t>
      </w:r>
      <w:r w:rsidR="00AD1AD8">
        <w:t>entenc</w:t>
      </w:r>
      <w:r w:rsidR="007B0354">
        <w:t>ing statistics</w:t>
      </w:r>
      <w:r w:rsidR="00AD1AD8">
        <w:t xml:space="preserve"> published by the Sentencing </w:t>
      </w:r>
      <w:r w:rsidR="003904F7">
        <w:t>Advisory Council (Tasmania)</w:t>
      </w:r>
      <w:r w:rsidR="00F95369">
        <w:t>,</w:t>
      </w:r>
      <w:r w:rsidR="003904F7">
        <w:t xml:space="preserve"> </w:t>
      </w:r>
      <w:r w:rsidR="007B0354">
        <w:t xml:space="preserve">including </w:t>
      </w:r>
      <w:r w:rsidR="00F95369">
        <w:t>o</w:t>
      </w:r>
      <w:r w:rsidR="00C1012F">
        <w:t xml:space="preserve">n the </w:t>
      </w:r>
      <w:r w:rsidR="003525DC">
        <w:t>Magistrates Court</w:t>
      </w:r>
      <w:r w:rsidR="00E01576">
        <w:t xml:space="preserve">: </w:t>
      </w:r>
      <w:r w:rsidR="003D1B33">
        <w:t>Sentencing Advisory Council</w:t>
      </w:r>
      <w:r w:rsidR="00DB519D">
        <w:t xml:space="preserve"> (Tas)</w:t>
      </w:r>
      <w:r w:rsidR="003D1B33">
        <w:t xml:space="preserve">, </w:t>
      </w:r>
      <w:r w:rsidR="00772184">
        <w:t>Tasmanian Government, ‘Magistrates Court Sentencing Statistics</w:t>
      </w:r>
      <w:r w:rsidR="00AE2711">
        <w:t>: SACStats</w:t>
      </w:r>
      <w:r w:rsidR="00772184">
        <w:t xml:space="preserve">’, </w:t>
      </w:r>
      <w:r w:rsidR="00772184" w:rsidRPr="00F95369">
        <w:rPr>
          <w:i/>
          <w:iCs/>
        </w:rPr>
        <w:t xml:space="preserve">Sentencing </w:t>
      </w:r>
      <w:r w:rsidR="00E12326" w:rsidRPr="00F95369">
        <w:rPr>
          <w:i/>
          <w:iCs/>
        </w:rPr>
        <w:t>Advisory</w:t>
      </w:r>
      <w:r w:rsidR="00772184" w:rsidRPr="00F95369">
        <w:rPr>
          <w:i/>
          <w:iCs/>
        </w:rPr>
        <w:t xml:space="preserve"> Council</w:t>
      </w:r>
      <w:r w:rsidR="00772184">
        <w:t xml:space="preserve"> (Web Page</w:t>
      </w:r>
      <w:r w:rsidR="00E12326">
        <w:t>, 2025 &lt;</w:t>
      </w:r>
      <w:hyperlink r:id="rId18" w:history="1">
        <w:r w:rsidR="00F95369" w:rsidRPr="00D5594D">
          <w:rPr>
            <w:rStyle w:val="Hyperlink"/>
          </w:rPr>
          <w:t>https://www.sentencingcouncil.tas.gov.au/statistics/magistratescourt</w:t>
        </w:r>
      </w:hyperlink>
      <w:r w:rsidR="00E12326">
        <w:t>&gt;</w:t>
      </w:r>
      <w:r w:rsidR="003525DC">
        <w:t xml:space="preserve"> </w:t>
      </w:r>
      <w:r w:rsidR="005B2389">
        <w:t>(‘Sentencing Advisory Council</w:t>
      </w:r>
      <w:r w:rsidR="007D3671">
        <w:t xml:space="preserve"> (Tas)</w:t>
      </w:r>
      <w:r w:rsidR="005B2389">
        <w:t>,</w:t>
      </w:r>
      <w:r w:rsidR="005B2389" w:rsidRPr="00D715B3">
        <w:rPr>
          <w:rFonts w:cs="Times New Roman"/>
        </w:rPr>
        <w:t xml:space="preserve"> Magistrates Court Sentencing Statistics</w:t>
      </w:r>
      <w:r w:rsidR="005B2389">
        <w:rPr>
          <w:rFonts w:cs="Times New Roman"/>
        </w:rPr>
        <w:t>: SACStats’)</w:t>
      </w:r>
      <w:r w:rsidR="00BB731E">
        <w:rPr>
          <w:rFonts w:cs="Times New Roman"/>
        </w:rPr>
        <w:t>;</w:t>
      </w:r>
      <w:r w:rsidR="005B2389">
        <w:rPr>
          <w:rFonts w:cs="Times New Roman"/>
        </w:rPr>
        <w:t xml:space="preserve"> </w:t>
      </w:r>
      <w:r w:rsidR="003525DC">
        <w:t xml:space="preserve">and </w:t>
      </w:r>
      <w:r w:rsidR="00E12326">
        <w:t>o</w:t>
      </w:r>
      <w:r w:rsidR="00C1012F">
        <w:t xml:space="preserve">n the </w:t>
      </w:r>
      <w:r w:rsidR="007B1817">
        <w:t>Supreme Court</w:t>
      </w:r>
      <w:r w:rsidR="000702C4">
        <w:t>:</w:t>
      </w:r>
      <w:r w:rsidR="007B1817">
        <w:t xml:space="preserve"> </w:t>
      </w:r>
      <w:r w:rsidR="00C1012F">
        <w:t>(</w:t>
      </w:r>
      <w:r w:rsidR="00A8378B">
        <w:t xml:space="preserve">Sentencing Advisory Council (Tas), </w:t>
      </w:r>
      <w:r w:rsidR="00F95369">
        <w:t xml:space="preserve">Tasmanian Government, ‘Supreme Court Sentencing Statistics’, </w:t>
      </w:r>
      <w:r w:rsidR="00F95369" w:rsidRPr="00F95369">
        <w:rPr>
          <w:i/>
          <w:iCs/>
        </w:rPr>
        <w:t>Sentencing Advisory Council</w:t>
      </w:r>
      <w:r w:rsidR="00F95369">
        <w:t xml:space="preserve"> (Web Page, 2025</w:t>
      </w:r>
      <w:r w:rsidR="00647C1C">
        <w:t>) &lt;</w:t>
      </w:r>
      <w:hyperlink r:id="rId19" w:history="1">
        <w:r w:rsidR="00647C1C" w:rsidRPr="00D31682">
          <w:rPr>
            <w:rStyle w:val="Hyperlink"/>
          </w:rPr>
          <w:t>https://www.sentencingcouncil.tas.gov.au/statistics/supremecourt</w:t>
        </w:r>
      </w:hyperlink>
      <w:r w:rsidR="00647C1C">
        <w:t>&gt;</w:t>
      </w:r>
      <w:r w:rsidR="00840B08">
        <w:t xml:space="preserve"> (</w:t>
      </w:r>
      <w:r w:rsidR="00840B08" w:rsidRPr="00160EAD">
        <w:t>Sentencing Advisory Council</w:t>
      </w:r>
      <w:r w:rsidR="00B13673">
        <w:t xml:space="preserve"> (Tas)</w:t>
      </w:r>
      <w:r w:rsidR="00840B08" w:rsidRPr="00160EAD">
        <w:t>, Tasmanian Government, Supreme Court Sentencing Statistics’)</w:t>
      </w:r>
      <w:r w:rsidR="00717DC8">
        <w:t>. S</w:t>
      </w:r>
      <w:r w:rsidR="00C65F9C">
        <w:t>entencing judgments published on the website of the Supreme Court of Tasmania (</w:t>
      </w:r>
      <w:r w:rsidR="00AE542D">
        <w:t xml:space="preserve">The Supreme Court of  Tasmania, ‘Decisions of the Court’, </w:t>
      </w:r>
      <w:r w:rsidR="00AE542D" w:rsidRPr="00AE542D">
        <w:rPr>
          <w:i/>
          <w:iCs/>
        </w:rPr>
        <w:t>Supreme Court of Tasmania</w:t>
      </w:r>
      <w:r w:rsidR="00AE542D">
        <w:t xml:space="preserve"> (Web Page, </w:t>
      </w:r>
      <w:r w:rsidR="006A4239">
        <w:t>2025) &lt;</w:t>
      </w:r>
      <w:hyperlink r:id="rId20" w:history="1">
        <w:r w:rsidR="0085331B" w:rsidRPr="00D31682">
          <w:rPr>
            <w:rStyle w:val="Hyperlink"/>
          </w:rPr>
          <w:t>https://www.supremecourt.tas.gov.au/publications/decisions-of-the-court/</w:t>
        </w:r>
      </w:hyperlink>
      <w:r w:rsidR="0085331B">
        <w:t>&gt;</w:t>
      </w:r>
      <w:r w:rsidR="00717DC8">
        <w:t xml:space="preserve">. Analysis of </w:t>
      </w:r>
      <w:r w:rsidR="00DF3463">
        <w:t xml:space="preserve">civil matters involving older people </w:t>
      </w:r>
      <w:r w:rsidR="00C057F2">
        <w:t>in</w:t>
      </w:r>
      <w:r w:rsidR="00DF3463">
        <w:t xml:space="preserve"> </w:t>
      </w:r>
      <w:r w:rsidR="00DF3463" w:rsidRPr="00546BC1">
        <w:t>Arachchige</w:t>
      </w:r>
      <w:r w:rsidR="00DF3463">
        <w:t xml:space="preserve"> Sarah Sabina </w:t>
      </w:r>
      <w:r w:rsidR="00DF3463" w:rsidRPr="003C4B61">
        <w:t>Ferna</w:t>
      </w:r>
      <w:r w:rsidR="00DF3463">
        <w:t>n</w:t>
      </w:r>
      <w:r w:rsidR="00DF3463" w:rsidRPr="003C4B61">
        <w:t>d</w:t>
      </w:r>
      <w:r w:rsidR="00DF3463">
        <w:t>o,</w:t>
      </w:r>
      <w:r w:rsidR="00DF3463" w:rsidRPr="003C4B61">
        <w:t xml:space="preserve"> </w:t>
      </w:r>
      <w:r w:rsidR="00DF3463">
        <w:t>‘</w:t>
      </w:r>
      <w:r w:rsidR="00DF3463" w:rsidRPr="00546BC1">
        <w:t>Ensuring</w:t>
      </w:r>
      <w:r w:rsidR="00DF3463" w:rsidRPr="00937F62">
        <w:t xml:space="preserve"> Older Adults’ End-of-Life Decisions are Voluntary: A Critical Analysis of Criminal Laws in Tasmania</w:t>
      </w:r>
      <w:r w:rsidR="00DF3463">
        <w:t>’ (Masters Thesis, UTAS)</w:t>
      </w:r>
      <w:r w:rsidR="00CC3BD7">
        <w:t xml:space="preserve">. </w:t>
      </w:r>
    </w:p>
  </w:footnote>
  <w:footnote w:id="29">
    <w:p w14:paraId="0A5C502A" w14:textId="65B1D0F2" w:rsidR="002032B5" w:rsidRDefault="002032B5">
      <w:pPr>
        <w:pStyle w:val="FootnoteText"/>
      </w:pPr>
      <w:r>
        <w:rPr>
          <w:rStyle w:val="FootnoteReference"/>
        </w:rPr>
        <w:footnoteRef/>
      </w:r>
      <w:r>
        <w:t xml:space="preserve"> </w:t>
      </w:r>
      <w:r w:rsidRPr="002032B5">
        <w:t>Meeting dates attended: 20 March 2024; 22 May 2024 (</w:t>
      </w:r>
      <w:r w:rsidR="00D31B56">
        <w:t>‘</w:t>
      </w:r>
      <w:r w:rsidRPr="002032B5">
        <w:t>Lifelong Respect Webinar</w:t>
      </w:r>
      <w:r w:rsidR="00D31B56">
        <w:t>’</w:t>
      </w:r>
      <w:r w:rsidRPr="002032B5">
        <w:t>); 31 July 2024; 25 September 2024; 20 November 2024; 19 February 2025; 18 June 2025.</w:t>
      </w:r>
    </w:p>
  </w:footnote>
  <w:footnote w:id="30">
    <w:p w14:paraId="1AFB747B" w14:textId="471D4704" w:rsidR="00EE5094" w:rsidRDefault="00EE5094">
      <w:pPr>
        <w:pStyle w:val="FootnoteText"/>
      </w:pPr>
      <w:r>
        <w:rPr>
          <w:rStyle w:val="FootnoteReference"/>
        </w:rPr>
        <w:footnoteRef/>
      </w:r>
      <w:r>
        <w:t xml:space="preserve"> </w:t>
      </w:r>
      <w:r w:rsidRPr="00EE5094">
        <w:t xml:space="preserve">See </w:t>
      </w:r>
      <w:r w:rsidRPr="00EE5094">
        <w:rPr>
          <w:b/>
          <w:bCs/>
        </w:rPr>
        <w:t>Part 3</w:t>
      </w:r>
      <w:r w:rsidRPr="00EE5094">
        <w:t xml:space="preserve"> at </w:t>
      </w:r>
      <w:r w:rsidR="006628EB">
        <w:t xml:space="preserve">[3.2] </w:t>
      </w:r>
      <w:r w:rsidRPr="00EE5094">
        <w:t xml:space="preserve">and </w:t>
      </w:r>
      <w:r w:rsidR="00D31B56" w:rsidRPr="00D31B56">
        <w:rPr>
          <w:b/>
          <w:bCs/>
        </w:rPr>
        <w:t>Appendix C</w:t>
      </w:r>
      <w:r w:rsidRPr="00EE5094">
        <w:t>.</w:t>
      </w:r>
    </w:p>
  </w:footnote>
  <w:footnote w:id="31">
    <w:p w14:paraId="265C6B0A" w14:textId="1DF14CF7" w:rsidR="00D31B56" w:rsidRDefault="00D31B56">
      <w:pPr>
        <w:pStyle w:val="FootnoteText"/>
      </w:pPr>
      <w:r>
        <w:rPr>
          <w:rStyle w:val="FootnoteReference"/>
        </w:rPr>
        <w:footnoteRef/>
      </w:r>
      <w:r>
        <w:t xml:space="preserve"> </w:t>
      </w:r>
      <w:r w:rsidRPr="00D31B56">
        <w:t>It is noted that this project was funded by a Postdoctoral Fellowship and was not a full Inquiry</w:t>
      </w:r>
      <w:r>
        <w:t>.</w:t>
      </w:r>
    </w:p>
  </w:footnote>
  <w:footnote w:id="32">
    <w:p w14:paraId="1F3B9A0A" w14:textId="20261715" w:rsidR="00753942" w:rsidRDefault="00753942" w:rsidP="00753942">
      <w:pPr>
        <w:pStyle w:val="FootnoteText"/>
      </w:pPr>
      <w:r>
        <w:rPr>
          <w:rStyle w:val="FootnoteReference"/>
        </w:rPr>
        <w:footnoteRef/>
      </w:r>
      <w:r>
        <w:t xml:space="preserve"> </w:t>
      </w:r>
      <w:r w:rsidRPr="003C4B61">
        <w:t xml:space="preserve">These were: a </w:t>
      </w:r>
      <w:r w:rsidR="000C3101">
        <w:t>‘</w:t>
      </w:r>
      <w:r w:rsidRPr="003C4B61">
        <w:t>Lifelong Respect Webinar</w:t>
      </w:r>
      <w:r w:rsidR="000C3101">
        <w:t>’</w:t>
      </w:r>
      <w:r w:rsidRPr="003C4B61">
        <w:t xml:space="preserve"> </w:t>
      </w:r>
      <w:r w:rsidRPr="00753942">
        <w:t>hosted</w:t>
      </w:r>
      <w:r w:rsidRPr="003C4B61">
        <w:t xml:space="preserve"> by the Council of the Ageing (</w:t>
      </w:r>
      <w:r w:rsidR="00BC677B">
        <w:t>‘</w:t>
      </w:r>
      <w:r w:rsidRPr="003C4B61">
        <w:t>COTA</w:t>
      </w:r>
      <w:r w:rsidR="00BC677B">
        <w:t>’</w:t>
      </w:r>
      <w:r w:rsidRPr="003C4B61">
        <w:t xml:space="preserve">) Tasmania on 22 May 2024 (in lieu of </w:t>
      </w:r>
      <w:r w:rsidR="00BC677B">
        <w:t xml:space="preserve">the 22 May 2024 </w:t>
      </w:r>
      <w:r w:rsidRPr="003C4B61">
        <w:t xml:space="preserve">Community of Practice meeting) and a presentation at the </w:t>
      </w:r>
      <w:r w:rsidR="00AF71B2">
        <w:t>‘</w:t>
      </w:r>
      <w:r w:rsidRPr="003C4B61">
        <w:t>National Elder Abuse Conference</w:t>
      </w:r>
      <w:r w:rsidR="00AF71B2">
        <w:t>’</w:t>
      </w:r>
      <w:r w:rsidRPr="003C4B61">
        <w:t xml:space="preserve"> held from 22–24 July 2024 in Adelaide, Australia. See </w:t>
      </w:r>
      <w:r w:rsidR="00F87170">
        <w:t>[3.4.7]</w:t>
      </w:r>
      <w:r w:rsidRPr="003C4B61">
        <w:t xml:space="preserve"> for a </w:t>
      </w:r>
      <w:r w:rsidR="00AF71B2">
        <w:t>description</w:t>
      </w:r>
      <w:r w:rsidRPr="003C4B61">
        <w:t xml:space="preserve"> of </w:t>
      </w:r>
      <w:r w:rsidR="00F87170">
        <w:t>‘</w:t>
      </w:r>
      <w:r w:rsidRPr="003C4B61">
        <w:t>The Older Voices for Change Advocate Program</w:t>
      </w:r>
      <w:r w:rsidR="00F87170">
        <w:t>’</w:t>
      </w:r>
      <w:r w:rsidRPr="003C4B61">
        <w:t>.</w:t>
      </w:r>
    </w:p>
  </w:footnote>
  <w:footnote w:id="33">
    <w:p w14:paraId="0DEC9B13" w14:textId="330126DE" w:rsidR="00C470AD" w:rsidRDefault="00C470AD" w:rsidP="00D47EAA">
      <w:pPr>
        <w:pStyle w:val="FootnoteText"/>
      </w:pPr>
      <w:r>
        <w:rPr>
          <w:rStyle w:val="FootnoteReference"/>
        </w:rPr>
        <w:footnoteRef/>
      </w:r>
      <w:r>
        <w:t xml:space="preserve"> </w:t>
      </w:r>
      <w:r w:rsidR="003210B3">
        <w:t xml:space="preserve">ALRC, </w:t>
      </w:r>
      <w:r w:rsidR="003210B3" w:rsidRPr="003210B3">
        <w:rPr>
          <w:i/>
          <w:iCs/>
        </w:rPr>
        <w:t>Elder Abuse</w:t>
      </w:r>
      <w:r w:rsidR="003210B3">
        <w:t xml:space="preserve"> </w:t>
      </w:r>
      <w:r w:rsidR="00534D74">
        <w:t>(n</w:t>
      </w:r>
      <w:r w:rsidR="005766F2">
        <w:t xml:space="preserve"> 6)</w:t>
      </w:r>
      <w:r w:rsidR="00BD5F3F">
        <w:t xml:space="preserve"> </w:t>
      </w:r>
      <w:r w:rsidR="002A3C16">
        <w:t>[2.25], [2.44]</w:t>
      </w:r>
      <w:r w:rsidR="005766F2">
        <w:t>.</w:t>
      </w:r>
    </w:p>
  </w:footnote>
  <w:footnote w:id="34">
    <w:p w14:paraId="6C48C98C" w14:textId="6AFBB8BA" w:rsidR="00D47EAA" w:rsidRDefault="00D47EAA" w:rsidP="00D47EAA">
      <w:pPr>
        <w:pStyle w:val="FootnoteText"/>
      </w:pPr>
      <w:r>
        <w:rPr>
          <w:rStyle w:val="FootnoteReference"/>
        </w:rPr>
        <w:footnoteRef/>
      </w:r>
      <w:r>
        <w:t xml:space="preserve"> </w:t>
      </w:r>
      <w:r w:rsidR="001834D3" w:rsidRPr="001834D3">
        <w:t>World Health Organi</w:t>
      </w:r>
      <w:r w:rsidR="00E835CC">
        <w:t>z</w:t>
      </w:r>
      <w:r w:rsidR="001834D3" w:rsidRPr="001834D3">
        <w:t>ation</w:t>
      </w:r>
      <w:r w:rsidR="00DC5247">
        <w:t xml:space="preserve"> (‘WHO’)</w:t>
      </w:r>
      <w:r w:rsidR="001834D3" w:rsidRPr="001834D3">
        <w:t xml:space="preserve">, Canada University of Toronto and Ryerson University Ontario and International Network for the Prevention of Elder Abuse, </w:t>
      </w:r>
      <w:r w:rsidR="001834D3" w:rsidRPr="000157D2">
        <w:rPr>
          <w:i/>
          <w:iCs/>
        </w:rPr>
        <w:t>The Toronto Declaration on the Global Prevention of Elder Abuse</w:t>
      </w:r>
      <w:r w:rsidR="001834D3" w:rsidRPr="001834D3">
        <w:t xml:space="preserve"> (</w:t>
      </w:r>
      <w:r w:rsidR="00DC5247">
        <w:t>WHO</w:t>
      </w:r>
      <w:r w:rsidR="001834D3" w:rsidRPr="001834D3">
        <w:t>, 17 November 2002)</w:t>
      </w:r>
      <w:r w:rsidR="00171EA4">
        <w:t xml:space="preserve"> &lt;</w:t>
      </w:r>
      <w:hyperlink r:id="rId21" w:history="1">
        <w:r w:rsidR="00171EA4" w:rsidRPr="00D31682">
          <w:rPr>
            <w:rStyle w:val="Hyperlink"/>
          </w:rPr>
          <w:t>https://eapon.ca/wp-content/uploads/2021/09/toronto_declaration_en.pdf</w:t>
        </w:r>
      </w:hyperlink>
      <w:r w:rsidR="00171EA4">
        <w:t>&gt;</w:t>
      </w:r>
      <w:r w:rsidR="00AE543A">
        <w:t xml:space="preserve"> (‘WHO, </w:t>
      </w:r>
      <w:r w:rsidR="00AE543A" w:rsidRPr="006B61A1">
        <w:rPr>
          <w:i/>
          <w:iCs/>
        </w:rPr>
        <w:t>Toronto Declaration on the Global Prevention of Elder Abuse</w:t>
      </w:r>
      <w:r w:rsidR="00AE543A">
        <w:t>’).</w:t>
      </w:r>
    </w:p>
  </w:footnote>
  <w:footnote w:id="35">
    <w:p w14:paraId="32D19E91" w14:textId="129F8535" w:rsidR="00171EA4" w:rsidRDefault="00171EA4">
      <w:pPr>
        <w:pStyle w:val="FootnoteText"/>
      </w:pPr>
      <w:r>
        <w:rPr>
          <w:rStyle w:val="FootnoteReference"/>
        </w:rPr>
        <w:footnoteRef/>
      </w:r>
      <w:r>
        <w:t xml:space="preserve"> </w:t>
      </w:r>
      <w:r w:rsidR="003210B3">
        <w:t xml:space="preserve">ALRC, </w:t>
      </w:r>
      <w:r w:rsidR="003210B3" w:rsidRPr="003210B3">
        <w:rPr>
          <w:i/>
          <w:iCs/>
        </w:rPr>
        <w:t>Elder Abuse</w:t>
      </w:r>
      <w:r w:rsidRPr="00171EA4">
        <w:t xml:space="preserve"> (n 6) [2.25].</w:t>
      </w:r>
    </w:p>
  </w:footnote>
  <w:footnote w:id="36">
    <w:p w14:paraId="775F14CC" w14:textId="3AC09D4D" w:rsidR="00070900" w:rsidRDefault="00070900" w:rsidP="00D47EAA">
      <w:pPr>
        <w:pStyle w:val="FootnoteText"/>
      </w:pPr>
      <w:r>
        <w:rPr>
          <w:rStyle w:val="FootnoteReference"/>
        </w:rPr>
        <w:footnoteRef/>
      </w:r>
      <w:r>
        <w:t xml:space="preserve"> </w:t>
      </w:r>
      <w:r w:rsidRPr="003C4B61">
        <w:t>Th</w:t>
      </w:r>
      <w:r w:rsidR="00DC5247">
        <w:t>e</w:t>
      </w:r>
      <w:r w:rsidRPr="003C4B61">
        <w:t xml:space="preserve"> WHO</w:t>
      </w:r>
      <w:r w:rsidR="00DC5247">
        <w:t xml:space="preserve"> </w:t>
      </w:r>
      <w:r w:rsidRPr="003C4B61">
        <w:t xml:space="preserve">definition is used in both </w:t>
      </w:r>
      <w:r w:rsidR="00DC5247">
        <w:t xml:space="preserve">the </w:t>
      </w:r>
      <w:r w:rsidRPr="00D47EAA">
        <w:rPr>
          <w:i/>
          <w:iCs/>
        </w:rPr>
        <w:t>National Plan to Respond to the Abuse of Older Australians (Elder Abuse) 2019–2023</w:t>
      </w:r>
      <w:r w:rsidRPr="003C4B61">
        <w:t xml:space="preserve"> and the Tasmanian Government’s </w:t>
      </w:r>
      <w:r w:rsidRPr="00D47EAA">
        <w:rPr>
          <w:i/>
          <w:iCs/>
        </w:rPr>
        <w:t xml:space="preserve">Lifelong Respect: Tasmania’s </w:t>
      </w:r>
      <w:r w:rsidR="00A0548C">
        <w:rPr>
          <w:i/>
          <w:iCs/>
        </w:rPr>
        <w:t>S</w:t>
      </w:r>
      <w:r w:rsidRPr="00D47EAA">
        <w:rPr>
          <w:i/>
          <w:iCs/>
        </w:rPr>
        <w:t xml:space="preserve">trategy to </w:t>
      </w:r>
      <w:r w:rsidR="00A0548C">
        <w:rPr>
          <w:i/>
          <w:iCs/>
        </w:rPr>
        <w:t>E</w:t>
      </w:r>
      <w:r w:rsidRPr="00D47EAA">
        <w:rPr>
          <w:i/>
          <w:iCs/>
        </w:rPr>
        <w:t xml:space="preserve">nd the </w:t>
      </w:r>
      <w:r w:rsidR="00A0548C">
        <w:rPr>
          <w:i/>
          <w:iCs/>
        </w:rPr>
        <w:t>A</w:t>
      </w:r>
      <w:r w:rsidRPr="00D47EAA">
        <w:rPr>
          <w:i/>
          <w:iCs/>
        </w:rPr>
        <w:t xml:space="preserve">buse of </w:t>
      </w:r>
      <w:r w:rsidR="00A0548C">
        <w:rPr>
          <w:i/>
          <w:iCs/>
        </w:rPr>
        <w:t>O</w:t>
      </w:r>
      <w:r w:rsidRPr="00D47EAA">
        <w:rPr>
          <w:i/>
          <w:iCs/>
        </w:rPr>
        <w:t xml:space="preserve">lder </w:t>
      </w:r>
      <w:r w:rsidR="00A0548C">
        <w:rPr>
          <w:i/>
          <w:iCs/>
        </w:rPr>
        <w:t>P</w:t>
      </w:r>
      <w:r w:rsidRPr="00D47EAA">
        <w:rPr>
          <w:i/>
          <w:iCs/>
        </w:rPr>
        <w:t>eople (Elder Abuse) 2023–2029</w:t>
      </w:r>
      <w:r w:rsidR="00F92BDE">
        <w:t xml:space="preserve">: </w:t>
      </w:r>
      <w:r w:rsidR="00262B0E">
        <w:t xml:space="preserve">see </w:t>
      </w:r>
      <w:r w:rsidR="007227F3">
        <w:t>Council of Attorneys-General</w:t>
      </w:r>
      <w:r w:rsidR="00262EAB">
        <w:t xml:space="preserve">, </w:t>
      </w:r>
      <w:r w:rsidR="00262EAB" w:rsidRPr="00262EAB">
        <w:rPr>
          <w:i/>
          <w:iCs/>
        </w:rPr>
        <w:t>National Plan 2019–2023</w:t>
      </w:r>
      <w:r w:rsidR="007227F3">
        <w:t xml:space="preserve"> (n 1) </w:t>
      </w:r>
      <w:r w:rsidR="005E11B7">
        <w:t>2</w:t>
      </w:r>
      <w:r w:rsidR="007227F3">
        <w:t xml:space="preserve">; </w:t>
      </w:r>
      <w:r w:rsidR="00C66E13" w:rsidRPr="00C66E13">
        <w:t xml:space="preserve">Tasmanian Government, </w:t>
      </w:r>
      <w:r w:rsidR="00C66E13" w:rsidRPr="00262B0E">
        <w:rPr>
          <w:i/>
          <w:iCs/>
        </w:rPr>
        <w:t>Lifelong Respect Strategy 2023–2029</w:t>
      </w:r>
      <w:r w:rsidR="00C66E13" w:rsidRPr="00C66E13">
        <w:t xml:space="preserve"> (n 19)</w:t>
      </w:r>
      <w:r w:rsidR="00C66E13">
        <w:t xml:space="preserve"> </w:t>
      </w:r>
      <w:r w:rsidRPr="003C4B61">
        <w:t>6</w:t>
      </w:r>
      <w:r w:rsidR="004176D9">
        <w:t>.</w:t>
      </w:r>
    </w:p>
  </w:footnote>
  <w:footnote w:id="37">
    <w:p w14:paraId="517151D7" w14:textId="5C2ABCA9" w:rsidR="00D47EAA" w:rsidRDefault="00D47EAA">
      <w:pPr>
        <w:pStyle w:val="FootnoteText"/>
      </w:pPr>
      <w:r>
        <w:rPr>
          <w:rStyle w:val="FootnoteReference"/>
        </w:rPr>
        <w:footnoteRef/>
      </w:r>
      <w:r>
        <w:t xml:space="preserve"> </w:t>
      </w:r>
      <w:r w:rsidR="005E11B7">
        <w:t xml:space="preserve">Council of Attorneys-General, </w:t>
      </w:r>
      <w:r w:rsidR="005E11B7" w:rsidRPr="00262EAB">
        <w:rPr>
          <w:i/>
          <w:iCs/>
        </w:rPr>
        <w:t>National Plan 2019–2023</w:t>
      </w:r>
      <w:r w:rsidR="005E11B7">
        <w:t xml:space="preserve"> (n 1)</w:t>
      </w:r>
      <w:r w:rsidRPr="003C4B61">
        <w:t xml:space="preserve"> 2</w:t>
      </w:r>
      <w:r w:rsidR="00101F3E">
        <w:t>; SALRI (n 1</w:t>
      </w:r>
      <w:r w:rsidR="00E4455F">
        <w:t xml:space="preserve">1) xiv; Rosemary Croucher and Julie </w:t>
      </w:r>
      <w:r w:rsidR="008902B6">
        <w:t xml:space="preserve">MacKenzie, ‘Framing Law reform to Address Elder Abuse’ (2018) 18 </w:t>
      </w:r>
      <w:r w:rsidR="008902B6" w:rsidRPr="008902B6">
        <w:rPr>
          <w:i/>
          <w:iCs/>
        </w:rPr>
        <w:t>Macquarie Law Journal</w:t>
      </w:r>
      <w:r w:rsidR="008902B6">
        <w:t xml:space="preserve"> 5, 8–9; </w:t>
      </w:r>
      <w:r w:rsidR="006D3BCC" w:rsidRPr="00EC160D">
        <w:rPr>
          <w:i/>
          <w:iCs/>
        </w:rPr>
        <w:t>Royal Commission into Family Violence</w:t>
      </w:r>
      <w:r w:rsidR="006D3BCC">
        <w:t xml:space="preserve"> (Summary and Recommendations) 68; </w:t>
      </w:r>
      <w:r w:rsidR="001E74BF">
        <w:t xml:space="preserve">Seniors Rights Victoria, </w:t>
      </w:r>
      <w:r w:rsidR="001E74BF" w:rsidRPr="00E57717">
        <w:rPr>
          <w:i/>
          <w:iCs/>
        </w:rPr>
        <w:t>Elder Abuse as Family Violence</w:t>
      </w:r>
      <w:r w:rsidR="001E74BF">
        <w:t xml:space="preserve"> </w:t>
      </w:r>
      <w:r w:rsidR="00623D18">
        <w:t>(Discussion Paper)</w:t>
      </w:r>
      <w:r w:rsidR="009647F7">
        <w:t xml:space="preserve">; </w:t>
      </w:r>
      <w:r w:rsidR="00FD2D29" w:rsidRPr="00E57717">
        <w:rPr>
          <w:i/>
          <w:iCs/>
        </w:rPr>
        <w:t>Royal Commission into Domestic, Family and Sexual Violence</w:t>
      </w:r>
      <w:r w:rsidR="00FD2D29">
        <w:t xml:space="preserve"> (Report</w:t>
      </w:r>
      <w:r w:rsidR="00FD1F35">
        <w:t xml:space="preserve"> ‘With Courage: South Australia’s Vision Beyond Violence’</w:t>
      </w:r>
      <w:r w:rsidR="00FD2D29">
        <w:t>, August 2025)</w:t>
      </w:r>
      <w:r w:rsidR="00EC160D">
        <w:t xml:space="preserve"> 81</w:t>
      </w:r>
      <w:r w:rsidR="00FD2D29">
        <w:t>.</w:t>
      </w:r>
    </w:p>
  </w:footnote>
  <w:footnote w:id="38">
    <w:p w14:paraId="3CB177F8" w14:textId="40A308B1" w:rsidR="008F23CA" w:rsidRDefault="008F23CA" w:rsidP="008F23CA">
      <w:pPr>
        <w:pStyle w:val="FootnoteText"/>
      </w:pPr>
      <w:r>
        <w:rPr>
          <w:rStyle w:val="FootnoteReference"/>
        </w:rPr>
        <w:footnoteRef/>
      </w:r>
      <w:r>
        <w:t xml:space="preserve"> </w:t>
      </w:r>
      <w:r w:rsidR="005E11B7" w:rsidRPr="005E11B7">
        <w:t>Ibid</w:t>
      </w:r>
      <w:r w:rsidRPr="005E11B7">
        <w:t>.</w:t>
      </w:r>
    </w:p>
  </w:footnote>
  <w:footnote w:id="39">
    <w:p w14:paraId="6D7F3C66" w14:textId="005EADF3" w:rsidR="004A640D" w:rsidRDefault="004A640D" w:rsidP="004A640D">
      <w:pPr>
        <w:pStyle w:val="FootnoteText"/>
      </w:pPr>
      <w:r>
        <w:rPr>
          <w:rStyle w:val="FootnoteReference"/>
        </w:rPr>
        <w:footnoteRef/>
      </w:r>
      <w:r>
        <w:t xml:space="preserve"> </w:t>
      </w:r>
      <w:r w:rsidR="008D1108" w:rsidRPr="00C66E13">
        <w:t xml:space="preserve">Tasmanian Government, </w:t>
      </w:r>
      <w:r w:rsidR="008D1108" w:rsidRPr="00262B0E">
        <w:rPr>
          <w:i/>
          <w:iCs/>
        </w:rPr>
        <w:t>Lifelong Respect Strategy 2023–2029</w:t>
      </w:r>
      <w:r w:rsidR="008D1108" w:rsidRPr="00C66E13">
        <w:t xml:space="preserve"> (n 19)</w:t>
      </w:r>
      <w:r w:rsidR="008D1108">
        <w:t xml:space="preserve"> </w:t>
      </w:r>
      <w:r w:rsidRPr="003C4B61">
        <w:t>8–9.</w:t>
      </w:r>
    </w:p>
  </w:footnote>
  <w:footnote w:id="40">
    <w:p w14:paraId="7E9C4D6E" w14:textId="576B356D" w:rsidR="009C0A4B" w:rsidRDefault="009C0A4B">
      <w:pPr>
        <w:pStyle w:val="FootnoteText"/>
      </w:pPr>
      <w:r>
        <w:rPr>
          <w:rStyle w:val="FootnoteReference"/>
        </w:rPr>
        <w:footnoteRef/>
      </w:r>
      <w:r>
        <w:t xml:space="preserve"> </w:t>
      </w:r>
      <w:r w:rsidR="005F5DA3">
        <w:t xml:space="preserve">Council of Attorneys-General, </w:t>
      </w:r>
      <w:r w:rsidR="005F5DA3" w:rsidRPr="00262EAB">
        <w:rPr>
          <w:i/>
          <w:iCs/>
        </w:rPr>
        <w:t>National Plan 2019–2023</w:t>
      </w:r>
      <w:r w:rsidR="005F5DA3">
        <w:t xml:space="preserve"> (n 1)</w:t>
      </w:r>
      <w:r w:rsidR="005F5DA3" w:rsidRPr="003C4B61">
        <w:t xml:space="preserve"> </w:t>
      </w:r>
      <w:r w:rsidRPr="009C0A4B">
        <w:t>3. It is noted that the first five tend to be more ‘commonly recognised’, and the last three are ‘emerging’ forms of abuse that are gaining recognition.</w:t>
      </w:r>
    </w:p>
  </w:footnote>
  <w:footnote w:id="41">
    <w:p w14:paraId="171D92FA" w14:textId="2017E820" w:rsidR="00094D78" w:rsidRDefault="00094D78">
      <w:pPr>
        <w:pStyle w:val="FootnoteText"/>
      </w:pPr>
      <w:r>
        <w:rPr>
          <w:rStyle w:val="FootnoteReference"/>
        </w:rPr>
        <w:footnoteRef/>
      </w:r>
      <w:r>
        <w:t xml:space="preserve"> </w:t>
      </w:r>
      <w:r w:rsidRPr="00C66E13">
        <w:t xml:space="preserve">Tasmanian Government, </w:t>
      </w:r>
      <w:r w:rsidRPr="00262B0E">
        <w:rPr>
          <w:i/>
          <w:iCs/>
        </w:rPr>
        <w:t>Lifelong Respect Strategy 2023–2029</w:t>
      </w:r>
      <w:r w:rsidRPr="00C66E13">
        <w:t xml:space="preserve"> (n 19)</w:t>
      </w:r>
      <w:r>
        <w:t xml:space="preserve"> </w:t>
      </w:r>
      <w:r w:rsidRPr="00094D78">
        <w:t xml:space="preserve">8–9; </w:t>
      </w:r>
      <w:r>
        <w:t xml:space="preserve">Council of Attorneys-General, </w:t>
      </w:r>
      <w:r w:rsidRPr="00262EAB">
        <w:rPr>
          <w:i/>
          <w:iCs/>
        </w:rPr>
        <w:t>National Plan 2019–2023</w:t>
      </w:r>
      <w:r>
        <w:t xml:space="preserve"> (n 1) </w:t>
      </w:r>
      <w:r w:rsidRPr="00094D78">
        <w:t xml:space="preserve">3; </w:t>
      </w:r>
      <w:r w:rsidR="00FF0D5F">
        <w:t>Council of Attorneys-General,</w:t>
      </w:r>
      <w:r w:rsidRPr="00094D78">
        <w:t xml:space="preserve"> </w:t>
      </w:r>
      <w:r w:rsidRPr="00765C86">
        <w:rPr>
          <w:i/>
          <w:iCs/>
        </w:rPr>
        <w:t xml:space="preserve">National Plan </w:t>
      </w:r>
      <w:r w:rsidR="007D7D24" w:rsidRPr="00765C86">
        <w:rPr>
          <w:i/>
          <w:iCs/>
        </w:rPr>
        <w:t>to End the Abuse and Mistreatment of Older People 2024–2034: Public Consultation Draft</w:t>
      </w:r>
      <w:r w:rsidR="007D7D24">
        <w:t xml:space="preserve"> (A </w:t>
      </w:r>
      <w:r w:rsidR="00765C86">
        <w:t>J</w:t>
      </w:r>
      <w:r w:rsidR="007D7D24">
        <w:t xml:space="preserve">oint Australian, </w:t>
      </w:r>
      <w:r w:rsidR="00765C86">
        <w:t>S</w:t>
      </w:r>
      <w:r w:rsidR="007D7D24">
        <w:t xml:space="preserve">tate and </w:t>
      </w:r>
      <w:r w:rsidR="00765C86">
        <w:t>T</w:t>
      </w:r>
      <w:r w:rsidR="007D7D24">
        <w:t xml:space="preserve">erritory </w:t>
      </w:r>
      <w:r w:rsidR="00765C86">
        <w:t>G</w:t>
      </w:r>
      <w:r w:rsidR="007D7D24">
        <w:t xml:space="preserve">overnment </w:t>
      </w:r>
      <w:r w:rsidR="00765C86">
        <w:t>I</w:t>
      </w:r>
      <w:r w:rsidR="007D7D24">
        <w:t xml:space="preserve">nitiative, </w:t>
      </w:r>
      <w:r w:rsidR="00765C86">
        <w:t xml:space="preserve">2024) </w:t>
      </w:r>
      <w:r w:rsidR="00BC0630">
        <w:t xml:space="preserve">(‘Council of Attorneys-General, </w:t>
      </w:r>
      <w:r w:rsidR="00BC0630">
        <w:rPr>
          <w:i/>
          <w:iCs/>
        </w:rPr>
        <w:t>National Plan</w:t>
      </w:r>
      <w:r w:rsidR="00415BB7">
        <w:rPr>
          <w:i/>
          <w:iCs/>
        </w:rPr>
        <w:t xml:space="preserve"> </w:t>
      </w:r>
      <w:r w:rsidR="00415BB7" w:rsidRPr="00765C86">
        <w:rPr>
          <w:i/>
          <w:iCs/>
        </w:rPr>
        <w:t>2024–2034: Public Consultation Draft</w:t>
      </w:r>
      <w:r w:rsidR="00415BB7">
        <w:t xml:space="preserve">’) </w:t>
      </w:r>
      <w:r w:rsidRPr="00094D78">
        <w:t xml:space="preserve">11–13; Teresa Somes and Eileen Webb, 'Financial Abuse' in Sue Field, Karen Williams and Carolyn Sappideen (eds), </w:t>
      </w:r>
      <w:r w:rsidRPr="00765C86">
        <w:rPr>
          <w:i/>
          <w:iCs/>
        </w:rPr>
        <w:t>Elder Law: A Guide to Working with Older Australians</w:t>
      </w:r>
      <w:r w:rsidRPr="00094D78">
        <w:t xml:space="preserve"> (The Federation Press, 2018) 225</w:t>
      </w:r>
      <w:r w:rsidR="00765C86">
        <w:t>,</w:t>
      </w:r>
      <w:r w:rsidRPr="00094D78">
        <w:t xml:space="preserve"> 227; </w:t>
      </w:r>
      <w:r w:rsidR="003210B3">
        <w:t xml:space="preserve">ALRC, </w:t>
      </w:r>
      <w:r w:rsidR="003210B3" w:rsidRPr="003210B3">
        <w:rPr>
          <w:i/>
          <w:iCs/>
        </w:rPr>
        <w:t>Elder Abuse</w:t>
      </w:r>
      <w:r w:rsidR="00765C86">
        <w:t xml:space="preserve"> (n 6)</w:t>
      </w:r>
      <w:r w:rsidRPr="00094D78">
        <w:t xml:space="preserve"> 19</w:t>
      </w:r>
      <w:r w:rsidR="00765C86">
        <w:t>.</w:t>
      </w:r>
    </w:p>
  </w:footnote>
  <w:footnote w:id="42">
    <w:p w14:paraId="218DB038" w14:textId="0A0D5973" w:rsidR="00AA09A4" w:rsidRDefault="00AA09A4">
      <w:pPr>
        <w:pStyle w:val="FootnoteText"/>
      </w:pPr>
      <w:r>
        <w:rPr>
          <w:rStyle w:val="FootnoteReference"/>
        </w:rPr>
        <w:footnoteRef/>
      </w:r>
      <w:r>
        <w:t xml:space="preserve"> </w:t>
      </w:r>
      <w:r w:rsidR="0079278A">
        <w:t xml:space="preserve">‘Grandparental </w:t>
      </w:r>
      <w:r w:rsidR="00ED246B">
        <w:t>alienation</w:t>
      </w:r>
      <w:r w:rsidR="0079278A">
        <w:t>’</w:t>
      </w:r>
      <w:r w:rsidRPr="00AA09A4">
        <w:t xml:space="preserve"> is highlighted as an emerging term in </w:t>
      </w:r>
      <w:r>
        <w:t xml:space="preserve">Council of Attorneys-General, </w:t>
      </w:r>
      <w:r>
        <w:rPr>
          <w:i/>
          <w:iCs/>
        </w:rPr>
        <w:t xml:space="preserve">National Plan </w:t>
      </w:r>
      <w:r w:rsidRPr="00765C86">
        <w:rPr>
          <w:i/>
          <w:iCs/>
        </w:rPr>
        <w:t>2024–2034: Public Consultation Draft</w:t>
      </w:r>
      <w:r>
        <w:t xml:space="preserve"> (n 40)</w:t>
      </w:r>
      <w:r w:rsidRPr="00AA09A4">
        <w:t xml:space="preserve"> 12.</w:t>
      </w:r>
    </w:p>
  </w:footnote>
  <w:footnote w:id="43">
    <w:p w14:paraId="3AF77D39" w14:textId="65A8B925" w:rsidR="001A3CDD" w:rsidRDefault="001A3CDD">
      <w:pPr>
        <w:pStyle w:val="FootnoteText"/>
      </w:pPr>
      <w:r>
        <w:rPr>
          <w:rStyle w:val="FootnoteReference"/>
        </w:rPr>
        <w:footnoteRef/>
      </w:r>
      <w:r>
        <w:t xml:space="preserve"> ‘Inheritance impatience’ </w:t>
      </w:r>
      <w:r w:rsidRPr="00AA09A4">
        <w:t>is highlighted as an emerging term</w:t>
      </w:r>
      <w:r>
        <w:t xml:space="preserve"> in Council of Attorneys-General, </w:t>
      </w:r>
      <w:r>
        <w:rPr>
          <w:i/>
          <w:iCs/>
        </w:rPr>
        <w:t xml:space="preserve">National Plan </w:t>
      </w:r>
      <w:r w:rsidRPr="00765C86">
        <w:rPr>
          <w:i/>
          <w:iCs/>
        </w:rPr>
        <w:t>2024–2034: Public Consultation Draft</w:t>
      </w:r>
      <w:r>
        <w:t xml:space="preserve"> (n 40)</w:t>
      </w:r>
      <w:r w:rsidRPr="00AA09A4">
        <w:t xml:space="preserve"> </w:t>
      </w:r>
      <w:r w:rsidRPr="003C4B61">
        <w:t>13.</w:t>
      </w:r>
    </w:p>
  </w:footnote>
  <w:footnote w:id="44">
    <w:p w14:paraId="1A7DD9BE" w14:textId="47B6CF42" w:rsidR="001A3CDD" w:rsidRDefault="001A3CDD">
      <w:pPr>
        <w:pStyle w:val="FootnoteText"/>
      </w:pPr>
      <w:r>
        <w:rPr>
          <w:rStyle w:val="FootnoteReference"/>
        </w:rPr>
        <w:footnoteRef/>
      </w:r>
      <w:r>
        <w:t xml:space="preserve"> Spiritual abuse </w:t>
      </w:r>
      <w:r w:rsidRPr="003C4B61">
        <w:t xml:space="preserve">is </w:t>
      </w:r>
      <w:r w:rsidRPr="00986B00">
        <w:t>identified</w:t>
      </w:r>
      <w:r w:rsidRPr="003C4B61">
        <w:t xml:space="preserve"> as a distinct form of abuse </w:t>
      </w:r>
      <w:r>
        <w:t xml:space="preserve">in </w:t>
      </w:r>
      <w:r w:rsidRPr="0068201D">
        <w:t>Tasmania</w:t>
      </w:r>
      <w:r>
        <w:t>n</w:t>
      </w:r>
      <w:r w:rsidRPr="0068201D">
        <w:t xml:space="preserve"> Government, </w:t>
      </w:r>
      <w:r w:rsidRPr="00FA6AEB">
        <w:rPr>
          <w:i/>
          <w:iCs/>
        </w:rPr>
        <w:t>Lifelong Respect Strategy 2023–2029</w:t>
      </w:r>
      <w:r w:rsidRPr="0068201D">
        <w:t xml:space="preserve"> (n 19</w:t>
      </w:r>
      <w:r>
        <w:t xml:space="preserve">) </w:t>
      </w:r>
      <w:r w:rsidRPr="003C4B61">
        <w:t>9</w:t>
      </w:r>
      <w:r>
        <w:t xml:space="preserve">. Spiritual abuse </w:t>
      </w:r>
      <w:r w:rsidRPr="003C4B61">
        <w:t>is identified as a</w:t>
      </w:r>
      <w:r>
        <w:t>n</w:t>
      </w:r>
      <w:r w:rsidRPr="003C4B61">
        <w:t xml:space="preserve"> emerging form of abuse</w:t>
      </w:r>
      <w:r>
        <w:t>,</w:t>
      </w:r>
      <w:r w:rsidRPr="003C4B61">
        <w:t xml:space="preserve"> </w:t>
      </w:r>
      <w:r>
        <w:t xml:space="preserve">to </w:t>
      </w:r>
      <w:r w:rsidRPr="003C4B61">
        <w:t>which further consider</w:t>
      </w:r>
      <w:r>
        <w:t xml:space="preserve">ation is being given, in Council of Attorneys-General, </w:t>
      </w:r>
      <w:r>
        <w:rPr>
          <w:i/>
          <w:iCs/>
        </w:rPr>
        <w:t xml:space="preserve">National Plan </w:t>
      </w:r>
      <w:r w:rsidRPr="00765C86">
        <w:rPr>
          <w:i/>
          <w:iCs/>
        </w:rPr>
        <w:t>2024–2034: Public Consultation Draft</w:t>
      </w:r>
      <w:r>
        <w:t xml:space="preserve"> (n 40)</w:t>
      </w:r>
      <w:r w:rsidRPr="00AA09A4">
        <w:t xml:space="preserve"> </w:t>
      </w:r>
      <w:r w:rsidRPr="003C4B61">
        <w:t>14</w:t>
      </w:r>
      <w:r>
        <w:t>.</w:t>
      </w:r>
    </w:p>
  </w:footnote>
  <w:footnote w:id="45">
    <w:p w14:paraId="2B3DA1DC" w14:textId="26167A7A" w:rsidR="001A3CDD" w:rsidRDefault="001A3CDD">
      <w:pPr>
        <w:pStyle w:val="FootnoteText"/>
      </w:pPr>
      <w:r>
        <w:rPr>
          <w:rStyle w:val="FootnoteReference"/>
        </w:rPr>
        <w:footnoteRef/>
      </w:r>
      <w:r>
        <w:t xml:space="preserve"> Cultural abuse </w:t>
      </w:r>
      <w:r w:rsidRPr="003C4B61">
        <w:t xml:space="preserve">is identified as a distinct form of abuse in </w:t>
      </w:r>
      <w:r w:rsidRPr="0068201D">
        <w:t>Tasmania</w:t>
      </w:r>
      <w:r>
        <w:t>n</w:t>
      </w:r>
      <w:r w:rsidRPr="0068201D">
        <w:t xml:space="preserve"> Government, </w:t>
      </w:r>
      <w:r w:rsidRPr="00FA6AEB">
        <w:rPr>
          <w:i/>
          <w:iCs/>
        </w:rPr>
        <w:t>Lifelong Respect Strategy 2023–2029</w:t>
      </w:r>
      <w:r w:rsidRPr="0068201D">
        <w:t xml:space="preserve"> (n 19</w:t>
      </w:r>
      <w:r>
        <w:t xml:space="preserve">) </w:t>
      </w:r>
      <w:r w:rsidRPr="003C4B61">
        <w:t>9.</w:t>
      </w:r>
      <w:r>
        <w:t xml:space="preserve"> Cultural abuse </w:t>
      </w:r>
      <w:r w:rsidRPr="003C4B61">
        <w:t>is identified as an emerging form of abuse</w:t>
      </w:r>
      <w:r>
        <w:t xml:space="preserve">, to which further consideration is being given, in Council of Attorneys-General, </w:t>
      </w:r>
      <w:r>
        <w:rPr>
          <w:i/>
          <w:iCs/>
        </w:rPr>
        <w:t xml:space="preserve">National Plan </w:t>
      </w:r>
      <w:r w:rsidRPr="00765C86">
        <w:rPr>
          <w:i/>
          <w:iCs/>
        </w:rPr>
        <w:t>2024–2034: Public Consultation Draft</w:t>
      </w:r>
      <w:r>
        <w:t xml:space="preserve"> (n 40)</w:t>
      </w:r>
      <w:r w:rsidRPr="00AA09A4">
        <w:t xml:space="preserve"> </w:t>
      </w:r>
      <w:r w:rsidRPr="003C4B61">
        <w:t>14</w:t>
      </w:r>
      <w:r>
        <w:t>.</w:t>
      </w:r>
    </w:p>
  </w:footnote>
  <w:footnote w:id="46">
    <w:p w14:paraId="37803658" w14:textId="48D22B66" w:rsidR="001A3CDD" w:rsidRDefault="001A3CDD">
      <w:pPr>
        <w:pStyle w:val="FootnoteText"/>
      </w:pPr>
      <w:r>
        <w:rPr>
          <w:rStyle w:val="FootnoteReference"/>
        </w:rPr>
        <w:footnoteRef/>
      </w:r>
      <w:r>
        <w:t xml:space="preserve"> </w:t>
      </w:r>
      <w:r w:rsidRPr="003C4B61">
        <w:t xml:space="preserve">CALD is an acronym for culturally and </w:t>
      </w:r>
      <w:r w:rsidRPr="00986B00">
        <w:t>linguistically</w:t>
      </w:r>
      <w:r w:rsidRPr="003C4B61">
        <w:t xml:space="preserve"> diverse.</w:t>
      </w:r>
    </w:p>
  </w:footnote>
  <w:footnote w:id="47">
    <w:p w14:paraId="07DC14BC" w14:textId="0BE5E52E" w:rsidR="001A3CDD" w:rsidRDefault="001A3CDD">
      <w:pPr>
        <w:pStyle w:val="FootnoteText"/>
      </w:pPr>
      <w:r>
        <w:rPr>
          <w:rStyle w:val="FootnoteReference"/>
        </w:rPr>
        <w:footnoteRef/>
      </w:r>
      <w:r>
        <w:t xml:space="preserve"> </w:t>
      </w:r>
      <w:r w:rsidR="00BE543E" w:rsidRPr="00BE543E">
        <w:t>LGBTIQA+</w:t>
      </w:r>
      <w:r w:rsidR="00BE543E">
        <w:t xml:space="preserve"> </w:t>
      </w:r>
      <w:r w:rsidRPr="003C4B61">
        <w:t xml:space="preserve">is </w:t>
      </w:r>
      <w:r w:rsidRPr="00986B00">
        <w:t>an</w:t>
      </w:r>
      <w:r w:rsidRPr="003C4B61">
        <w:t xml:space="preserve"> acronym for lesbian, gay, bisexual, transgender, </w:t>
      </w:r>
      <w:r w:rsidR="00E2676F">
        <w:t xml:space="preserve">intersex, </w:t>
      </w:r>
      <w:r w:rsidRPr="003C4B61">
        <w:t>queer</w:t>
      </w:r>
      <w:r w:rsidR="0091530F">
        <w:t>/questioning</w:t>
      </w:r>
      <w:r w:rsidRPr="003C4B61">
        <w:t xml:space="preserve">, intersex, asexual, </w:t>
      </w:r>
      <w:r w:rsidR="00C5636C">
        <w:t>or people otherwise diverse in gender, sexual orientation and/or innate variations of sex characteristics</w:t>
      </w:r>
      <w:r w:rsidR="00D42B16">
        <w:t xml:space="preserve">, </w:t>
      </w:r>
      <w:r w:rsidRPr="003C4B61">
        <w:t>with the + signifying anyone who is not listed in the acronym but still identifies as part of this community.</w:t>
      </w:r>
      <w:r w:rsidR="00D42B16">
        <w:t xml:space="preserve"> Alternative abbreviations </w:t>
      </w:r>
      <w:r w:rsidR="00247F7A">
        <w:t xml:space="preserve">may be used in specific </w:t>
      </w:r>
      <w:r w:rsidR="00122451">
        <w:t>information</w:t>
      </w:r>
      <w:r w:rsidR="00247F7A">
        <w:t xml:space="preserve"> sources and</w:t>
      </w:r>
      <w:r w:rsidR="00496B80">
        <w:t xml:space="preserve"> are</w:t>
      </w:r>
      <w:r w:rsidR="00247F7A">
        <w:t xml:space="preserve"> </w:t>
      </w:r>
      <w:r w:rsidR="00122451">
        <w:t xml:space="preserve">referred to </w:t>
      </w:r>
      <w:r w:rsidR="00F47C33">
        <w:t xml:space="preserve">accordingly </w:t>
      </w:r>
      <w:r w:rsidR="00122451">
        <w:t xml:space="preserve">in this </w:t>
      </w:r>
      <w:r w:rsidR="00D42B16">
        <w:t>Research Paper</w:t>
      </w:r>
      <w:r w:rsidR="00A06170">
        <w:t>.</w:t>
      </w:r>
      <w:r w:rsidR="00122451">
        <w:t xml:space="preserve"> See further: </w:t>
      </w:r>
      <w:r w:rsidR="00F20741" w:rsidRPr="00F20741">
        <w:t>Australian Institute of Health and Welfare (‘AIHW’), ‘</w:t>
      </w:r>
      <w:r w:rsidR="00190276">
        <w:t>LGBTIQA+</w:t>
      </w:r>
      <w:r w:rsidR="00F20741" w:rsidRPr="00F20741">
        <w:t xml:space="preserve"> People’, </w:t>
      </w:r>
      <w:r w:rsidR="00F20741" w:rsidRPr="00067844">
        <w:rPr>
          <w:i/>
          <w:iCs/>
        </w:rPr>
        <w:t>Family, Domestic and</w:t>
      </w:r>
      <w:r w:rsidR="00F20741" w:rsidRPr="00F20741">
        <w:t xml:space="preserve"> </w:t>
      </w:r>
      <w:r w:rsidR="00F20741" w:rsidRPr="00067844">
        <w:rPr>
          <w:i/>
          <w:iCs/>
        </w:rPr>
        <w:t>Sexual Violence</w:t>
      </w:r>
      <w:r w:rsidR="00F20741" w:rsidRPr="00F20741">
        <w:t xml:space="preserve"> (Web Page, 30 July 2025)</w:t>
      </w:r>
      <w:r w:rsidR="00D13258">
        <w:t xml:space="preserve"> &lt;</w:t>
      </w:r>
      <w:hyperlink r:id="rId22" w:history="1">
        <w:r w:rsidR="00D13258" w:rsidRPr="00873F7A">
          <w:rPr>
            <w:rStyle w:val="Hyperlink"/>
          </w:rPr>
          <w:t>https://www.aihw.gov.au/family-domestic-and-sexual-violence/population-groups/lgbtiqa-people</w:t>
        </w:r>
      </w:hyperlink>
      <w:r w:rsidR="00D13258">
        <w:t>&gt;.</w:t>
      </w:r>
    </w:p>
  </w:footnote>
  <w:footnote w:id="48">
    <w:p w14:paraId="6299D3DE" w14:textId="42C65DF8" w:rsidR="001A3CDD" w:rsidRDefault="001A3CDD">
      <w:pPr>
        <w:pStyle w:val="FootnoteText"/>
      </w:pPr>
      <w:r>
        <w:rPr>
          <w:rStyle w:val="FootnoteReference"/>
        </w:rPr>
        <w:footnoteRef/>
      </w:r>
      <w:r>
        <w:t xml:space="preserve"> </w:t>
      </w:r>
      <w:r w:rsidRPr="0068201D">
        <w:t>Tasmania</w:t>
      </w:r>
      <w:r>
        <w:t>n</w:t>
      </w:r>
      <w:r w:rsidRPr="0068201D">
        <w:t xml:space="preserve"> Government, </w:t>
      </w:r>
      <w:r w:rsidRPr="00FA6AEB">
        <w:rPr>
          <w:i/>
          <w:iCs/>
        </w:rPr>
        <w:t>Lifelong Respect Strategy 2023–2029</w:t>
      </w:r>
      <w:r w:rsidRPr="0068201D">
        <w:t xml:space="preserve"> (n 19</w:t>
      </w:r>
      <w:r>
        <w:t>)</w:t>
      </w:r>
      <w:r w:rsidRPr="003C4B61">
        <w:t xml:space="preserve"> 9.</w:t>
      </w:r>
    </w:p>
  </w:footnote>
  <w:footnote w:id="49">
    <w:p w14:paraId="209C33B6" w14:textId="1918685B" w:rsidR="00C901E1" w:rsidRDefault="00C901E1">
      <w:pPr>
        <w:pStyle w:val="FootnoteText"/>
      </w:pPr>
      <w:r>
        <w:rPr>
          <w:rStyle w:val="FootnoteReference"/>
        </w:rPr>
        <w:footnoteRef/>
      </w:r>
      <w:r>
        <w:t xml:space="preserve"> </w:t>
      </w:r>
      <w:r w:rsidR="001A3CDD" w:rsidRPr="004227D3">
        <w:t>Attorney-General’s Department</w:t>
      </w:r>
      <w:r w:rsidR="001A3CDD">
        <w:t xml:space="preserve">, </w:t>
      </w:r>
      <w:r w:rsidR="004227D3" w:rsidRPr="004227D3">
        <w:t xml:space="preserve">Australian Government, </w:t>
      </w:r>
      <w:r w:rsidR="004227D3" w:rsidRPr="004227D3">
        <w:rPr>
          <w:i/>
          <w:iCs/>
        </w:rPr>
        <w:t>National Principles to Address Coercive Control in Family and Domestic Violence</w:t>
      </w:r>
      <w:r w:rsidR="004227D3" w:rsidRPr="004227D3">
        <w:t xml:space="preserve"> (22 September 2023)</w:t>
      </w:r>
      <w:r w:rsidR="00D00FCA">
        <w:t xml:space="preserve"> &lt;</w:t>
      </w:r>
      <w:hyperlink r:id="rId23" w:history="1">
        <w:r w:rsidR="00D00FCA" w:rsidRPr="00D31682">
          <w:rPr>
            <w:rStyle w:val="Hyperlink"/>
          </w:rPr>
          <w:t>https://www.ag.gov.au/families-and-marriage/publications/national-principles-address-coercive-control-family-and-domestic-violence</w:t>
        </w:r>
      </w:hyperlink>
      <w:r w:rsidR="00D00FCA">
        <w:t>&gt;.</w:t>
      </w:r>
    </w:p>
  </w:footnote>
  <w:footnote w:id="50">
    <w:p w14:paraId="2E726614" w14:textId="04CA78BC" w:rsidR="00535D23" w:rsidRDefault="00535D23">
      <w:pPr>
        <w:pStyle w:val="FootnoteText"/>
      </w:pPr>
      <w:r>
        <w:rPr>
          <w:rStyle w:val="FootnoteReference"/>
        </w:rPr>
        <w:footnoteRef/>
      </w:r>
      <w:r>
        <w:t xml:space="preserve"> Ibid.</w:t>
      </w:r>
    </w:p>
  </w:footnote>
  <w:footnote w:id="51">
    <w:p w14:paraId="6E868AC0" w14:textId="39555E97" w:rsidR="00850F53" w:rsidRDefault="00850F53">
      <w:pPr>
        <w:pStyle w:val="FootnoteText"/>
      </w:pPr>
      <w:r>
        <w:rPr>
          <w:rStyle w:val="FootnoteReference"/>
        </w:rPr>
        <w:footnoteRef/>
      </w:r>
      <w:r>
        <w:t xml:space="preserve"> </w:t>
      </w:r>
      <w:r w:rsidRPr="003C4B61">
        <w:t xml:space="preserve">For example, </w:t>
      </w:r>
      <w:r w:rsidRPr="00546BC1">
        <w:t>Criminal</w:t>
      </w:r>
      <w:r w:rsidRPr="00147172">
        <w:rPr>
          <w:i/>
          <w:iCs/>
        </w:rPr>
        <w:t xml:space="preserve"> Code Act 1899</w:t>
      </w:r>
      <w:r>
        <w:t xml:space="preserve"> (Qld) ch 29A ‘Coercive control’ ss 334A–334F.</w:t>
      </w:r>
      <w:r w:rsidRPr="003C4B61">
        <w:t xml:space="preserve"> See further </w:t>
      </w:r>
      <w:r>
        <w:t>[5.3.20]</w:t>
      </w:r>
      <w:r w:rsidRPr="003C4B61">
        <w:t>.</w:t>
      </w:r>
    </w:p>
  </w:footnote>
  <w:footnote w:id="52">
    <w:p w14:paraId="6B2EB2B3" w14:textId="08D62EA3" w:rsidR="00850F53" w:rsidRDefault="00850F53">
      <w:pPr>
        <w:pStyle w:val="FootnoteText"/>
      </w:pPr>
      <w:r>
        <w:rPr>
          <w:rStyle w:val="FootnoteReference"/>
        </w:rPr>
        <w:footnoteRef/>
      </w:r>
      <w:r>
        <w:t xml:space="preserve"> </w:t>
      </w:r>
      <w:r w:rsidRPr="003C4B61">
        <w:t>Somes and Webb</w:t>
      </w:r>
      <w:r>
        <w:t xml:space="preserve"> (n 40) </w:t>
      </w:r>
      <w:r w:rsidRPr="003C4B61">
        <w:t>244.</w:t>
      </w:r>
    </w:p>
  </w:footnote>
  <w:footnote w:id="53">
    <w:p w14:paraId="325BED31" w14:textId="52B36C7C" w:rsidR="00850F53" w:rsidRDefault="00850F53">
      <w:pPr>
        <w:pStyle w:val="FootnoteText"/>
      </w:pPr>
      <w:r>
        <w:rPr>
          <w:rStyle w:val="FootnoteReference"/>
        </w:rPr>
        <w:footnoteRef/>
      </w:r>
      <w:r>
        <w:t xml:space="preserve"> </w:t>
      </w:r>
      <w:r w:rsidRPr="003C4B61">
        <w:t>Somes and Webb</w:t>
      </w:r>
      <w:r>
        <w:t xml:space="preserve"> (n 40) </w:t>
      </w:r>
      <w:r w:rsidRPr="003C4B61">
        <w:t>244</w:t>
      </w:r>
      <w:r>
        <w:t xml:space="preserve"> n 97, quoting the </w:t>
      </w:r>
      <w:r w:rsidRPr="003C4B61">
        <w:t>Australas</w:t>
      </w:r>
      <w:r>
        <w:t>ian</w:t>
      </w:r>
      <w:r w:rsidRPr="003C4B61">
        <w:t xml:space="preserve"> Consumer Fraud Taskforce. See </w:t>
      </w:r>
      <w:r>
        <w:t>further</w:t>
      </w:r>
      <w:r w:rsidRPr="003C4B61">
        <w:t xml:space="preserve"> A</w:t>
      </w:r>
      <w:r>
        <w:t xml:space="preserve">ustralian Institute of Criminology, </w:t>
      </w:r>
      <w:r w:rsidRPr="003C4B61">
        <w:rPr>
          <w:i/>
          <w:iCs/>
        </w:rPr>
        <w:t xml:space="preserve">Fraud </w:t>
      </w:r>
      <w:r w:rsidRPr="003C4B61">
        <w:t xml:space="preserve">(last updated 3 November </w:t>
      </w:r>
      <w:r w:rsidRPr="00546BC1">
        <w:t>2017</w:t>
      </w:r>
      <w:r w:rsidRPr="003C4B61">
        <w:t xml:space="preserve">); </w:t>
      </w:r>
      <w:r>
        <w:t xml:space="preserve">Russell G Smith et al, Australian Institute of Criminology (‘AIC’), </w:t>
      </w:r>
      <w:r w:rsidRPr="002C144F">
        <w:rPr>
          <w:i/>
          <w:iCs/>
        </w:rPr>
        <w:t>Counting the Costs of Crime in Australia: A 2011 Estimate</w:t>
      </w:r>
      <w:r>
        <w:t xml:space="preserve"> (AIC Reports Research and Public Policy Series 129, 2014</w:t>
      </w:r>
      <w:r w:rsidRPr="003C4B61">
        <w:t>, revised 2017)</w:t>
      </w:r>
      <w:r>
        <w:t>; Penny Jorna, AIC (Australasian Consumer Fraud Taskforce: Results of the 2014 Online Consumer Fraud Survey (AIC Reports Research Report 1, 2016).</w:t>
      </w:r>
    </w:p>
  </w:footnote>
  <w:footnote w:id="54">
    <w:p w14:paraId="7AE56FB1" w14:textId="771DAB59" w:rsidR="00850F53" w:rsidRDefault="00850F53">
      <w:pPr>
        <w:pStyle w:val="FootnoteText"/>
      </w:pPr>
      <w:r>
        <w:rPr>
          <w:rStyle w:val="FootnoteReference"/>
        </w:rPr>
        <w:footnoteRef/>
      </w:r>
      <w:r>
        <w:t xml:space="preserve"> Somes and Webb (n 40) </w:t>
      </w:r>
      <w:r w:rsidRPr="003C4B61">
        <w:t>244</w:t>
      </w:r>
      <w:r>
        <w:t>.</w:t>
      </w:r>
    </w:p>
  </w:footnote>
  <w:footnote w:id="55">
    <w:p w14:paraId="0DE1B749" w14:textId="0A20CA25" w:rsidR="00850F53" w:rsidRDefault="00850F53">
      <w:pPr>
        <w:pStyle w:val="FootnoteText"/>
      </w:pPr>
      <w:r>
        <w:rPr>
          <w:rStyle w:val="FootnoteReference"/>
        </w:rPr>
        <w:footnoteRef/>
      </w:r>
      <w:r>
        <w:t xml:space="preserve"> Ibid </w:t>
      </w:r>
      <w:r w:rsidRPr="003C4B61">
        <w:t>227</w:t>
      </w:r>
      <w:r>
        <w:t>.</w:t>
      </w:r>
    </w:p>
  </w:footnote>
  <w:footnote w:id="56">
    <w:p w14:paraId="377EB404" w14:textId="08F414A7" w:rsidR="00850F53" w:rsidRDefault="00850F53">
      <w:pPr>
        <w:pStyle w:val="FootnoteText"/>
      </w:pPr>
      <w:r>
        <w:rPr>
          <w:rStyle w:val="FootnoteReference"/>
        </w:rPr>
        <w:footnoteRef/>
      </w:r>
      <w:r>
        <w:t xml:space="preserve"> Somes and Webb (n 40) 227. 244</w:t>
      </w:r>
      <w:r w:rsidRPr="003C4B61">
        <w:t xml:space="preserve">. See </w:t>
      </w:r>
      <w:r>
        <w:t xml:space="preserve">also </w:t>
      </w:r>
      <w:r w:rsidRPr="003C4B61">
        <w:t xml:space="preserve">SALRI </w:t>
      </w:r>
      <w:r>
        <w:t>(n 11) v</w:t>
      </w:r>
      <w:r w:rsidR="00E57717">
        <w:t>,</w:t>
      </w:r>
      <w:r>
        <w:t xml:space="preserve"> nn </w:t>
      </w:r>
      <w:r w:rsidRPr="003C4B61">
        <w:t>12–4</w:t>
      </w:r>
      <w:r>
        <w:t xml:space="preserve"> for a </w:t>
      </w:r>
      <w:r w:rsidRPr="003C4B61">
        <w:t>discussion of definition</w:t>
      </w:r>
      <w:r>
        <w:t>s</w:t>
      </w:r>
      <w:r w:rsidRPr="003C4B61">
        <w:t xml:space="preserve"> of </w:t>
      </w:r>
      <w:r>
        <w:t>‘</w:t>
      </w:r>
      <w:r w:rsidRPr="003C4B61">
        <w:t>elder abuse</w:t>
      </w:r>
      <w:r>
        <w:t>’</w:t>
      </w:r>
      <w:r w:rsidRPr="003C4B61">
        <w:t>.</w:t>
      </w:r>
    </w:p>
  </w:footnote>
  <w:footnote w:id="57">
    <w:p w14:paraId="70738C8F" w14:textId="47F1363C" w:rsidR="00850F53" w:rsidRDefault="00850F53">
      <w:pPr>
        <w:pStyle w:val="FootnoteText"/>
      </w:pPr>
      <w:r>
        <w:rPr>
          <w:rStyle w:val="FootnoteReference"/>
        </w:rPr>
        <w:footnoteRef/>
      </w:r>
      <w:r>
        <w:t xml:space="preserve"> </w:t>
      </w:r>
      <w:r w:rsidRPr="003C4B61">
        <w:t xml:space="preserve">Lixia Qu et al, </w:t>
      </w:r>
      <w:r w:rsidRPr="006B1596">
        <w:t>Australian Institute of Family Studies</w:t>
      </w:r>
      <w:r>
        <w:t xml:space="preserve"> (‘AIFS’),</w:t>
      </w:r>
      <w:r w:rsidRPr="003C4B61">
        <w:rPr>
          <w:i/>
          <w:iCs/>
        </w:rPr>
        <w:t xml:space="preserve"> National Elder Abuse Prevalence Study</w:t>
      </w:r>
      <w:r w:rsidRPr="003C4B61">
        <w:t xml:space="preserve"> (Final Report,</w:t>
      </w:r>
      <w:r w:rsidR="00B13C25">
        <w:t xml:space="preserve"> AIFS, Australian Government,</w:t>
      </w:r>
      <w:r w:rsidRPr="003C4B61">
        <w:t xml:space="preserve"> </w:t>
      </w:r>
      <w:r w:rsidR="00E60C77">
        <w:t xml:space="preserve">July </w:t>
      </w:r>
      <w:r w:rsidRPr="003C4B61">
        <w:t xml:space="preserve">2021) </w:t>
      </w:r>
      <w:r>
        <w:t xml:space="preserve">(‘Qu et al, AIFS’) </w:t>
      </w:r>
      <w:r w:rsidRPr="003C4B61">
        <w:t>167</w:t>
      </w:r>
      <w:r>
        <w:t xml:space="preserve">. See also Rae </w:t>
      </w:r>
      <w:r w:rsidRPr="00685B2A">
        <w:t xml:space="preserve">Kaspiew, </w:t>
      </w:r>
      <w:r>
        <w:t xml:space="preserve">Rachel </w:t>
      </w:r>
      <w:r w:rsidRPr="00685B2A">
        <w:t>Carson</w:t>
      </w:r>
      <w:r>
        <w:t xml:space="preserve"> and Helen </w:t>
      </w:r>
      <w:r w:rsidRPr="00685B2A">
        <w:t>Rhoade</w:t>
      </w:r>
      <w:r>
        <w:t xml:space="preserve">s, </w:t>
      </w:r>
      <w:r w:rsidRPr="006B1596">
        <w:t>Australian Institute of Family Studies</w:t>
      </w:r>
      <w:r>
        <w:t xml:space="preserve"> (‘AIFS’), Australian Government, </w:t>
      </w:r>
      <w:r w:rsidRPr="00685B2A">
        <w:rPr>
          <w:i/>
          <w:iCs/>
        </w:rPr>
        <w:t xml:space="preserve">Elder </w:t>
      </w:r>
      <w:r>
        <w:rPr>
          <w:i/>
          <w:iCs/>
        </w:rPr>
        <w:t>A</w:t>
      </w:r>
      <w:r w:rsidRPr="00685B2A">
        <w:rPr>
          <w:i/>
          <w:iCs/>
        </w:rPr>
        <w:t xml:space="preserve">buse: Understanding </w:t>
      </w:r>
      <w:r>
        <w:rPr>
          <w:i/>
          <w:iCs/>
        </w:rPr>
        <w:t>I</w:t>
      </w:r>
      <w:r w:rsidRPr="00685B2A">
        <w:rPr>
          <w:i/>
          <w:iCs/>
        </w:rPr>
        <w:t xml:space="preserve">ssues, </w:t>
      </w:r>
      <w:r>
        <w:rPr>
          <w:i/>
          <w:iCs/>
        </w:rPr>
        <w:t>F</w:t>
      </w:r>
      <w:r w:rsidRPr="00685B2A">
        <w:rPr>
          <w:i/>
          <w:iCs/>
        </w:rPr>
        <w:t xml:space="preserve">rameworks and </w:t>
      </w:r>
      <w:r>
        <w:rPr>
          <w:i/>
          <w:iCs/>
        </w:rPr>
        <w:t>R</w:t>
      </w:r>
      <w:r w:rsidRPr="00685B2A">
        <w:rPr>
          <w:i/>
          <w:iCs/>
        </w:rPr>
        <w:t>esponses</w:t>
      </w:r>
      <w:r w:rsidRPr="00685B2A">
        <w:t xml:space="preserve"> (Research Report No 35</w:t>
      </w:r>
      <w:r>
        <w:t xml:space="preserve">, </w:t>
      </w:r>
      <w:r w:rsidR="00B13C25">
        <w:t xml:space="preserve">AIFS, Australian </w:t>
      </w:r>
      <w:r w:rsidR="009E552B">
        <w:t>Government, 2016</w:t>
      </w:r>
      <w:r>
        <w:t>, Re-issue 2018</w:t>
      </w:r>
      <w:r w:rsidRPr="003C4B61">
        <w:t>)</w:t>
      </w:r>
      <w:r>
        <w:t xml:space="preserve"> (‘Kaspiew, Carson and Rhoades, AIFS’).</w:t>
      </w:r>
    </w:p>
  </w:footnote>
  <w:footnote w:id="58">
    <w:p w14:paraId="24CFEA32" w14:textId="262A18F2" w:rsidR="00850F53" w:rsidRDefault="00850F53">
      <w:pPr>
        <w:pStyle w:val="FootnoteText"/>
      </w:pPr>
      <w:r>
        <w:rPr>
          <w:rStyle w:val="FootnoteReference"/>
        </w:rPr>
        <w:footnoteRef/>
      </w:r>
      <w:r>
        <w:t xml:space="preserve"> </w:t>
      </w:r>
      <w:r w:rsidRPr="003C4B61">
        <w:t xml:space="preserve">Not all incidents may qualify for </w:t>
      </w:r>
      <w:r w:rsidRPr="00546BC1">
        <w:t>reporting</w:t>
      </w:r>
      <w:r w:rsidRPr="003C4B61">
        <w:t xml:space="preserve"> and not all people seek help or assistance through available services. See further </w:t>
      </w:r>
      <w:r>
        <w:t xml:space="preserve">[2.4], </w:t>
      </w:r>
      <w:r w:rsidR="00213653">
        <w:t>and especially</w:t>
      </w:r>
      <w:r>
        <w:t xml:space="preserve"> [2.4.2]–[ 2.4.8] and [2.4.21]–[2.4.24].</w:t>
      </w:r>
    </w:p>
  </w:footnote>
  <w:footnote w:id="59">
    <w:p w14:paraId="122EF53D" w14:textId="0D6FEE2E" w:rsidR="002E0389" w:rsidRDefault="002E0389">
      <w:pPr>
        <w:pStyle w:val="FootnoteText"/>
      </w:pPr>
      <w:r>
        <w:rPr>
          <w:rStyle w:val="FootnoteReference"/>
        </w:rPr>
        <w:footnoteRef/>
      </w:r>
      <w:r>
        <w:t xml:space="preserve"> </w:t>
      </w:r>
      <w:r w:rsidR="000C5008" w:rsidRPr="003C4B61">
        <w:t>It is noted that data from the Serious Incident Response Scheme (</w:t>
      </w:r>
      <w:r w:rsidR="000C5008">
        <w:t>‘</w:t>
      </w:r>
      <w:r w:rsidR="000C5008" w:rsidRPr="003C4B61">
        <w:t>SIRS</w:t>
      </w:r>
      <w:r w:rsidR="000C5008">
        <w:t>’</w:t>
      </w:r>
      <w:r w:rsidR="000C5008" w:rsidRPr="003C4B61">
        <w:t xml:space="preserve">) provide some insight into the nature of abuse, neglect and mistreatment of older </w:t>
      </w:r>
      <w:r w:rsidR="000C5008" w:rsidRPr="00546BC1">
        <w:t>people</w:t>
      </w:r>
      <w:r w:rsidR="000C5008" w:rsidRPr="003C4B61">
        <w:t xml:space="preserve"> in residential aged care across Australia. SIRS is a mechanism for reporting incidents to the Aged Care Quality and Safety Commission with requirements that all Commonwealth</w:t>
      </w:r>
      <w:r w:rsidR="000C5008">
        <w:t>-</w:t>
      </w:r>
      <w:r w:rsidR="000C5008" w:rsidRPr="003C4B61">
        <w:t xml:space="preserve">funded aged care providers report incidents. Reporting requirements vary according to two priority levels (Priority 1 within 24 hours and Priority 2 within 30 days), see </w:t>
      </w:r>
      <w:r w:rsidR="000C5008">
        <w:t>Aged Care Quality and Safety Commission, Australian Government, Serious Incident Response Scheme (SIRS) (Insight Report, May 2021, updated 30 September 2021) &lt;</w:t>
      </w:r>
      <w:hyperlink r:id="rId24" w:history="1">
        <w:r w:rsidR="000C5008" w:rsidRPr="00D31682">
          <w:rPr>
            <w:rStyle w:val="Hyperlink"/>
          </w:rPr>
          <w:t>https://www.agedcarequality.gov.au/sites/default/files/media/sirs-insight-report-may-2021-updated-30-september-2021.pdf</w:t>
        </w:r>
      </w:hyperlink>
      <w:r w:rsidR="000C5008">
        <w:t>&gt;</w:t>
      </w:r>
      <w:r w:rsidR="000C5008" w:rsidRPr="003C4B61">
        <w:t>.</w:t>
      </w:r>
    </w:p>
  </w:footnote>
  <w:footnote w:id="60">
    <w:p w14:paraId="33D85B9D" w14:textId="37C51D69" w:rsidR="00320FFC" w:rsidRDefault="00320FFC">
      <w:pPr>
        <w:pStyle w:val="FootnoteText"/>
      </w:pPr>
      <w:r>
        <w:rPr>
          <w:rStyle w:val="FootnoteReference"/>
        </w:rPr>
        <w:footnoteRef/>
      </w:r>
      <w:r>
        <w:t xml:space="preserve"> Qu et al, AIFS (n 56) 32.</w:t>
      </w:r>
    </w:p>
  </w:footnote>
  <w:footnote w:id="61">
    <w:p w14:paraId="75A51CE1" w14:textId="6C43F046" w:rsidR="00320FFC" w:rsidRDefault="00320FFC">
      <w:pPr>
        <w:pStyle w:val="FootnoteText"/>
      </w:pPr>
      <w:r>
        <w:rPr>
          <w:rStyle w:val="FootnoteReference"/>
        </w:rPr>
        <w:footnoteRef/>
      </w:r>
      <w:r>
        <w:t xml:space="preserve"> Qu et al, AIFS (n 56) 33, Table 5.1. See also at: 36–47. </w:t>
      </w:r>
      <w:r w:rsidRPr="003C4B61">
        <w:t xml:space="preserve"> </w:t>
      </w:r>
      <w:r>
        <w:t xml:space="preserve">This accords with international research, for example, </w:t>
      </w:r>
      <w:r w:rsidRPr="003E0F16">
        <w:t>a 2017 meta-analysis of 51 studies found emotional abuse to be the most prevalent type of abuse reported. Of the 51 studies, 34 were population-based with a total sample size of 44,563,047 and 17 were non-population based with a total sample size of 4090</w:t>
      </w:r>
      <w:r>
        <w:t>: Cyrus SH Ho</w:t>
      </w:r>
      <w:r w:rsidR="000501E8">
        <w:t xml:space="preserve"> et al</w:t>
      </w:r>
      <w:r>
        <w:t xml:space="preserve">, ‘Global Analysis of Elder Abuse: A Meta-Analysis and Meta-Regression (2017) 27 </w:t>
      </w:r>
      <w:r>
        <w:rPr>
          <w:i/>
          <w:iCs/>
        </w:rPr>
        <w:t>East Asian Archives of Psychiatry</w:t>
      </w:r>
      <w:r>
        <w:t xml:space="preserve"> 43.</w:t>
      </w:r>
    </w:p>
  </w:footnote>
  <w:footnote w:id="62">
    <w:p w14:paraId="458F5F5E" w14:textId="145BD515" w:rsidR="009014F8" w:rsidRDefault="009014F8">
      <w:pPr>
        <w:pStyle w:val="FootnoteText"/>
      </w:pPr>
      <w:r>
        <w:rPr>
          <w:rStyle w:val="FootnoteReference"/>
        </w:rPr>
        <w:footnoteRef/>
      </w:r>
      <w:r>
        <w:t xml:space="preserve"> Barbara </w:t>
      </w:r>
      <w:r w:rsidRPr="003B4C96">
        <w:t xml:space="preserve">Blundell et al, </w:t>
      </w:r>
      <w:r>
        <w:t xml:space="preserve">Curtin University, </w:t>
      </w:r>
      <w:r w:rsidRPr="003B4C96">
        <w:rPr>
          <w:i/>
          <w:iCs/>
        </w:rPr>
        <w:t>Review into the Prevalence and Characteristics of Elder Abuse in Queensland</w:t>
      </w:r>
      <w:r w:rsidRPr="003B4C96">
        <w:t xml:space="preserve"> (Griffith University, Curtin University, Murdoch University, 2017) 7. </w:t>
      </w:r>
      <w:r>
        <w:t xml:space="preserve">For information from other recent Australian research on the estimated prevalence of abuse, see: SALRI (n 11) xvi–xxi; Public Advocate (Qld), </w:t>
      </w:r>
      <w:r w:rsidRPr="00424546">
        <w:rPr>
          <w:i/>
          <w:iCs/>
        </w:rPr>
        <w:t>Adult Safeguarding in Queensland, Volume 1: Identifying the Gaps</w:t>
      </w:r>
      <w:r>
        <w:t xml:space="preserve"> (July 2022) </w:t>
      </w:r>
      <w:r w:rsidR="009D2C03">
        <w:t xml:space="preserve"> &lt;</w:t>
      </w:r>
      <w:hyperlink r:id="rId25" w:history="1">
        <w:r w:rsidR="009D2C03" w:rsidRPr="00574462">
          <w:rPr>
            <w:rStyle w:val="Hyperlink"/>
          </w:rPr>
          <w:t>https://www.justice.qld.gov.au/public-advocate/our-advocacy/justice-and-human-rights/adult-safeguarding-in-queensland2</w:t>
        </w:r>
      </w:hyperlink>
      <w:r w:rsidR="009D2C03">
        <w:t xml:space="preserve">&gt; </w:t>
      </w:r>
      <w:r w:rsidR="00EB3108">
        <w:t xml:space="preserve">(‘Public Advocate (Qld), </w:t>
      </w:r>
      <w:r w:rsidR="00EB3108" w:rsidRPr="00424546">
        <w:rPr>
          <w:i/>
          <w:iCs/>
        </w:rPr>
        <w:t xml:space="preserve">Adult Safeguarding in Queensland, Volume </w:t>
      </w:r>
      <w:r w:rsidR="00EB3108" w:rsidRPr="00EB6E18">
        <w:rPr>
          <w:i/>
          <w:iCs/>
        </w:rPr>
        <w:t>1</w:t>
      </w:r>
      <w:r w:rsidR="00EB6E18">
        <w:t xml:space="preserve">’) </w:t>
      </w:r>
      <w:r w:rsidRPr="00EB6E18">
        <w:t>18</w:t>
      </w:r>
      <w:r>
        <w:t xml:space="preserve">–20; Melanie Joosten et al, </w:t>
      </w:r>
      <w:r w:rsidRPr="005C4E02">
        <w:rPr>
          <w:i/>
          <w:iCs/>
        </w:rPr>
        <w:t>Seven Years of Elder Abuse Data in Victori</w:t>
      </w:r>
      <w:r>
        <w:rPr>
          <w:i/>
          <w:iCs/>
        </w:rPr>
        <w:t xml:space="preserve">a (2012–2019) </w:t>
      </w:r>
      <w:r>
        <w:t xml:space="preserve">(National Ageing Research Institute (‘NARI’) in partnership with Seniors Rights Victoria, August 2020). For references to other academic and official studies, and reviews by law reform agencies, parliamentary bodies and Royal Commissions, </w:t>
      </w:r>
      <w:r w:rsidRPr="0078221B">
        <w:t>see SALRI xiv – xv, nn 54–</w:t>
      </w:r>
      <w:r w:rsidRPr="00226FF2">
        <w:t>60.</w:t>
      </w:r>
    </w:p>
  </w:footnote>
  <w:footnote w:id="63">
    <w:p w14:paraId="166AC751" w14:textId="16838C43" w:rsidR="00320FFC" w:rsidRDefault="00320FFC">
      <w:pPr>
        <w:pStyle w:val="FootnoteText"/>
      </w:pPr>
      <w:r>
        <w:rPr>
          <w:rStyle w:val="FootnoteReference"/>
        </w:rPr>
        <w:footnoteRef/>
      </w:r>
      <w:r>
        <w:t xml:space="preserve"> Qu et al, AIFS (n 56) </w:t>
      </w:r>
      <w:r w:rsidRPr="003C4B61">
        <w:t>48, Table 5.5.</w:t>
      </w:r>
    </w:p>
  </w:footnote>
  <w:footnote w:id="64">
    <w:p w14:paraId="7F68C106" w14:textId="615B3CAE" w:rsidR="00320FFC" w:rsidRDefault="00320FFC">
      <w:pPr>
        <w:pStyle w:val="FootnoteText"/>
      </w:pPr>
      <w:r>
        <w:rPr>
          <w:rStyle w:val="FootnoteReference"/>
        </w:rPr>
        <w:footnoteRef/>
      </w:r>
      <w:r>
        <w:t xml:space="preserve"> </w:t>
      </w:r>
      <w:r w:rsidRPr="003C4B61">
        <w:t>Ferna</w:t>
      </w:r>
      <w:r>
        <w:t>n</w:t>
      </w:r>
      <w:r w:rsidRPr="003C4B61">
        <w:t>d</w:t>
      </w:r>
      <w:r>
        <w:t xml:space="preserve">o (n 27) </w:t>
      </w:r>
      <w:r w:rsidRPr="003C4B61">
        <w:t>26</w:t>
      </w:r>
      <w:r>
        <w:t xml:space="preserve">; Adam </w:t>
      </w:r>
      <w:r w:rsidRPr="00777CF2">
        <w:t>Dean</w:t>
      </w:r>
      <w:r>
        <w:t>, Australian Institute of Family Studies (‘AIFS’), Elder Abuse: Key Issues and Emerging Evidence (CFCA Paper No 51, AIFS, Australian Government, 2019)</w:t>
      </w:r>
      <w:r w:rsidR="00AD7058">
        <w:t xml:space="preserve"> (‘Dean, AIFS’)</w:t>
      </w:r>
      <w:r w:rsidRPr="00777CF2">
        <w:t xml:space="preserve"> 7</w:t>
      </w:r>
      <w:r>
        <w:t xml:space="preserve">; </w:t>
      </w:r>
      <w:r w:rsidRPr="00777CF2">
        <w:t xml:space="preserve">David Burnes et al, ‘Prevalence of and Risk Factors for Elder Abuse and Neglect in the Community: A Population-Based Study’ (2015) 63(9) </w:t>
      </w:r>
      <w:r w:rsidRPr="00777CF2">
        <w:rPr>
          <w:i/>
          <w:iCs/>
        </w:rPr>
        <w:t>Journal of the American Geriatrics Society</w:t>
      </w:r>
      <w:r w:rsidRPr="00777CF2">
        <w:t xml:space="preserve"> 1906</w:t>
      </w:r>
      <w:r w:rsidR="00A522B3">
        <w:t>.</w:t>
      </w:r>
    </w:p>
  </w:footnote>
  <w:footnote w:id="65">
    <w:p w14:paraId="468F9788" w14:textId="539D49AA" w:rsidR="00320FFC" w:rsidRDefault="00320FFC">
      <w:pPr>
        <w:pStyle w:val="FootnoteText"/>
      </w:pPr>
      <w:r>
        <w:rPr>
          <w:rStyle w:val="FootnoteReference"/>
        </w:rPr>
        <w:footnoteRef/>
      </w:r>
      <w:r>
        <w:t xml:space="preserve"> SALRI (n 11) </w:t>
      </w:r>
      <w:r w:rsidRPr="003C4B61">
        <w:t xml:space="preserve">xx–xxi; 20–1 [2.51]–[2.53]; </w:t>
      </w:r>
      <w:r w:rsidRPr="009328D8">
        <w:t>Select Committee into Elder Abuse, Legislative Council</w:t>
      </w:r>
      <w:r>
        <w:t>, Parliament of Western Australia</w:t>
      </w:r>
      <w:r w:rsidRPr="009328D8">
        <w:t>,</w:t>
      </w:r>
      <w:r w:rsidRPr="009328D8">
        <w:rPr>
          <w:i/>
          <w:iCs/>
        </w:rPr>
        <w:t xml:space="preserve"> I Never Thought It Would Happen to Me’: When Trust is Broken</w:t>
      </w:r>
      <w:r w:rsidRPr="009328D8">
        <w:t xml:space="preserve"> (Final Report, September 2018) 92 [8.1];  </w:t>
      </w:r>
      <w:r>
        <w:t>Georgia Lowndes</w:t>
      </w:r>
      <w:r w:rsidRPr="009328D8">
        <w:t xml:space="preserve"> et a</w:t>
      </w:r>
      <w:r>
        <w:t>l</w:t>
      </w:r>
      <w:r w:rsidRPr="009328D8">
        <w:t>, Monash University</w:t>
      </w:r>
      <w:r>
        <w:t xml:space="preserve"> Faculty of Medicine, Nursing and Health Sciences</w:t>
      </w:r>
      <w:r w:rsidRPr="009328D8">
        <w:t xml:space="preserve">, </w:t>
      </w:r>
      <w:r w:rsidRPr="00F72E5F">
        <w:rPr>
          <w:i/>
          <w:iCs/>
        </w:rPr>
        <w:t>Financial Abuse of Elders: A Review of the Evidence</w:t>
      </w:r>
      <w:r w:rsidRPr="009328D8">
        <w:t xml:space="preserve"> (</w:t>
      </w:r>
      <w:r>
        <w:t>Protecting Elder Assets Study Report</w:t>
      </w:r>
      <w:r w:rsidRPr="009328D8">
        <w:t xml:space="preserve">, </w:t>
      </w:r>
      <w:r>
        <w:t xml:space="preserve">Monash University, </w:t>
      </w:r>
      <w:r w:rsidRPr="009328D8">
        <w:t>June 2009) 17–18; Jo Wainer, Peter Darzins and Kei Owada, Monash University</w:t>
      </w:r>
      <w:r w:rsidRPr="00507683">
        <w:t xml:space="preserve"> </w:t>
      </w:r>
      <w:r>
        <w:t>Faculty of Medicine, Nursing and Health Sciences</w:t>
      </w:r>
      <w:r w:rsidRPr="009328D8">
        <w:t xml:space="preserve">, </w:t>
      </w:r>
      <w:r w:rsidRPr="00507683">
        <w:rPr>
          <w:i/>
          <w:iCs/>
        </w:rPr>
        <w:t>Prevalence of Financial Elder Abuse in Victoria</w:t>
      </w:r>
      <w:r w:rsidRPr="009328D8">
        <w:t xml:space="preserve"> (</w:t>
      </w:r>
      <w:r>
        <w:t>Protecting Elder Assets Study Report</w:t>
      </w:r>
      <w:r w:rsidRPr="009328D8">
        <w:t xml:space="preserve">, </w:t>
      </w:r>
      <w:r>
        <w:t>Monash University</w:t>
      </w:r>
      <w:r w:rsidRPr="009328D8">
        <w:t xml:space="preserve">, May 2010); Kylie Miskovski, Alzheimers Australia NSW, </w:t>
      </w:r>
      <w:r w:rsidRPr="00D27DB7">
        <w:rPr>
          <w:i/>
          <w:iCs/>
        </w:rPr>
        <w:t>Preventing Financial Abuse of People with Dementia</w:t>
      </w:r>
      <w:r w:rsidRPr="009328D8">
        <w:t xml:space="preserve"> (Discussion Paper No 10, Alzheimers Australia NSW</w:t>
      </w:r>
      <w:r>
        <w:t xml:space="preserve">, </w:t>
      </w:r>
      <w:r w:rsidRPr="009328D8">
        <w:t>June 2014); Joosten et al</w:t>
      </w:r>
      <w:r>
        <w:t xml:space="preserve"> (n 61) </w:t>
      </w:r>
      <w:r w:rsidRPr="009328D8">
        <w:t>19.</w:t>
      </w:r>
      <w:r w:rsidRPr="003C4B61">
        <w:t xml:space="preserve">  </w:t>
      </w:r>
    </w:p>
  </w:footnote>
  <w:footnote w:id="66">
    <w:p w14:paraId="0F215E14" w14:textId="7F6087EB" w:rsidR="00320FFC" w:rsidRDefault="00320FFC">
      <w:pPr>
        <w:pStyle w:val="FootnoteText"/>
      </w:pPr>
      <w:r>
        <w:rPr>
          <w:rStyle w:val="FootnoteReference"/>
        </w:rPr>
        <w:footnoteRef/>
      </w:r>
      <w:r>
        <w:t xml:space="preserve"> </w:t>
      </w:r>
      <w:r w:rsidR="003210B3">
        <w:t xml:space="preserve">ALRC, </w:t>
      </w:r>
      <w:r w:rsidR="003210B3" w:rsidRPr="003210B3">
        <w:rPr>
          <w:i/>
          <w:iCs/>
        </w:rPr>
        <w:t>Elder Abuse</w:t>
      </w:r>
      <w:r>
        <w:t xml:space="preserve"> (n 6)</w:t>
      </w:r>
      <w:r w:rsidRPr="003C4B61">
        <w:t xml:space="preserve"> 7.</w:t>
      </w:r>
    </w:p>
  </w:footnote>
  <w:footnote w:id="67">
    <w:p w14:paraId="54158D88" w14:textId="24DE43E3" w:rsidR="00320FFC" w:rsidRDefault="00320FFC">
      <w:pPr>
        <w:pStyle w:val="FootnoteText"/>
      </w:pPr>
      <w:r>
        <w:rPr>
          <w:rStyle w:val="FootnoteReference"/>
        </w:rPr>
        <w:footnoteRef/>
      </w:r>
      <w:r>
        <w:t xml:space="preserve"> Qu et al, AIFS (n 56) 72.</w:t>
      </w:r>
    </w:p>
  </w:footnote>
  <w:footnote w:id="68">
    <w:p w14:paraId="559BEF36" w14:textId="6A1692E4" w:rsidR="00A54E2D" w:rsidRDefault="00A54E2D" w:rsidP="00546BC1">
      <w:pPr>
        <w:pStyle w:val="FootnoteText"/>
      </w:pPr>
      <w:r>
        <w:rPr>
          <w:rStyle w:val="FootnoteReference"/>
        </w:rPr>
        <w:footnoteRef/>
      </w:r>
      <w:r>
        <w:t xml:space="preserve"> These </w:t>
      </w:r>
      <w:r w:rsidR="005D4644" w:rsidRPr="005D4644">
        <w:t xml:space="preserve">Australian Bureau of Statistics (‘ABS’) </w:t>
      </w:r>
      <w:r>
        <w:t>datasets were</w:t>
      </w:r>
      <w:r w:rsidR="00090DCA">
        <w:t xml:space="preserve"> reported to be</w:t>
      </w:r>
      <w:r>
        <w:t xml:space="preserve">: Personal Safety Survey (PSS) 2005, 2012 and 2016; National Aboriginal and Torres Strait Islander Social </w:t>
      </w:r>
      <w:r w:rsidRPr="00546BC1">
        <w:t>Survey</w:t>
      </w:r>
      <w:r>
        <w:t xml:space="preserve"> (NATSISS) 2002, 2008 and 2014–15; Crime Victimisation Survey (</w:t>
      </w:r>
      <w:r w:rsidR="00915960">
        <w:t>A</w:t>
      </w:r>
      <w:r>
        <w:t xml:space="preserve">nnual </w:t>
      </w:r>
      <w:r w:rsidR="00DC129B">
        <w:t>S</w:t>
      </w:r>
      <w:r>
        <w:t>urvey 2008–09 to 2016–17); Recorded Crim</w:t>
      </w:r>
      <w:r w:rsidR="00DC129B">
        <w:t>e—V</w:t>
      </w:r>
      <w:r>
        <w:t xml:space="preserve">ictims </w:t>
      </w:r>
      <w:r w:rsidR="00DC129B">
        <w:t>D</w:t>
      </w:r>
      <w:r>
        <w:t>ata (</w:t>
      </w:r>
      <w:r w:rsidR="00DC129B">
        <w:t>P</w:t>
      </w:r>
      <w:r>
        <w:t xml:space="preserve">olice </w:t>
      </w:r>
      <w:r w:rsidR="00DC129B">
        <w:t>A</w:t>
      </w:r>
      <w:r>
        <w:t xml:space="preserve">dministration </w:t>
      </w:r>
      <w:r w:rsidR="00DC129B">
        <w:t>D</w:t>
      </w:r>
      <w:r>
        <w:t>ata 2010–2016)</w:t>
      </w:r>
      <w:r w:rsidR="00BA564A">
        <w:t xml:space="preserve">: </w:t>
      </w:r>
      <w:r w:rsidR="00712612">
        <w:t>Trish Hill and Ilan Klatz</w:t>
      </w:r>
      <w:r w:rsidR="00A91EA8">
        <w:t xml:space="preserve">, </w:t>
      </w:r>
      <w:r w:rsidR="00712612">
        <w:t>prepared for the Attorney-General’s Department</w:t>
      </w:r>
      <w:r w:rsidR="00A91EA8">
        <w:t xml:space="preserve">, Insights </w:t>
      </w:r>
      <w:r w:rsidR="00A91EA8" w:rsidRPr="003D6D6F">
        <w:rPr>
          <w:i/>
          <w:iCs/>
        </w:rPr>
        <w:t>into the Abuse of Older Peopl</w:t>
      </w:r>
      <w:r w:rsidR="00C05E82" w:rsidRPr="003D6D6F">
        <w:rPr>
          <w:i/>
          <w:iCs/>
        </w:rPr>
        <w:t>e—Analysis of Australian Bureau of Statistics Dataset</w:t>
      </w:r>
      <w:r w:rsidR="00A06E77" w:rsidRPr="003D6D6F">
        <w:rPr>
          <w:i/>
          <w:iCs/>
        </w:rPr>
        <w:t>s</w:t>
      </w:r>
      <w:r w:rsidR="00A06E77">
        <w:t xml:space="preserve"> (UNSW Social Policy Research Centre</w:t>
      </w:r>
      <w:r w:rsidR="00837119">
        <w:t xml:space="preserve"> Report 3/19</w:t>
      </w:r>
      <w:r w:rsidR="00A06E77">
        <w:t xml:space="preserve">, 2019) </w:t>
      </w:r>
      <w:r w:rsidR="00BA564A">
        <w:t>1</w:t>
      </w:r>
      <w:r>
        <w:t xml:space="preserve">. </w:t>
      </w:r>
    </w:p>
  </w:footnote>
  <w:footnote w:id="69">
    <w:p w14:paraId="047C4C60" w14:textId="50E5C689" w:rsidR="005D4644" w:rsidRDefault="005D4644">
      <w:pPr>
        <w:pStyle w:val="FootnoteText"/>
      </w:pPr>
      <w:r>
        <w:rPr>
          <w:rStyle w:val="FootnoteReference"/>
        </w:rPr>
        <w:footnoteRef/>
      </w:r>
      <w:r>
        <w:t xml:space="preserve"> Hill and Klatz (n 67) 1–6.</w:t>
      </w:r>
    </w:p>
  </w:footnote>
  <w:footnote w:id="70">
    <w:p w14:paraId="0E095291" w14:textId="5D02D658" w:rsidR="005D4644" w:rsidRDefault="005D4644">
      <w:pPr>
        <w:pStyle w:val="FootnoteText"/>
      </w:pPr>
      <w:r>
        <w:rPr>
          <w:rStyle w:val="FootnoteReference"/>
        </w:rPr>
        <w:footnoteRef/>
      </w:r>
      <w:r>
        <w:t xml:space="preserve"> Ibid.</w:t>
      </w:r>
    </w:p>
  </w:footnote>
  <w:footnote w:id="71">
    <w:p w14:paraId="07363CF0" w14:textId="55EC27AC" w:rsidR="005D4644" w:rsidRDefault="005D4644">
      <w:pPr>
        <w:pStyle w:val="FootnoteText"/>
      </w:pPr>
      <w:r>
        <w:rPr>
          <w:rStyle w:val="FootnoteReference"/>
        </w:rPr>
        <w:footnoteRef/>
      </w:r>
      <w:r>
        <w:t xml:space="preserve"> </w:t>
      </w:r>
      <w:r w:rsidRPr="003C4B61">
        <w:t xml:space="preserve">The ABS data do include information on the relationship of offender to victim (for example, intimate partner or family member); however, this is not broken down according to age. These data do </w:t>
      </w:r>
      <w:r w:rsidRPr="00546BC1">
        <w:t>not</w:t>
      </w:r>
      <w:r w:rsidRPr="003C4B61">
        <w:t xml:space="preserve"> provide insights into the circumstances and nature of the offending regarding definitions of abuse of an older person.</w:t>
      </w:r>
    </w:p>
  </w:footnote>
  <w:footnote w:id="72">
    <w:p w14:paraId="3481501A" w14:textId="43CBF102" w:rsidR="00E30878" w:rsidRDefault="00E30878">
      <w:pPr>
        <w:pStyle w:val="FootnoteText"/>
      </w:pPr>
      <w:r>
        <w:rPr>
          <w:rStyle w:val="FootnoteReference"/>
        </w:rPr>
        <w:footnoteRef/>
      </w:r>
      <w:r>
        <w:t xml:space="preserve"> </w:t>
      </w:r>
      <w:r w:rsidRPr="005D4644">
        <w:t>Australian Bureau of Statistics (‘ABS’)</w:t>
      </w:r>
      <w:r>
        <w:t>,</w:t>
      </w:r>
      <w:r w:rsidRPr="002C3D68">
        <w:t xml:space="preserve"> </w:t>
      </w:r>
      <w:hyperlink r:id="rId26" w:anchor="victims-of-family-and-domestic-violence-related-offences" w:history="1">
        <w:r w:rsidRPr="009F132A">
          <w:rPr>
            <w:i/>
            <w:iCs/>
          </w:rPr>
          <w:t>Recorded Crime—Victims</w:t>
        </w:r>
        <w:r>
          <w:t xml:space="preserve"> (Reference Period </w:t>
        </w:r>
        <w:r w:rsidRPr="002C3D68">
          <w:t>2023</w:t>
        </w:r>
        <w:r>
          <w:t>, 27 June 2024)</w:t>
        </w:r>
      </w:hyperlink>
      <w:r w:rsidRPr="002C3D68">
        <w:t xml:space="preserve"> </w:t>
      </w:r>
      <w:r>
        <w:t>‘Victims of Family and Domestic Violence Related Offences (Tables 29 to 38)’ &lt;</w:t>
      </w:r>
      <w:hyperlink r:id="rId27" w:anchor="data-downloads" w:history="1">
        <w:r w:rsidRPr="00A66854">
          <w:rPr>
            <w:rStyle w:val="Hyperlink"/>
          </w:rPr>
          <w:t>https://www.abs.gov.au/statistics/people/crime-and-justice/recorded-crime-victims/2023#data-downloads</w:t>
        </w:r>
      </w:hyperlink>
      <w:r>
        <w:t xml:space="preserve">&gt;. </w:t>
      </w:r>
      <w:r w:rsidRPr="002C3D68">
        <w:t>Table 31</w:t>
      </w:r>
      <w:r>
        <w:t xml:space="preserve"> shows that </w:t>
      </w:r>
      <w:r w:rsidRPr="002C3D68">
        <w:t xml:space="preserve">57 people aged 55 years and over were victims of </w:t>
      </w:r>
      <w:r w:rsidRPr="002C3D68">
        <w:rPr>
          <w:i/>
          <w:iCs/>
        </w:rPr>
        <w:t>family and domestic homicides</w:t>
      </w:r>
      <w:r w:rsidRPr="002C3D68">
        <w:t xml:space="preserve"> </w:t>
      </w:r>
      <w:r w:rsidRPr="002C3D68">
        <w:rPr>
          <w:i/>
          <w:iCs/>
        </w:rPr>
        <w:t>(and related offences) at the time of offending</w:t>
      </w:r>
      <w:r w:rsidRPr="002C3D68">
        <w:t xml:space="preserve">, of which 26 were males and 28 were females (where data were available). This comprised one third of the 157 total such homicides in that year (36.3%). A breakdown of these data was available for some states and territories, but not for Tasmania. </w:t>
      </w:r>
      <w:r>
        <w:t xml:space="preserve">Table 33 shows </w:t>
      </w:r>
      <w:r w:rsidRPr="002C3D68">
        <w:t xml:space="preserve">that 4,399 people aged 65 years and over were victims of </w:t>
      </w:r>
      <w:r w:rsidRPr="002C3D68">
        <w:rPr>
          <w:i/>
          <w:iCs/>
        </w:rPr>
        <w:t>family and domestic assault at the time of reporting</w:t>
      </w:r>
      <w:r w:rsidRPr="002C3D68">
        <w:t>. This comprises 3.7% of the total 120,311 such assaults in that year. Of the</w:t>
      </w:r>
      <w:r>
        <w:t xml:space="preserve"> </w:t>
      </w:r>
      <w:r w:rsidRPr="002C3D68">
        <w:t xml:space="preserve">4,399 </w:t>
      </w:r>
      <w:r>
        <w:t>reported assaults of people aged 65 years and over</w:t>
      </w:r>
      <w:r w:rsidRPr="002C3D68">
        <w:t xml:space="preserve">, 69 were Tasmanians, of which 34 were males and 34 were females </w:t>
      </w:r>
      <w:r>
        <w:t>(</w:t>
      </w:r>
      <w:r w:rsidRPr="002C3D68">
        <w:t xml:space="preserve">where data were available). This comprised 3.8% of the total 1,823 such assaults in Tasmania in that year. Table 35 shows that 54 people aged 65 years and over were victims recorded of </w:t>
      </w:r>
      <w:r w:rsidRPr="002C3D68">
        <w:rPr>
          <w:i/>
          <w:iCs/>
        </w:rPr>
        <w:t>family and domestic sexual assault at the time of offending</w:t>
      </w:r>
      <w:r w:rsidRPr="002C3D68">
        <w:t xml:space="preserve">, of which 3 were males and 45 were females (where data were available). This comprised 0.4% of the </w:t>
      </w:r>
      <w:r>
        <w:t xml:space="preserve">total </w:t>
      </w:r>
      <w:r w:rsidRPr="002C3D68">
        <w:t xml:space="preserve">14,059 such assaults in that year. Of these, </w:t>
      </w:r>
      <w:r>
        <w:t>0</w:t>
      </w:r>
      <w:r w:rsidRPr="002C3D68">
        <w:t xml:space="preserve"> were Tasmanians aged 65 years and over. I</w:t>
      </w:r>
      <w:r w:rsidRPr="00F37EF8">
        <w:t xml:space="preserve">t is noted that research suggests sexual assault of older people is the least acknowledged, detected and reported type of assault of older people: Smith et al, ‘The Epidemiology of Sexual Assault of Older Female Nursing Home Residents in Victoria, Australia, between 200 and 2015’ (2019) 36 </w:t>
      </w:r>
      <w:r w:rsidRPr="00F37EF8">
        <w:rPr>
          <w:i/>
          <w:iCs/>
        </w:rPr>
        <w:t>Legal Medicine</w:t>
      </w:r>
      <w:r w:rsidRPr="00F37EF8">
        <w:t xml:space="preserve"> 89.</w:t>
      </w:r>
    </w:p>
  </w:footnote>
  <w:footnote w:id="73">
    <w:p w14:paraId="6CEF89C2" w14:textId="251E2E15" w:rsidR="00E30878" w:rsidRDefault="00E30878">
      <w:pPr>
        <w:pStyle w:val="FootnoteText"/>
      </w:pPr>
      <w:r>
        <w:rPr>
          <w:rStyle w:val="FootnoteReference"/>
        </w:rPr>
        <w:footnoteRef/>
      </w:r>
      <w:r>
        <w:t xml:space="preserve"> </w:t>
      </w:r>
      <w:r w:rsidRPr="00214B1F">
        <w:t>Lyons (n 16)</w:t>
      </w:r>
      <w:r>
        <w:t xml:space="preserve">, which </w:t>
      </w:r>
      <w:r w:rsidRPr="00A069DA">
        <w:t>refers to Australian data from the National Homicide Monitoring Project that over a 10-year period in 2017, 2018 and 2023, 61 women and 52 men were killed by their children, with 95% of men killed by sons and 75% of women killed by sons, and 15 women and 3 men were killed by their daughters</w:t>
      </w:r>
      <w:r>
        <w:t xml:space="preserve">: Hannah Miles and Samantha Bricknell, </w:t>
      </w:r>
      <w:r w:rsidRPr="00055BA0">
        <w:rPr>
          <w:i/>
          <w:iCs/>
        </w:rPr>
        <w:t>Homicide in Australia</w:t>
      </w:r>
      <w:r>
        <w:t xml:space="preserve"> 2022–23 (Statistical Report 46, Australian Institute of Criminology, Australian Government, 2024)</w:t>
      </w:r>
      <w:r w:rsidRPr="00A069DA">
        <w:t xml:space="preserve"> </w:t>
      </w:r>
      <w:r>
        <w:t>&lt;</w:t>
      </w:r>
      <w:hyperlink r:id="rId28" w:history="1">
        <w:r w:rsidRPr="00A66854">
          <w:rPr>
            <w:rStyle w:val="Hyperlink"/>
          </w:rPr>
          <w:t>https://www.aic.gov.au/publications/sr/sr46</w:t>
        </w:r>
      </w:hyperlink>
      <w:r>
        <w:t>&gt;.</w:t>
      </w:r>
      <w:r w:rsidRPr="00A069DA">
        <w:t xml:space="preserve"> The article also refers to data from </w:t>
      </w:r>
      <w:r>
        <w:t>the United Kingdom th</w:t>
      </w:r>
      <w:r w:rsidRPr="00A069DA">
        <w:t>at the number of mothers</w:t>
      </w:r>
      <w:r>
        <w:t xml:space="preserve"> </w:t>
      </w:r>
      <w:r w:rsidRPr="00A069DA">
        <w:t>killed by sons has increased since 2016. Data from the ‘Femicide Census’ suggests that of 2000 women killed, the fourth most common category of relationship of victim to perpetrator was mother and son (176), after spouse (509), intimate partner (424) and former intimate partner (227). Mothers being killed by sons was the most common relationship in immediate family comprising 870% of the 213 victims in this category. Mental health was a common factor in these cases with the mental health of the perpetrator a context of violence in 102 cases of mothers killed by sons (57.95% of 176 women killed by sons)</w:t>
      </w:r>
      <w:r>
        <w:t>: Ingala Smith et al, Femicide Census, 2000 Women (Report, 2025) &lt;</w:t>
      </w:r>
      <w:hyperlink r:id="rId29" w:history="1">
        <w:r w:rsidRPr="00A66854">
          <w:rPr>
            <w:rStyle w:val="Hyperlink"/>
          </w:rPr>
          <w:t>https://www.femicidecensus.org/wp-content/uploads/2025/03/2000-Women-full-report.pdf</w:t>
        </w:r>
      </w:hyperlink>
      <w:r>
        <w:t xml:space="preserve"> &gt; </w:t>
      </w:r>
      <w:r w:rsidRPr="00A069DA">
        <w:t>24, 34</w:t>
      </w:r>
      <w:r>
        <w:t>.</w:t>
      </w:r>
    </w:p>
  </w:footnote>
  <w:footnote w:id="74">
    <w:p w14:paraId="044CFD3E" w14:textId="30D4A94C" w:rsidR="007144F9" w:rsidRDefault="007144F9" w:rsidP="002C3D68">
      <w:pPr>
        <w:pStyle w:val="FootnoteText"/>
      </w:pPr>
      <w:r>
        <w:rPr>
          <w:rStyle w:val="FootnoteReference"/>
        </w:rPr>
        <w:footnoteRef/>
      </w:r>
      <w:r>
        <w:t xml:space="preserve"> See discussion at </w:t>
      </w:r>
      <w:r w:rsidR="00BD393A">
        <w:t>[3.3.44]–[3.4.45].</w:t>
      </w:r>
    </w:p>
  </w:footnote>
  <w:footnote w:id="75">
    <w:p w14:paraId="1B4E11F1" w14:textId="34781789" w:rsidR="0026213A" w:rsidRDefault="0026213A" w:rsidP="002C3D68">
      <w:pPr>
        <w:pStyle w:val="FootnoteText"/>
      </w:pPr>
      <w:r>
        <w:rPr>
          <w:rStyle w:val="FootnoteReference"/>
        </w:rPr>
        <w:footnoteRef/>
      </w:r>
      <w:r>
        <w:t xml:space="preserve"> </w:t>
      </w:r>
      <w:r w:rsidRPr="00E71095">
        <w:t>Reporting requirements vary according to two priority levels</w:t>
      </w:r>
      <w:r>
        <w:t xml:space="preserve"> (Priority 1 within 24 hours and Priority 2 within 30 days). Priority 1 incidents include:</w:t>
      </w:r>
      <w:r w:rsidRPr="00E35874">
        <w:t xml:space="preserve"> physical or psychological injury or discomfort that needs medical or psychological </w:t>
      </w:r>
      <w:r w:rsidRPr="002C3D68">
        <w:t>treatment</w:t>
      </w:r>
      <w:r w:rsidRPr="00E35874">
        <w:t>, unlawful sexual contact or inappropriate sexual conduct, the unexpected death of a person using aged care and the unexplained absence of a person receiving care</w:t>
      </w:r>
      <w:r>
        <w:t xml:space="preserve"> </w:t>
      </w:r>
      <w:r w:rsidRPr="00E35874">
        <w:t>required to be reported within 24 hours</w:t>
      </w:r>
      <w:r>
        <w:t>, or i</w:t>
      </w:r>
      <w:r w:rsidRPr="001B752A">
        <w:t>f there are reasonable grounds for reporting the incident to the police</w:t>
      </w:r>
      <w:r>
        <w:t>. Priority 2 incidents are all other incident</w:t>
      </w:r>
      <w:r w:rsidR="001638EB">
        <w:t>s:</w:t>
      </w:r>
      <w:r w:rsidR="00051042">
        <w:t xml:space="preserve"> Australian Government</w:t>
      </w:r>
      <w:r w:rsidR="001638EB">
        <w:t>, About Reportable Incidents,</w:t>
      </w:r>
      <w:r w:rsidR="00051042">
        <w:t xml:space="preserve"> Aged Care Quality and Safety Commission  (Web Page)&lt;</w:t>
      </w:r>
      <w:hyperlink r:id="rId30" w:anchor="priority-1-and-priority-2-incidents" w:history="1">
        <w:r w:rsidR="00CD08FD" w:rsidRPr="00A66854">
          <w:rPr>
            <w:rStyle w:val="Hyperlink"/>
          </w:rPr>
          <w:t>https://www.agedcarequality.gov.au/providers/serious-incident-response-scheme/reportable-incidents/about-reportable-incidents#priority-1-and-priority-2-incidents</w:t>
        </w:r>
      </w:hyperlink>
      <w:r w:rsidR="00CD08FD">
        <w:t>&gt;.</w:t>
      </w:r>
    </w:p>
  </w:footnote>
  <w:footnote w:id="76">
    <w:p w14:paraId="4C88EA97" w14:textId="4C679FBB" w:rsidR="00CD08FD" w:rsidRDefault="00CD08FD">
      <w:pPr>
        <w:pStyle w:val="FootnoteText"/>
      </w:pPr>
      <w:r>
        <w:rPr>
          <w:rStyle w:val="FootnoteReference"/>
        </w:rPr>
        <w:footnoteRef/>
      </w:r>
      <w:r>
        <w:t xml:space="preserve"> These </w:t>
      </w:r>
      <w:r w:rsidRPr="002C3D68">
        <w:t>represented</w:t>
      </w:r>
      <w:r>
        <w:t xml:space="preserve"> 42% of the 4.496 total notifications in that period. In May 2021, there were 190,900 people in residential aged care</w:t>
      </w:r>
      <w:r w:rsidR="008A2DB5">
        <w:t xml:space="preserve">: </w:t>
      </w:r>
      <w:r w:rsidR="008A2DB5">
        <w:rPr>
          <w:rFonts w:cs="Times New Roman"/>
        </w:rPr>
        <w:t>Aged Care Quality and Safety Commission (n 58)</w:t>
      </w:r>
      <w:r w:rsidR="000D67A9">
        <w:rPr>
          <w:rFonts w:cs="Times New Roman"/>
        </w:rPr>
        <w:t xml:space="preserve"> 2.</w:t>
      </w:r>
    </w:p>
  </w:footnote>
  <w:footnote w:id="77">
    <w:p w14:paraId="7DA79868" w14:textId="0123F2CE" w:rsidR="00CD08FD" w:rsidRDefault="00CD08FD">
      <w:pPr>
        <w:pStyle w:val="FootnoteText"/>
      </w:pPr>
      <w:r>
        <w:rPr>
          <w:rStyle w:val="FootnoteReference"/>
        </w:rPr>
        <w:footnoteRef/>
      </w:r>
      <w:r>
        <w:t xml:space="preserve"> </w:t>
      </w:r>
      <w:r w:rsidR="008A2DB5">
        <w:rPr>
          <w:rFonts w:cs="Times New Roman"/>
        </w:rPr>
        <w:t xml:space="preserve">Aged Care Quality and Safety Commission (n 58) </w:t>
      </w:r>
      <w:r>
        <w:t>3.</w:t>
      </w:r>
    </w:p>
  </w:footnote>
  <w:footnote w:id="78">
    <w:p w14:paraId="56799723" w14:textId="2CACD669" w:rsidR="00875E00" w:rsidRDefault="00875E00">
      <w:pPr>
        <w:pStyle w:val="FootnoteText"/>
      </w:pPr>
      <w:r>
        <w:rPr>
          <w:rStyle w:val="FootnoteReference"/>
        </w:rPr>
        <w:footnoteRef/>
      </w:r>
      <w:r>
        <w:t xml:space="preserve"> World Health Organization (‘WHO’), </w:t>
      </w:r>
      <w:r w:rsidRPr="00340649">
        <w:rPr>
          <w:i/>
          <w:iCs/>
        </w:rPr>
        <w:t>World Report on Ageing and Health</w:t>
      </w:r>
      <w:r>
        <w:t xml:space="preserve"> (WHO, 2105)</w:t>
      </w:r>
      <w:r w:rsidRPr="003C4B61">
        <w:t xml:space="preserve">; </w:t>
      </w:r>
      <w:r w:rsidRPr="00D715B3">
        <w:rPr>
          <w:rFonts w:cs="Times New Roman"/>
        </w:rPr>
        <w:t>Kaspiew, Carson and Rhoades, AIFS (n 56)</w:t>
      </w:r>
      <w:r>
        <w:rPr>
          <w:rFonts w:cs="Times New Roman"/>
        </w:rPr>
        <w:t>.</w:t>
      </w:r>
    </w:p>
  </w:footnote>
  <w:footnote w:id="79">
    <w:p w14:paraId="469E5229" w14:textId="36D479A7" w:rsidR="001E789E" w:rsidRDefault="001E789E">
      <w:pPr>
        <w:pStyle w:val="FootnoteText"/>
      </w:pPr>
      <w:r>
        <w:rPr>
          <w:rStyle w:val="FootnoteReference"/>
        </w:rPr>
        <w:footnoteRef/>
      </w:r>
      <w:r>
        <w:t xml:space="preserve"> </w:t>
      </w:r>
      <w:r w:rsidR="00724394">
        <w:t xml:space="preserve">Yongjie </w:t>
      </w:r>
      <w:r w:rsidR="00724394" w:rsidRPr="003C4B61">
        <w:t>Yon</w:t>
      </w:r>
      <w:r w:rsidR="00724394">
        <w:t xml:space="preserve"> et al</w:t>
      </w:r>
      <w:r w:rsidR="00F94A46">
        <w:t>,</w:t>
      </w:r>
      <w:r w:rsidR="00724394" w:rsidRPr="003C4B61">
        <w:t xml:space="preserve"> ‘Elder </w:t>
      </w:r>
      <w:r w:rsidR="00F94A46">
        <w:t>A</w:t>
      </w:r>
      <w:r w:rsidR="00724394" w:rsidRPr="003C4B61">
        <w:t xml:space="preserve">buse </w:t>
      </w:r>
      <w:r w:rsidR="00F94A46">
        <w:t>P</w:t>
      </w:r>
      <w:r w:rsidR="00724394" w:rsidRPr="003C4B61">
        <w:t xml:space="preserve">revalence in </w:t>
      </w:r>
      <w:r w:rsidR="00F94A46">
        <w:t>C</w:t>
      </w:r>
      <w:r w:rsidR="00724394" w:rsidRPr="003C4B61">
        <w:t xml:space="preserve">ommunity </w:t>
      </w:r>
      <w:r w:rsidR="00F94A46">
        <w:t>S</w:t>
      </w:r>
      <w:r w:rsidR="00724394" w:rsidRPr="003C4B61">
        <w:t xml:space="preserve">ettings: </w:t>
      </w:r>
      <w:r w:rsidR="00F94A46">
        <w:t>A</w:t>
      </w:r>
      <w:r w:rsidR="00724394" w:rsidRPr="003C4B61">
        <w:t xml:space="preserve"> </w:t>
      </w:r>
      <w:r w:rsidR="00F94A46">
        <w:t>S</w:t>
      </w:r>
      <w:r w:rsidR="00724394" w:rsidRPr="003C4B61">
        <w:t xml:space="preserve">ystematic </w:t>
      </w:r>
      <w:r w:rsidR="00F94A46">
        <w:t>R</w:t>
      </w:r>
      <w:r w:rsidR="00724394" w:rsidRPr="003C4B61">
        <w:t xml:space="preserve">eview and </w:t>
      </w:r>
      <w:r w:rsidR="00F94A46">
        <w:t>M</w:t>
      </w:r>
      <w:r w:rsidR="00724394" w:rsidRPr="003C4B61">
        <w:t>eta-</w:t>
      </w:r>
      <w:r w:rsidR="00F94A46">
        <w:t>a</w:t>
      </w:r>
      <w:r w:rsidR="00724394" w:rsidRPr="003C4B61">
        <w:t xml:space="preserve">nalysis’ </w:t>
      </w:r>
      <w:r w:rsidR="00921DB2">
        <w:t xml:space="preserve">2017) </w:t>
      </w:r>
      <w:r w:rsidR="00186CE1">
        <w:t xml:space="preserve">February </w:t>
      </w:r>
      <w:r w:rsidR="00921DB2">
        <w:t>5(2)</w:t>
      </w:r>
      <w:r w:rsidR="00186CE1">
        <w:t xml:space="preserve"> </w:t>
      </w:r>
      <w:r w:rsidR="00921DB2" w:rsidRPr="00921DB2">
        <w:rPr>
          <w:i/>
          <w:iCs/>
        </w:rPr>
        <w:t xml:space="preserve">The </w:t>
      </w:r>
      <w:r w:rsidR="00724394" w:rsidRPr="002C3D68">
        <w:rPr>
          <w:i/>
          <w:iCs/>
        </w:rPr>
        <w:t>Lancet Glob Health</w:t>
      </w:r>
      <w:r w:rsidR="00724394" w:rsidRPr="003C4B61">
        <w:t xml:space="preserve"> e147</w:t>
      </w:r>
      <w:r w:rsidR="002B41EC">
        <w:t>, e</w:t>
      </w:r>
      <w:r w:rsidR="00AD212B">
        <w:t>150.</w:t>
      </w:r>
      <w:r w:rsidR="00186CE1">
        <w:t xml:space="preserve"> </w:t>
      </w:r>
      <w:r w:rsidRPr="003C4B61">
        <w:t xml:space="preserve">The meta-analysis </w:t>
      </w:r>
      <w:r w:rsidRPr="002C3D68">
        <w:t>examined</w:t>
      </w:r>
      <w:r w:rsidRPr="003C4B61">
        <w:t xml:space="preserve"> 52 studies conducted in 28 countries from diverse regions. The 52 studies represented a total sample size of 59,203 people. Of the 52 studies, 40 were based on random samples and 12 were convenience samples, and 35 were scored as ‘good’ quality and 17 scored as ‘fair to poor’ quality: </w:t>
      </w:r>
      <w:r w:rsidR="000474EE">
        <w:t xml:space="preserve">at </w:t>
      </w:r>
      <w:r w:rsidRPr="003C4B61">
        <w:t xml:space="preserve">Table </w:t>
      </w:r>
      <w:r w:rsidR="00AD212B">
        <w:t>1</w:t>
      </w:r>
      <w:r w:rsidRPr="003C4B61">
        <w:t>.</w:t>
      </w:r>
    </w:p>
  </w:footnote>
  <w:footnote w:id="80">
    <w:p w14:paraId="34B639C8" w14:textId="084557E6" w:rsidR="00C66B1E" w:rsidRDefault="00C66B1E">
      <w:pPr>
        <w:pStyle w:val="FootnoteText"/>
      </w:pPr>
      <w:r>
        <w:rPr>
          <w:rStyle w:val="FootnoteReference"/>
        </w:rPr>
        <w:footnoteRef/>
      </w:r>
      <w:r>
        <w:t xml:space="preserve"> Ibid</w:t>
      </w:r>
      <w:r w:rsidRPr="002C3D68">
        <w:t xml:space="preserve">. Sample sizes for studies for abuse subtypes were as follows: physical abuse (44 studies, 64,946 total sample size), sexual abuse (15 studies, 43,332 total sample size), psychological abuse (44 studies, 60,192 total sample size), financial abuse (24 studies, 45,915 total sample size), neglect (30 studies, 39,515 total sample size): </w:t>
      </w:r>
      <w:r w:rsidR="00AD212B">
        <w:t>at</w:t>
      </w:r>
      <w:r w:rsidRPr="002C3D68">
        <w:t xml:space="preserve"> Table 2.</w:t>
      </w:r>
    </w:p>
  </w:footnote>
  <w:footnote w:id="81">
    <w:p w14:paraId="10A8004E" w14:textId="73752F75" w:rsidR="005B799C" w:rsidRDefault="005B799C">
      <w:pPr>
        <w:pStyle w:val="FootnoteText"/>
      </w:pPr>
      <w:r>
        <w:rPr>
          <w:rStyle w:val="FootnoteReference"/>
        </w:rPr>
        <w:footnoteRef/>
      </w:r>
      <w:r>
        <w:t xml:space="preserve"> Similar findings were reported in </w:t>
      </w:r>
      <w:r w:rsidRPr="00CD3687">
        <w:t>institutionalised settings</w:t>
      </w:r>
      <w:r>
        <w:t xml:space="preserve">, but with lower sample size: </w:t>
      </w:r>
      <w:r w:rsidRPr="003C4B61">
        <w:t xml:space="preserve">Ho et al (2017) </w:t>
      </w:r>
      <w:r>
        <w:t xml:space="preserve">(n 60). </w:t>
      </w:r>
      <w:r w:rsidRPr="003C4B61">
        <w:t xml:space="preserve">In the 34 </w:t>
      </w:r>
      <w:r w:rsidRPr="002C3D68">
        <w:t>population</w:t>
      </w:r>
      <w:r w:rsidRPr="003C4B61">
        <w:t xml:space="preserve">-based studies with a total sample size of 44,563,047 the following prevalence were reported: emotional abuse (47.5%); financial (34%); neglect (32%); physical abuse (19.1%), sexual abuse (3.1%). In the 17 non-population-based studies with a total sample size of 4090 the following prevalence were reported: emotional abuse (71.5%); physical abuse (33.1%), neglect (32.6%), financial (27.4%), sexual abuse (1.6%). See also </w:t>
      </w:r>
      <w:r>
        <w:t xml:space="preserve">Qu et al, </w:t>
      </w:r>
      <w:r w:rsidRPr="003C4B61">
        <w:t xml:space="preserve">AIFS </w:t>
      </w:r>
      <w:r>
        <w:t xml:space="preserve">(n 56) </w:t>
      </w:r>
      <w:r w:rsidRPr="003C4B61">
        <w:t xml:space="preserve">11; </w:t>
      </w:r>
      <w:r w:rsidR="008245B9">
        <w:rPr>
          <w:rFonts w:cs="Times New Roman"/>
        </w:rPr>
        <w:t xml:space="preserve">Yon et al, </w:t>
      </w:r>
      <w:r w:rsidR="008245B9">
        <w:rPr>
          <w:i/>
          <w:iCs/>
        </w:rPr>
        <w:t>Elder Abuse Prevalence Community Settings</w:t>
      </w:r>
      <w:r w:rsidR="008245B9">
        <w:rPr>
          <w:rFonts w:cs="Times New Roman"/>
        </w:rPr>
        <w:t xml:space="preserve"> </w:t>
      </w:r>
      <w:r w:rsidRPr="003C4B61">
        <w:t>(</w:t>
      </w:r>
      <w:r>
        <w:t>n 78</w:t>
      </w:r>
      <w:r w:rsidRPr="003C4B61">
        <w:t xml:space="preserve">); </w:t>
      </w:r>
      <w:r>
        <w:t>Yongjie</w:t>
      </w:r>
      <w:r w:rsidRPr="003C4B61">
        <w:t xml:space="preserve"> Yon et al</w:t>
      </w:r>
      <w:r>
        <w:t>, the Prevalence of Elder Abuse in Institutional Settings: A Systematic Review and Meta-Analysis</w:t>
      </w:r>
      <w:r w:rsidRPr="003C4B61">
        <w:t xml:space="preserve"> (2018)</w:t>
      </w:r>
      <w:r>
        <w:t xml:space="preserve"> 29(1) </w:t>
      </w:r>
      <w:r w:rsidRPr="005B799C">
        <w:rPr>
          <w:i/>
          <w:iCs/>
        </w:rPr>
        <w:t>European Journal of Public Health</w:t>
      </w:r>
      <w:r>
        <w:t xml:space="preserve"> 58.</w:t>
      </w:r>
    </w:p>
  </w:footnote>
  <w:footnote w:id="82">
    <w:p w14:paraId="0756E6B9" w14:textId="6DA7D475" w:rsidR="008245B9" w:rsidRDefault="008245B9">
      <w:pPr>
        <w:pStyle w:val="FootnoteText"/>
      </w:pPr>
      <w:r>
        <w:rPr>
          <w:rStyle w:val="FootnoteReference"/>
        </w:rPr>
        <w:footnoteRef/>
      </w:r>
      <w:r>
        <w:t xml:space="preserve"> </w:t>
      </w:r>
      <w:r w:rsidRPr="003C4B61">
        <w:t xml:space="preserve">The Helpline is funded by </w:t>
      </w:r>
      <w:r w:rsidRPr="00E117F1">
        <w:t xml:space="preserve">Department of Premier and Cabinet </w:t>
      </w:r>
      <w:r>
        <w:t>(‘</w:t>
      </w:r>
      <w:r w:rsidRPr="00E439EA">
        <w:t>DPAC</w:t>
      </w:r>
      <w:r>
        <w:t>’)</w:t>
      </w:r>
      <w:r w:rsidRPr="003C4B61">
        <w:t xml:space="preserve"> and operated by Advocacy Tasmania. See further </w:t>
      </w:r>
      <w:r>
        <w:t>[3.4.3]–[3.4.4]</w:t>
      </w:r>
      <w:r w:rsidRPr="003C4B61">
        <w:t>.</w:t>
      </w:r>
    </w:p>
  </w:footnote>
  <w:footnote w:id="83">
    <w:p w14:paraId="7B80DB2A" w14:textId="19016D47" w:rsidR="00906281" w:rsidRDefault="00906281" w:rsidP="00E439EA">
      <w:pPr>
        <w:pStyle w:val="FootnoteText"/>
      </w:pPr>
      <w:r>
        <w:rPr>
          <w:rStyle w:val="FootnoteReference"/>
        </w:rPr>
        <w:footnoteRef/>
      </w:r>
      <w:r>
        <w:t xml:space="preserve"> </w:t>
      </w:r>
      <w:r w:rsidRPr="00E439EA">
        <w:t>These data related to calls by 355 callers to the Helpline</w:t>
      </w:r>
      <w:r w:rsidR="00EE02F6">
        <w:t xml:space="preserve"> provided by </w:t>
      </w:r>
      <w:r w:rsidR="003647BD">
        <w:t>DPAC</w:t>
      </w:r>
      <w:r w:rsidR="0031648B">
        <w:t xml:space="preserve"> (collected by Advocacy Tasmania)</w:t>
      </w:r>
      <w:r w:rsidRPr="00E439EA">
        <w:t xml:space="preserve">. The data were de-identified and aggregated and provided as percentages (not numbers) broken down into the following data categories: caller type, regional breakdown, demographic details about the older person concerned, type of abuse (not mutually exclusive), risk factors, details of the perpetrator of concern (age, gender and relationship to older person) and response. Discussion of the data regarding responses is set out in </w:t>
      </w:r>
      <w:r w:rsidRPr="00143437">
        <w:rPr>
          <w:b/>
          <w:bCs/>
        </w:rPr>
        <w:t>Part 4</w:t>
      </w:r>
      <w:r w:rsidRPr="00E439EA">
        <w:t xml:space="preserve">. </w:t>
      </w:r>
      <w:r w:rsidR="003647BD">
        <w:t>DPAC also provided f</w:t>
      </w:r>
      <w:r w:rsidRPr="00E439EA">
        <w:t>ollow up data on the number of calls to the Helpline in the following year</w:t>
      </w:r>
      <w:r w:rsidR="0031648B">
        <w:t xml:space="preserve"> from</w:t>
      </w:r>
      <w:r w:rsidRPr="00E439EA">
        <w:t xml:space="preserve"> 1 July 2023 to 30 June 2024. In this year, the total number of callers was 492</w:t>
      </w:r>
      <w:r w:rsidR="00AC6E30">
        <w:t>, with s</w:t>
      </w:r>
      <w:r w:rsidR="00E003FF">
        <w:t>imilar</w:t>
      </w:r>
      <w:r w:rsidRPr="00E439EA">
        <w:t xml:space="preserve"> patterns </w:t>
      </w:r>
      <w:r w:rsidR="00E003FF">
        <w:t>to t</w:t>
      </w:r>
      <w:r w:rsidR="00E82A84">
        <w:t xml:space="preserve">hose in the data </w:t>
      </w:r>
      <w:r w:rsidR="00E003FF">
        <w:t>from 1 July 2022 to 30 June 2023</w:t>
      </w:r>
      <w:r w:rsidRPr="00E439EA">
        <w:t xml:space="preserve"> </w:t>
      </w:r>
      <w:r w:rsidR="00AC6E30">
        <w:t>(</w:t>
      </w:r>
      <w:r w:rsidRPr="00E439EA">
        <w:t>although the precise percentages varied slightly).</w:t>
      </w:r>
    </w:p>
  </w:footnote>
  <w:footnote w:id="84">
    <w:p w14:paraId="02797D2A" w14:textId="4FCF7378" w:rsidR="000A2695" w:rsidRDefault="000A2695">
      <w:pPr>
        <w:pStyle w:val="FootnoteText"/>
      </w:pPr>
      <w:r>
        <w:rPr>
          <w:rStyle w:val="FootnoteReference"/>
        </w:rPr>
        <w:footnoteRef/>
      </w:r>
      <w:r>
        <w:t xml:space="preserve"> </w:t>
      </w:r>
      <w:r w:rsidRPr="000A2695">
        <w:t>Senior Assist is provided by Tasmania Legal Aid and funded by the Commonwealth Attorney-General’s Department (</w:t>
      </w:r>
      <w:r w:rsidR="00077676">
        <w:t>‘</w:t>
      </w:r>
      <w:r w:rsidRPr="000A2695">
        <w:t>AGD</w:t>
      </w:r>
      <w:r w:rsidR="00077676">
        <w:t>’</w:t>
      </w:r>
      <w:r w:rsidRPr="000A2695">
        <w:t xml:space="preserve">). See further </w:t>
      </w:r>
      <w:r w:rsidR="00077676">
        <w:t>[3.4.10]–[ 3.4.13]</w:t>
      </w:r>
      <w:r w:rsidRPr="000A2695">
        <w:t>.</w:t>
      </w:r>
    </w:p>
  </w:footnote>
  <w:footnote w:id="85">
    <w:p w14:paraId="372F1EC2" w14:textId="23E75EF6" w:rsidR="00EF30CF" w:rsidRPr="00EF30CF" w:rsidRDefault="00EF30CF">
      <w:pPr>
        <w:pStyle w:val="FootnoteText"/>
        <w:rPr>
          <w:szCs w:val="18"/>
        </w:rPr>
      </w:pPr>
      <w:r>
        <w:rPr>
          <w:rStyle w:val="FootnoteReference"/>
        </w:rPr>
        <w:footnoteRef/>
      </w:r>
      <w:r>
        <w:t xml:space="preserve"> </w:t>
      </w:r>
      <w:r w:rsidRPr="00E439EA">
        <w:t>These data related to a sample of 95 Senior Assist clients. The sample of data provided by the</w:t>
      </w:r>
      <w:r w:rsidR="007E59C9">
        <w:t xml:space="preserve"> </w:t>
      </w:r>
      <w:r w:rsidR="007E59C9" w:rsidRPr="000A2695">
        <w:t>Commonwealth</w:t>
      </w:r>
      <w:r w:rsidRPr="00E439EA">
        <w:t xml:space="preserve"> AGD from Senior Assist (</w:t>
      </w:r>
      <w:r w:rsidR="00AC6E30">
        <w:t xml:space="preserve">collected </w:t>
      </w:r>
      <w:r w:rsidRPr="00E439EA">
        <w:t xml:space="preserve">by Tasmania Legal Aid) was collected from surveys of 10% of Senior Assist clients from 1 July </w:t>
      </w:r>
      <w:r w:rsidR="00CB7527">
        <w:t xml:space="preserve">2023 </w:t>
      </w:r>
      <w:r w:rsidRPr="00E439EA">
        <w:t xml:space="preserve">to 31 December 2023. The data were de-identified and provided as numbers broken down into the following data categories: regional breakdown, demographic details about the older person concerned, Indigenous status of the older person concerned, disability status of the older person concerned, including disability by gender and disability description, type of abuse (not mutually exclusive), details of the perpetrator of concern (relationship only, not age or gender) and response. Discussion of the data regarding responses is set out in </w:t>
      </w:r>
      <w:r w:rsidRPr="00EF30CF">
        <w:rPr>
          <w:b/>
          <w:bCs/>
        </w:rPr>
        <w:t>Part 4</w:t>
      </w:r>
      <w:r w:rsidRPr="00E439EA">
        <w:t>.</w:t>
      </w:r>
    </w:p>
  </w:footnote>
  <w:footnote w:id="86">
    <w:p w14:paraId="26C04BB4" w14:textId="139C327A" w:rsidR="00A950FE" w:rsidRDefault="00A950FE" w:rsidP="00E439EA">
      <w:pPr>
        <w:pStyle w:val="FootnoteText"/>
      </w:pPr>
      <w:r>
        <w:rPr>
          <w:rStyle w:val="FootnoteReference"/>
        </w:rPr>
        <w:footnoteRef/>
      </w:r>
      <w:r>
        <w:t xml:space="preserve"> </w:t>
      </w:r>
      <w:r w:rsidRPr="003C4B61">
        <w:t xml:space="preserve">It is noted that the Helpline and </w:t>
      </w:r>
      <w:r w:rsidRPr="00E439EA">
        <w:t>Senior</w:t>
      </w:r>
      <w:r w:rsidRPr="003C4B61">
        <w:t xml:space="preserve"> Assist are linked by referral pathways between services within the </w:t>
      </w:r>
      <w:r w:rsidR="001D1974">
        <w:t>‘</w:t>
      </w:r>
      <w:r w:rsidR="001D1974" w:rsidRPr="006F2DE6">
        <w:t>Tasmanian Lifelong Respect Community of Practice Ending the Abuse of Older People’</w:t>
      </w:r>
      <w:r w:rsidR="001D1974" w:rsidRPr="003C4B61">
        <w:t xml:space="preserve"> </w:t>
      </w:r>
      <w:r w:rsidRPr="003C4B61">
        <w:t xml:space="preserve">(see </w:t>
      </w:r>
      <w:r w:rsidR="00280F92">
        <w:t>[3.4.2]</w:t>
      </w:r>
      <w:r w:rsidRPr="003C4B61">
        <w:t>).</w:t>
      </w:r>
    </w:p>
  </w:footnote>
  <w:footnote w:id="87">
    <w:p w14:paraId="5F0D0225" w14:textId="372BE5E4" w:rsidR="00E26B96" w:rsidRPr="003C4B61" w:rsidRDefault="00E26B96" w:rsidP="00E439EA">
      <w:pPr>
        <w:pStyle w:val="FootnoteText"/>
      </w:pPr>
      <w:r w:rsidRPr="003C4B61">
        <w:rPr>
          <w:rStyle w:val="FootnoteReference"/>
          <w:rFonts w:cs="Times New Roman"/>
          <w:sz w:val="18"/>
          <w:szCs w:val="18"/>
        </w:rPr>
        <w:footnoteRef/>
      </w:r>
      <w:r w:rsidR="00645CA3">
        <w:t xml:space="preserve"> See, eg</w:t>
      </w:r>
      <w:r w:rsidR="00305970">
        <w:t>,</w:t>
      </w:r>
      <w:r w:rsidR="00645CA3">
        <w:t xml:space="preserve"> </w:t>
      </w:r>
      <w:r w:rsidR="00077676">
        <w:t>Qu et al, AIFS (n 56).</w:t>
      </w:r>
      <w:r w:rsidR="00305970">
        <w:t xml:space="preserve"> </w:t>
      </w:r>
      <w:r w:rsidR="00594613">
        <w:t xml:space="preserve">See further [2.3], </w:t>
      </w:r>
      <w:r w:rsidR="00305970">
        <w:t>[2.3.2] – [</w:t>
      </w:r>
      <w:r w:rsidR="0027362B">
        <w:t xml:space="preserve">2.3.6] </w:t>
      </w:r>
      <w:r w:rsidR="00422132">
        <w:t>(regarding national research) and</w:t>
      </w:r>
      <w:r w:rsidR="002409C6">
        <w:t xml:space="preserve"> [2.3.7]–2.3.8]</w:t>
      </w:r>
      <w:r w:rsidR="00422132">
        <w:t xml:space="preserve"> regarding international research</w:t>
      </w:r>
      <w:r w:rsidR="002409C6">
        <w:t>.</w:t>
      </w:r>
    </w:p>
  </w:footnote>
  <w:footnote w:id="88">
    <w:p w14:paraId="12992494" w14:textId="71FE5416" w:rsidR="00422132" w:rsidRDefault="00422132">
      <w:pPr>
        <w:pStyle w:val="FootnoteText"/>
      </w:pPr>
      <w:r>
        <w:rPr>
          <w:rStyle w:val="FootnoteReference"/>
        </w:rPr>
        <w:footnoteRef/>
      </w:r>
      <w:r>
        <w:t xml:space="preserve"> </w:t>
      </w:r>
      <w:r w:rsidRPr="003C4B61">
        <w:t xml:space="preserve">Callers included </w:t>
      </w:r>
      <w:r w:rsidRPr="00D14A19">
        <w:t>older</w:t>
      </w:r>
      <w:r w:rsidRPr="003C4B61">
        <w:t xml:space="preserve"> people themselves as well as others raising concerns about an older person</w:t>
      </w:r>
      <w:r w:rsidR="00E03AB1">
        <w:t xml:space="preserve">: </w:t>
      </w:r>
      <w:r w:rsidRPr="003C4B61">
        <w:t xml:space="preserve">see </w:t>
      </w:r>
      <w:r w:rsidR="00E03AB1">
        <w:t xml:space="preserve">[2.4.15] </w:t>
      </w:r>
      <w:r w:rsidRPr="003C4B61">
        <w:t>under ‘Risk factors and help-seeking</w:t>
      </w:r>
      <w:r w:rsidR="00BC4041">
        <w:t xml:space="preserve"> for abuse</w:t>
      </w:r>
      <w:r w:rsidRPr="003C4B61">
        <w:t>’.</w:t>
      </w:r>
    </w:p>
  </w:footnote>
  <w:footnote w:id="89">
    <w:p w14:paraId="17F753C8" w14:textId="6D745409" w:rsidR="000B57D7" w:rsidRDefault="000B57D7">
      <w:pPr>
        <w:pStyle w:val="FootnoteText"/>
      </w:pPr>
      <w:r>
        <w:rPr>
          <w:rStyle w:val="FootnoteReference"/>
        </w:rPr>
        <w:footnoteRef/>
      </w:r>
      <w:r>
        <w:t xml:space="preserve"> </w:t>
      </w:r>
      <w:r w:rsidRPr="00D14A19">
        <w:t>Interviews</w:t>
      </w:r>
      <w:r w:rsidRPr="003C4B61">
        <w:t xml:space="preserve"> 4</w:t>
      </w:r>
      <w:r>
        <w:t xml:space="preserve">, </w:t>
      </w:r>
      <w:r w:rsidRPr="003C4B61">
        <w:t>8.</w:t>
      </w:r>
    </w:p>
  </w:footnote>
  <w:footnote w:id="90">
    <w:p w14:paraId="7EBC9431" w14:textId="75CA7419" w:rsidR="000B57D7" w:rsidRDefault="000B57D7">
      <w:pPr>
        <w:pStyle w:val="FootnoteText"/>
      </w:pPr>
      <w:r>
        <w:rPr>
          <w:rStyle w:val="FootnoteReference"/>
        </w:rPr>
        <w:footnoteRef/>
      </w:r>
      <w:r>
        <w:t xml:space="preserve"> </w:t>
      </w:r>
      <w:r w:rsidRPr="003C4B61">
        <w:t>Interview 18.</w:t>
      </w:r>
    </w:p>
  </w:footnote>
  <w:footnote w:id="91">
    <w:p w14:paraId="0C29A057" w14:textId="563A90AF" w:rsidR="000B57D7" w:rsidRDefault="000B57D7">
      <w:pPr>
        <w:pStyle w:val="FootnoteText"/>
      </w:pPr>
      <w:r>
        <w:rPr>
          <w:rStyle w:val="FootnoteReference"/>
        </w:rPr>
        <w:footnoteRef/>
      </w:r>
      <w:r>
        <w:t xml:space="preserve"> </w:t>
      </w:r>
      <w:r w:rsidRPr="00D14A19">
        <w:t>Interview</w:t>
      </w:r>
      <w:r w:rsidRPr="003C4B61">
        <w:t xml:space="preserve"> 8.</w:t>
      </w:r>
    </w:p>
  </w:footnote>
  <w:footnote w:id="92">
    <w:p w14:paraId="1F2F7BFC" w14:textId="119E6E01" w:rsidR="000B57D7" w:rsidRDefault="000B57D7">
      <w:pPr>
        <w:pStyle w:val="FootnoteText"/>
      </w:pPr>
      <w:r>
        <w:rPr>
          <w:rStyle w:val="FootnoteReference"/>
        </w:rPr>
        <w:footnoteRef/>
      </w:r>
      <w:r>
        <w:t xml:space="preserve"> </w:t>
      </w:r>
      <w:r w:rsidRPr="003C4B61">
        <w:t>Interview</w:t>
      </w:r>
      <w:r>
        <w:t>s</w:t>
      </w:r>
      <w:r w:rsidRPr="003C4B61">
        <w:t xml:space="preserve"> 4</w:t>
      </w:r>
      <w:r>
        <w:t>,</w:t>
      </w:r>
      <w:r w:rsidRPr="003C4B61">
        <w:t xml:space="preserve"> 12</w:t>
      </w:r>
      <w:r>
        <w:t>,</w:t>
      </w:r>
      <w:r w:rsidRPr="003C4B61">
        <w:t xml:space="preserve"> 9.</w:t>
      </w:r>
    </w:p>
  </w:footnote>
  <w:footnote w:id="93">
    <w:p w14:paraId="319973A9" w14:textId="0E34AE9C" w:rsidR="000B57D7" w:rsidRDefault="000B57D7">
      <w:pPr>
        <w:pStyle w:val="FootnoteText"/>
      </w:pPr>
      <w:r>
        <w:rPr>
          <w:rStyle w:val="FootnoteReference"/>
        </w:rPr>
        <w:footnoteRef/>
      </w:r>
      <w:r>
        <w:t xml:space="preserve"> </w:t>
      </w:r>
      <w:r w:rsidRPr="003C4B61">
        <w:t>Interview</w:t>
      </w:r>
      <w:r>
        <w:t>s</w:t>
      </w:r>
      <w:r w:rsidRPr="003C4B61">
        <w:t xml:space="preserve"> 4</w:t>
      </w:r>
      <w:r>
        <w:t xml:space="preserve">, </w:t>
      </w:r>
      <w:r w:rsidRPr="003C4B61">
        <w:t>9.</w:t>
      </w:r>
    </w:p>
  </w:footnote>
  <w:footnote w:id="94">
    <w:p w14:paraId="2EF67474" w14:textId="58C312B3" w:rsidR="000B57D7" w:rsidRDefault="000B57D7">
      <w:pPr>
        <w:pStyle w:val="FootnoteText"/>
      </w:pPr>
      <w:r>
        <w:rPr>
          <w:rStyle w:val="FootnoteReference"/>
        </w:rPr>
        <w:footnoteRef/>
      </w:r>
      <w:r>
        <w:t xml:space="preserve"> </w:t>
      </w:r>
      <w:r w:rsidRPr="00D14A19">
        <w:t>Interviews</w:t>
      </w:r>
      <w:r w:rsidRPr="003C4B61">
        <w:t xml:space="preserve"> 3</w:t>
      </w:r>
      <w:r>
        <w:t>,</w:t>
      </w:r>
      <w:r w:rsidRPr="003C4B61">
        <w:t xml:space="preserve"> 4</w:t>
      </w:r>
      <w:r>
        <w:t>,</w:t>
      </w:r>
      <w:r w:rsidRPr="003C4B61">
        <w:t xml:space="preserve"> 13.</w:t>
      </w:r>
    </w:p>
  </w:footnote>
  <w:footnote w:id="95">
    <w:p w14:paraId="0704DA54" w14:textId="705CD02B" w:rsidR="000B57D7" w:rsidRDefault="000B57D7">
      <w:pPr>
        <w:pStyle w:val="FootnoteText"/>
      </w:pPr>
      <w:r>
        <w:rPr>
          <w:rStyle w:val="FootnoteReference"/>
        </w:rPr>
        <w:footnoteRef/>
      </w:r>
      <w:r>
        <w:t xml:space="preserve"> </w:t>
      </w:r>
      <w:r w:rsidRPr="00D14A19">
        <w:t>Interview</w:t>
      </w:r>
      <w:r w:rsidRPr="003C4B61">
        <w:t xml:space="preserve"> 8.</w:t>
      </w:r>
    </w:p>
  </w:footnote>
  <w:footnote w:id="96">
    <w:p w14:paraId="5F62B9CD" w14:textId="625E95F9" w:rsidR="000B57D7" w:rsidRDefault="000B57D7">
      <w:pPr>
        <w:pStyle w:val="FootnoteText"/>
      </w:pPr>
      <w:r>
        <w:rPr>
          <w:rStyle w:val="FootnoteReference"/>
        </w:rPr>
        <w:footnoteRef/>
      </w:r>
      <w:r>
        <w:t xml:space="preserve"> </w:t>
      </w:r>
      <w:r w:rsidRPr="003C4B61">
        <w:t>Interview</w:t>
      </w:r>
      <w:r>
        <w:t>s</w:t>
      </w:r>
      <w:r w:rsidRPr="003C4B61">
        <w:t xml:space="preserve"> 15</w:t>
      </w:r>
      <w:r>
        <w:t>,</w:t>
      </w:r>
      <w:r w:rsidRPr="003C4B61">
        <w:t xml:space="preserve"> 8</w:t>
      </w:r>
      <w:r>
        <w:t xml:space="preserve">, </w:t>
      </w:r>
      <w:r w:rsidRPr="003C4B61">
        <w:t>18</w:t>
      </w:r>
      <w:r>
        <w:t xml:space="preserve">, </w:t>
      </w:r>
      <w:r w:rsidRPr="003C4B61">
        <w:t>19.</w:t>
      </w:r>
    </w:p>
  </w:footnote>
  <w:footnote w:id="97">
    <w:p w14:paraId="7BDD69EB" w14:textId="35039796" w:rsidR="000B57D7" w:rsidRDefault="000B57D7">
      <w:pPr>
        <w:pStyle w:val="FootnoteText"/>
      </w:pPr>
      <w:r>
        <w:rPr>
          <w:rStyle w:val="FootnoteReference"/>
        </w:rPr>
        <w:footnoteRef/>
      </w:r>
      <w:r>
        <w:t xml:space="preserve"> </w:t>
      </w:r>
      <w:r w:rsidRPr="00D14A19">
        <w:t>Interview</w:t>
      </w:r>
      <w:r w:rsidRPr="003C4B61">
        <w:t xml:space="preserve"> 12.</w:t>
      </w:r>
    </w:p>
  </w:footnote>
  <w:footnote w:id="98">
    <w:p w14:paraId="52849637" w14:textId="3E212AD1" w:rsidR="000B57D7" w:rsidRDefault="000B57D7">
      <w:pPr>
        <w:pStyle w:val="FootnoteText"/>
      </w:pPr>
      <w:r>
        <w:rPr>
          <w:rStyle w:val="FootnoteReference"/>
        </w:rPr>
        <w:footnoteRef/>
      </w:r>
      <w:r>
        <w:t xml:space="preserve"> </w:t>
      </w:r>
      <w:r w:rsidRPr="00D14A19">
        <w:t>Interviews</w:t>
      </w:r>
      <w:r w:rsidRPr="003C4B61">
        <w:t xml:space="preserve"> 7</w:t>
      </w:r>
      <w:r>
        <w:t xml:space="preserve">, </w:t>
      </w:r>
      <w:r w:rsidRPr="003C4B61">
        <w:t>12</w:t>
      </w:r>
      <w:r>
        <w:t xml:space="preserve">, </w:t>
      </w:r>
      <w:r w:rsidRPr="003C4B61">
        <w:t>18</w:t>
      </w:r>
      <w:r>
        <w:t>, 14, 19, 16, 22, 2</w:t>
      </w:r>
      <w:r w:rsidRPr="003C4B61">
        <w:t>.</w:t>
      </w:r>
    </w:p>
  </w:footnote>
  <w:footnote w:id="99">
    <w:p w14:paraId="72DBB079" w14:textId="7E23E85B" w:rsidR="000B57D7" w:rsidRDefault="000B57D7">
      <w:pPr>
        <w:pStyle w:val="FootnoteText"/>
      </w:pPr>
      <w:r>
        <w:rPr>
          <w:rStyle w:val="FootnoteReference"/>
        </w:rPr>
        <w:footnoteRef/>
      </w:r>
      <w:r>
        <w:t xml:space="preserve"> </w:t>
      </w:r>
      <w:r w:rsidRPr="00D14A19">
        <w:t>Interviews</w:t>
      </w:r>
      <w:r w:rsidRPr="003C4B61">
        <w:t xml:space="preserve"> 7</w:t>
      </w:r>
      <w:r>
        <w:t xml:space="preserve">, </w:t>
      </w:r>
      <w:r w:rsidRPr="003C4B61">
        <w:t>18.</w:t>
      </w:r>
    </w:p>
  </w:footnote>
  <w:footnote w:id="100">
    <w:p w14:paraId="64157095" w14:textId="61FD66A8" w:rsidR="000B57D7" w:rsidRDefault="000B57D7">
      <w:pPr>
        <w:pStyle w:val="FootnoteText"/>
      </w:pPr>
      <w:r>
        <w:rPr>
          <w:rStyle w:val="FootnoteReference"/>
        </w:rPr>
        <w:footnoteRef/>
      </w:r>
      <w:r>
        <w:t xml:space="preserve"> </w:t>
      </w:r>
      <w:r w:rsidRPr="00D14A19">
        <w:t>Interview</w:t>
      </w:r>
      <w:r w:rsidRPr="003C4B61">
        <w:t xml:space="preserve"> 7.</w:t>
      </w:r>
    </w:p>
  </w:footnote>
  <w:footnote w:id="101">
    <w:p w14:paraId="1CB09A9F" w14:textId="419294A4" w:rsidR="00100C5B" w:rsidRDefault="00100C5B">
      <w:pPr>
        <w:pStyle w:val="FootnoteText"/>
      </w:pPr>
      <w:r>
        <w:rPr>
          <w:rStyle w:val="FootnoteReference"/>
        </w:rPr>
        <w:footnoteRef/>
      </w:r>
      <w:r>
        <w:t xml:space="preserve"> </w:t>
      </w:r>
      <w:r w:rsidRPr="00D14A19">
        <w:t>Interview</w:t>
      </w:r>
      <w:r w:rsidRPr="003C4B61">
        <w:t xml:space="preserve"> 18.</w:t>
      </w:r>
    </w:p>
  </w:footnote>
  <w:footnote w:id="102">
    <w:p w14:paraId="3056E216" w14:textId="590BA2C9" w:rsidR="00100C5B" w:rsidRDefault="00100C5B">
      <w:pPr>
        <w:pStyle w:val="FootnoteText"/>
      </w:pPr>
      <w:r>
        <w:rPr>
          <w:rStyle w:val="FootnoteReference"/>
        </w:rPr>
        <w:footnoteRef/>
      </w:r>
      <w:r>
        <w:t xml:space="preserve"> </w:t>
      </w:r>
      <w:r w:rsidRPr="00D14A19">
        <w:t>Interview</w:t>
      </w:r>
      <w:r w:rsidRPr="003C4B61">
        <w:t xml:space="preserve"> 7.</w:t>
      </w:r>
    </w:p>
  </w:footnote>
  <w:footnote w:id="103">
    <w:p w14:paraId="6B490A9D" w14:textId="7C551E3D" w:rsidR="00100C5B" w:rsidRDefault="00100C5B">
      <w:pPr>
        <w:pStyle w:val="FootnoteText"/>
      </w:pPr>
      <w:r>
        <w:rPr>
          <w:rStyle w:val="FootnoteReference"/>
        </w:rPr>
        <w:footnoteRef/>
      </w:r>
      <w:r>
        <w:t xml:space="preserve"> </w:t>
      </w:r>
      <w:r w:rsidRPr="00D14A19">
        <w:t>Interview</w:t>
      </w:r>
      <w:r w:rsidRPr="003C4B61">
        <w:t xml:space="preserve"> 7.</w:t>
      </w:r>
    </w:p>
  </w:footnote>
  <w:footnote w:id="104">
    <w:p w14:paraId="067E43CE" w14:textId="2760677B" w:rsidR="00100C5B" w:rsidRDefault="00100C5B">
      <w:pPr>
        <w:pStyle w:val="FootnoteText"/>
      </w:pPr>
      <w:r>
        <w:rPr>
          <w:rStyle w:val="FootnoteReference"/>
        </w:rPr>
        <w:footnoteRef/>
      </w:r>
      <w:r>
        <w:t xml:space="preserve"> </w:t>
      </w:r>
      <w:r w:rsidRPr="00D14A19">
        <w:t>Interview</w:t>
      </w:r>
      <w:r w:rsidRPr="003C4B61">
        <w:t xml:space="preserve"> 7.</w:t>
      </w:r>
    </w:p>
  </w:footnote>
  <w:footnote w:id="105">
    <w:p w14:paraId="0EA24D1E" w14:textId="2689DA9B" w:rsidR="00100C5B" w:rsidRDefault="00100C5B">
      <w:pPr>
        <w:pStyle w:val="FootnoteText"/>
      </w:pPr>
      <w:r>
        <w:rPr>
          <w:rStyle w:val="FootnoteReference"/>
        </w:rPr>
        <w:footnoteRef/>
      </w:r>
      <w:r>
        <w:t xml:space="preserve"> </w:t>
      </w:r>
      <w:r w:rsidRPr="00D14A19">
        <w:t>Interviews</w:t>
      </w:r>
      <w:r w:rsidRPr="003C4B61">
        <w:t xml:space="preserve"> 19</w:t>
      </w:r>
      <w:r>
        <w:t>,</w:t>
      </w:r>
      <w:r w:rsidRPr="003C4B61">
        <w:t xml:space="preserve"> 8</w:t>
      </w:r>
      <w:r>
        <w:t xml:space="preserve">, </w:t>
      </w:r>
      <w:r w:rsidRPr="003C4B61">
        <w:t>5.</w:t>
      </w:r>
    </w:p>
  </w:footnote>
  <w:footnote w:id="106">
    <w:p w14:paraId="526EF159" w14:textId="6FC45892" w:rsidR="00100C5B" w:rsidRDefault="00100C5B">
      <w:pPr>
        <w:pStyle w:val="FootnoteText"/>
      </w:pPr>
      <w:r>
        <w:rPr>
          <w:rStyle w:val="FootnoteReference"/>
        </w:rPr>
        <w:footnoteRef/>
      </w:r>
      <w:r>
        <w:t xml:space="preserve"> </w:t>
      </w:r>
      <w:r w:rsidRPr="003C4B61">
        <w:t>Interview</w:t>
      </w:r>
      <w:r>
        <w:t>s</w:t>
      </w:r>
      <w:r w:rsidRPr="003C4B61">
        <w:t xml:space="preserve"> 12</w:t>
      </w:r>
      <w:r>
        <w:t>,</w:t>
      </w:r>
      <w:r w:rsidRPr="003C4B61">
        <w:t xml:space="preserve"> 15</w:t>
      </w:r>
      <w:r>
        <w:t>,</w:t>
      </w:r>
      <w:r w:rsidRPr="003C4B61">
        <w:t xml:space="preserve"> 9</w:t>
      </w:r>
      <w:r>
        <w:t>,</w:t>
      </w:r>
      <w:r w:rsidRPr="003C4B61">
        <w:t xml:space="preserve"> 5</w:t>
      </w:r>
      <w:r>
        <w:t>,</w:t>
      </w:r>
      <w:r w:rsidRPr="003C4B61">
        <w:t xml:space="preserve"> 9.</w:t>
      </w:r>
    </w:p>
  </w:footnote>
  <w:footnote w:id="107">
    <w:p w14:paraId="501BD596" w14:textId="2BC8713C" w:rsidR="00100C5B" w:rsidRDefault="00100C5B">
      <w:pPr>
        <w:pStyle w:val="FootnoteText"/>
      </w:pPr>
      <w:r>
        <w:rPr>
          <w:rStyle w:val="FootnoteReference"/>
        </w:rPr>
        <w:footnoteRef/>
      </w:r>
      <w:r>
        <w:t xml:space="preserve"> </w:t>
      </w:r>
      <w:r w:rsidRPr="003C4B61">
        <w:t>Interview</w:t>
      </w:r>
      <w:r>
        <w:t>s</w:t>
      </w:r>
      <w:r w:rsidRPr="003C4B61">
        <w:t xml:space="preserve"> 3</w:t>
      </w:r>
      <w:r>
        <w:t xml:space="preserve">, </w:t>
      </w:r>
      <w:r w:rsidRPr="00FA50F2">
        <w:t>4, 12, 15, 5, 9, 8, 18, 19, 2, 17, 6, 23, 7, 2, 14, 13, 16, 22</w:t>
      </w:r>
      <w:r w:rsidR="00FA50F2">
        <w:t>.</w:t>
      </w:r>
      <w:r>
        <w:t xml:space="preserve"> S</w:t>
      </w:r>
      <w:r w:rsidRPr="003C4B61">
        <w:t>ee</w:t>
      </w:r>
      <w:r>
        <w:t xml:space="preserve"> also</w:t>
      </w:r>
      <w:r w:rsidRPr="003C4B61">
        <w:t xml:space="preserve"> </w:t>
      </w:r>
      <w:r>
        <w:t xml:space="preserve">discussion at </w:t>
      </w:r>
      <w:r w:rsidR="00470E4D">
        <w:t>[5.2.4]</w:t>
      </w:r>
      <w:r w:rsidR="00F62A68">
        <w:t>–[5.2.11].</w:t>
      </w:r>
    </w:p>
  </w:footnote>
  <w:footnote w:id="108">
    <w:p w14:paraId="096A403B" w14:textId="1EECA643" w:rsidR="00100C5B" w:rsidRDefault="00100C5B">
      <w:pPr>
        <w:pStyle w:val="FootnoteText"/>
      </w:pPr>
      <w:r>
        <w:rPr>
          <w:rStyle w:val="FootnoteReference"/>
        </w:rPr>
        <w:footnoteRef/>
      </w:r>
      <w:r>
        <w:t xml:space="preserve"> </w:t>
      </w:r>
      <w:r w:rsidRPr="00D14A19">
        <w:t>Interview</w:t>
      </w:r>
      <w:r w:rsidRPr="003C4B61">
        <w:t xml:space="preserve"> 12.</w:t>
      </w:r>
    </w:p>
  </w:footnote>
  <w:footnote w:id="109">
    <w:p w14:paraId="56B2BA8C" w14:textId="0A7FD547" w:rsidR="00100C5B" w:rsidRDefault="00100C5B">
      <w:pPr>
        <w:pStyle w:val="FootnoteText"/>
      </w:pPr>
      <w:r>
        <w:rPr>
          <w:rStyle w:val="FootnoteReference"/>
        </w:rPr>
        <w:footnoteRef/>
      </w:r>
      <w:r>
        <w:t xml:space="preserve"> </w:t>
      </w:r>
      <w:r w:rsidRPr="003C4B61">
        <w:t>Interview</w:t>
      </w:r>
      <w:r>
        <w:t>s</w:t>
      </w:r>
      <w:r w:rsidRPr="003C4B61">
        <w:t xml:space="preserve"> 8</w:t>
      </w:r>
      <w:r>
        <w:t xml:space="preserve">, </w:t>
      </w:r>
      <w:r w:rsidRPr="003C4B61">
        <w:t>9</w:t>
      </w:r>
      <w:r>
        <w:t>,</w:t>
      </w:r>
      <w:r w:rsidRPr="003C4B61">
        <w:t xml:space="preserve"> 18</w:t>
      </w:r>
      <w:r>
        <w:t>,</w:t>
      </w:r>
      <w:r w:rsidRPr="003C4B61">
        <w:t xml:space="preserve"> 14.</w:t>
      </w:r>
    </w:p>
  </w:footnote>
  <w:footnote w:id="110">
    <w:p w14:paraId="597B5FC5" w14:textId="168EB5B7" w:rsidR="00100C5B" w:rsidRDefault="00100C5B">
      <w:pPr>
        <w:pStyle w:val="FootnoteText"/>
      </w:pPr>
      <w:r>
        <w:rPr>
          <w:rStyle w:val="FootnoteReference"/>
        </w:rPr>
        <w:footnoteRef/>
      </w:r>
      <w:r>
        <w:t xml:space="preserve"> See discussion at </w:t>
      </w:r>
      <w:r w:rsidR="00873BC5">
        <w:t>[2.4.21]–[2.4</w:t>
      </w:r>
      <w:r w:rsidR="004F12C5">
        <w:t>.24]</w:t>
      </w:r>
      <w:r>
        <w:t>.</w:t>
      </w:r>
    </w:p>
  </w:footnote>
  <w:footnote w:id="111">
    <w:p w14:paraId="5B710A27" w14:textId="5C191AAB" w:rsidR="00100C5B" w:rsidRDefault="00100C5B">
      <w:pPr>
        <w:pStyle w:val="FootnoteText"/>
      </w:pPr>
      <w:r>
        <w:rPr>
          <w:rStyle w:val="FootnoteReference"/>
        </w:rPr>
        <w:footnoteRef/>
      </w:r>
      <w:r>
        <w:t xml:space="preserve"> </w:t>
      </w:r>
      <w:r w:rsidRPr="008E45BD">
        <w:t>Interviews</w:t>
      </w:r>
      <w:r w:rsidRPr="003C4B61">
        <w:t xml:space="preserve"> 1</w:t>
      </w:r>
      <w:r>
        <w:t>,</w:t>
      </w:r>
      <w:r w:rsidRPr="003C4B61">
        <w:t xml:space="preserve"> 9.</w:t>
      </w:r>
    </w:p>
  </w:footnote>
  <w:footnote w:id="112">
    <w:p w14:paraId="412EFB47" w14:textId="1D9D4C60" w:rsidR="004F12C5" w:rsidRDefault="004F12C5">
      <w:pPr>
        <w:pStyle w:val="FootnoteText"/>
      </w:pPr>
      <w:r>
        <w:rPr>
          <w:rStyle w:val="FootnoteReference"/>
        </w:rPr>
        <w:footnoteRef/>
      </w:r>
      <w:r>
        <w:t xml:space="preserve"> See </w:t>
      </w:r>
      <w:r w:rsidRPr="006F2DE6">
        <w:t>discuss</w:t>
      </w:r>
      <w:r>
        <w:t xml:space="preserve">ion </w:t>
      </w:r>
      <w:r w:rsidRPr="006F2DE6">
        <w:t>at</w:t>
      </w:r>
      <w:r w:rsidR="00F76DDD">
        <w:t xml:space="preserve"> [</w:t>
      </w:r>
      <w:r w:rsidR="00A40505">
        <w:t>2.3.26]</w:t>
      </w:r>
      <w:r w:rsidR="00761B83">
        <w:t xml:space="preserve">, </w:t>
      </w:r>
      <w:r w:rsidR="00F76DDD">
        <w:t>[4.5.18]</w:t>
      </w:r>
      <w:r w:rsidR="00761B83">
        <w:t xml:space="preserve"> and </w:t>
      </w:r>
      <w:r w:rsidR="009C1FC9" w:rsidRPr="00BE6CED">
        <w:rPr>
          <w:b/>
          <w:bCs/>
        </w:rPr>
        <w:t>Appendix C</w:t>
      </w:r>
      <w:r w:rsidR="009C1FC9">
        <w:t>: ‘Tasmanian strategies focused on preventing abuse of older people</w:t>
      </w:r>
      <w:r w:rsidR="002D3C93">
        <w:t>’</w:t>
      </w:r>
      <w:r>
        <w:t>.</w:t>
      </w:r>
      <w:r w:rsidR="009C1FC9">
        <w:t xml:space="preserve"> See also </w:t>
      </w:r>
      <w:r w:rsidR="007C6DFB" w:rsidRPr="007C6DFB">
        <w:t xml:space="preserve">Tasmanian Government, </w:t>
      </w:r>
      <w:r w:rsidR="007C6DFB" w:rsidRPr="007C6DFB">
        <w:rPr>
          <w:i/>
          <w:iCs/>
        </w:rPr>
        <w:t>Lifelong Respect Strategy 2023–2029</w:t>
      </w:r>
      <w:r w:rsidR="007C6DFB" w:rsidRPr="007C6DFB">
        <w:t xml:space="preserve"> (n 19).</w:t>
      </w:r>
    </w:p>
  </w:footnote>
  <w:footnote w:id="113">
    <w:p w14:paraId="17A742F2" w14:textId="18175E5E" w:rsidR="004D0924" w:rsidRPr="00FA50F2" w:rsidRDefault="004D0924">
      <w:pPr>
        <w:pStyle w:val="FootnoteText"/>
      </w:pPr>
      <w:r>
        <w:rPr>
          <w:rStyle w:val="FootnoteReference"/>
        </w:rPr>
        <w:footnoteRef/>
      </w:r>
      <w:r>
        <w:t xml:space="preserve"> </w:t>
      </w:r>
      <w:r w:rsidRPr="008E45BD">
        <w:t>Interviews</w:t>
      </w:r>
      <w:r w:rsidRPr="003C4B61">
        <w:t xml:space="preserve"> 7</w:t>
      </w:r>
      <w:r>
        <w:t>,</w:t>
      </w:r>
      <w:r w:rsidRPr="003C4B61">
        <w:t xml:space="preserve"> 9</w:t>
      </w:r>
      <w:r>
        <w:t>,</w:t>
      </w:r>
      <w:r w:rsidRPr="003C4B61">
        <w:t xml:space="preserve"> 18</w:t>
      </w:r>
      <w:r>
        <w:t>, 19, 16</w:t>
      </w:r>
      <w:r w:rsidRPr="00FA50F2">
        <w:t xml:space="preserve">, 22, 14, 2. This is discussed further in </w:t>
      </w:r>
      <w:r w:rsidRPr="00FA50F2">
        <w:rPr>
          <w:b/>
          <w:bCs/>
        </w:rPr>
        <w:t xml:space="preserve">Part 4 </w:t>
      </w:r>
      <w:r w:rsidRPr="00FA50F2">
        <w:t xml:space="preserve">at </w:t>
      </w:r>
      <w:r w:rsidR="00905CF4" w:rsidRPr="00FA50F2">
        <w:t>[4.5.18].</w:t>
      </w:r>
    </w:p>
  </w:footnote>
  <w:footnote w:id="114">
    <w:p w14:paraId="43EAB384" w14:textId="43B49211" w:rsidR="00905CF4" w:rsidRDefault="00905CF4">
      <w:pPr>
        <w:pStyle w:val="FootnoteText"/>
      </w:pPr>
      <w:r w:rsidRPr="00FA50F2">
        <w:rPr>
          <w:rStyle w:val="FootnoteReference"/>
        </w:rPr>
        <w:footnoteRef/>
      </w:r>
      <w:r w:rsidRPr="00FA50F2">
        <w:t xml:space="preserve"> Interviews 5, 7, 10, 18, 7, 6, 3, 10, 16, 22, 14</w:t>
      </w:r>
      <w:r w:rsidR="00FA50F2" w:rsidRPr="00FA50F2">
        <w:t>.</w:t>
      </w:r>
    </w:p>
  </w:footnote>
  <w:footnote w:id="115">
    <w:p w14:paraId="1BBE1F46" w14:textId="21406A6E" w:rsidR="0097097A" w:rsidRDefault="0097097A">
      <w:pPr>
        <w:pStyle w:val="FootnoteText"/>
      </w:pPr>
      <w:r>
        <w:rPr>
          <w:rStyle w:val="FootnoteReference"/>
        </w:rPr>
        <w:footnoteRef/>
      </w:r>
      <w:r>
        <w:t xml:space="preserve"> </w:t>
      </w:r>
      <w:r w:rsidR="003210B3">
        <w:t xml:space="preserve">ALRC, </w:t>
      </w:r>
      <w:r w:rsidR="003210B3" w:rsidRPr="003210B3">
        <w:rPr>
          <w:i/>
          <w:iCs/>
        </w:rPr>
        <w:t>Elder Abuse</w:t>
      </w:r>
      <w:r w:rsidRPr="003C4B61">
        <w:t xml:space="preserve"> (</w:t>
      </w:r>
      <w:r>
        <w:t>n 6)</w:t>
      </w:r>
      <w:r w:rsidRPr="003C4B61">
        <w:t xml:space="preserve"> 18</w:t>
      </w:r>
      <w:r>
        <w:t>.</w:t>
      </w:r>
    </w:p>
  </w:footnote>
  <w:footnote w:id="116">
    <w:p w14:paraId="275FA106" w14:textId="60EAD815" w:rsidR="0097097A" w:rsidRDefault="0097097A">
      <w:pPr>
        <w:pStyle w:val="FootnoteText"/>
      </w:pPr>
      <w:r>
        <w:rPr>
          <w:rStyle w:val="FootnoteReference"/>
        </w:rPr>
        <w:footnoteRef/>
      </w:r>
      <w:r>
        <w:t xml:space="preserve"> </w:t>
      </w:r>
      <w:r w:rsidRPr="003C4B61">
        <w:t>At 30 June 2020, people aged over 65 years comprised 16% of the Australian population, with the number and percentage of older Australians expected to grow. It is projected that by 2066, older people will make up between 21% and 23% of the total Australian population</w:t>
      </w:r>
      <w:r w:rsidR="005E2400">
        <w:t xml:space="preserve">: </w:t>
      </w:r>
      <w:r w:rsidRPr="003C4B61">
        <w:t>AIHW</w:t>
      </w:r>
      <w:r w:rsidR="0072131E">
        <w:t xml:space="preserve">, </w:t>
      </w:r>
      <w:r w:rsidR="0072131E" w:rsidRPr="0072131E">
        <w:rPr>
          <w:i/>
          <w:iCs/>
        </w:rPr>
        <w:t>Older Australians</w:t>
      </w:r>
      <w:r w:rsidR="0072131E">
        <w:t xml:space="preserve"> </w:t>
      </w:r>
      <w:r w:rsidR="005E2400">
        <w:t>(n</w:t>
      </w:r>
      <w:r w:rsidR="005B4AE5">
        <w:t xml:space="preserve"> 7</w:t>
      </w:r>
      <w:r w:rsidR="00E60737">
        <w:t>)</w:t>
      </w:r>
      <w:r w:rsidR="0072131E">
        <w:t>.</w:t>
      </w:r>
    </w:p>
  </w:footnote>
  <w:footnote w:id="117">
    <w:p w14:paraId="23943FB6" w14:textId="3CDFAEEE" w:rsidR="00FB6E22" w:rsidRDefault="00FB6E22" w:rsidP="008E45BD">
      <w:pPr>
        <w:pStyle w:val="FootnoteText"/>
      </w:pPr>
      <w:r>
        <w:rPr>
          <w:rStyle w:val="FootnoteReference"/>
        </w:rPr>
        <w:footnoteRef/>
      </w:r>
      <w:r>
        <w:t xml:space="preserve"> </w:t>
      </w:r>
      <w:r w:rsidR="003210B3">
        <w:t xml:space="preserve">ALRC, </w:t>
      </w:r>
      <w:r w:rsidR="003210B3" w:rsidRPr="003210B3">
        <w:rPr>
          <w:i/>
          <w:iCs/>
        </w:rPr>
        <w:t>Elder Abuse</w:t>
      </w:r>
      <w:r w:rsidR="0072131E" w:rsidRPr="003C4B61">
        <w:t xml:space="preserve"> (</w:t>
      </w:r>
      <w:r w:rsidR="0072131E">
        <w:t>n 6)</w:t>
      </w:r>
      <w:r w:rsidR="0072131E" w:rsidRPr="003C4B61">
        <w:t xml:space="preserve"> </w:t>
      </w:r>
      <w:r>
        <w:t>18</w:t>
      </w:r>
      <w:r w:rsidR="00865BAE">
        <w:t>;</w:t>
      </w:r>
      <w:r>
        <w:t xml:space="preserve"> </w:t>
      </w:r>
      <w:r w:rsidR="00865BAE" w:rsidRPr="00D715B3">
        <w:rPr>
          <w:rFonts w:cs="Times New Roman"/>
        </w:rPr>
        <w:t xml:space="preserve">Council of Attorneys-General, </w:t>
      </w:r>
      <w:r w:rsidR="00865BAE" w:rsidRPr="00D715B3">
        <w:rPr>
          <w:rFonts w:cs="Times New Roman"/>
          <w:i/>
          <w:iCs/>
        </w:rPr>
        <w:t>National Plan 2024–2034: Public Consultation Draft</w:t>
      </w:r>
      <w:r w:rsidR="00865BAE" w:rsidRPr="00D715B3">
        <w:rPr>
          <w:rFonts w:cs="Times New Roman"/>
        </w:rPr>
        <w:t xml:space="preserve"> (n 40)</w:t>
      </w:r>
      <w:r w:rsidR="005B4AE5">
        <w:rPr>
          <w:rFonts w:cs="Times New Roman"/>
        </w:rPr>
        <w:t xml:space="preserve"> </w:t>
      </w:r>
      <w:r>
        <w:t xml:space="preserve">20; </w:t>
      </w:r>
      <w:r w:rsidR="00C64984" w:rsidRPr="00D715B3">
        <w:rPr>
          <w:rFonts w:cs="Times New Roman"/>
        </w:rPr>
        <w:t>Kaspiew, Carson and Rhoades, AIFS (n 56)</w:t>
      </w:r>
      <w:r w:rsidR="00C64984">
        <w:rPr>
          <w:rFonts w:cs="Times New Roman"/>
        </w:rPr>
        <w:t xml:space="preserve"> </w:t>
      </w:r>
      <w:r>
        <w:t xml:space="preserve">8; </w:t>
      </w:r>
      <w:r w:rsidR="00C64984">
        <w:t xml:space="preserve">Qu et al, </w:t>
      </w:r>
      <w:r>
        <w:t xml:space="preserve">AIFS </w:t>
      </w:r>
      <w:r w:rsidR="00C64984">
        <w:t>(n 56)</w:t>
      </w:r>
      <w:r>
        <w:t xml:space="preserve"> 62.</w:t>
      </w:r>
    </w:p>
  </w:footnote>
  <w:footnote w:id="118">
    <w:p w14:paraId="7EC728A4" w14:textId="567F22E4" w:rsidR="00B9067F" w:rsidRDefault="00B9067F" w:rsidP="008E45BD">
      <w:pPr>
        <w:pStyle w:val="FootnoteText"/>
      </w:pPr>
      <w:r>
        <w:rPr>
          <w:rStyle w:val="FootnoteReference"/>
        </w:rPr>
        <w:footnoteRef/>
      </w:r>
      <w:r>
        <w:t xml:space="preserve"> ‘</w:t>
      </w:r>
      <w:r w:rsidRPr="00EA064E">
        <w:t xml:space="preserve">In the Survey of Disability, Ageing and Carers (SDAC), a person is considered to have disability if they have any limitation, restriction or impairment which </w:t>
      </w:r>
      <w:r w:rsidRPr="008E45BD">
        <w:t>restricts</w:t>
      </w:r>
      <w:r w:rsidRPr="00EA064E">
        <w:t xml:space="preserve"> everyday activities and has lasted, or is likely to last, for at least six months</w:t>
      </w:r>
      <w:r>
        <w:t>’</w:t>
      </w:r>
      <w:r w:rsidR="00DE709C">
        <w:t xml:space="preserve">: </w:t>
      </w:r>
      <w:r w:rsidR="00282A03" w:rsidRPr="00282A03">
        <w:t xml:space="preserve">Australian Bureau of Statistics (‘ABS’), </w:t>
      </w:r>
      <w:r w:rsidR="00282A03" w:rsidRPr="00282A03">
        <w:rPr>
          <w:i/>
          <w:iCs/>
        </w:rPr>
        <w:t>Disability, Ageing and Carers, Australia: Summary of Findings</w:t>
      </w:r>
      <w:r w:rsidR="00282A03" w:rsidRPr="00282A03">
        <w:t xml:space="preserve"> (Reference Period 20</w:t>
      </w:r>
      <w:r w:rsidR="00282A03">
        <w:t>22</w:t>
      </w:r>
      <w:r w:rsidR="00282A03" w:rsidRPr="00282A03">
        <w:t xml:space="preserve">, </w:t>
      </w:r>
      <w:r w:rsidR="00F635AD">
        <w:t>4 July</w:t>
      </w:r>
      <w:r w:rsidR="00282A03" w:rsidRPr="00282A03">
        <w:t xml:space="preserve"> 20</w:t>
      </w:r>
      <w:r w:rsidR="00F635AD">
        <w:t>24</w:t>
      </w:r>
      <w:r w:rsidR="00282A03" w:rsidRPr="00282A03">
        <w:t>) ‘Disability’  &lt;</w:t>
      </w:r>
      <w:hyperlink r:id="rId31" w:anchor="disability" w:history="1">
        <w:r w:rsidR="00B1161C" w:rsidRPr="00A66854">
          <w:rPr>
            <w:rStyle w:val="Hyperlink"/>
          </w:rPr>
          <w:t>https://www.abs.gov.au/statistics/health/disability/disability-ageing-and-carers-australia-summary-findings/latest-release#disability</w:t>
        </w:r>
      </w:hyperlink>
      <w:r w:rsidR="00282A03" w:rsidRPr="00282A03">
        <w:t>&gt;</w:t>
      </w:r>
      <w:r w:rsidR="003559A8">
        <w:t xml:space="preserve"> (</w:t>
      </w:r>
      <w:r w:rsidR="002F0F4C">
        <w:t>‘</w:t>
      </w:r>
      <w:r w:rsidR="003559A8">
        <w:t xml:space="preserve">ABS, </w:t>
      </w:r>
      <w:r w:rsidR="003559A8" w:rsidRPr="00282A03">
        <w:rPr>
          <w:i/>
          <w:iCs/>
        </w:rPr>
        <w:t>Disability, Ageing and Carers, Australia: Summary of Findings</w:t>
      </w:r>
      <w:r w:rsidR="002F0F4C">
        <w:t>, 2022’)</w:t>
      </w:r>
      <w:r w:rsidR="00D2687E">
        <w:t>.</w:t>
      </w:r>
    </w:p>
  </w:footnote>
  <w:footnote w:id="119">
    <w:p w14:paraId="396F14AA" w14:textId="77F7B6A5" w:rsidR="00B9067F" w:rsidRDefault="00B9067F" w:rsidP="00B9067F">
      <w:pPr>
        <w:pStyle w:val="FootnoteText"/>
      </w:pPr>
      <w:r>
        <w:rPr>
          <w:rStyle w:val="FootnoteReference"/>
        </w:rPr>
        <w:footnoteRef/>
      </w:r>
      <w:r>
        <w:t xml:space="preserve"> </w:t>
      </w:r>
      <w:r w:rsidR="002F0F4C">
        <w:t xml:space="preserve">ABS, </w:t>
      </w:r>
      <w:r w:rsidR="002F0F4C" w:rsidRPr="00282A03">
        <w:rPr>
          <w:i/>
          <w:iCs/>
        </w:rPr>
        <w:t>Disability, Ageing and Carers, Australia: Summary of Findings</w:t>
      </w:r>
      <w:r w:rsidR="002F0F4C">
        <w:t>, 2022’</w:t>
      </w:r>
      <w:r w:rsidR="002404CA">
        <w:t xml:space="preserve"> (n 117)</w:t>
      </w:r>
      <w:r w:rsidR="00030426">
        <w:t xml:space="preserve">. </w:t>
      </w:r>
      <w:r w:rsidR="00BA6C81">
        <w:t>Data also shows</w:t>
      </w:r>
      <w:r w:rsidR="00CE3457">
        <w:t xml:space="preserve"> ‘disability status’</w:t>
      </w:r>
      <w:r w:rsidR="00BA6C81">
        <w:t xml:space="preserve"> of Austra</w:t>
      </w:r>
      <w:r w:rsidR="008B1573">
        <w:t>lians who had disability</w:t>
      </w:r>
      <w:r w:rsidR="00CE3457">
        <w:t xml:space="preserve"> (</w:t>
      </w:r>
      <w:r w:rsidR="008B1573">
        <w:t xml:space="preserve">as a </w:t>
      </w:r>
      <w:r w:rsidR="00C52AD9">
        <w:t xml:space="preserve">measure of the severity </w:t>
      </w:r>
      <w:r w:rsidR="00B141EF">
        <w:t xml:space="preserve">of </w:t>
      </w:r>
      <w:r w:rsidR="00CE3457">
        <w:t>limitations experienced by people with disability</w:t>
      </w:r>
      <w:r w:rsidR="00BA6C81">
        <w:t>)</w:t>
      </w:r>
      <w:r w:rsidR="00A872A6">
        <w:t xml:space="preserve">. </w:t>
      </w:r>
      <w:r w:rsidR="00C72458">
        <w:t>In 2022</w:t>
      </w:r>
      <w:r w:rsidR="00355825">
        <w:t xml:space="preserve">, the disability status for older people was as follows: </w:t>
      </w:r>
      <w:r w:rsidR="008B1573">
        <w:t xml:space="preserve"> </w:t>
      </w:r>
      <w:r>
        <w:t xml:space="preserve">profound </w:t>
      </w:r>
      <w:r w:rsidR="00355825">
        <w:t>or sever</w:t>
      </w:r>
      <w:r w:rsidR="00BB0143">
        <w:t xml:space="preserve">e limitation </w:t>
      </w:r>
      <w:r>
        <w:t xml:space="preserve">(41.4%), moderate </w:t>
      </w:r>
      <w:r w:rsidR="00BB0143">
        <w:t xml:space="preserve">limitation </w:t>
      </w:r>
      <w:r>
        <w:t xml:space="preserve">(16.0%) </w:t>
      </w:r>
      <w:r w:rsidR="00355825">
        <w:t>and</w:t>
      </w:r>
      <w:r>
        <w:t xml:space="preserve"> mild </w:t>
      </w:r>
      <w:r w:rsidR="00BB0143">
        <w:t xml:space="preserve">limitation </w:t>
      </w:r>
      <w:r>
        <w:t>(33.1%)</w:t>
      </w:r>
      <w:r w:rsidR="001A51D9">
        <w:t>, representing increases from</w:t>
      </w:r>
      <w:r>
        <w:t xml:space="preserve"> 2018 </w:t>
      </w:r>
      <w:r w:rsidR="001A51D9">
        <w:t>in profound or severe limitation</w:t>
      </w:r>
      <w:r w:rsidR="003B32FC">
        <w:t>s and mild limitations. In 2018</w:t>
      </w:r>
      <w:r>
        <w:t xml:space="preserve"> </w:t>
      </w:r>
      <w:r w:rsidR="003B32FC">
        <w:t xml:space="preserve">the disability status for older people was as follows:  profound or severe limitation </w:t>
      </w:r>
      <w:r>
        <w:t xml:space="preserve">(35.4%), </w:t>
      </w:r>
      <w:r w:rsidR="001A51D9">
        <w:t xml:space="preserve">moderate limitation </w:t>
      </w:r>
      <w:r>
        <w:t xml:space="preserve">(15.0%) or mild </w:t>
      </w:r>
      <w:r w:rsidR="001A51D9">
        <w:t xml:space="preserve">limitation </w:t>
      </w:r>
      <w:r>
        <w:t>(40.1%)</w:t>
      </w:r>
      <w:r w:rsidR="003B32FC">
        <w:t xml:space="preserve">: </w:t>
      </w:r>
      <w:r w:rsidR="007F2BA1">
        <w:t xml:space="preserve">ABS, </w:t>
      </w:r>
      <w:r w:rsidR="007F2BA1" w:rsidRPr="00D94F64">
        <w:rPr>
          <w:i/>
          <w:iCs/>
        </w:rPr>
        <w:t>Disability, Ageing and Carers, Australia: Summary of Findings</w:t>
      </w:r>
      <w:r w:rsidR="007F2BA1">
        <w:t xml:space="preserve"> 2018 (n 21). See also n 21 regarding the National Disability Data Asset (‘NDDA’).</w:t>
      </w:r>
    </w:p>
  </w:footnote>
  <w:footnote w:id="120">
    <w:p w14:paraId="10176D5C" w14:textId="2D61E720" w:rsidR="0024153F" w:rsidRPr="003C4B61" w:rsidRDefault="0024153F" w:rsidP="008E45BD">
      <w:pPr>
        <w:pStyle w:val="FootnoteText"/>
      </w:pPr>
      <w:r w:rsidRPr="003C4B61">
        <w:rPr>
          <w:rStyle w:val="FootnoteReference"/>
          <w:rFonts w:cs="Times New Roman"/>
          <w:sz w:val="18"/>
          <w:szCs w:val="18"/>
        </w:rPr>
        <w:footnoteRef/>
      </w:r>
      <w:r w:rsidRPr="003C4B61">
        <w:t xml:space="preserve"> </w:t>
      </w:r>
      <w:r w:rsidR="00EC663F">
        <w:t>Hyuan K</w:t>
      </w:r>
      <w:r w:rsidR="003535EF">
        <w:t>ang and Hansol Kim, ‘</w:t>
      </w:r>
      <w:r w:rsidR="005B1030">
        <w:t>Ageism and Psychological Wellbeing Amon Older Adults: A Systema</w:t>
      </w:r>
      <w:r w:rsidR="00E94F0D">
        <w:t xml:space="preserve">tic Review (2022) </w:t>
      </w:r>
      <w:r w:rsidR="00F50378">
        <w:t xml:space="preserve">8 </w:t>
      </w:r>
      <w:r w:rsidR="00F50378">
        <w:rPr>
          <w:i/>
          <w:iCs/>
        </w:rPr>
        <w:t xml:space="preserve">Gerontology &amp; Geriatric Medicine </w:t>
      </w:r>
      <w:r w:rsidR="00F50378">
        <w:t xml:space="preserve">1; </w:t>
      </w:r>
      <w:r w:rsidR="00066241">
        <w:t>‘Ageism and Abuse’, Ageing Equal (Web Page, 2018) &lt;</w:t>
      </w:r>
      <w:hyperlink r:id="rId32" w:history="1">
        <w:r w:rsidR="007E5BF4" w:rsidRPr="00560984">
          <w:rPr>
            <w:rStyle w:val="Hyperlink"/>
          </w:rPr>
          <w:t>https://ageing-equal.org/ageism-and-abuse/</w:t>
        </w:r>
      </w:hyperlink>
      <w:r w:rsidR="007E5BF4">
        <w:t>&gt;.</w:t>
      </w:r>
      <w:r w:rsidR="009975FB">
        <w:t xml:space="preserve"> Ageism can be experienced by people of all ages, including young people, but older people experience it at higher levels than people in other age groups: World Hea</w:t>
      </w:r>
      <w:r w:rsidR="000151A9">
        <w:t>l</w:t>
      </w:r>
      <w:r w:rsidR="009975FB">
        <w:t>th O</w:t>
      </w:r>
      <w:r w:rsidR="008B0CB2">
        <w:t>r</w:t>
      </w:r>
      <w:r w:rsidR="009975FB">
        <w:t>ganizatio</w:t>
      </w:r>
      <w:r w:rsidR="008B0CB2">
        <w:t xml:space="preserve">n </w:t>
      </w:r>
      <w:r w:rsidR="009975FB">
        <w:t xml:space="preserve">(‘WHO’), </w:t>
      </w:r>
      <w:r w:rsidR="00204800">
        <w:t xml:space="preserve">‘Overview’, </w:t>
      </w:r>
      <w:r w:rsidR="00204800" w:rsidRPr="008B0CB2">
        <w:rPr>
          <w:i/>
          <w:iCs/>
        </w:rPr>
        <w:t>Ageism</w:t>
      </w:r>
      <w:r w:rsidR="00204800">
        <w:t xml:space="preserve"> (Web Page) &lt;</w:t>
      </w:r>
      <w:hyperlink r:id="rId33" w:anchor="tab=tab_1" w:history="1">
        <w:r w:rsidR="00E835CC" w:rsidRPr="00560984">
          <w:rPr>
            <w:rStyle w:val="Hyperlink"/>
          </w:rPr>
          <w:t>https://www.who.int/health-topics/ageism#tab=tab_1</w:t>
        </w:r>
      </w:hyperlink>
      <w:r w:rsidR="00E835CC">
        <w:t>&gt;.</w:t>
      </w:r>
    </w:p>
  </w:footnote>
  <w:footnote w:id="121">
    <w:p w14:paraId="1106A451" w14:textId="11C79696" w:rsidR="00490920" w:rsidRDefault="00490920" w:rsidP="00490920">
      <w:pPr>
        <w:pStyle w:val="FootnoteText"/>
      </w:pPr>
      <w:r>
        <w:rPr>
          <w:rStyle w:val="FootnoteReference"/>
        </w:rPr>
        <w:footnoteRef/>
      </w:r>
      <w:r>
        <w:t xml:space="preserve"> </w:t>
      </w:r>
      <w:r w:rsidR="00BD4DB4" w:rsidRPr="00D715B3">
        <w:rPr>
          <w:rFonts w:cs="Times New Roman"/>
        </w:rPr>
        <w:t xml:space="preserve">Council of Attorneys-General, </w:t>
      </w:r>
      <w:r w:rsidR="00BD4DB4" w:rsidRPr="00D715B3">
        <w:rPr>
          <w:rFonts w:cs="Times New Roman"/>
          <w:i/>
          <w:iCs/>
        </w:rPr>
        <w:t>National Plan 2024–2034: Public Consultation Draft</w:t>
      </w:r>
      <w:r w:rsidR="00BD4DB4" w:rsidRPr="00D715B3">
        <w:rPr>
          <w:rFonts w:cs="Times New Roman"/>
        </w:rPr>
        <w:t xml:space="preserve"> (n 40)</w:t>
      </w:r>
      <w:r w:rsidR="000151A9">
        <w:rPr>
          <w:rFonts w:cs="Times New Roman"/>
        </w:rPr>
        <w:t xml:space="preserve"> 37</w:t>
      </w:r>
      <w:r w:rsidR="00BD4DB4">
        <w:rPr>
          <w:rFonts w:cs="Times New Roman"/>
        </w:rPr>
        <w:t>.</w:t>
      </w:r>
    </w:p>
  </w:footnote>
  <w:footnote w:id="122">
    <w:p w14:paraId="46DA6C53" w14:textId="45857B29" w:rsidR="00490920" w:rsidRDefault="00490920" w:rsidP="008E45BD">
      <w:pPr>
        <w:pStyle w:val="FootnoteText"/>
      </w:pPr>
      <w:r>
        <w:rPr>
          <w:rStyle w:val="FootnoteReference"/>
        </w:rPr>
        <w:footnoteRef/>
      </w:r>
      <w:r>
        <w:t xml:space="preserve"> Ageing is an intersectional issue. This means ageing co-occurs with a diverse range of other circumstances. Ageing, ageism, age discrimination and abuse can therefore be experienced differently because of the intersection of ageing with diversity in our </w:t>
      </w:r>
      <w:r w:rsidRPr="008E45BD">
        <w:t>communities</w:t>
      </w:r>
      <w:r>
        <w:t>. This includes, for example, people with disability, Aboriginal and Torres Strait Islander people, people from culturally and linguistically diverse (</w:t>
      </w:r>
      <w:r w:rsidR="0018718F">
        <w:t>‘</w:t>
      </w:r>
      <w:r>
        <w:t>CALD</w:t>
      </w:r>
      <w:r w:rsidR="0018718F">
        <w:t>’</w:t>
      </w:r>
      <w:r>
        <w:t xml:space="preserve">) backgrounds and </w:t>
      </w:r>
      <w:r w:rsidR="00BF79C8" w:rsidRPr="00BE543E">
        <w:t>LGBTIQA+</w:t>
      </w:r>
      <w:r w:rsidR="00BF79C8">
        <w:t xml:space="preserve"> </w:t>
      </w:r>
      <w:r>
        <w:t>people</w:t>
      </w:r>
      <w:r w:rsidR="00F17F10">
        <w:t xml:space="preserve"> (</w:t>
      </w:r>
      <w:r w:rsidR="00BF79C8">
        <w:t xml:space="preserve">people who </w:t>
      </w:r>
      <w:r w:rsidR="00067844">
        <w:t xml:space="preserve">are </w:t>
      </w:r>
      <w:r w:rsidR="00BF79C8" w:rsidRPr="003C4B61">
        <w:t xml:space="preserve">lesbian, gay, bisexual, transgender, </w:t>
      </w:r>
      <w:r w:rsidR="00BF79C8">
        <w:t xml:space="preserve">intersex, </w:t>
      </w:r>
      <w:r w:rsidR="00BF79C8" w:rsidRPr="003C4B61">
        <w:t>queer</w:t>
      </w:r>
      <w:r w:rsidR="00BF79C8">
        <w:t>/questioning</w:t>
      </w:r>
      <w:r w:rsidR="00BF79C8" w:rsidRPr="003C4B61">
        <w:t xml:space="preserve">, intersex, asexual, </w:t>
      </w:r>
      <w:r w:rsidR="00BF79C8">
        <w:t xml:space="preserve">or people otherwise diverse in gender, sexual orientation and/or innate variations of sex characteristics, </w:t>
      </w:r>
      <w:r w:rsidR="00BF79C8" w:rsidRPr="003C4B61">
        <w:t>with the + signifying anyone who is not listed in the acronym but still identifies as part of this community</w:t>
      </w:r>
      <w:r w:rsidR="00E0691F">
        <w:t xml:space="preserve">: </w:t>
      </w:r>
      <w:r w:rsidR="00F17F10">
        <w:t>see further n 46)</w:t>
      </w:r>
      <w:r w:rsidR="00E414CC">
        <w:t xml:space="preserve">: </w:t>
      </w:r>
      <w:r w:rsidR="00E414CC" w:rsidRPr="00D715B3">
        <w:rPr>
          <w:rFonts w:cs="Times New Roman"/>
        </w:rPr>
        <w:t xml:space="preserve">Council of Attorneys-General, </w:t>
      </w:r>
      <w:r w:rsidR="00E414CC" w:rsidRPr="00D715B3">
        <w:rPr>
          <w:rFonts w:cs="Times New Roman"/>
          <w:i/>
          <w:iCs/>
        </w:rPr>
        <w:t>National Plan 2024–2034: Public Consultation Draft</w:t>
      </w:r>
      <w:r w:rsidR="00E414CC" w:rsidRPr="00D715B3">
        <w:rPr>
          <w:rFonts w:cs="Times New Roman"/>
        </w:rPr>
        <w:t xml:space="preserve"> (n 40)</w:t>
      </w:r>
      <w:r w:rsidR="00E414CC">
        <w:rPr>
          <w:rFonts w:cs="Times New Roman"/>
        </w:rPr>
        <w:t xml:space="preserve"> </w:t>
      </w:r>
      <w:r w:rsidR="000151A9">
        <w:rPr>
          <w:rFonts w:cs="Times New Roman"/>
        </w:rPr>
        <w:t>37, 39–</w:t>
      </w:r>
      <w:r w:rsidR="00E414CC">
        <w:rPr>
          <w:rFonts w:cs="Times New Roman"/>
        </w:rPr>
        <w:t>40.</w:t>
      </w:r>
      <w:r w:rsidR="00FC4CE8">
        <w:rPr>
          <w:rFonts w:cs="Times New Roman"/>
        </w:rPr>
        <w:t xml:space="preserve"> </w:t>
      </w:r>
    </w:p>
  </w:footnote>
  <w:footnote w:id="123">
    <w:p w14:paraId="447A8F22" w14:textId="5D192DE9" w:rsidR="00490920" w:rsidRDefault="00490920" w:rsidP="00490920">
      <w:pPr>
        <w:pStyle w:val="FootnoteText"/>
      </w:pPr>
      <w:r>
        <w:rPr>
          <w:rStyle w:val="FootnoteReference"/>
        </w:rPr>
        <w:footnoteRef/>
      </w:r>
      <w:r>
        <w:t xml:space="preserve"> </w:t>
      </w:r>
      <w:r w:rsidR="003E026D" w:rsidRPr="00D715B3">
        <w:rPr>
          <w:rFonts w:cs="Times New Roman"/>
        </w:rPr>
        <w:t xml:space="preserve">Council of Attorneys-General, </w:t>
      </w:r>
      <w:r w:rsidR="003E026D" w:rsidRPr="00D715B3">
        <w:rPr>
          <w:rFonts w:cs="Times New Roman"/>
          <w:i/>
          <w:iCs/>
        </w:rPr>
        <w:t>National Plan 2024–2034: Public Consultation Draft</w:t>
      </w:r>
      <w:r w:rsidR="003E026D" w:rsidRPr="00D715B3">
        <w:rPr>
          <w:rFonts w:cs="Times New Roman"/>
        </w:rPr>
        <w:t xml:space="preserve"> (n 40)</w:t>
      </w:r>
      <w:r w:rsidR="003E026D">
        <w:rPr>
          <w:rFonts w:cs="Times New Roman"/>
        </w:rPr>
        <w:t xml:space="preserve"> </w:t>
      </w:r>
      <w:r>
        <w:t>21</w:t>
      </w:r>
      <w:r w:rsidR="003E026D">
        <w:t xml:space="preserve">: </w:t>
      </w:r>
      <w:r>
        <w:t xml:space="preserve">15.9% of older women in the community compared to 13.6% and 18.3% of older people living in regional, rural and remote areas compared to 13.1% in major cities. </w:t>
      </w:r>
    </w:p>
  </w:footnote>
  <w:footnote w:id="124">
    <w:p w14:paraId="2CD1E32B" w14:textId="6A450D50" w:rsidR="00490920" w:rsidRDefault="00490920" w:rsidP="00490920">
      <w:pPr>
        <w:pStyle w:val="FootnoteText"/>
      </w:pPr>
      <w:r>
        <w:rPr>
          <w:rStyle w:val="FootnoteReference"/>
        </w:rPr>
        <w:footnoteRef/>
      </w:r>
      <w:r>
        <w:t xml:space="preserve"> </w:t>
      </w:r>
      <w:r w:rsidR="003E026D" w:rsidRPr="00D715B3">
        <w:rPr>
          <w:rFonts w:cs="Times New Roman"/>
        </w:rPr>
        <w:t xml:space="preserve">Council of Attorneys-General, </w:t>
      </w:r>
      <w:r w:rsidR="003E026D" w:rsidRPr="00D715B3">
        <w:rPr>
          <w:rFonts w:cs="Times New Roman"/>
          <w:i/>
          <w:iCs/>
        </w:rPr>
        <w:t>National Plan 2024–2034: Public Consultation Draft</w:t>
      </w:r>
      <w:r w:rsidR="003E026D" w:rsidRPr="00D715B3">
        <w:rPr>
          <w:rFonts w:cs="Times New Roman"/>
        </w:rPr>
        <w:t xml:space="preserve"> (n 40)</w:t>
      </w:r>
      <w:r>
        <w:t xml:space="preserve"> 24.</w:t>
      </w:r>
    </w:p>
  </w:footnote>
  <w:footnote w:id="125">
    <w:p w14:paraId="44361DBB" w14:textId="189EB383" w:rsidR="00D77EA6" w:rsidRDefault="00D77EA6">
      <w:pPr>
        <w:pStyle w:val="FootnoteText"/>
      </w:pPr>
      <w:r>
        <w:rPr>
          <w:rStyle w:val="FootnoteReference"/>
        </w:rPr>
        <w:footnoteRef/>
      </w:r>
      <w:r>
        <w:t xml:space="preserve"> </w:t>
      </w:r>
      <w:r w:rsidRPr="003C4B61">
        <w:t xml:space="preserve">See also </w:t>
      </w:r>
      <w:r w:rsidR="003210B3">
        <w:t xml:space="preserve">ALRC, </w:t>
      </w:r>
      <w:r w:rsidR="003210B3" w:rsidRPr="003210B3">
        <w:rPr>
          <w:i/>
          <w:iCs/>
        </w:rPr>
        <w:t>Elder Abuse</w:t>
      </w:r>
      <w:r w:rsidRPr="003C4B61">
        <w:t xml:space="preserve"> </w:t>
      </w:r>
      <w:r>
        <w:t>(n 6</w:t>
      </w:r>
      <w:r w:rsidRPr="003C4B61">
        <w:t xml:space="preserve">) 20; </w:t>
      </w:r>
      <w:r w:rsidR="00481C45">
        <w:t xml:space="preserve">Jennifer E </w:t>
      </w:r>
      <w:r w:rsidRPr="003C4B61">
        <w:t>Storey</w:t>
      </w:r>
      <w:r w:rsidR="009F5CF4">
        <w:t>, ‘Risk Factors for Elder Abuse and Neglect: A review of the Literature</w:t>
      </w:r>
      <w:r w:rsidR="003A3F2A">
        <w:t>’</w:t>
      </w:r>
      <w:r w:rsidR="009F5CF4">
        <w:t xml:space="preserve"> </w:t>
      </w:r>
      <w:r w:rsidRPr="003C4B61">
        <w:t>(2020)</w:t>
      </w:r>
      <w:r w:rsidR="009F5CF4">
        <w:t xml:space="preserve"> </w:t>
      </w:r>
      <w:r w:rsidR="003A3F2A">
        <w:t xml:space="preserve">50 </w:t>
      </w:r>
      <w:r w:rsidR="009F5CF4" w:rsidRPr="003A3F2A">
        <w:rPr>
          <w:i/>
          <w:iCs/>
        </w:rPr>
        <w:t>Aggression and Violent Behaviour</w:t>
      </w:r>
      <w:r w:rsidR="003A3F2A">
        <w:t xml:space="preserve"> 101</w:t>
      </w:r>
      <w:r w:rsidRPr="003C4B61">
        <w:t xml:space="preserve">; </w:t>
      </w:r>
      <w:r>
        <w:t>Qu et al, AIFS (n 56)</w:t>
      </w:r>
      <w:r w:rsidRPr="003C4B61">
        <w:t xml:space="preserve"> 12.</w:t>
      </w:r>
      <w:r w:rsidR="00AB2807">
        <w:t xml:space="preserve"> See also Fernando (n</w:t>
      </w:r>
      <w:r w:rsidR="00CE3FC4">
        <w:t xml:space="preserve"> 27) 20–3, especially Table 2.1.</w:t>
      </w:r>
    </w:p>
  </w:footnote>
  <w:footnote w:id="126">
    <w:p w14:paraId="7573A7D4" w14:textId="33D119C3" w:rsidR="00B125E4" w:rsidRDefault="00B125E4">
      <w:pPr>
        <w:pStyle w:val="FootnoteText"/>
      </w:pPr>
      <w:r>
        <w:rPr>
          <w:rStyle w:val="FootnoteReference"/>
        </w:rPr>
        <w:footnoteRef/>
      </w:r>
      <w:r>
        <w:t xml:space="preserve"> Qu et al, AIFS (n 56)</w:t>
      </w:r>
      <w:r w:rsidRPr="003C4B61">
        <w:t xml:space="preserve"> </w:t>
      </w:r>
      <w:r w:rsidR="00B277B8">
        <w:t>83–5</w:t>
      </w:r>
      <w:r w:rsidRPr="003C4B61">
        <w:t>.</w:t>
      </w:r>
    </w:p>
  </w:footnote>
  <w:footnote w:id="127">
    <w:p w14:paraId="215A96E9" w14:textId="41DC8F17" w:rsidR="00B125E4" w:rsidRDefault="00B125E4">
      <w:pPr>
        <w:pStyle w:val="FootnoteText"/>
      </w:pPr>
      <w:r>
        <w:rPr>
          <w:rStyle w:val="FootnoteReference"/>
        </w:rPr>
        <w:footnoteRef/>
      </w:r>
      <w:r>
        <w:t xml:space="preserve"> Ibid 13, 82–91; COTA Tasmania and Working it Out, </w:t>
      </w:r>
      <w:r>
        <w:rPr>
          <w:i/>
          <w:iCs/>
        </w:rPr>
        <w:t xml:space="preserve">Raising Tasmanian LGBTIQ+ People’s Awareness of Elder Abuse </w:t>
      </w:r>
      <w:r>
        <w:t>(COTA Tasmania and Working it Out, Tasmanian Government, September 2023</w:t>
      </w:r>
      <w:r w:rsidRPr="00AD7058">
        <w:t>);</w:t>
      </w:r>
      <w:r w:rsidR="00AD7058">
        <w:t xml:space="preserve"> </w:t>
      </w:r>
      <w:r w:rsidRPr="00AD7058">
        <w:t>Dean, AIFS (n</w:t>
      </w:r>
      <w:r w:rsidR="00AD7058" w:rsidRPr="00AD7058">
        <w:t xml:space="preserve"> 63</w:t>
      </w:r>
      <w:r w:rsidRPr="00AD7058">
        <w:t>).</w:t>
      </w:r>
    </w:p>
  </w:footnote>
  <w:footnote w:id="128">
    <w:p w14:paraId="4B231DE4" w14:textId="01D9CBC1" w:rsidR="0042532C" w:rsidRDefault="0042532C">
      <w:pPr>
        <w:pStyle w:val="FootnoteText"/>
      </w:pPr>
      <w:r>
        <w:rPr>
          <w:rStyle w:val="FootnoteReference"/>
        </w:rPr>
        <w:footnoteRef/>
      </w:r>
      <w:r>
        <w:t xml:space="preserve"> </w:t>
      </w:r>
      <w:r w:rsidRPr="003C4B61">
        <w:t>Storey (</w:t>
      </w:r>
      <w:r>
        <w:t>n 124</w:t>
      </w:r>
      <w:r w:rsidRPr="003C4B61">
        <w:t>)</w:t>
      </w:r>
      <w:r>
        <w:t>.</w:t>
      </w:r>
    </w:p>
  </w:footnote>
  <w:footnote w:id="129">
    <w:p w14:paraId="252EF631" w14:textId="227BA091" w:rsidR="00C84E05" w:rsidRDefault="00C84E05">
      <w:pPr>
        <w:pStyle w:val="FootnoteText"/>
      </w:pPr>
      <w:r>
        <w:rPr>
          <w:rStyle w:val="FootnoteReference"/>
        </w:rPr>
        <w:footnoteRef/>
      </w:r>
      <w:r>
        <w:t xml:space="preserve"> Qu et al, AIFS (n 56)</w:t>
      </w:r>
      <w:r w:rsidRPr="003C4B61">
        <w:t xml:space="preserve"> 1</w:t>
      </w:r>
      <w:r>
        <w:t xml:space="preserve">2, citing </w:t>
      </w:r>
      <w:r w:rsidRPr="003C4B61">
        <w:t>Storey (</w:t>
      </w:r>
      <w:r>
        <w:t>n 124</w:t>
      </w:r>
      <w:r w:rsidRPr="003C4B61">
        <w:t>)</w:t>
      </w:r>
      <w:r>
        <w:t>.</w:t>
      </w:r>
    </w:p>
  </w:footnote>
  <w:footnote w:id="130">
    <w:p w14:paraId="4930744E" w14:textId="44F1D663" w:rsidR="00C84E05" w:rsidRDefault="00C84E05">
      <w:pPr>
        <w:pStyle w:val="FootnoteText"/>
      </w:pPr>
      <w:r>
        <w:rPr>
          <w:rStyle w:val="FootnoteReference"/>
        </w:rPr>
        <w:footnoteRef/>
      </w:r>
      <w:r>
        <w:t xml:space="preserve"> </w:t>
      </w:r>
      <w:r w:rsidRPr="003C4B61">
        <w:t>Storey (</w:t>
      </w:r>
      <w:r>
        <w:t>n 124</w:t>
      </w:r>
      <w:r w:rsidRPr="003C4B61">
        <w:t>)</w:t>
      </w:r>
      <w:r>
        <w:t>.</w:t>
      </w:r>
    </w:p>
  </w:footnote>
  <w:footnote w:id="131">
    <w:p w14:paraId="42C9C3DD" w14:textId="2241873E" w:rsidR="00C84E05" w:rsidRDefault="00C84E05">
      <w:pPr>
        <w:pStyle w:val="FootnoteText"/>
      </w:pPr>
      <w:r>
        <w:rPr>
          <w:rStyle w:val="FootnoteReference"/>
        </w:rPr>
        <w:footnoteRef/>
      </w:r>
      <w:r>
        <w:t xml:space="preserve"> Qu et al, AIFS (n 56)</w:t>
      </w:r>
      <w:r w:rsidRPr="003C4B61">
        <w:t xml:space="preserve"> 13. </w:t>
      </w:r>
      <w:r>
        <w:t xml:space="preserve">See, eg, Christine Coumarelos et al, </w:t>
      </w:r>
      <w:r>
        <w:rPr>
          <w:i/>
          <w:iCs/>
        </w:rPr>
        <w:t>Legal Australia-Wide Survey: Legal Need in Australia</w:t>
      </w:r>
      <w:r>
        <w:t xml:space="preserve"> (Law and Justice Foundation NSW, 2012).  </w:t>
      </w:r>
      <w:r>
        <w:rPr>
          <w:i/>
          <w:iCs/>
        </w:rPr>
        <w:t xml:space="preserve"> </w:t>
      </w:r>
    </w:p>
  </w:footnote>
  <w:footnote w:id="132">
    <w:p w14:paraId="23E5E795" w14:textId="3C0B19E8" w:rsidR="00C84E05" w:rsidRDefault="00C84E05">
      <w:pPr>
        <w:pStyle w:val="FootnoteText"/>
      </w:pPr>
      <w:r>
        <w:rPr>
          <w:rStyle w:val="FootnoteReference"/>
        </w:rPr>
        <w:footnoteRef/>
      </w:r>
      <w:r>
        <w:t xml:space="preserve"> </w:t>
      </w:r>
      <w:r w:rsidRPr="00100010">
        <w:t xml:space="preserve">Fernando (n 27) 24–5, citing Joosten, Vrantsidis and Dow (n 17); Briony Dow et al; ‘Barriers to Disclsoing Elder Abuse and Taking Action in Australia’ (2020) 35(8) Journal of Family Violence 853, 854; Barbara Black Blundell and Mike Clare, </w:t>
      </w:r>
      <w:r w:rsidRPr="00100010">
        <w:rPr>
          <w:i/>
          <w:iCs/>
        </w:rPr>
        <w:t>Elder Abuse in Culturally and Linguistically Diverse Communities: Developing Best Practice</w:t>
      </w:r>
      <w:r w:rsidRPr="00100010">
        <w:t xml:space="preserve"> (University of Western Australia, Advocare, HACC, September 2012) 69; Australian Institute of Health and Welfare</w:t>
      </w:r>
      <w:r w:rsidR="00C85D48">
        <w:t xml:space="preserve"> (‘AIHW’)</w:t>
      </w:r>
      <w:r w:rsidRPr="00100010">
        <w:t>, ‘People from Culturally and Linguistically Diverse Backgrounds’</w:t>
      </w:r>
      <w:r w:rsidR="00900693">
        <w:t xml:space="preserve">, </w:t>
      </w:r>
      <w:r w:rsidR="00900693" w:rsidRPr="00900693">
        <w:rPr>
          <w:i/>
          <w:iCs/>
        </w:rPr>
        <w:t>Family, Domestic and Sexual Violence</w:t>
      </w:r>
      <w:r w:rsidR="00900693" w:rsidRPr="00100010">
        <w:t xml:space="preserve">, </w:t>
      </w:r>
      <w:r w:rsidRPr="00100010">
        <w:t xml:space="preserve"> (Web </w:t>
      </w:r>
      <w:r w:rsidR="00900693">
        <w:t>Page</w:t>
      </w:r>
      <w:r w:rsidR="00C85D48">
        <w:t>, 15 February 2024</w:t>
      </w:r>
      <w:r w:rsidRPr="00100010">
        <w:t xml:space="preserve">) </w:t>
      </w:r>
      <w:r w:rsidR="00C85D48">
        <w:t>&lt;</w:t>
      </w:r>
      <w:hyperlink r:id="rId34" w:history="1">
        <w:r w:rsidR="00C85D48" w:rsidRPr="00560984">
          <w:rPr>
            <w:rStyle w:val="Hyperlink"/>
          </w:rPr>
          <w:t>https://www.aihw.gov.au/family-domestic-and-sexual-violence/population-groups/cald</w:t>
        </w:r>
      </w:hyperlink>
      <w:r w:rsidR="00C85D48">
        <w:t>&gt;</w:t>
      </w:r>
      <w:r w:rsidRPr="00100010">
        <w:t xml:space="preserve">. See also Joan Harbison and Marina Morrow, ‘Re-Examining the Social Construction of ‘Elder Abuse and Neglect: A Canadian Perspective’ (1998) 18(6) </w:t>
      </w:r>
      <w:r w:rsidRPr="00900693">
        <w:rPr>
          <w:i/>
          <w:iCs/>
        </w:rPr>
        <w:t>Ageing &amp; Society</w:t>
      </w:r>
      <w:r w:rsidRPr="00100010">
        <w:t xml:space="preserve"> 691; Mike Clare et al, ‘Conceptualising Elder Abuse: Does this Label Fit?’ (2014) 8(1) </w:t>
      </w:r>
      <w:r w:rsidRPr="00900693">
        <w:rPr>
          <w:i/>
          <w:iCs/>
        </w:rPr>
        <w:t>Communities, Children and Families Australia</w:t>
      </w:r>
      <w:r w:rsidRPr="00100010">
        <w:t xml:space="preserve"> 37; Shelly L Jackson and Thomas L Hafemeister, ‘How Case Characteristics Differ Across Four Types of Elder Maltreatment: Implications for Tailoring Interventions to Increase Victim Safety’ (2014) 33(8) </w:t>
      </w:r>
      <w:r w:rsidRPr="00900693">
        <w:rPr>
          <w:i/>
          <w:iCs/>
        </w:rPr>
        <w:t>Journal Of Applied Gerontology</w:t>
      </w:r>
      <w:r w:rsidRPr="00100010">
        <w:t xml:space="preserve"> 982; Carolyn E Ziminski Pickering and Veronica F Rempusheski, ‘Feature Article: Examining Barriers to Self-Reporting of Elder Physical Abuse in Community-Dwelling Older Adults’ (2014) 35 </w:t>
      </w:r>
      <w:r w:rsidRPr="00900693">
        <w:rPr>
          <w:i/>
          <w:iCs/>
        </w:rPr>
        <w:t>Geriatric Nursing</w:t>
      </w:r>
      <w:r w:rsidRPr="00100010">
        <w:t xml:space="preserve"> 120.</w:t>
      </w:r>
    </w:p>
  </w:footnote>
  <w:footnote w:id="133">
    <w:p w14:paraId="02F1BAB0" w14:textId="082E7386" w:rsidR="00DD097E" w:rsidRDefault="00DD097E">
      <w:pPr>
        <w:pStyle w:val="FootnoteText"/>
      </w:pPr>
      <w:r>
        <w:rPr>
          <w:rStyle w:val="FootnoteReference"/>
        </w:rPr>
        <w:footnoteRef/>
      </w:r>
      <w:r>
        <w:t xml:space="preserve"> </w:t>
      </w:r>
      <w:r w:rsidRPr="003C4B61">
        <w:t xml:space="preserve">Fernando </w:t>
      </w:r>
      <w:r>
        <w:t xml:space="preserve">(n 27) </w:t>
      </w:r>
      <w:r w:rsidRPr="003C4B61">
        <w:t>25, citing Dow et al</w:t>
      </w:r>
      <w:r>
        <w:t xml:space="preserve"> (n 131);</w:t>
      </w:r>
      <w:r w:rsidRPr="003C4B61">
        <w:t xml:space="preserve"> </w:t>
      </w:r>
      <w:r w:rsidRPr="00A25568">
        <w:t>Carina</w:t>
      </w:r>
      <w:r w:rsidRPr="003C4B61">
        <w:t xml:space="preserve"> Naughton et al, ‘The Relationship between Older People's Awareness of the Term Elder Abuse and Actual Experiences of Elder Abuse’ (2013) 25(8) </w:t>
      </w:r>
      <w:r w:rsidRPr="00900693">
        <w:rPr>
          <w:i/>
          <w:iCs/>
        </w:rPr>
        <w:t>International Psychogeriatrics</w:t>
      </w:r>
      <w:r w:rsidRPr="003C4B61">
        <w:t xml:space="preserve"> 1257; </w:t>
      </w:r>
      <w:r w:rsidRPr="00851E17">
        <w:t xml:space="preserve">Dale Bagshaw et al, ‘Financial Abuse of Older People by Family Members: Views and Experiences of Older Australians and their Family Members’ (2013) 66(1) </w:t>
      </w:r>
      <w:r w:rsidRPr="00851E17">
        <w:rPr>
          <w:i/>
          <w:iCs/>
        </w:rPr>
        <w:t>Australian Social Work</w:t>
      </w:r>
      <w:r w:rsidRPr="00851E17">
        <w:t xml:space="preserve"> 86</w:t>
      </w:r>
      <w:r>
        <w:t xml:space="preserve">; </w:t>
      </w:r>
      <w:r w:rsidRPr="00D04673">
        <w:t xml:space="preserve">Ruth Landau, ‘Ethical Dilemmas in Treating Cases of Abuse of Older People in the Family’ (1998) 12(3) </w:t>
      </w:r>
      <w:r w:rsidRPr="0023331E">
        <w:rPr>
          <w:i/>
          <w:iCs/>
        </w:rPr>
        <w:t>International Journal of Law, Policy and the Family</w:t>
      </w:r>
      <w:r w:rsidRPr="00D04673">
        <w:t xml:space="preserve"> 345</w:t>
      </w:r>
      <w:r w:rsidRPr="003C4B61">
        <w:t>.</w:t>
      </w:r>
    </w:p>
  </w:footnote>
  <w:footnote w:id="134">
    <w:p w14:paraId="2D03F05E" w14:textId="4C977833" w:rsidR="00DD097E" w:rsidRDefault="00DD097E">
      <w:pPr>
        <w:pStyle w:val="FootnoteText"/>
      </w:pPr>
      <w:r>
        <w:rPr>
          <w:rStyle w:val="FootnoteReference"/>
        </w:rPr>
        <w:footnoteRef/>
      </w:r>
      <w:r>
        <w:t xml:space="preserve"> </w:t>
      </w:r>
      <w:r w:rsidRPr="003C4B61">
        <w:t xml:space="preserve">The Helpline is funded by DPAC and operated by </w:t>
      </w:r>
      <w:r w:rsidRPr="00A25568">
        <w:t>Advocacy</w:t>
      </w:r>
      <w:r w:rsidRPr="003C4B61">
        <w:t xml:space="preserve"> Tasmania. See further </w:t>
      </w:r>
      <w:r>
        <w:t>[3.4.3]–[3.4.4]</w:t>
      </w:r>
      <w:r w:rsidRPr="003C4B61">
        <w:t>.</w:t>
      </w:r>
    </w:p>
  </w:footnote>
  <w:footnote w:id="135">
    <w:p w14:paraId="1D16CA81" w14:textId="4BD25D62" w:rsidR="00DD097E" w:rsidRDefault="00DD097E">
      <w:pPr>
        <w:pStyle w:val="FootnoteText"/>
      </w:pPr>
      <w:r>
        <w:rPr>
          <w:rStyle w:val="FootnoteReference"/>
        </w:rPr>
        <w:footnoteRef/>
      </w:r>
      <w:r>
        <w:t xml:space="preserve"> </w:t>
      </w:r>
      <w:r w:rsidRPr="003C4B61">
        <w:t xml:space="preserve">Senior Assist is provided by Tasmania Legal </w:t>
      </w:r>
      <w:r w:rsidRPr="00A25568">
        <w:t>Aid</w:t>
      </w:r>
      <w:r w:rsidRPr="003C4B61">
        <w:t xml:space="preserve"> and funded by the </w:t>
      </w:r>
      <w:r w:rsidRPr="000A2695">
        <w:t>Commonwealth</w:t>
      </w:r>
      <w:r w:rsidRPr="003C4B61">
        <w:t xml:space="preserve"> AGD. See further </w:t>
      </w:r>
      <w:r>
        <w:t>[3.4.10]–[3.4.13]</w:t>
      </w:r>
      <w:r w:rsidRPr="003C4B61">
        <w:t>.</w:t>
      </w:r>
    </w:p>
  </w:footnote>
  <w:footnote w:id="136">
    <w:p w14:paraId="3B432943" w14:textId="0528B2F9" w:rsidR="00AB5CFD" w:rsidRDefault="00AB5CFD" w:rsidP="001C3C5F">
      <w:pPr>
        <w:pStyle w:val="FootnoteText"/>
      </w:pPr>
      <w:r>
        <w:rPr>
          <w:rStyle w:val="FootnoteReference"/>
        </w:rPr>
        <w:footnoteRef/>
      </w:r>
      <w:r>
        <w:t xml:space="preserve"> </w:t>
      </w:r>
      <w:r w:rsidR="000C15A9">
        <w:t xml:space="preserve">See </w:t>
      </w:r>
      <w:r w:rsidR="00AF653E">
        <w:t>[2.3.9] – [2.3.20]</w:t>
      </w:r>
      <w:r w:rsidR="005C39CD">
        <w:t>,</w:t>
      </w:r>
      <w:r w:rsidR="00AF653E">
        <w:t xml:space="preserve"> nn </w:t>
      </w:r>
      <w:r w:rsidR="005C39CD">
        <w:t xml:space="preserve">80–84 </w:t>
      </w:r>
      <w:r w:rsidR="000C15A9">
        <w:t xml:space="preserve">and </w:t>
      </w:r>
      <w:r w:rsidR="000C15A9" w:rsidRPr="00C36293">
        <w:rPr>
          <w:b/>
          <w:bCs/>
        </w:rPr>
        <w:t xml:space="preserve">Appendix </w:t>
      </w:r>
      <w:r w:rsidR="00395388">
        <w:rPr>
          <w:b/>
          <w:bCs/>
        </w:rPr>
        <w:t>A</w:t>
      </w:r>
      <w:r w:rsidR="00395388">
        <w:t xml:space="preserve"> </w:t>
      </w:r>
      <w:r w:rsidR="000C15A9">
        <w:t>for a more detailed description of the Helpline and Senior Assist data and sources.</w:t>
      </w:r>
    </w:p>
  </w:footnote>
  <w:footnote w:id="137">
    <w:p w14:paraId="1F3B01A7" w14:textId="21F63B98" w:rsidR="00B37DF1" w:rsidRPr="003C4B61" w:rsidRDefault="00B37DF1" w:rsidP="00822ECC">
      <w:pPr>
        <w:pStyle w:val="FootnoteText"/>
      </w:pPr>
      <w:r w:rsidRPr="003C4B61">
        <w:rPr>
          <w:rStyle w:val="FootnoteReference"/>
          <w:rFonts w:cs="Times New Roman"/>
          <w:sz w:val="18"/>
          <w:szCs w:val="18"/>
        </w:rPr>
        <w:footnoteRef/>
      </w:r>
      <w:r w:rsidRPr="003C4B61">
        <w:t xml:space="preserve"> </w:t>
      </w:r>
      <w:r w:rsidR="00C031F2">
        <w:t>See, eg, Qu et al, AIFS (n 56). See further [2.</w:t>
      </w:r>
      <w:r w:rsidR="00BB779A">
        <w:t>4</w:t>
      </w:r>
      <w:r w:rsidR="00C031F2">
        <w:t>.2] – [2.</w:t>
      </w:r>
      <w:r w:rsidR="00BB779A">
        <w:t>4</w:t>
      </w:r>
      <w:r w:rsidR="00C031F2">
        <w:t>.</w:t>
      </w:r>
      <w:r w:rsidR="00BB779A">
        <w:t>6</w:t>
      </w:r>
      <w:r w:rsidR="00C031F2">
        <w:t>] (regarding national research) and [2.</w:t>
      </w:r>
      <w:r w:rsidR="00BB779A">
        <w:t>4</w:t>
      </w:r>
      <w:r w:rsidR="00C031F2">
        <w:t>.7]–2.</w:t>
      </w:r>
      <w:r w:rsidR="00BB779A">
        <w:t>4</w:t>
      </w:r>
      <w:r w:rsidR="00C031F2">
        <w:t>.8] regarding international research.</w:t>
      </w:r>
    </w:p>
  </w:footnote>
  <w:footnote w:id="138">
    <w:p w14:paraId="60E7DEDF" w14:textId="01877F97" w:rsidR="00B853EE" w:rsidRDefault="00B853EE" w:rsidP="00822ECC">
      <w:pPr>
        <w:pStyle w:val="FootnoteText"/>
      </w:pPr>
      <w:r>
        <w:rPr>
          <w:rStyle w:val="FootnoteReference"/>
        </w:rPr>
        <w:footnoteRef/>
      </w:r>
      <w:r>
        <w:t xml:space="preserve"> </w:t>
      </w:r>
      <w:r w:rsidR="008E156E" w:rsidRPr="0068201D">
        <w:t>Tasmania</w:t>
      </w:r>
      <w:r w:rsidR="008E156E">
        <w:t>n</w:t>
      </w:r>
      <w:r w:rsidR="008E156E" w:rsidRPr="0068201D">
        <w:t xml:space="preserve"> Government, </w:t>
      </w:r>
      <w:r w:rsidR="008E156E" w:rsidRPr="00FA6AEB">
        <w:rPr>
          <w:i/>
          <w:iCs/>
        </w:rPr>
        <w:t>Lifelong Respect Strategy 2023–2029</w:t>
      </w:r>
      <w:r w:rsidR="008E156E" w:rsidRPr="0068201D">
        <w:t xml:space="preserve"> (n 19</w:t>
      </w:r>
      <w:r w:rsidR="008E156E">
        <w:t xml:space="preserve">) </w:t>
      </w:r>
      <w:r>
        <w:t>4.</w:t>
      </w:r>
    </w:p>
  </w:footnote>
  <w:footnote w:id="139">
    <w:p w14:paraId="3A5E0B72" w14:textId="7EDB15EF" w:rsidR="00B853EE" w:rsidRDefault="00B853EE" w:rsidP="001C3C5F">
      <w:pPr>
        <w:pStyle w:val="FootnoteText"/>
      </w:pPr>
      <w:r>
        <w:rPr>
          <w:rStyle w:val="FootnoteReference"/>
        </w:rPr>
        <w:footnoteRef/>
      </w:r>
      <w:r>
        <w:t xml:space="preserve"> </w:t>
      </w:r>
      <w:r w:rsidR="00BB779A">
        <w:t xml:space="preserve">Australian Bureau of Statistics (‘ABS’), </w:t>
      </w:r>
      <w:r w:rsidR="00C20ACA" w:rsidRPr="004851A7">
        <w:rPr>
          <w:i/>
          <w:iCs/>
        </w:rPr>
        <w:t>National State and Territory Population</w:t>
      </w:r>
      <w:r w:rsidR="00C20ACA">
        <w:t xml:space="preserve"> (Reference period</w:t>
      </w:r>
      <w:r w:rsidR="00860316">
        <w:t xml:space="preserve"> March 2014, 19 September 2024)</w:t>
      </w:r>
      <w:r w:rsidR="004851A7">
        <w:t xml:space="preserve"> &lt;</w:t>
      </w:r>
      <w:hyperlink r:id="rId35" w:anchor="data-downloads-data-cubes" w:history="1">
        <w:r w:rsidR="004851A7" w:rsidRPr="00560984">
          <w:rPr>
            <w:rStyle w:val="Hyperlink"/>
          </w:rPr>
          <w:t>https://www.abs.gov.au/statistics/people/population/national-state-and-territory-population/mar-2024#data-downloads-data-cubes</w:t>
        </w:r>
      </w:hyperlink>
      <w:r w:rsidR="004851A7">
        <w:t xml:space="preserve">&gt; </w:t>
      </w:r>
      <w:r w:rsidR="00860316">
        <w:t>‘</w:t>
      </w:r>
      <w:r w:rsidR="0060116D">
        <w:t>National, state and territory population tables’</w:t>
      </w:r>
      <w:r w:rsidR="004851A7">
        <w:t xml:space="preserve">: </w:t>
      </w:r>
      <w:r>
        <w:t xml:space="preserve">Tables 6 and 7; </w:t>
      </w:r>
      <w:r w:rsidR="000A5B43">
        <w:t>‘Population by age and sex</w:t>
      </w:r>
      <w:r w:rsidR="00F50295">
        <w:t>—national’</w:t>
      </w:r>
      <w:r w:rsidR="004851A7">
        <w:t>:</w:t>
      </w:r>
      <w:r w:rsidR="00F50295">
        <w:t xml:space="preserve"> </w:t>
      </w:r>
      <w:r>
        <w:t>Tables 6 and 7.</w:t>
      </w:r>
    </w:p>
  </w:footnote>
  <w:footnote w:id="140">
    <w:p w14:paraId="4D67DE09" w14:textId="247D240E" w:rsidR="00A425E5" w:rsidRDefault="00A425E5" w:rsidP="001C3C5F">
      <w:pPr>
        <w:pStyle w:val="FootnoteText"/>
      </w:pPr>
      <w:r>
        <w:rPr>
          <w:rStyle w:val="FootnoteReference"/>
        </w:rPr>
        <w:footnoteRef/>
      </w:r>
      <w:r>
        <w:t xml:space="preserve"> </w:t>
      </w:r>
      <w:r w:rsidR="003A7661">
        <w:t xml:space="preserve">ABS, </w:t>
      </w:r>
      <w:r w:rsidR="003A7661" w:rsidRPr="00D94F64">
        <w:rPr>
          <w:i/>
          <w:iCs/>
        </w:rPr>
        <w:t>Disability, Ageing and Carers, Australia: Summary of Findings</w:t>
      </w:r>
      <w:r w:rsidR="003A7661">
        <w:t xml:space="preserve"> 2018 (n 21)</w:t>
      </w:r>
      <w:r w:rsidR="007E0F12">
        <w:t xml:space="preserve">. </w:t>
      </w:r>
      <w:r w:rsidR="005416AF">
        <w:t xml:space="preserve">As noted, in n 21, </w:t>
      </w:r>
      <w:r w:rsidR="007E0F12">
        <w:t xml:space="preserve">a more recent release of these data from the Survey of Disability, Ageing and Caring (‘SDAC’) for Reference Period 2022 is available; however, it does not include data for people with disability by state and territory population. Since 2024, a new dataset, the National Disability Data Asset (‘NDDA’), includes 18 datasets of de-identified disability and health-related data (accessible by application), which is provided by Commonwealth, state and territory governments under an agreement: see Australian Government </w:t>
      </w:r>
      <w:r w:rsidR="005416AF">
        <w:t xml:space="preserve">(n 21). </w:t>
      </w:r>
    </w:p>
  </w:footnote>
  <w:footnote w:id="141">
    <w:p w14:paraId="0E69013B" w14:textId="6E89327B" w:rsidR="009E5E7A" w:rsidRDefault="009E5E7A" w:rsidP="009E5E7A">
      <w:pPr>
        <w:pStyle w:val="FootnoteText"/>
      </w:pPr>
      <w:r>
        <w:rPr>
          <w:rStyle w:val="FootnoteReference"/>
        </w:rPr>
        <w:footnoteRef/>
      </w:r>
      <w:r>
        <w:t xml:space="preserve"> </w:t>
      </w:r>
      <w:r w:rsidR="00123FCA" w:rsidRPr="00D715B3">
        <w:rPr>
          <w:rFonts w:cs="Times New Roman"/>
        </w:rPr>
        <w:t>Council of Attorneys-General, ‘</w:t>
      </w:r>
      <w:r w:rsidR="00123FCA" w:rsidRPr="00D715B3">
        <w:rPr>
          <w:rFonts w:cs="Times New Roman"/>
          <w:i/>
          <w:iCs/>
        </w:rPr>
        <w:t>National Plan 2024–2034: Public Consultation Draft</w:t>
      </w:r>
      <w:r w:rsidR="00123FCA" w:rsidRPr="00D715B3">
        <w:rPr>
          <w:rFonts w:cs="Times New Roman"/>
        </w:rPr>
        <w:t xml:space="preserve"> (n 40)</w:t>
      </w:r>
      <w:r>
        <w:t xml:space="preserve"> 22–6, 28–30.</w:t>
      </w:r>
    </w:p>
  </w:footnote>
  <w:footnote w:id="142">
    <w:p w14:paraId="1AE8BB9B" w14:textId="469657C3" w:rsidR="004656A8" w:rsidRDefault="004656A8" w:rsidP="004656A8">
      <w:pPr>
        <w:pStyle w:val="FootnoteText"/>
      </w:pPr>
      <w:r>
        <w:rPr>
          <w:rStyle w:val="FootnoteReference"/>
        </w:rPr>
        <w:footnoteRef/>
      </w:r>
      <w:r>
        <w:t xml:space="preserve"> </w:t>
      </w:r>
      <w:r w:rsidR="00F402E1" w:rsidRPr="00F402E1">
        <w:t xml:space="preserve">Tasmanian Government, </w:t>
      </w:r>
      <w:r w:rsidR="00F402E1" w:rsidRPr="00F402E1">
        <w:rPr>
          <w:i/>
          <w:iCs/>
        </w:rPr>
        <w:t>Action Plan 2025–2029</w:t>
      </w:r>
      <w:r w:rsidR="00F402E1" w:rsidRPr="00F402E1">
        <w:t xml:space="preserve"> (n 18)</w:t>
      </w:r>
      <w:r w:rsidR="00F402E1">
        <w:t xml:space="preserve"> </w:t>
      </w:r>
      <w:r>
        <w:t xml:space="preserve">11–13. </w:t>
      </w:r>
    </w:p>
  </w:footnote>
  <w:footnote w:id="143">
    <w:p w14:paraId="3FF83FB3" w14:textId="2C65D278" w:rsidR="00191C6B" w:rsidRDefault="00191C6B" w:rsidP="00191C6B">
      <w:pPr>
        <w:pStyle w:val="FootnoteText"/>
      </w:pPr>
      <w:r>
        <w:rPr>
          <w:rStyle w:val="FootnoteReference"/>
        </w:rPr>
        <w:footnoteRef/>
      </w:r>
      <w:r>
        <w:t xml:space="preserve"> </w:t>
      </w:r>
      <w:r w:rsidR="00F402E1">
        <w:t>Ibid</w:t>
      </w:r>
      <w:r>
        <w:t xml:space="preserve"> 11.</w:t>
      </w:r>
    </w:p>
  </w:footnote>
  <w:footnote w:id="144">
    <w:p w14:paraId="31B09C88" w14:textId="685EF5F8" w:rsidR="00191C6B" w:rsidRDefault="00191C6B" w:rsidP="00191C6B">
      <w:pPr>
        <w:pStyle w:val="FootnoteText"/>
      </w:pPr>
      <w:r>
        <w:rPr>
          <w:rStyle w:val="FootnoteReference"/>
        </w:rPr>
        <w:footnoteRef/>
      </w:r>
      <w:r>
        <w:t xml:space="preserve"> The Action </w:t>
      </w:r>
      <w:r w:rsidR="00F402E1">
        <w:t>P</w:t>
      </w:r>
      <w:r>
        <w:t xml:space="preserve">lan recognises that: ‘Aboriginal people have lived in lutruwita (Tasmania for over 40,000 years. Aboriginal Elders are people who are highly respected in their community as custodians of cultural knowledge and for what they do in their community. This status is not bestowed by age’: </w:t>
      </w:r>
      <w:r w:rsidR="003E388E">
        <w:t>i</w:t>
      </w:r>
      <w:r w:rsidR="00F402E1">
        <w:t>bid</w:t>
      </w:r>
      <w:r>
        <w:t xml:space="preserve">. </w:t>
      </w:r>
    </w:p>
  </w:footnote>
  <w:footnote w:id="145">
    <w:p w14:paraId="5F71D376" w14:textId="1AFEAA4D" w:rsidR="00191C6B" w:rsidRDefault="00191C6B" w:rsidP="00191C6B">
      <w:pPr>
        <w:pStyle w:val="FootnoteText"/>
      </w:pPr>
      <w:r>
        <w:rPr>
          <w:rStyle w:val="FootnoteReference"/>
        </w:rPr>
        <w:footnoteRef/>
      </w:r>
      <w:r>
        <w:t xml:space="preserve"> </w:t>
      </w:r>
      <w:r w:rsidR="00F402E1">
        <w:t>Ibid</w:t>
      </w:r>
      <w:r>
        <w:t xml:space="preserve"> 12. </w:t>
      </w:r>
      <w:r w:rsidRPr="00933B91">
        <w:t xml:space="preserve">Aboriginal Tasmanians 50 years or older are also considered to be </w:t>
      </w:r>
      <w:r w:rsidR="00F402E1">
        <w:t>‘</w:t>
      </w:r>
      <w:r w:rsidRPr="00933B91">
        <w:t>older Tasmanians</w:t>
      </w:r>
      <w:r w:rsidR="00F402E1">
        <w:t>’</w:t>
      </w:r>
      <w:r w:rsidRPr="00933B91">
        <w:t>, recognising ‘historical factors and social determinants of health</w:t>
      </w:r>
      <w:r>
        <w:t xml:space="preserve">. </w:t>
      </w:r>
      <w:r w:rsidRPr="00933B91">
        <w:t>Life expectancy is reduced for Aboriginal Tasmanians compared with non-Indigenous Tasmanians, and life expectancy for Aboriginal Tasmanians reduces further in very remote and disadvantaged areas</w:t>
      </w:r>
      <w:r>
        <w:t xml:space="preserve">: </w:t>
      </w:r>
      <w:r w:rsidR="00F402E1">
        <w:t>Ibid</w:t>
      </w:r>
      <w:r>
        <w:t xml:space="preserve"> 13.</w:t>
      </w:r>
    </w:p>
  </w:footnote>
  <w:footnote w:id="146">
    <w:p w14:paraId="409615D1" w14:textId="4E80B5D1" w:rsidR="00E0691F" w:rsidRDefault="00E0691F">
      <w:pPr>
        <w:pStyle w:val="FootnoteText"/>
      </w:pPr>
      <w:r>
        <w:rPr>
          <w:rStyle w:val="FootnoteReference"/>
        </w:rPr>
        <w:footnoteRef/>
      </w:r>
      <w:r>
        <w:t xml:space="preserve"> </w:t>
      </w:r>
      <w:r w:rsidRPr="00BE543E">
        <w:t>LGBTIQA+</w:t>
      </w:r>
      <w:r>
        <w:t xml:space="preserve"> </w:t>
      </w:r>
      <w:r w:rsidRPr="003C4B61">
        <w:t xml:space="preserve">is </w:t>
      </w:r>
      <w:r w:rsidRPr="00986B00">
        <w:t>an</w:t>
      </w:r>
      <w:r w:rsidRPr="003C4B61">
        <w:t xml:space="preserve"> acronym for lesbian, gay, bisexual, transgender, </w:t>
      </w:r>
      <w:r>
        <w:t xml:space="preserve">intersex, </w:t>
      </w:r>
      <w:r w:rsidRPr="003C4B61">
        <w:t>queer</w:t>
      </w:r>
      <w:r>
        <w:t>/questioning</w:t>
      </w:r>
      <w:r w:rsidRPr="003C4B61">
        <w:t xml:space="preserve">, intersex, asexual, </w:t>
      </w:r>
      <w:r>
        <w:t xml:space="preserve">or people otherwise diverse in gender, sexual orientation and/or innate variations of sex characteristics, </w:t>
      </w:r>
      <w:r w:rsidRPr="003C4B61">
        <w:t>with the + signifying anyone who is not listed in the acronym but still identifies as part of this community</w:t>
      </w:r>
      <w:r>
        <w:t>: see further n 46.</w:t>
      </w:r>
    </w:p>
  </w:footnote>
  <w:footnote w:id="147">
    <w:p w14:paraId="68606D34" w14:textId="3ADEEB48" w:rsidR="00191C6B" w:rsidRDefault="00191C6B" w:rsidP="00191C6B">
      <w:pPr>
        <w:pStyle w:val="FootnoteText"/>
      </w:pPr>
      <w:r>
        <w:rPr>
          <w:rStyle w:val="FootnoteReference"/>
        </w:rPr>
        <w:footnoteRef/>
      </w:r>
      <w:r>
        <w:t xml:space="preserve"> </w:t>
      </w:r>
      <w:r w:rsidR="00A3013E">
        <w:rPr>
          <w:rFonts w:cs="Times New Roman"/>
        </w:rPr>
        <w:t xml:space="preserve">COTA Tasmania and Working it Out (n 126) </w:t>
      </w:r>
      <w:r>
        <w:t>Findings 8 and 9. The study</w:t>
      </w:r>
      <w:r w:rsidRPr="00283C46">
        <w:t xml:space="preserve"> explored understandings of abuse, ageism and discrimination by LGBTIQ+ older people in </w:t>
      </w:r>
      <w:r w:rsidR="00262039" w:rsidRPr="00283C46">
        <w:t>Tasmania and</w:t>
      </w:r>
      <w:r w:rsidRPr="00283C46">
        <w:t xml:space="preserve"> made recommendations to raise awareness</w:t>
      </w:r>
      <w:r>
        <w:t xml:space="preserve"> </w:t>
      </w:r>
      <w:r w:rsidRPr="00283C46">
        <w:t>to infor</w:t>
      </w:r>
      <w:r>
        <w:t>m</w:t>
      </w:r>
      <w:r w:rsidRPr="00283C46">
        <w:t xml:space="preserve"> the development and distribution of information and resources for LGBTIQ+ Tasmanians and the general community in Tasmania</w:t>
      </w:r>
      <w:r>
        <w:t>.</w:t>
      </w:r>
      <w:r w:rsidR="00A00155">
        <w:t xml:space="preserve"> Note that </w:t>
      </w:r>
      <w:r w:rsidR="00A00155" w:rsidRPr="00283C46">
        <w:t>LGBTIQ+</w:t>
      </w:r>
      <w:r w:rsidR="00A00155">
        <w:t xml:space="preserve"> was the acronym used in this </w:t>
      </w:r>
      <w:r w:rsidR="006F122F">
        <w:t>study: see further n 46.</w:t>
      </w:r>
    </w:p>
  </w:footnote>
  <w:footnote w:id="148">
    <w:p w14:paraId="45A2E3DF" w14:textId="0501A765" w:rsidR="00077253" w:rsidRDefault="00077253">
      <w:pPr>
        <w:pStyle w:val="FootnoteText"/>
      </w:pPr>
      <w:r>
        <w:rPr>
          <w:rStyle w:val="FootnoteReference"/>
        </w:rPr>
        <w:footnoteRef/>
      </w:r>
      <w:r>
        <w:t xml:space="preserve"> </w:t>
      </w:r>
      <w:r w:rsidR="00BF53C6">
        <w:t>Australian Bureau of Statistics (‘</w:t>
      </w:r>
      <w:r w:rsidR="00511E78">
        <w:t>ABS</w:t>
      </w:r>
      <w:r w:rsidR="00BF53C6">
        <w:t>’)</w:t>
      </w:r>
      <w:r w:rsidR="00511E78">
        <w:t>,</w:t>
      </w:r>
      <w:r w:rsidR="00A44E02">
        <w:t xml:space="preserve"> Regional </w:t>
      </w:r>
      <w:r w:rsidR="002E0429">
        <w:t>P</w:t>
      </w:r>
      <w:r w:rsidR="00A44E02">
        <w:t>opulation 2023–24</w:t>
      </w:r>
      <w:r w:rsidR="002E0429">
        <w:t>: Population Grid</w:t>
      </w:r>
      <w:r w:rsidR="00A44E02">
        <w:t xml:space="preserve"> </w:t>
      </w:r>
      <w:r w:rsidR="000F3EA6">
        <w:t>(</w:t>
      </w:r>
      <w:r w:rsidR="0093342D">
        <w:t>ABSTATS</w:t>
      </w:r>
      <w:r w:rsidR="004D1D2A">
        <w:t xml:space="preserve">, </w:t>
      </w:r>
      <w:r w:rsidR="0093342D">
        <w:t>April</w:t>
      </w:r>
      <w:r w:rsidR="000F3EA6">
        <w:t xml:space="preserve"> 2025) ‘Population grid 2024’</w:t>
      </w:r>
      <w:r w:rsidR="00511E78">
        <w:t xml:space="preserve"> </w:t>
      </w:r>
      <w:r w:rsidR="0093342D">
        <w:t>&lt;</w:t>
      </w:r>
      <w:hyperlink r:id="rId36" w:history="1">
        <w:r w:rsidR="0093342D" w:rsidRPr="00560984">
          <w:rPr>
            <w:rStyle w:val="Hyperlink"/>
          </w:rPr>
          <w:t>https://storymaps.arcgis.com/stories/e2f8d8beec4e4ebea179d8771f72f010</w:t>
        </w:r>
      </w:hyperlink>
      <w:r w:rsidR="0093342D">
        <w:t>&gt;.</w:t>
      </w:r>
      <w:r>
        <w:t xml:space="preserve"> </w:t>
      </w:r>
    </w:p>
  </w:footnote>
  <w:footnote w:id="149">
    <w:p w14:paraId="7B846DBF" w14:textId="22CDC413" w:rsidR="005246C2" w:rsidRDefault="005246C2">
      <w:pPr>
        <w:pStyle w:val="FootnoteText"/>
      </w:pPr>
      <w:r>
        <w:rPr>
          <w:rStyle w:val="FootnoteReference"/>
        </w:rPr>
        <w:footnoteRef/>
      </w:r>
      <w:r>
        <w:t xml:space="preserve"> ‘</w:t>
      </w:r>
      <w:r w:rsidRPr="003C4B61">
        <w:t xml:space="preserve">Mental Health, </w:t>
      </w:r>
      <w:r w:rsidRPr="001C3C5F">
        <w:t>Alcohol</w:t>
      </w:r>
      <w:r w:rsidRPr="003C4B61">
        <w:t xml:space="preserve"> and Other Drugs Advocacy</w:t>
      </w:r>
      <w:r>
        <w:t>’</w:t>
      </w:r>
      <w:r w:rsidRPr="003C4B61">
        <w:t xml:space="preserve"> (</w:t>
      </w:r>
      <w:r>
        <w:t>n=</w:t>
      </w:r>
      <w:r w:rsidRPr="003C4B61">
        <w:t xml:space="preserve">354); </w:t>
      </w:r>
      <w:r>
        <w:t>‘</w:t>
      </w:r>
      <w:r w:rsidRPr="003C4B61">
        <w:t>Disability Advocacy (HACC, NDAP &amp; TDAP)</w:t>
      </w:r>
      <w:r>
        <w:t>’</w:t>
      </w:r>
      <w:r w:rsidRPr="003C4B61">
        <w:t xml:space="preserve"> (</w:t>
      </w:r>
      <w:r>
        <w:t>n=</w:t>
      </w:r>
      <w:r w:rsidRPr="003C4B61">
        <w:t xml:space="preserve">498). </w:t>
      </w:r>
      <w:r>
        <w:t>‘</w:t>
      </w:r>
      <w:r w:rsidRPr="003C4B61">
        <w:t>Rights Information Sessions attended by Tasmanians</w:t>
      </w:r>
      <w:r>
        <w:t>’</w:t>
      </w:r>
      <w:r w:rsidRPr="003C4B61">
        <w:t xml:space="preserve"> were recorded as 10,430, with </w:t>
      </w:r>
      <w:r>
        <w:t>‘</w:t>
      </w:r>
      <w:r w:rsidRPr="003C4B61">
        <w:t>Older Persons Advocacy</w:t>
      </w:r>
      <w:r>
        <w:t>’</w:t>
      </w:r>
      <w:r w:rsidRPr="003C4B61">
        <w:t xml:space="preserve"> recorded as 1275: </w:t>
      </w:r>
      <w:r>
        <w:t xml:space="preserve">Advocacy Tasmania, </w:t>
      </w:r>
      <w:r w:rsidRPr="00C26084">
        <w:rPr>
          <w:i/>
          <w:iCs/>
        </w:rPr>
        <w:t>Annual Report 2023–24</w:t>
      </w:r>
      <w:r>
        <w:t xml:space="preserve"> (Report, 2024) &lt;</w:t>
      </w:r>
      <w:hyperlink r:id="rId37" w:history="1">
        <w:r w:rsidRPr="00560984">
          <w:rPr>
            <w:rStyle w:val="Hyperlink"/>
          </w:rPr>
          <w:t>https://advocacytasmania.org.au/news-updates/publications/</w:t>
        </w:r>
      </w:hyperlink>
      <w:r>
        <w:t xml:space="preserve">&gt; </w:t>
      </w:r>
      <w:r w:rsidR="00184EAA">
        <w:t xml:space="preserve"> (‘Advocacy Tasmania, A</w:t>
      </w:r>
      <w:r w:rsidR="00184EAA" w:rsidRPr="00C26084">
        <w:rPr>
          <w:i/>
          <w:iCs/>
        </w:rPr>
        <w:t>nnual Report 2023–24</w:t>
      </w:r>
      <w:r w:rsidR="00184EAA">
        <w:t>’)</w:t>
      </w:r>
      <w:r w:rsidR="00A67CAA">
        <w:t xml:space="preserve"> 2.</w:t>
      </w:r>
    </w:p>
  </w:footnote>
  <w:footnote w:id="150">
    <w:p w14:paraId="4D6B0A74" w14:textId="4BB1D43F" w:rsidR="005246C2" w:rsidRDefault="005246C2">
      <w:pPr>
        <w:pStyle w:val="FootnoteText"/>
      </w:pPr>
      <w:r>
        <w:rPr>
          <w:rStyle w:val="FootnoteReference"/>
        </w:rPr>
        <w:footnoteRef/>
      </w:r>
      <w:r>
        <w:t xml:space="preserve"> </w:t>
      </w:r>
      <w:r w:rsidR="0049656B">
        <w:t xml:space="preserve">Advocacy Tasmania, </w:t>
      </w:r>
      <w:r w:rsidR="0049656B" w:rsidRPr="00C26084">
        <w:rPr>
          <w:i/>
          <w:iCs/>
        </w:rPr>
        <w:t>Annual Report 2023–24</w:t>
      </w:r>
      <w:r w:rsidR="0049656B">
        <w:t xml:space="preserve"> (n 148) </w:t>
      </w:r>
      <w:r>
        <w:t>2</w:t>
      </w:r>
      <w:r w:rsidR="00F84F29">
        <w:t xml:space="preserve">; Advocacy Tasmania, </w:t>
      </w:r>
      <w:r w:rsidR="00F84F29" w:rsidRPr="00C26084">
        <w:rPr>
          <w:i/>
          <w:iCs/>
        </w:rPr>
        <w:t>Annual Report 2022–23</w:t>
      </w:r>
      <w:r w:rsidR="00F84F29">
        <w:t xml:space="preserve"> (Report, 2023) &lt;</w:t>
      </w:r>
      <w:hyperlink r:id="rId38" w:history="1">
        <w:r w:rsidR="00F84F29" w:rsidRPr="00560984">
          <w:rPr>
            <w:rStyle w:val="Hyperlink"/>
          </w:rPr>
          <w:t>https://advocacytasmania.org.au/news-updates/publications/</w:t>
        </w:r>
      </w:hyperlink>
      <w:r w:rsidR="00F84F29">
        <w:t xml:space="preserve">&gt; 2; Advocacy Tasmania, </w:t>
      </w:r>
      <w:r w:rsidR="00F84F29" w:rsidRPr="00C26084">
        <w:rPr>
          <w:i/>
          <w:iCs/>
        </w:rPr>
        <w:t xml:space="preserve">Annual Report 2021–22 </w:t>
      </w:r>
      <w:r w:rsidR="00F84F29">
        <w:t>(Report, 2022) &lt;</w:t>
      </w:r>
      <w:hyperlink r:id="rId39" w:history="1">
        <w:r w:rsidR="00F84F29" w:rsidRPr="00560984">
          <w:rPr>
            <w:rStyle w:val="Hyperlink"/>
          </w:rPr>
          <w:t>https://advocacytasmania.org.au/news-updates/publications/</w:t>
        </w:r>
      </w:hyperlink>
      <w:r w:rsidR="00F84F29">
        <w:t xml:space="preserve">&gt; 2; Advocacy Tasmania, </w:t>
      </w:r>
      <w:r w:rsidR="00F84F29" w:rsidRPr="00C26084">
        <w:rPr>
          <w:i/>
          <w:iCs/>
        </w:rPr>
        <w:t>Annual Report 2023–24</w:t>
      </w:r>
      <w:r w:rsidR="00F84F29">
        <w:t xml:space="preserve"> (Report, 2024) &lt;</w:t>
      </w:r>
      <w:hyperlink r:id="rId40" w:history="1">
        <w:r w:rsidR="00F84F29" w:rsidRPr="00560984">
          <w:rPr>
            <w:rStyle w:val="Hyperlink"/>
          </w:rPr>
          <w:t>https://advocacytasmania.org.au/news-updates/publications/</w:t>
        </w:r>
      </w:hyperlink>
      <w:r w:rsidR="00F84F29">
        <w:t>&gt; 2</w:t>
      </w:r>
      <w:r w:rsidR="00184EAA">
        <w:t xml:space="preserve">; Advocacy Tasmania, </w:t>
      </w:r>
      <w:r w:rsidR="00184EAA" w:rsidRPr="00C26084">
        <w:rPr>
          <w:i/>
          <w:iCs/>
        </w:rPr>
        <w:t>Annual Report 2020–21</w:t>
      </w:r>
      <w:r w:rsidR="00184EAA">
        <w:t xml:space="preserve"> (Report, 2021) &lt;</w:t>
      </w:r>
      <w:hyperlink r:id="rId41" w:history="1">
        <w:r w:rsidR="00184EAA" w:rsidRPr="00560984">
          <w:rPr>
            <w:rStyle w:val="Hyperlink"/>
          </w:rPr>
          <w:t>https://advocacytasmania.org.au/news-updates/publications/</w:t>
        </w:r>
      </w:hyperlink>
      <w:r w:rsidR="00184EAA">
        <w:t>&gt; 2.</w:t>
      </w:r>
    </w:p>
  </w:footnote>
  <w:footnote w:id="151">
    <w:p w14:paraId="74155BCC" w14:textId="7ECEB2A7" w:rsidR="00652782" w:rsidRDefault="00652782">
      <w:pPr>
        <w:pStyle w:val="FootnoteText"/>
      </w:pPr>
      <w:r>
        <w:rPr>
          <w:rStyle w:val="FootnoteReference"/>
        </w:rPr>
        <w:footnoteRef/>
      </w:r>
      <w:r>
        <w:t xml:space="preserve"> </w:t>
      </w:r>
      <w:r w:rsidRPr="003C4B61">
        <w:t xml:space="preserve">DPAC indicated that regarding the 492 </w:t>
      </w:r>
      <w:r w:rsidRPr="001C3C5F">
        <w:t>calls</w:t>
      </w:r>
      <w:r w:rsidRPr="003C4B61">
        <w:t xml:space="preserve"> made to the Helpline in the following year, 1 July 2023 to 30 June 2024, </w:t>
      </w:r>
      <w:r>
        <w:t xml:space="preserve">there were </w:t>
      </w:r>
      <w:r w:rsidRPr="00DB7832">
        <w:t>similar patterns to those in the data from 1 July 2022 to 30 June 2023 (although the precise percentages varied slightly).</w:t>
      </w:r>
    </w:p>
  </w:footnote>
  <w:footnote w:id="152">
    <w:p w14:paraId="0C355C14" w14:textId="234B49F8" w:rsidR="00652782" w:rsidRDefault="00652782">
      <w:pPr>
        <w:pStyle w:val="FootnoteText"/>
      </w:pPr>
      <w:r>
        <w:rPr>
          <w:rStyle w:val="FootnoteReference"/>
        </w:rPr>
        <w:footnoteRef/>
      </w:r>
      <w:r>
        <w:t xml:space="preserve"> </w:t>
      </w:r>
      <w:r w:rsidRPr="003C4B61">
        <w:t>Th</w:t>
      </w:r>
      <w:r>
        <w:t xml:space="preserve">ese data are shown </w:t>
      </w:r>
      <w:r w:rsidRPr="003C4B61">
        <w:t>in a graph format</w:t>
      </w:r>
      <w:r>
        <w:t xml:space="preserve">, </w:t>
      </w:r>
      <w:r w:rsidRPr="003C4B61">
        <w:t>so it is not possible to discern the exact number of cases</w:t>
      </w:r>
      <w:r>
        <w:t xml:space="preserve">: Advocacy Tasmania, </w:t>
      </w:r>
      <w:r w:rsidRPr="00C26084">
        <w:rPr>
          <w:i/>
          <w:iCs/>
        </w:rPr>
        <w:t>Annual Report 2020–21</w:t>
      </w:r>
      <w:r>
        <w:t xml:space="preserve"> (n 149) 2.</w:t>
      </w:r>
    </w:p>
  </w:footnote>
  <w:footnote w:id="153">
    <w:p w14:paraId="69607BB7" w14:textId="57AA113F" w:rsidR="00652782" w:rsidRDefault="00652782">
      <w:pPr>
        <w:pStyle w:val="FootnoteText"/>
      </w:pPr>
      <w:r>
        <w:rPr>
          <w:rStyle w:val="FootnoteReference"/>
        </w:rPr>
        <w:footnoteRef/>
      </w:r>
      <w:r>
        <w:t xml:space="preserve"> </w:t>
      </w:r>
      <w:r w:rsidRPr="009B395C">
        <w:t>N</w:t>
      </w:r>
      <w:r w:rsidR="009B395C">
        <w:t xml:space="preserve">ote that the </w:t>
      </w:r>
      <w:r w:rsidR="006007DF">
        <w:t xml:space="preserve">total </w:t>
      </w:r>
      <w:r w:rsidR="009B395C">
        <w:t>number of clients in Figure 2.9 is 9</w:t>
      </w:r>
      <w:r w:rsidRPr="009B395C">
        <w:t>6</w:t>
      </w:r>
      <w:r w:rsidR="006007DF">
        <w:t>. This is</w:t>
      </w:r>
      <w:r w:rsidR="007A3F93">
        <w:t xml:space="preserve"> due to age being</w:t>
      </w:r>
      <w:r w:rsidR="006007DF">
        <w:t xml:space="preserve"> </w:t>
      </w:r>
      <w:r w:rsidR="00CE4CA5">
        <w:t xml:space="preserve">calculated </w:t>
      </w:r>
      <w:r w:rsidR="007A3F93">
        <w:t xml:space="preserve">by date of birth at the </w:t>
      </w:r>
      <w:r w:rsidR="004D348B">
        <w:t>time the individual attended a session as a Senior Assist client</w:t>
      </w:r>
      <w:r w:rsidR="009B47D6">
        <w:t>; therefore, one individual may appear in multiple sessions</w:t>
      </w:r>
      <w:r w:rsidR="00EC6FA3">
        <w:t xml:space="preserve"> over the relevant </w:t>
      </w:r>
      <w:r w:rsidR="004E747A">
        <w:t xml:space="preserve">period </w:t>
      </w:r>
      <w:r w:rsidR="009B47D6">
        <w:t xml:space="preserve">and be counted more than once if the individual was a different age at the time of </w:t>
      </w:r>
      <w:r w:rsidR="006007DF">
        <w:t>any subsequent sessions.</w:t>
      </w:r>
    </w:p>
  </w:footnote>
  <w:footnote w:id="154">
    <w:p w14:paraId="2D1C1446" w14:textId="0DA97223" w:rsidR="00923C61" w:rsidRPr="0052563C" w:rsidRDefault="00923C61">
      <w:pPr>
        <w:pStyle w:val="FootnoteText"/>
      </w:pPr>
      <w:r>
        <w:rPr>
          <w:rStyle w:val="FootnoteReference"/>
        </w:rPr>
        <w:footnoteRef/>
      </w:r>
      <w:r>
        <w:t xml:space="preserve"> Qu et al, AIFS (n 56); Compass, Elder Abuse Action Australia (‘EAAA’), </w:t>
      </w:r>
      <w:r w:rsidRPr="00CB786D">
        <w:rPr>
          <w:i/>
          <w:iCs/>
        </w:rPr>
        <w:t>Common Risk Factors for Experiencing Abuse, Neglect or Mistreatment</w:t>
      </w:r>
      <w:r>
        <w:t xml:space="preserve"> (Web Article, 21 May 2015) &lt;</w:t>
      </w:r>
      <w:hyperlink r:id="rId42" w:history="1">
        <w:r w:rsidRPr="00560984">
          <w:rPr>
            <w:rStyle w:val="Hyperlink"/>
          </w:rPr>
          <w:t>https://www.compass.info/elder-abuse/understanding/common-risk-factors-for-experiencing-abuse-neglect-or-mistreatment/</w:t>
        </w:r>
      </w:hyperlink>
      <w:r>
        <w:t>&gt;</w:t>
      </w:r>
      <w:r w:rsidR="00982B65">
        <w:t xml:space="preserve"> (‘Compass, Elder Abuse Action Australia (‘EAAA’), </w:t>
      </w:r>
      <w:r w:rsidR="00982B65" w:rsidRPr="00CB786D">
        <w:rPr>
          <w:i/>
          <w:iCs/>
        </w:rPr>
        <w:t>Common Risk Factors</w:t>
      </w:r>
      <w:r w:rsidR="0052563C">
        <w:t>’)</w:t>
      </w:r>
      <w:r>
        <w:t xml:space="preserve">; Compass, Elder Abuse Action Australia (‘EAAA’), </w:t>
      </w:r>
      <w:r w:rsidRPr="00982B65">
        <w:rPr>
          <w:i/>
          <w:iCs/>
        </w:rPr>
        <w:t>Barriers to Seeking Help for Elder Abuse</w:t>
      </w:r>
      <w:r>
        <w:t xml:space="preserve"> (Web Article, 15 February 2024) &lt;</w:t>
      </w:r>
      <w:hyperlink r:id="rId43" w:history="1">
        <w:r w:rsidRPr="00560984">
          <w:rPr>
            <w:rStyle w:val="Hyperlink"/>
          </w:rPr>
          <w:t>https://www.compass.info/elder-abuse/responding/barriers-to-seeking-help-for-elder-abuse/</w:t>
        </w:r>
      </w:hyperlink>
      <w:r>
        <w:t>&gt;</w:t>
      </w:r>
      <w:r w:rsidR="0052563C">
        <w:t xml:space="preserve"> (‘Compass, Elder Abuse Action Australia (‘EAAA’), </w:t>
      </w:r>
      <w:r w:rsidR="0052563C" w:rsidRPr="00982B65">
        <w:rPr>
          <w:i/>
          <w:iCs/>
        </w:rPr>
        <w:t>Barriers to Seeking Help</w:t>
      </w:r>
      <w:r w:rsidR="0052563C">
        <w:t>’).</w:t>
      </w:r>
    </w:p>
  </w:footnote>
  <w:footnote w:id="155">
    <w:p w14:paraId="76420804" w14:textId="3B4BCB84" w:rsidR="00923C61" w:rsidRDefault="00923C61">
      <w:pPr>
        <w:pStyle w:val="FootnoteText"/>
      </w:pPr>
      <w:r>
        <w:rPr>
          <w:rStyle w:val="FootnoteReference"/>
        </w:rPr>
        <w:footnoteRef/>
      </w:r>
      <w:r>
        <w:t xml:space="preserve"> </w:t>
      </w:r>
      <w:r w:rsidRPr="003C4B61">
        <w:t xml:space="preserve">These </w:t>
      </w:r>
      <w:r w:rsidRPr="001C3C5F">
        <w:t>factors</w:t>
      </w:r>
      <w:r w:rsidRPr="003C4B61">
        <w:t xml:space="preserve"> are shown in Table </w:t>
      </w:r>
      <w:r>
        <w:t>A.1</w:t>
      </w:r>
      <w:r w:rsidRPr="003C4B61">
        <w:t xml:space="preserve"> in </w:t>
      </w:r>
      <w:r w:rsidRPr="00C36293">
        <w:rPr>
          <w:b/>
          <w:bCs/>
        </w:rPr>
        <w:t>Appendix A</w:t>
      </w:r>
      <w:r w:rsidRPr="00923C61">
        <w:t>.</w:t>
      </w:r>
    </w:p>
  </w:footnote>
  <w:footnote w:id="156">
    <w:p w14:paraId="7BC339C4" w14:textId="48D0233A" w:rsidR="00D61392" w:rsidRDefault="00D61392">
      <w:pPr>
        <w:pStyle w:val="FootnoteText"/>
      </w:pPr>
      <w:r>
        <w:rPr>
          <w:rStyle w:val="FootnoteReference"/>
        </w:rPr>
        <w:footnoteRef/>
      </w:r>
      <w:r>
        <w:t xml:space="preserve"> Interview</w:t>
      </w:r>
      <w:r w:rsidR="0072090B">
        <w:t>s</w:t>
      </w:r>
      <w:r>
        <w:t xml:space="preserve"> 3, 13</w:t>
      </w:r>
      <w:r w:rsidR="00E410C0">
        <w:t xml:space="preserve">, 4, </w:t>
      </w:r>
      <w:r w:rsidR="009B0AA7">
        <w:t xml:space="preserve">12, </w:t>
      </w:r>
      <w:r w:rsidR="00A8255A">
        <w:t>18,</w:t>
      </w:r>
      <w:r w:rsidR="00794C69">
        <w:t xml:space="preserve"> 16,</w:t>
      </w:r>
      <w:r w:rsidR="00C41C82">
        <w:t xml:space="preserve"> </w:t>
      </w:r>
      <w:r w:rsidR="00300A70">
        <w:t xml:space="preserve">19, </w:t>
      </w:r>
      <w:r w:rsidR="00A857F4">
        <w:t>1</w:t>
      </w:r>
      <w:r w:rsidR="00CC1B44">
        <w:t>, 8</w:t>
      </w:r>
      <w:r w:rsidR="000E02B2">
        <w:t>, 6</w:t>
      </w:r>
      <w:r w:rsidR="00CC1B44">
        <w:t>.</w:t>
      </w:r>
      <w:r w:rsidR="00A8255A">
        <w:t xml:space="preserve"> </w:t>
      </w:r>
    </w:p>
  </w:footnote>
  <w:footnote w:id="157">
    <w:p w14:paraId="35EB2BAF" w14:textId="0C4B46B3" w:rsidR="00D61392" w:rsidRDefault="00D61392">
      <w:pPr>
        <w:pStyle w:val="FootnoteText"/>
      </w:pPr>
      <w:r>
        <w:rPr>
          <w:rStyle w:val="FootnoteReference"/>
        </w:rPr>
        <w:footnoteRef/>
      </w:r>
      <w:r>
        <w:t xml:space="preserve"> </w:t>
      </w:r>
      <w:r w:rsidRPr="003C4B61">
        <w:t>Interview</w:t>
      </w:r>
      <w:r>
        <w:t>s</w:t>
      </w:r>
      <w:r w:rsidRPr="003C4B61">
        <w:t xml:space="preserve"> 3</w:t>
      </w:r>
      <w:r>
        <w:t>,</w:t>
      </w:r>
      <w:r w:rsidRPr="003C4B61">
        <w:t xml:space="preserve"> </w:t>
      </w:r>
      <w:r>
        <w:t xml:space="preserve">5, </w:t>
      </w:r>
      <w:r w:rsidRPr="00FA50F2">
        <w:t>4, 14, 9, 12, 10</w:t>
      </w:r>
      <w:r w:rsidR="0016269A">
        <w:t>, 18</w:t>
      </w:r>
      <w:r w:rsidR="0052587B">
        <w:t>, 13</w:t>
      </w:r>
      <w:r w:rsidR="000733B9">
        <w:t>, 6</w:t>
      </w:r>
      <w:r w:rsidR="00346A4A">
        <w:t>, 21</w:t>
      </w:r>
      <w:r w:rsidR="00B24716">
        <w:t>, 7</w:t>
      </w:r>
      <w:r w:rsidR="00FA50F2" w:rsidRPr="00FA50F2">
        <w:t>.</w:t>
      </w:r>
    </w:p>
  </w:footnote>
  <w:footnote w:id="158">
    <w:p w14:paraId="4B87B30E" w14:textId="3F620225" w:rsidR="00D61392" w:rsidRDefault="00D61392">
      <w:pPr>
        <w:pStyle w:val="FootnoteText"/>
      </w:pPr>
      <w:r>
        <w:rPr>
          <w:rStyle w:val="FootnoteReference"/>
        </w:rPr>
        <w:footnoteRef/>
      </w:r>
      <w:r>
        <w:t xml:space="preserve"> </w:t>
      </w:r>
      <w:r w:rsidRPr="001C3C5F">
        <w:t>Interview</w:t>
      </w:r>
      <w:r w:rsidR="0072090B">
        <w:t>s</w:t>
      </w:r>
      <w:r w:rsidRPr="003C4B61">
        <w:t xml:space="preserve"> 15</w:t>
      </w:r>
      <w:r w:rsidR="0077418B">
        <w:t>, 19</w:t>
      </w:r>
      <w:r w:rsidR="001204C3">
        <w:t>, 14</w:t>
      </w:r>
      <w:r w:rsidR="00DE4534">
        <w:t>, 9</w:t>
      </w:r>
      <w:r w:rsidRPr="003C4B61">
        <w:t>.</w:t>
      </w:r>
    </w:p>
  </w:footnote>
  <w:footnote w:id="159">
    <w:p w14:paraId="7518C2A0" w14:textId="2DF91CBC" w:rsidR="00D61392" w:rsidRDefault="00D61392">
      <w:pPr>
        <w:pStyle w:val="FootnoteText"/>
      </w:pPr>
      <w:r>
        <w:rPr>
          <w:rStyle w:val="FootnoteReference"/>
        </w:rPr>
        <w:footnoteRef/>
      </w:r>
      <w:r>
        <w:t xml:space="preserve"> </w:t>
      </w:r>
      <w:r w:rsidRPr="001C3C5F">
        <w:t>Interview</w:t>
      </w:r>
      <w:r w:rsidR="0072090B">
        <w:t>s</w:t>
      </w:r>
      <w:r w:rsidRPr="003C4B61">
        <w:t xml:space="preserve"> 15</w:t>
      </w:r>
      <w:r w:rsidR="002A36DD">
        <w:t>, 19</w:t>
      </w:r>
      <w:r w:rsidR="00DE4534">
        <w:t>, 9</w:t>
      </w:r>
      <w:r w:rsidRPr="003C4B61">
        <w:t>.</w:t>
      </w:r>
    </w:p>
  </w:footnote>
  <w:footnote w:id="160">
    <w:p w14:paraId="141E7482" w14:textId="2C1D0867" w:rsidR="00D61392" w:rsidRDefault="00D61392">
      <w:pPr>
        <w:pStyle w:val="FootnoteText"/>
      </w:pPr>
      <w:r>
        <w:rPr>
          <w:rStyle w:val="FootnoteReference"/>
        </w:rPr>
        <w:footnoteRef/>
      </w:r>
      <w:r>
        <w:t xml:space="preserve"> </w:t>
      </w:r>
      <w:r w:rsidRPr="001C3C5F">
        <w:t>Interviews</w:t>
      </w:r>
      <w:r>
        <w:t xml:space="preserve"> 3,</w:t>
      </w:r>
      <w:r w:rsidRPr="003C4B61">
        <w:t xml:space="preserve"> 4</w:t>
      </w:r>
      <w:r w:rsidR="00142F4C">
        <w:t>, 16, 22</w:t>
      </w:r>
      <w:r w:rsidR="004C1F86">
        <w:t>, 19</w:t>
      </w:r>
      <w:r w:rsidRPr="003C4B61">
        <w:t>.</w:t>
      </w:r>
    </w:p>
  </w:footnote>
  <w:footnote w:id="161">
    <w:p w14:paraId="0FF52289" w14:textId="7B697AFF" w:rsidR="00D61392" w:rsidRDefault="00D61392">
      <w:pPr>
        <w:pStyle w:val="FootnoteText"/>
      </w:pPr>
      <w:r>
        <w:rPr>
          <w:rStyle w:val="FootnoteReference"/>
        </w:rPr>
        <w:footnoteRef/>
      </w:r>
      <w:r>
        <w:t xml:space="preserve"> </w:t>
      </w:r>
      <w:r w:rsidRPr="003C4B61">
        <w:t>Interview</w:t>
      </w:r>
      <w:r w:rsidR="00533FE5">
        <w:t>s</w:t>
      </w:r>
      <w:r w:rsidRPr="003C4B61">
        <w:t xml:space="preserve"> 15</w:t>
      </w:r>
      <w:r>
        <w:t>, 17</w:t>
      </w:r>
      <w:r w:rsidR="00740D07">
        <w:t>, 7</w:t>
      </w:r>
      <w:r w:rsidR="0002541D">
        <w:t>, 10</w:t>
      </w:r>
      <w:r w:rsidR="0052587B">
        <w:t>, 13</w:t>
      </w:r>
      <w:r w:rsidR="00A956B1">
        <w:t>, 14</w:t>
      </w:r>
      <w:r w:rsidR="00BD735E">
        <w:t>, 1</w:t>
      </w:r>
      <w:r w:rsidR="00B24716">
        <w:t>, 7</w:t>
      </w:r>
      <w:r w:rsidR="0052587B">
        <w:t>.</w:t>
      </w:r>
    </w:p>
  </w:footnote>
  <w:footnote w:id="162">
    <w:p w14:paraId="13ECBB9D" w14:textId="493FBC69" w:rsidR="00D61392" w:rsidRDefault="00D61392">
      <w:pPr>
        <w:pStyle w:val="FootnoteText"/>
      </w:pPr>
      <w:r>
        <w:rPr>
          <w:rStyle w:val="FootnoteReference"/>
        </w:rPr>
        <w:footnoteRef/>
      </w:r>
      <w:r>
        <w:t xml:space="preserve"> </w:t>
      </w:r>
      <w:r w:rsidRPr="003C4B61">
        <w:t>Interview</w:t>
      </w:r>
      <w:r>
        <w:t>s</w:t>
      </w:r>
      <w:r w:rsidRPr="003C4B61">
        <w:t xml:space="preserve"> 4</w:t>
      </w:r>
      <w:r>
        <w:t>,</w:t>
      </w:r>
      <w:r w:rsidRPr="003C4B61">
        <w:t xml:space="preserve"> 15</w:t>
      </w:r>
      <w:r>
        <w:t>,</w:t>
      </w:r>
      <w:r w:rsidRPr="003C4B61">
        <w:t xml:space="preserve"> 8</w:t>
      </w:r>
      <w:r>
        <w:t>,</w:t>
      </w:r>
      <w:r w:rsidRPr="003C4B61">
        <w:t xml:space="preserve"> 19</w:t>
      </w:r>
      <w:r>
        <w:t>,</w:t>
      </w:r>
      <w:r w:rsidRPr="003C4B61">
        <w:t xml:space="preserve"> 18.</w:t>
      </w:r>
    </w:p>
  </w:footnote>
  <w:footnote w:id="163">
    <w:p w14:paraId="20CE9473" w14:textId="4D227EA9" w:rsidR="00D61392" w:rsidRDefault="00D61392">
      <w:pPr>
        <w:pStyle w:val="FootnoteText"/>
      </w:pPr>
      <w:r>
        <w:rPr>
          <w:rStyle w:val="FootnoteReference"/>
        </w:rPr>
        <w:footnoteRef/>
      </w:r>
      <w:r>
        <w:t xml:space="preserve"> </w:t>
      </w:r>
      <w:r w:rsidRPr="001C3C5F">
        <w:t>Interview</w:t>
      </w:r>
      <w:r w:rsidR="0072090B">
        <w:t>s</w:t>
      </w:r>
      <w:r w:rsidRPr="003C4B61">
        <w:t xml:space="preserve"> 4</w:t>
      </w:r>
      <w:r>
        <w:t>, 18, 10</w:t>
      </w:r>
      <w:r w:rsidR="002D57B8">
        <w:t>, 18</w:t>
      </w:r>
      <w:r w:rsidR="0071374C">
        <w:t>, 6</w:t>
      </w:r>
      <w:r w:rsidR="00636877">
        <w:t>, 7</w:t>
      </w:r>
      <w:r w:rsidR="002D57B8">
        <w:t>.</w:t>
      </w:r>
    </w:p>
  </w:footnote>
  <w:footnote w:id="164">
    <w:p w14:paraId="2C20FBC9" w14:textId="28EE6CFF" w:rsidR="00D61392" w:rsidRDefault="00D61392">
      <w:pPr>
        <w:pStyle w:val="FootnoteText"/>
      </w:pPr>
      <w:r>
        <w:rPr>
          <w:rStyle w:val="FootnoteReference"/>
        </w:rPr>
        <w:footnoteRef/>
      </w:r>
      <w:r>
        <w:t xml:space="preserve"> </w:t>
      </w:r>
      <w:r w:rsidRPr="001C3C5F">
        <w:t>Interviews</w:t>
      </w:r>
      <w:r w:rsidRPr="003C4B61">
        <w:t xml:space="preserve"> 4</w:t>
      </w:r>
      <w:r>
        <w:t xml:space="preserve">, </w:t>
      </w:r>
      <w:r w:rsidRPr="003C4B61">
        <w:t>19</w:t>
      </w:r>
      <w:r>
        <w:t xml:space="preserve">, </w:t>
      </w:r>
      <w:r w:rsidRPr="003C4B61">
        <w:t>8</w:t>
      </w:r>
      <w:r w:rsidR="00CB0FA8">
        <w:t>, 13</w:t>
      </w:r>
      <w:r w:rsidR="00C6322F">
        <w:t>, 7</w:t>
      </w:r>
      <w:r w:rsidR="00CB0FA8">
        <w:t>.</w:t>
      </w:r>
    </w:p>
  </w:footnote>
  <w:footnote w:id="165">
    <w:p w14:paraId="30E09F01" w14:textId="70189210" w:rsidR="00D61392" w:rsidRDefault="00D61392">
      <w:pPr>
        <w:pStyle w:val="FootnoteText"/>
      </w:pPr>
      <w:r>
        <w:rPr>
          <w:rStyle w:val="FootnoteReference"/>
        </w:rPr>
        <w:footnoteRef/>
      </w:r>
      <w:r>
        <w:t xml:space="preserve"> </w:t>
      </w:r>
      <w:r w:rsidRPr="001C3C5F">
        <w:t>Interviews</w:t>
      </w:r>
      <w:r w:rsidRPr="003C4B61">
        <w:t xml:space="preserve"> 4</w:t>
      </w:r>
      <w:r>
        <w:t>,</w:t>
      </w:r>
      <w:r w:rsidRPr="003C4B61">
        <w:t xml:space="preserve"> 8</w:t>
      </w:r>
      <w:r w:rsidR="00E405FC">
        <w:t>, 15</w:t>
      </w:r>
      <w:r w:rsidR="00CA707B">
        <w:t>, 1.</w:t>
      </w:r>
    </w:p>
  </w:footnote>
  <w:footnote w:id="166">
    <w:p w14:paraId="23731DB3" w14:textId="17640E0A" w:rsidR="00D61392" w:rsidRPr="00444C99" w:rsidRDefault="00D61392">
      <w:pPr>
        <w:pStyle w:val="FootnoteText"/>
      </w:pPr>
      <w:r>
        <w:rPr>
          <w:rStyle w:val="FootnoteReference"/>
        </w:rPr>
        <w:footnoteRef/>
      </w:r>
      <w:r>
        <w:t xml:space="preserve"> </w:t>
      </w:r>
      <w:r w:rsidRPr="00444C99">
        <w:t>Interviews 4, 10, 13, 19, 1, 6</w:t>
      </w:r>
      <w:r w:rsidR="00596A78">
        <w:t>, 8</w:t>
      </w:r>
      <w:r w:rsidR="00FA50F2" w:rsidRPr="00444C99">
        <w:t>.</w:t>
      </w:r>
    </w:p>
  </w:footnote>
  <w:footnote w:id="167">
    <w:p w14:paraId="09313CC4" w14:textId="19CB5703" w:rsidR="00D61392" w:rsidRPr="00444C99" w:rsidRDefault="00D61392">
      <w:pPr>
        <w:pStyle w:val="FootnoteText"/>
      </w:pPr>
      <w:r w:rsidRPr="00444C99">
        <w:rPr>
          <w:rStyle w:val="FootnoteReference"/>
        </w:rPr>
        <w:footnoteRef/>
      </w:r>
      <w:r w:rsidRPr="00444C99">
        <w:t xml:space="preserve"> Interviews 4</w:t>
      </w:r>
      <w:r w:rsidR="0069586B">
        <w:t>,</w:t>
      </w:r>
      <w:r w:rsidRPr="00444C99">
        <w:t xml:space="preserve"> 23</w:t>
      </w:r>
      <w:r w:rsidR="00AB260F">
        <w:t>, 6</w:t>
      </w:r>
      <w:r w:rsidR="00FA50F2" w:rsidRPr="00444C99">
        <w:t>.</w:t>
      </w:r>
    </w:p>
  </w:footnote>
  <w:footnote w:id="168">
    <w:p w14:paraId="31CD1A1F" w14:textId="1CD9CE9E" w:rsidR="0022405D" w:rsidRPr="00444C99" w:rsidRDefault="0022405D" w:rsidP="001C3C5F">
      <w:pPr>
        <w:pStyle w:val="FootnoteText"/>
      </w:pPr>
      <w:r w:rsidRPr="00444C99">
        <w:rPr>
          <w:rStyle w:val="FootnoteReference"/>
        </w:rPr>
        <w:footnoteRef/>
      </w:r>
      <w:r w:rsidRPr="00444C99">
        <w:t xml:space="preserve"> Interview</w:t>
      </w:r>
      <w:r w:rsidR="00EF2083" w:rsidRPr="00444C99">
        <w:t>s</w:t>
      </w:r>
      <w:r w:rsidRPr="00444C99">
        <w:t xml:space="preserve"> 7</w:t>
      </w:r>
      <w:r w:rsidR="00EF2083" w:rsidRPr="00444C99">
        <w:t xml:space="preserve">, </w:t>
      </w:r>
      <w:r w:rsidR="00444C99" w:rsidRPr="00444C99">
        <w:t>6</w:t>
      </w:r>
      <w:r w:rsidR="00A21B2E">
        <w:t>, 8</w:t>
      </w:r>
      <w:r w:rsidR="00444C99" w:rsidRPr="00444C99">
        <w:t>.</w:t>
      </w:r>
    </w:p>
  </w:footnote>
  <w:footnote w:id="169">
    <w:p w14:paraId="09319753" w14:textId="5F07E67F" w:rsidR="00D61392" w:rsidRPr="00444C99" w:rsidRDefault="00D61392">
      <w:pPr>
        <w:pStyle w:val="FootnoteText"/>
      </w:pPr>
      <w:r w:rsidRPr="00444C99">
        <w:rPr>
          <w:rStyle w:val="FootnoteReference"/>
        </w:rPr>
        <w:footnoteRef/>
      </w:r>
      <w:r w:rsidRPr="00444C99">
        <w:t xml:space="preserve"> Interview</w:t>
      </w:r>
      <w:r w:rsidR="0072090B">
        <w:t>s</w:t>
      </w:r>
      <w:r w:rsidRPr="00444C99">
        <w:t xml:space="preserve"> 8, 18</w:t>
      </w:r>
      <w:r w:rsidR="00E20B62">
        <w:t>, 9.</w:t>
      </w:r>
    </w:p>
  </w:footnote>
  <w:footnote w:id="170">
    <w:p w14:paraId="3C6B9B7C" w14:textId="7F7C4FA2" w:rsidR="00D61392" w:rsidRPr="00444C99" w:rsidRDefault="00D61392">
      <w:pPr>
        <w:pStyle w:val="FootnoteText"/>
      </w:pPr>
      <w:r w:rsidRPr="00444C99">
        <w:rPr>
          <w:rStyle w:val="FootnoteReference"/>
        </w:rPr>
        <w:footnoteRef/>
      </w:r>
      <w:r w:rsidRPr="00444C99">
        <w:t xml:space="preserve"> Interview</w:t>
      </w:r>
      <w:r w:rsidR="0072090B">
        <w:t>s</w:t>
      </w:r>
      <w:r w:rsidRPr="00444C99">
        <w:t xml:space="preserve"> 3, 2</w:t>
      </w:r>
      <w:r w:rsidR="00596A78">
        <w:t>, 16</w:t>
      </w:r>
      <w:r w:rsidR="00A010C4">
        <w:t>, 7</w:t>
      </w:r>
      <w:r w:rsidR="00444C99" w:rsidRPr="00444C99">
        <w:t>.</w:t>
      </w:r>
    </w:p>
  </w:footnote>
  <w:footnote w:id="171">
    <w:p w14:paraId="3850C508" w14:textId="1B6C3F36" w:rsidR="00D61392" w:rsidRPr="00444C99" w:rsidRDefault="00D61392">
      <w:pPr>
        <w:pStyle w:val="FootnoteText"/>
      </w:pPr>
      <w:r w:rsidRPr="00444C99">
        <w:rPr>
          <w:rStyle w:val="FootnoteReference"/>
        </w:rPr>
        <w:footnoteRef/>
      </w:r>
      <w:r w:rsidRPr="00444C99">
        <w:t xml:space="preserve"> Interview</w:t>
      </w:r>
      <w:r w:rsidR="0072090B">
        <w:t>s</w:t>
      </w:r>
      <w:r w:rsidRPr="00444C99">
        <w:t xml:space="preserve"> 4</w:t>
      </w:r>
      <w:r w:rsidR="001143CA">
        <w:t>, 18</w:t>
      </w:r>
      <w:r w:rsidR="00752098">
        <w:t>, 7</w:t>
      </w:r>
      <w:r w:rsidRPr="00444C99">
        <w:t>.</w:t>
      </w:r>
    </w:p>
  </w:footnote>
  <w:footnote w:id="172">
    <w:p w14:paraId="351E15F4" w14:textId="22C1CA58" w:rsidR="008C2144" w:rsidRDefault="008C2144">
      <w:pPr>
        <w:pStyle w:val="FootnoteText"/>
      </w:pPr>
      <w:r>
        <w:rPr>
          <w:rStyle w:val="FootnoteReference"/>
        </w:rPr>
        <w:footnoteRef/>
      </w:r>
      <w:r>
        <w:t xml:space="preserve"> Interview</w:t>
      </w:r>
      <w:r w:rsidR="0072090B">
        <w:t>s</w:t>
      </w:r>
      <w:r>
        <w:t xml:space="preserve"> 19, 2, 14, </w:t>
      </w:r>
      <w:r w:rsidR="007E21DB">
        <w:t xml:space="preserve">7, </w:t>
      </w:r>
      <w:r w:rsidR="00E650ED">
        <w:t>16.</w:t>
      </w:r>
    </w:p>
  </w:footnote>
  <w:footnote w:id="173">
    <w:p w14:paraId="241B9449" w14:textId="18A09461" w:rsidR="00D61392" w:rsidRPr="00444C99" w:rsidRDefault="00D61392">
      <w:pPr>
        <w:pStyle w:val="FootnoteText"/>
      </w:pPr>
      <w:r w:rsidRPr="00444C99">
        <w:rPr>
          <w:rStyle w:val="FootnoteReference"/>
        </w:rPr>
        <w:footnoteRef/>
      </w:r>
      <w:r w:rsidRPr="00444C99">
        <w:t xml:space="preserve"> Interview</w:t>
      </w:r>
      <w:r w:rsidR="00533FE5">
        <w:t>s</w:t>
      </w:r>
      <w:r w:rsidRPr="00444C99">
        <w:t xml:space="preserve"> 5</w:t>
      </w:r>
      <w:r w:rsidR="001204C3">
        <w:t>, 4, 6</w:t>
      </w:r>
      <w:r w:rsidR="00B05B70">
        <w:t xml:space="preserve">, 10, </w:t>
      </w:r>
      <w:r w:rsidR="00F16682">
        <w:t>14, 8</w:t>
      </w:r>
      <w:r w:rsidRPr="00444C99">
        <w:t>.</w:t>
      </w:r>
    </w:p>
  </w:footnote>
  <w:footnote w:id="174">
    <w:p w14:paraId="276BD484" w14:textId="6CF58042" w:rsidR="00D61392" w:rsidRPr="00444C99" w:rsidRDefault="00D61392">
      <w:pPr>
        <w:pStyle w:val="FootnoteText"/>
      </w:pPr>
      <w:r w:rsidRPr="00444C99">
        <w:rPr>
          <w:rStyle w:val="FootnoteReference"/>
        </w:rPr>
        <w:footnoteRef/>
      </w:r>
      <w:r w:rsidRPr="00444C99">
        <w:t xml:space="preserve"> Interviews 3, 9, 4, 18</w:t>
      </w:r>
      <w:r w:rsidR="005F25FB">
        <w:t xml:space="preserve">, 6, </w:t>
      </w:r>
      <w:r w:rsidR="002975F2">
        <w:t>19</w:t>
      </w:r>
      <w:r w:rsidRPr="00444C99">
        <w:t>.</w:t>
      </w:r>
    </w:p>
  </w:footnote>
  <w:footnote w:id="175">
    <w:p w14:paraId="474BCB31" w14:textId="7BF7AEB5" w:rsidR="00F3294D" w:rsidRDefault="00F3294D">
      <w:pPr>
        <w:pStyle w:val="FootnoteText"/>
      </w:pPr>
      <w:r w:rsidRPr="00444C99">
        <w:rPr>
          <w:rStyle w:val="FootnoteReference"/>
        </w:rPr>
        <w:footnoteRef/>
      </w:r>
      <w:r w:rsidRPr="00444C99">
        <w:t xml:space="preserve"> Interviews </w:t>
      </w:r>
      <w:r w:rsidR="00970A23" w:rsidRPr="00444C99">
        <w:t xml:space="preserve">2, </w:t>
      </w:r>
      <w:r w:rsidR="00B955F0" w:rsidRPr="00444C99">
        <w:t xml:space="preserve">9, </w:t>
      </w:r>
      <w:r w:rsidR="00FC1D3A" w:rsidRPr="00444C99">
        <w:t>16, 22</w:t>
      </w:r>
      <w:r w:rsidR="004B2512">
        <w:t xml:space="preserve"> 14</w:t>
      </w:r>
      <w:r w:rsidR="00752098">
        <w:t>, 7</w:t>
      </w:r>
      <w:r w:rsidR="000664D3">
        <w:t>, 19</w:t>
      </w:r>
      <w:r w:rsidR="00FC1D3A" w:rsidRPr="00444C99">
        <w:t>.</w:t>
      </w:r>
      <w:r w:rsidR="00FC1D3A">
        <w:t xml:space="preserve"> </w:t>
      </w:r>
    </w:p>
  </w:footnote>
  <w:footnote w:id="176">
    <w:p w14:paraId="24A7699F" w14:textId="03E60AC3" w:rsidR="00D61392" w:rsidRDefault="00D61392">
      <w:pPr>
        <w:pStyle w:val="FootnoteText"/>
      </w:pPr>
      <w:r>
        <w:rPr>
          <w:rStyle w:val="FootnoteReference"/>
        </w:rPr>
        <w:footnoteRef/>
      </w:r>
      <w:r>
        <w:t xml:space="preserve"> </w:t>
      </w:r>
      <w:r w:rsidRPr="001C3C5F">
        <w:t>Interview</w:t>
      </w:r>
      <w:r w:rsidRPr="003C4B61">
        <w:t xml:space="preserve"> 9</w:t>
      </w:r>
      <w:r>
        <w:t>.</w:t>
      </w:r>
    </w:p>
  </w:footnote>
  <w:footnote w:id="177">
    <w:p w14:paraId="6620B32F" w14:textId="18C10868" w:rsidR="00D61392" w:rsidRDefault="00D61392">
      <w:pPr>
        <w:pStyle w:val="FootnoteText"/>
      </w:pPr>
      <w:r>
        <w:rPr>
          <w:rStyle w:val="FootnoteReference"/>
        </w:rPr>
        <w:footnoteRef/>
      </w:r>
      <w:r>
        <w:t xml:space="preserve"> </w:t>
      </w:r>
      <w:r w:rsidRPr="001C3C5F">
        <w:t>Interview</w:t>
      </w:r>
      <w:r w:rsidRPr="003C4B61">
        <w:t xml:space="preserve"> 2.</w:t>
      </w:r>
    </w:p>
  </w:footnote>
  <w:footnote w:id="178">
    <w:p w14:paraId="03F87C2B" w14:textId="142A8FB3" w:rsidR="00D61392" w:rsidRDefault="00D61392">
      <w:pPr>
        <w:pStyle w:val="FootnoteText"/>
      </w:pPr>
      <w:r>
        <w:rPr>
          <w:rStyle w:val="FootnoteReference"/>
        </w:rPr>
        <w:footnoteRef/>
      </w:r>
      <w:r>
        <w:t xml:space="preserve"> </w:t>
      </w:r>
      <w:r w:rsidRPr="001C3C5F">
        <w:t>Interview</w:t>
      </w:r>
      <w:r w:rsidRPr="003C4B61">
        <w:t xml:space="preserve"> 3.</w:t>
      </w:r>
    </w:p>
  </w:footnote>
  <w:footnote w:id="179">
    <w:p w14:paraId="1A389E98" w14:textId="1624EDEA" w:rsidR="00AE0B98" w:rsidRDefault="00AE0B98">
      <w:pPr>
        <w:pStyle w:val="FootnoteText"/>
      </w:pPr>
      <w:r>
        <w:rPr>
          <w:rStyle w:val="FootnoteReference"/>
        </w:rPr>
        <w:footnoteRef/>
      </w:r>
      <w:r>
        <w:t xml:space="preserve"> </w:t>
      </w:r>
      <w:r w:rsidRPr="003C4B61">
        <w:t xml:space="preserve">See </w:t>
      </w:r>
      <w:r w:rsidRPr="003C4B61">
        <w:rPr>
          <w:b/>
          <w:bCs/>
        </w:rPr>
        <w:t xml:space="preserve">Part </w:t>
      </w:r>
      <w:r w:rsidR="00BC09B2">
        <w:rPr>
          <w:b/>
          <w:bCs/>
        </w:rPr>
        <w:t>4</w:t>
      </w:r>
      <w:r w:rsidRPr="003C4B61">
        <w:t xml:space="preserve"> at</w:t>
      </w:r>
      <w:r w:rsidR="00BC09B2">
        <w:t xml:space="preserve"> </w:t>
      </w:r>
      <w:r w:rsidR="00201E56">
        <w:t xml:space="preserve">[4.3] and </w:t>
      </w:r>
      <w:r w:rsidR="00201E56" w:rsidRPr="00B3433F">
        <w:rPr>
          <w:b/>
          <w:bCs/>
        </w:rPr>
        <w:t>Part 5</w:t>
      </w:r>
      <w:r w:rsidR="00622B30">
        <w:t xml:space="preserve"> at [5.2.4</w:t>
      </w:r>
      <w:r w:rsidR="00BC4DD6">
        <w:t>]</w:t>
      </w:r>
      <w:r w:rsidR="00622B30">
        <w:t>–</w:t>
      </w:r>
      <w:r w:rsidR="00BC4DD6">
        <w:t>[</w:t>
      </w:r>
      <w:r w:rsidR="00622B30">
        <w:t>5.2.11]</w:t>
      </w:r>
      <w:r w:rsidR="00BC4DD6">
        <w:t>,</w:t>
      </w:r>
      <w:r w:rsidR="00622B30">
        <w:t xml:space="preserve"> [5.2.22</w:t>
      </w:r>
      <w:r w:rsidR="00BC4DD6">
        <w:t>]</w:t>
      </w:r>
      <w:r w:rsidR="00622B30">
        <w:t>–</w:t>
      </w:r>
      <w:r w:rsidR="00BC4DD6">
        <w:t>[</w:t>
      </w:r>
      <w:r w:rsidR="00622B30">
        <w:t>5.2.25]</w:t>
      </w:r>
      <w:r w:rsidR="00BC4DD6">
        <w:t>,</w:t>
      </w:r>
      <w:r w:rsidR="00622B30">
        <w:t xml:space="preserve"> </w:t>
      </w:r>
      <w:r w:rsidR="00BC4DD6">
        <w:t>[</w:t>
      </w:r>
      <w:r w:rsidR="00622B30">
        <w:t>5.3.4</w:t>
      </w:r>
      <w:r w:rsidR="00BC4DD6">
        <w:t>]</w:t>
      </w:r>
      <w:r w:rsidR="00622B30">
        <w:t>–</w:t>
      </w:r>
      <w:r w:rsidR="00BC4DD6">
        <w:t>[</w:t>
      </w:r>
      <w:r w:rsidR="00622B30">
        <w:t>5.3.11</w:t>
      </w:r>
      <w:r w:rsidR="00BC4DD6">
        <w:t xml:space="preserve">], </w:t>
      </w:r>
      <w:r w:rsidR="00622B30">
        <w:t>[5.4.2]–[5.4.9]</w:t>
      </w:r>
      <w:r w:rsidR="00BC4DD6">
        <w:t>,</w:t>
      </w:r>
      <w:r w:rsidR="00622B30">
        <w:t xml:space="preserve"> </w:t>
      </w:r>
      <w:r w:rsidR="00BC4DD6">
        <w:t>[</w:t>
      </w:r>
      <w:r w:rsidR="00622B30">
        <w:t>5.4.30</w:t>
      </w:r>
      <w:r w:rsidR="00BC4DD6">
        <w:t>]</w:t>
      </w:r>
      <w:r w:rsidR="00622B30">
        <w:t>–</w:t>
      </w:r>
      <w:r w:rsidR="00BC4DD6">
        <w:t>[</w:t>
      </w:r>
      <w:r w:rsidR="00622B30">
        <w:t>5.4.35</w:t>
      </w:r>
      <w:r w:rsidR="00BC4DD6">
        <w:t>]</w:t>
      </w:r>
      <w:r w:rsidR="00622B30">
        <w:t xml:space="preserve">, </w:t>
      </w:r>
      <w:r w:rsidR="004D23B4">
        <w:t>[5.5.6</w:t>
      </w:r>
      <w:r w:rsidR="00B3433F">
        <w:t>]</w:t>
      </w:r>
      <w:r w:rsidR="004D23B4">
        <w:t>–</w:t>
      </w:r>
      <w:r w:rsidR="00B3433F">
        <w:t>[</w:t>
      </w:r>
      <w:r w:rsidR="004D23B4">
        <w:t>5.5.8]</w:t>
      </w:r>
      <w:r w:rsidR="00B3433F">
        <w:t xml:space="preserve"> and</w:t>
      </w:r>
      <w:r w:rsidR="004D23B4">
        <w:t xml:space="preserve"> [5.6.2]</w:t>
      </w:r>
      <w:r w:rsidR="00B3433F">
        <w:t>.</w:t>
      </w:r>
    </w:p>
  </w:footnote>
  <w:footnote w:id="180">
    <w:p w14:paraId="5DC29349" w14:textId="44FFEC2D" w:rsidR="00AE0B98" w:rsidRDefault="00AE0B98">
      <w:pPr>
        <w:pStyle w:val="FootnoteText"/>
      </w:pPr>
      <w:r>
        <w:rPr>
          <w:rStyle w:val="FootnoteReference"/>
        </w:rPr>
        <w:footnoteRef/>
      </w:r>
      <w:r>
        <w:t xml:space="preserve"> </w:t>
      </w:r>
      <w:r w:rsidRPr="003C4B61">
        <w:t xml:space="preserve">See </w:t>
      </w:r>
      <w:r w:rsidRPr="001C3C5F">
        <w:rPr>
          <w:b/>
          <w:bCs/>
        </w:rPr>
        <w:t xml:space="preserve">Part </w:t>
      </w:r>
      <w:r w:rsidR="00C518FF">
        <w:rPr>
          <w:b/>
          <w:bCs/>
        </w:rPr>
        <w:t>5</w:t>
      </w:r>
      <w:r w:rsidRPr="003C4B61">
        <w:rPr>
          <w:b/>
          <w:bCs/>
        </w:rPr>
        <w:t xml:space="preserve"> </w:t>
      </w:r>
      <w:r w:rsidRPr="003C4B61">
        <w:t xml:space="preserve">at </w:t>
      </w:r>
      <w:r w:rsidR="00F527FE">
        <w:t>[5.3.2]–[5.3.3]</w:t>
      </w:r>
      <w:r w:rsidRPr="003C4B61">
        <w:t>.</w:t>
      </w:r>
    </w:p>
  </w:footnote>
  <w:footnote w:id="181">
    <w:p w14:paraId="0CD4E4BC" w14:textId="19289805" w:rsidR="00F527FE" w:rsidRDefault="00F527FE">
      <w:pPr>
        <w:pStyle w:val="FootnoteText"/>
      </w:pPr>
      <w:r>
        <w:rPr>
          <w:rStyle w:val="FootnoteReference"/>
        </w:rPr>
        <w:footnoteRef/>
      </w:r>
      <w:r>
        <w:t xml:space="preserve"> See f</w:t>
      </w:r>
      <w:r w:rsidRPr="001C3C5F">
        <w:t xml:space="preserve">urther </w:t>
      </w:r>
      <w:r w:rsidR="00E3772B" w:rsidRPr="00D52E49">
        <w:rPr>
          <w:b/>
          <w:bCs/>
        </w:rPr>
        <w:t>Part 3</w:t>
      </w:r>
      <w:r w:rsidR="00E3772B">
        <w:t xml:space="preserve"> at [3.3.5]–[</w:t>
      </w:r>
      <w:r w:rsidR="00E01967">
        <w:t>3.3.7]</w:t>
      </w:r>
      <w:r w:rsidRPr="001C3C5F">
        <w:t>.</w:t>
      </w:r>
    </w:p>
  </w:footnote>
  <w:footnote w:id="182">
    <w:p w14:paraId="4AC395B8" w14:textId="105CF094" w:rsidR="00AE0B98" w:rsidRDefault="00AE0B98">
      <w:pPr>
        <w:pStyle w:val="FootnoteText"/>
      </w:pPr>
      <w:r>
        <w:rPr>
          <w:rStyle w:val="FootnoteReference"/>
        </w:rPr>
        <w:footnoteRef/>
      </w:r>
      <w:r>
        <w:t xml:space="preserve"> </w:t>
      </w:r>
      <w:r w:rsidR="008A525A">
        <w:t>Magistrates Court of Tasmania</w:t>
      </w:r>
      <w:r w:rsidR="008A525A">
        <w:rPr>
          <w:i/>
          <w:iCs/>
        </w:rPr>
        <w:t xml:space="preserve">, </w:t>
      </w:r>
      <w:r w:rsidR="009513EE" w:rsidRPr="00691087">
        <w:rPr>
          <w:i/>
          <w:iCs/>
        </w:rPr>
        <w:t xml:space="preserve">Coroners </w:t>
      </w:r>
      <w:r w:rsidR="00691087" w:rsidRPr="00691087">
        <w:rPr>
          <w:i/>
          <w:iCs/>
        </w:rPr>
        <w:t>Court</w:t>
      </w:r>
      <w:r w:rsidR="00691087">
        <w:t xml:space="preserve"> (n 27)</w:t>
      </w:r>
      <w:r w:rsidR="008A525A">
        <w:t>.</w:t>
      </w:r>
      <w:r w:rsidR="008A525A" w:rsidRPr="008A525A">
        <w:t xml:space="preserve"> </w:t>
      </w:r>
      <w:r w:rsidR="008A525A" w:rsidRPr="003C4B61">
        <w:t>The Coronial Division publishes some but not all records (including findings and recommendations) on its website</w:t>
      </w:r>
      <w:r w:rsidR="00DE6C29">
        <w:t>: ‘</w:t>
      </w:r>
      <w:r w:rsidR="00691087">
        <w:t>P</w:t>
      </w:r>
      <w:r w:rsidRPr="003C4B61">
        <w:t>ublishing</w:t>
      </w:r>
      <w:r w:rsidR="000D2155">
        <w:t xml:space="preserve"> a finding is decided on an </w:t>
      </w:r>
      <w:r w:rsidR="00DE6C29" w:rsidRPr="00DE6C29">
        <w:t>individual basis, but the coroner may take into account a number of factor</w:t>
      </w:r>
      <w:r w:rsidR="00E83327">
        <w:t xml:space="preserve">s: </w:t>
      </w:r>
      <w:r w:rsidR="00E83327" w:rsidRPr="00E83327">
        <w:t>the work of the courts being available to public scrutiny</w:t>
      </w:r>
      <w:r w:rsidR="00E83327">
        <w:t xml:space="preserve">; </w:t>
      </w:r>
      <w:r w:rsidR="00E83327" w:rsidRPr="00E83327">
        <w:t>the death prevention role of the coroner</w:t>
      </w:r>
      <w:r w:rsidR="00E83327">
        <w:t xml:space="preserve">; family privacy; </w:t>
      </w:r>
      <w:r w:rsidR="005429F9" w:rsidRPr="005429F9">
        <w:t>sensitivity of the findings</w:t>
      </w:r>
      <w:r w:rsidR="005429F9">
        <w:t xml:space="preserve">; </w:t>
      </w:r>
      <w:r w:rsidR="005429F9" w:rsidRPr="005429F9">
        <w:t>possible harm from making an investigation publicly available</w:t>
      </w:r>
      <w:r w:rsidR="005429F9">
        <w:t>’.</w:t>
      </w:r>
    </w:p>
  </w:footnote>
  <w:footnote w:id="183">
    <w:p w14:paraId="0AFBC7DA" w14:textId="578DB4B8" w:rsidR="00AE0B98" w:rsidRDefault="00AE0B98">
      <w:pPr>
        <w:pStyle w:val="FootnoteText"/>
      </w:pPr>
      <w:r>
        <w:rPr>
          <w:rStyle w:val="FootnoteReference"/>
        </w:rPr>
        <w:footnoteRef/>
      </w:r>
      <w:r>
        <w:t xml:space="preserve"> </w:t>
      </w:r>
      <w:r w:rsidRPr="003C4B61">
        <w:t xml:space="preserve">As discussed in </w:t>
      </w:r>
      <w:r w:rsidRPr="00AE0B98">
        <w:rPr>
          <w:b/>
          <w:bCs/>
        </w:rPr>
        <w:t xml:space="preserve">Part </w:t>
      </w:r>
      <w:r w:rsidR="009513EE">
        <w:rPr>
          <w:b/>
          <w:bCs/>
        </w:rPr>
        <w:t>3</w:t>
      </w:r>
      <w:r w:rsidRPr="003C4B61">
        <w:t xml:space="preserve"> at </w:t>
      </w:r>
      <w:r w:rsidR="009513EE">
        <w:t>[3.3.5]–[3.3.7],</w:t>
      </w:r>
      <w:r w:rsidRPr="003C4B61">
        <w:t xml:space="preserve"> the Coronial Division investigates reportable deaths, which includes circumstances where a person’s death is unexpected, unnatural or violent or has resulted from accident or injury, death following a medical procedure and where a person is in care.</w:t>
      </w:r>
    </w:p>
  </w:footnote>
  <w:footnote w:id="184">
    <w:p w14:paraId="1F2D0302" w14:textId="3E793154" w:rsidR="00390051" w:rsidRDefault="00390051">
      <w:pPr>
        <w:pStyle w:val="FootnoteText"/>
      </w:pPr>
      <w:r>
        <w:rPr>
          <w:rStyle w:val="FootnoteReference"/>
        </w:rPr>
        <w:footnoteRef/>
      </w:r>
      <w:r>
        <w:t xml:space="preserve"> </w:t>
      </w:r>
      <w:r w:rsidRPr="00390051">
        <w:t>The Supreme Court of Tasmania</w:t>
      </w:r>
      <w:r>
        <w:t xml:space="preserve"> (n 27).</w:t>
      </w:r>
    </w:p>
  </w:footnote>
  <w:footnote w:id="185">
    <w:p w14:paraId="0DF05A96" w14:textId="1EFFC7EC" w:rsidR="00E2173A" w:rsidRDefault="00E2173A">
      <w:pPr>
        <w:pStyle w:val="FootnoteText"/>
      </w:pPr>
      <w:r>
        <w:rPr>
          <w:rStyle w:val="FootnoteReference"/>
        </w:rPr>
        <w:footnoteRef/>
      </w:r>
      <w:r>
        <w:t xml:space="preserve"> </w:t>
      </w:r>
      <w:r w:rsidRPr="003C4B61">
        <w:t>The</w:t>
      </w:r>
      <w:r>
        <w:t>re were 6</w:t>
      </w:r>
      <w:r w:rsidRPr="003C4B61">
        <w:t xml:space="preserve"> cases identified that </w:t>
      </w:r>
      <w:r w:rsidRPr="001C3C5F">
        <w:t>involved</w:t>
      </w:r>
      <w:r w:rsidRPr="003C4B61">
        <w:t xml:space="preserve"> the use of violence by a child to a parent or a parent’s partner and in two cases, the complaint was under 65 and in the other 4 cases, the age was not specified.</w:t>
      </w:r>
    </w:p>
  </w:footnote>
  <w:footnote w:id="186">
    <w:p w14:paraId="605E2281" w14:textId="5B4864ED" w:rsidR="00A2413E" w:rsidRDefault="00A2413E">
      <w:pPr>
        <w:pStyle w:val="FootnoteText"/>
      </w:pPr>
      <w:r>
        <w:rPr>
          <w:rStyle w:val="FootnoteReference"/>
        </w:rPr>
        <w:footnoteRef/>
      </w:r>
      <w:r>
        <w:t xml:space="preserve"> </w:t>
      </w:r>
      <w:r w:rsidRPr="003C4B61">
        <w:t>This contrast</w:t>
      </w:r>
      <w:r w:rsidR="00CD46EC">
        <w:t>s</w:t>
      </w:r>
      <w:r w:rsidRPr="003C4B61">
        <w:t xml:space="preserve"> with </w:t>
      </w:r>
      <w:r w:rsidR="00C54209">
        <w:t>a</w:t>
      </w:r>
      <w:r w:rsidRPr="003C4B61">
        <w:t xml:space="preserve"> recent case in Western Australia, </w:t>
      </w:r>
      <w:r w:rsidRPr="001C3C5F">
        <w:t>where</w:t>
      </w:r>
      <w:r w:rsidRPr="003C4B61">
        <w:t xml:space="preserve"> an adult son was sentenced to imprisonment after being found guilty of stealing from his elderly parents. In this case, the son </w:t>
      </w:r>
      <w:r w:rsidR="00C54209">
        <w:t>had</w:t>
      </w:r>
      <w:r w:rsidRPr="003C4B61">
        <w:t xml:space="preserve"> power of attorney</w:t>
      </w:r>
      <w:r w:rsidR="00C54209">
        <w:t xml:space="preserve"> for his parents</w:t>
      </w:r>
      <w:r w:rsidR="00F2044D">
        <w:t>:</w:t>
      </w:r>
      <w:r w:rsidRPr="003C4B61">
        <w:t xml:space="preserve"> see</w:t>
      </w:r>
      <w:r>
        <w:t xml:space="preserve"> Grace Burmas, ‘Blacke Brinklow Jailed After Stealing $700k from Elderly Parents with Alzheimer’s’, </w:t>
      </w:r>
      <w:r>
        <w:rPr>
          <w:i/>
          <w:iCs/>
        </w:rPr>
        <w:t>ABC News</w:t>
      </w:r>
      <w:r>
        <w:t xml:space="preserve"> (online, 20 March 2025) &lt;</w:t>
      </w:r>
      <w:hyperlink r:id="rId44" w:history="1">
        <w:r w:rsidRPr="00560984">
          <w:rPr>
            <w:rStyle w:val="Hyperlink"/>
          </w:rPr>
          <w:t>https://www.abc.net.au/news/2025-03-20/blake-brinklow-jailed-after-stealing-from-elderly-parents/105073720</w:t>
        </w:r>
      </w:hyperlink>
      <w:r>
        <w:t>&gt;.</w:t>
      </w:r>
    </w:p>
  </w:footnote>
  <w:footnote w:id="187">
    <w:p w14:paraId="401A0733" w14:textId="555C0A43" w:rsidR="00A2413E" w:rsidRDefault="00A2413E">
      <w:pPr>
        <w:pStyle w:val="FootnoteText"/>
      </w:pPr>
      <w:r>
        <w:rPr>
          <w:rStyle w:val="FootnoteReference"/>
        </w:rPr>
        <w:footnoteRef/>
      </w:r>
      <w:r>
        <w:t xml:space="preserve"> </w:t>
      </w:r>
      <w:r w:rsidRPr="00C36293">
        <w:rPr>
          <w:i/>
          <w:iCs/>
        </w:rPr>
        <w:t>Tas v Anglin &amp; Anglin</w:t>
      </w:r>
      <w:r w:rsidRPr="003C4B61">
        <w:t xml:space="preserve"> (Supreme Court of Tasmania, Tennant J, 13 April 2015); </w:t>
      </w:r>
      <w:r w:rsidRPr="00C36293">
        <w:rPr>
          <w:i/>
          <w:iCs/>
        </w:rPr>
        <w:t>Tas v Maher</w:t>
      </w:r>
      <w:r>
        <w:t xml:space="preserve"> (</w:t>
      </w:r>
      <w:r w:rsidRPr="003C4B61">
        <w:t>Supreme Court of Tasmania</w:t>
      </w:r>
      <w:r>
        <w:t xml:space="preserve">, Pearce J, </w:t>
      </w:r>
      <w:r w:rsidRPr="003C4B61">
        <w:t>8 November 2021</w:t>
      </w:r>
      <w:r>
        <w:t>)</w:t>
      </w:r>
      <w:r w:rsidRPr="003C4B61">
        <w:t>.</w:t>
      </w:r>
    </w:p>
  </w:footnote>
  <w:footnote w:id="188">
    <w:p w14:paraId="2199CE57" w14:textId="72B6FE9E" w:rsidR="00A2413E" w:rsidRDefault="00A2413E">
      <w:pPr>
        <w:pStyle w:val="FootnoteText"/>
      </w:pPr>
      <w:r>
        <w:rPr>
          <w:rStyle w:val="FootnoteReference"/>
        </w:rPr>
        <w:footnoteRef/>
      </w:r>
      <w:r>
        <w:t xml:space="preserve"> </w:t>
      </w:r>
      <w:r w:rsidRPr="003C4B61">
        <w:t xml:space="preserve">Analysis of sentencing comments of the Supreme Court of </w:t>
      </w:r>
      <w:r w:rsidRPr="001C3C5F">
        <w:t>Tasmania</w:t>
      </w:r>
      <w:r w:rsidRPr="003C4B61">
        <w:t xml:space="preserve"> for the period 2023–2024 did not reveal any cases that would fall within the scope of the abuse of an older person. </w:t>
      </w:r>
      <w:r w:rsidRPr="00817E6D">
        <w:t>However, there were six cases involving the use of violence by a child to a parent or a parent’s partner</w:t>
      </w:r>
      <w:r w:rsidR="00AA3CE9" w:rsidRPr="00817E6D">
        <w:t>:</w:t>
      </w:r>
      <w:r w:rsidRPr="00817E6D">
        <w:t xml:space="preserve"> </w:t>
      </w:r>
      <w:r w:rsidR="00AA3CE9" w:rsidRPr="00817E6D">
        <w:rPr>
          <w:i/>
          <w:iCs/>
        </w:rPr>
        <w:t xml:space="preserve">Tas v </w:t>
      </w:r>
      <w:r w:rsidRPr="00817E6D">
        <w:rPr>
          <w:i/>
          <w:iCs/>
        </w:rPr>
        <w:t>Howlett</w:t>
      </w:r>
      <w:r w:rsidR="00AA3CE9" w:rsidRPr="00817E6D">
        <w:t xml:space="preserve"> (Supreme Court of Tasmania, Tennant J, 7 July 2023, Escourt J)</w:t>
      </w:r>
      <w:r w:rsidRPr="00817E6D">
        <w:t xml:space="preserve">; </w:t>
      </w:r>
      <w:r w:rsidR="00CF30CC" w:rsidRPr="008C3AB2">
        <w:rPr>
          <w:i/>
          <w:iCs/>
        </w:rPr>
        <w:t xml:space="preserve">Tas v </w:t>
      </w:r>
      <w:r w:rsidRPr="008C3AB2">
        <w:rPr>
          <w:i/>
          <w:iCs/>
        </w:rPr>
        <w:t>Cooper</w:t>
      </w:r>
      <w:r w:rsidRPr="00817E6D">
        <w:t xml:space="preserve"> </w:t>
      </w:r>
      <w:r w:rsidR="00CF30CC">
        <w:t>(</w:t>
      </w:r>
      <w:r w:rsidR="00CF30CC" w:rsidRPr="003C4B61">
        <w:t xml:space="preserve">Supreme Court of Tasmania, </w:t>
      </w:r>
      <w:r w:rsidR="00CF30CC">
        <w:t>Jago J</w:t>
      </w:r>
      <w:r w:rsidR="00CF30CC" w:rsidRPr="003C4B61">
        <w:t xml:space="preserve">, </w:t>
      </w:r>
      <w:r w:rsidR="00CF30CC">
        <w:t>23 November 2023);</w:t>
      </w:r>
      <w:r w:rsidRPr="00817E6D">
        <w:t xml:space="preserve"> </w:t>
      </w:r>
      <w:r w:rsidR="008C3AB2" w:rsidRPr="00CB108A">
        <w:rPr>
          <w:i/>
          <w:iCs/>
        </w:rPr>
        <w:t xml:space="preserve">Tas v </w:t>
      </w:r>
      <w:r w:rsidRPr="00CB108A">
        <w:rPr>
          <w:i/>
          <w:iCs/>
        </w:rPr>
        <w:t>North</w:t>
      </w:r>
      <w:r w:rsidR="008C3AB2">
        <w:t xml:space="preserve"> (</w:t>
      </w:r>
      <w:r w:rsidR="008C3AB2" w:rsidRPr="003C4B61">
        <w:t xml:space="preserve">Supreme Court of Tasmania, </w:t>
      </w:r>
      <w:r w:rsidR="008C3AB2">
        <w:t>Estcourt</w:t>
      </w:r>
      <w:r w:rsidR="008C3AB2" w:rsidRPr="003C4B61">
        <w:t xml:space="preserve"> J, </w:t>
      </w:r>
      <w:r w:rsidR="008C3AB2">
        <w:t>8 May 2024</w:t>
      </w:r>
      <w:r w:rsidR="00E50A6B">
        <w:t>)</w:t>
      </w:r>
      <w:r w:rsidR="008C3AB2">
        <w:t>;</w:t>
      </w:r>
      <w:r w:rsidRPr="00817E6D">
        <w:t xml:space="preserve"> </w:t>
      </w:r>
      <w:r w:rsidR="00CB108A" w:rsidRPr="00CB108A">
        <w:rPr>
          <w:i/>
          <w:iCs/>
        </w:rPr>
        <w:t xml:space="preserve">Tas v </w:t>
      </w:r>
      <w:r w:rsidRPr="00CB108A">
        <w:rPr>
          <w:i/>
          <w:iCs/>
        </w:rPr>
        <w:t>Walker</w:t>
      </w:r>
      <w:r w:rsidR="00CB108A">
        <w:t xml:space="preserve"> (</w:t>
      </w:r>
      <w:r w:rsidR="00CB108A" w:rsidRPr="003C4B61">
        <w:t xml:space="preserve">Supreme Court of Tasmania, </w:t>
      </w:r>
      <w:r w:rsidR="00CB108A">
        <w:t>Jago J</w:t>
      </w:r>
      <w:r w:rsidR="00CB108A" w:rsidRPr="003C4B61">
        <w:t xml:space="preserve">, </w:t>
      </w:r>
      <w:r w:rsidR="00CB108A">
        <w:t>5 June 2023</w:t>
      </w:r>
      <w:r w:rsidR="00E50A6B">
        <w:t xml:space="preserve">); </w:t>
      </w:r>
      <w:r w:rsidR="00D66501" w:rsidRPr="00D66501">
        <w:rPr>
          <w:i/>
          <w:iCs/>
        </w:rPr>
        <w:t>Tas v</w:t>
      </w:r>
      <w:r w:rsidRPr="00D66501">
        <w:rPr>
          <w:i/>
          <w:iCs/>
        </w:rPr>
        <w:t xml:space="preserve"> Olding</w:t>
      </w:r>
      <w:r w:rsidRPr="00817E6D">
        <w:t xml:space="preserve"> </w:t>
      </w:r>
      <w:r w:rsidR="00982AA0">
        <w:t xml:space="preserve">(Supreme Court of Tasmania, Porter AJ, </w:t>
      </w:r>
      <w:r w:rsidRPr="00817E6D">
        <w:t>5</w:t>
      </w:r>
      <w:r w:rsidR="00982AA0">
        <w:t xml:space="preserve"> December 2023)</w:t>
      </w:r>
      <w:r w:rsidRPr="00817E6D">
        <w:t xml:space="preserve">. In two of the cases, the complainants’ ages </w:t>
      </w:r>
      <w:r w:rsidR="00CB108A">
        <w:t>are</w:t>
      </w:r>
      <w:r w:rsidRPr="00817E6D">
        <w:t xml:space="preserve"> stated, and they were under 65. In the remaining four cases, the age is not stated.</w:t>
      </w:r>
    </w:p>
  </w:footnote>
  <w:footnote w:id="189">
    <w:p w14:paraId="13A53633" w14:textId="31A04A30" w:rsidR="00A2413E" w:rsidRDefault="00A2413E">
      <w:pPr>
        <w:pStyle w:val="FootnoteText"/>
      </w:pPr>
      <w:r>
        <w:rPr>
          <w:rStyle w:val="FootnoteReference"/>
        </w:rPr>
        <w:footnoteRef/>
      </w:r>
      <w:r>
        <w:t xml:space="preserve"> </w:t>
      </w:r>
      <w:r w:rsidRPr="003C4B61">
        <w:t>For example, in the period 1 July 2023 to 30 June 2024, there were 125 findings handed down in relation to accidental elderly falls occurring in nursing homes, medical setting, hospitals and in their own homes.</w:t>
      </w:r>
    </w:p>
  </w:footnote>
  <w:footnote w:id="190">
    <w:p w14:paraId="0B6A9491" w14:textId="289C6CD9" w:rsidR="00A2413E" w:rsidRDefault="00A2413E">
      <w:pPr>
        <w:pStyle w:val="FootnoteText"/>
      </w:pPr>
      <w:r w:rsidRPr="00444C99">
        <w:rPr>
          <w:rStyle w:val="FootnoteReference"/>
        </w:rPr>
        <w:footnoteRef/>
      </w:r>
      <w:r w:rsidRPr="00444C99">
        <w:t xml:space="preserve"> </w:t>
      </w:r>
      <w:r w:rsidR="001A75E3" w:rsidRPr="00444C99">
        <w:t xml:space="preserve">From review of published findings </w:t>
      </w:r>
      <w:r w:rsidR="002C08B7" w:rsidRPr="00444C99">
        <w:t>2013 to 2024 (a</w:t>
      </w:r>
      <w:r w:rsidR="00C63E5F" w:rsidRPr="00444C99">
        <w:t>s at 31 December 2024</w:t>
      </w:r>
      <w:r w:rsidR="002C08B7" w:rsidRPr="00444C99">
        <w:t>)</w:t>
      </w:r>
      <w:r w:rsidR="00F60063" w:rsidRPr="00444C99">
        <w:t>.</w:t>
      </w:r>
    </w:p>
  </w:footnote>
  <w:footnote w:id="191">
    <w:p w14:paraId="1943F7B0" w14:textId="1FAB96E4" w:rsidR="00A2413E" w:rsidRDefault="00A2413E">
      <w:pPr>
        <w:pStyle w:val="FootnoteText"/>
      </w:pPr>
      <w:r>
        <w:rPr>
          <w:rStyle w:val="FootnoteReference"/>
        </w:rPr>
        <w:footnoteRef/>
      </w:r>
      <w:r>
        <w:t xml:space="preserve"> </w:t>
      </w:r>
      <w:r w:rsidRPr="00EC5712">
        <w:rPr>
          <w:i/>
          <w:iCs/>
        </w:rPr>
        <w:t>Tas v Anglin &amp; Anglin</w:t>
      </w:r>
      <w:r w:rsidRPr="003C4B61">
        <w:t xml:space="preserve"> (Supreme Court of Tasmania, Tennant J, 13 April 2015</w:t>
      </w:r>
      <w:r w:rsidR="00D66446">
        <w:t>)</w:t>
      </w:r>
      <w:r w:rsidRPr="003C4B61">
        <w:t>.</w:t>
      </w:r>
    </w:p>
  </w:footnote>
  <w:footnote w:id="192">
    <w:p w14:paraId="5503716B" w14:textId="5DA95514" w:rsidR="00A2413E" w:rsidRDefault="00A2413E">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w:t>
      </w:r>
    </w:p>
  </w:footnote>
  <w:footnote w:id="193">
    <w:p w14:paraId="2A9AD838" w14:textId="342E9AB1" w:rsidR="007C3C1C" w:rsidRDefault="007C3C1C">
      <w:pPr>
        <w:pStyle w:val="FootnoteText"/>
      </w:pPr>
      <w:r>
        <w:rPr>
          <w:rStyle w:val="FootnoteReference"/>
        </w:rPr>
        <w:footnoteRef/>
      </w:r>
      <w:r>
        <w:t xml:space="preserve"> </w:t>
      </w:r>
      <w:r w:rsidR="00BE537F" w:rsidRPr="00EC5712">
        <w:rPr>
          <w:i/>
          <w:iCs/>
        </w:rPr>
        <w:t xml:space="preserve">Findings and </w:t>
      </w:r>
      <w:r w:rsidR="00BE537F">
        <w:rPr>
          <w:i/>
          <w:iCs/>
        </w:rPr>
        <w:t>Comments</w:t>
      </w:r>
      <w:r w:rsidR="00BE537F" w:rsidRPr="00EC5712">
        <w:rPr>
          <w:i/>
          <w:iCs/>
        </w:rPr>
        <w:t xml:space="preserve"> of Coroner </w:t>
      </w:r>
      <w:r w:rsidR="00BE537F">
        <w:rPr>
          <w:i/>
          <w:iCs/>
        </w:rPr>
        <w:t>Robert Webster</w:t>
      </w:r>
      <w:r w:rsidR="00BE537F" w:rsidRPr="00EC5712">
        <w:rPr>
          <w:i/>
          <w:iCs/>
        </w:rPr>
        <w:t xml:space="preserve"> Following the Holding of an Inquest under the Coroners Act 1995 into the Death of </w:t>
      </w:r>
      <w:r w:rsidR="00BE537F">
        <w:rPr>
          <w:i/>
          <w:iCs/>
        </w:rPr>
        <w:t>Dorothy Jean Atkins</w:t>
      </w:r>
      <w:r w:rsidR="00BE537F" w:rsidRPr="00EC5712">
        <w:rPr>
          <w:i/>
          <w:iCs/>
        </w:rPr>
        <w:t>: Record of Investigation into Death (With Inquest)</w:t>
      </w:r>
      <w:r w:rsidR="00BE537F">
        <w:t xml:space="preserve"> (Magistrates Court of Tasmania, Coronial Division, 7 March 2024).</w:t>
      </w:r>
    </w:p>
  </w:footnote>
  <w:footnote w:id="194">
    <w:p w14:paraId="22E93D99" w14:textId="5DB2B76D" w:rsidR="007C3C1C" w:rsidRDefault="007C3C1C">
      <w:pPr>
        <w:pStyle w:val="FootnoteText"/>
      </w:pPr>
      <w:r>
        <w:rPr>
          <w:rStyle w:val="FootnoteReference"/>
        </w:rPr>
        <w:footnoteRef/>
      </w:r>
      <w:r>
        <w:t xml:space="preserve"> </w:t>
      </w:r>
      <w:r w:rsidR="00BE537F" w:rsidRPr="00EC5712">
        <w:rPr>
          <w:i/>
          <w:iCs/>
        </w:rPr>
        <w:t xml:space="preserve">Findings and </w:t>
      </w:r>
      <w:r w:rsidR="00BE537F">
        <w:rPr>
          <w:i/>
          <w:iCs/>
        </w:rPr>
        <w:t>Comments</w:t>
      </w:r>
      <w:r w:rsidR="00BE537F" w:rsidRPr="00EC5712">
        <w:rPr>
          <w:i/>
          <w:iCs/>
        </w:rPr>
        <w:t xml:space="preserve"> of Coroner </w:t>
      </w:r>
      <w:r w:rsidR="00BE537F">
        <w:rPr>
          <w:i/>
          <w:iCs/>
        </w:rPr>
        <w:t>Simon Cooper</w:t>
      </w:r>
      <w:r w:rsidR="00BE537F" w:rsidRPr="00EC5712">
        <w:rPr>
          <w:i/>
          <w:iCs/>
        </w:rPr>
        <w:t xml:space="preserve"> Following the Holding of an Inquest under the Coroners Act 1995 into the Death</w:t>
      </w:r>
      <w:r w:rsidR="00BE537F">
        <w:rPr>
          <w:i/>
          <w:iCs/>
        </w:rPr>
        <w:t>s</w:t>
      </w:r>
      <w:r w:rsidR="00BE537F" w:rsidRPr="00EC5712">
        <w:rPr>
          <w:i/>
          <w:iCs/>
        </w:rPr>
        <w:t xml:space="preserve"> of </w:t>
      </w:r>
      <w:r w:rsidR="00BE537F">
        <w:rPr>
          <w:i/>
          <w:iCs/>
        </w:rPr>
        <w:t>David Godfrey Edwards and Nelda Mavis Edwards</w:t>
      </w:r>
      <w:r w:rsidR="00BE537F" w:rsidRPr="00EC5712">
        <w:rPr>
          <w:i/>
          <w:iCs/>
        </w:rPr>
        <w:t>: Record of Investigation into Death (With Inquest)</w:t>
      </w:r>
      <w:r w:rsidR="00BE537F">
        <w:t xml:space="preserve"> (Magistrates Court of Tasmania, Coronial Division, 26 July 2024).</w:t>
      </w:r>
    </w:p>
  </w:footnote>
  <w:footnote w:id="195">
    <w:p w14:paraId="1CBFF3D8" w14:textId="2CD02F81" w:rsidR="007C3C1C" w:rsidRDefault="007C3C1C">
      <w:pPr>
        <w:pStyle w:val="FootnoteText"/>
      </w:pPr>
      <w:r>
        <w:rPr>
          <w:rStyle w:val="FootnoteReference"/>
        </w:rPr>
        <w:footnoteRef/>
      </w:r>
      <w:r>
        <w:t xml:space="preserve"> </w:t>
      </w:r>
      <w:r w:rsidR="00771D0F" w:rsidRPr="00EC5712">
        <w:rPr>
          <w:i/>
          <w:iCs/>
        </w:rPr>
        <w:t>Tas v Maher</w:t>
      </w:r>
      <w:r w:rsidR="00771D0F">
        <w:t xml:space="preserve"> (</w:t>
      </w:r>
      <w:r w:rsidR="00771D0F" w:rsidRPr="003C4B61">
        <w:t>Supreme Court of Tasmania</w:t>
      </w:r>
      <w:r w:rsidR="00771D0F">
        <w:t xml:space="preserve">, Pearce J, </w:t>
      </w:r>
      <w:r w:rsidR="00771D0F" w:rsidRPr="003C4B61">
        <w:t>8 November 2021</w:t>
      </w:r>
      <w:r w:rsidR="00BE530A">
        <w:t>)</w:t>
      </w:r>
      <w:r w:rsidR="00771D0F">
        <w:t>.</w:t>
      </w:r>
    </w:p>
  </w:footnote>
  <w:footnote w:id="196">
    <w:p w14:paraId="7B693491" w14:textId="00EE62C1" w:rsidR="007C3C1C" w:rsidRDefault="007C3C1C">
      <w:pPr>
        <w:pStyle w:val="FootnoteText"/>
      </w:pPr>
      <w:r>
        <w:rPr>
          <w:rStyle w:val="FootnoteReference"/>
        </w:rPr>
        <w:footnoteRef/>
      </w:r>
      <w:r w:rsidR="00B602BB">
        <w:t xml:space="preserve"> </w:t>
      </w:r>
      <w:r w:rsidR="00771D0F" w:rsidRPr="00EC5712">
        <w:rPr>
          <w:i/>
          <w:iCs/>
        </w:rPr>
        <w:t>Record of Investigation into Death of (Without Inquest): Veronica Corstorphine</w:t>
      </w:r>
      <w:r w:rsidR="00771D0F" w:rsidRPr="003C4B61">
        <w:t xml:space="preserve"> </w:t>
      </w:r>
      <w:r w:rsidR="00771D0F">
        <w:t xml:space="preserve">(Magistrates Court of Tasmania, Coronial Division, 4 March </w:t>
      </w:r>
      <w:r w:rsidR="00771D0F" w:rsidRPr="003C4B61">
        <w:t>2024)</w:t>
      </w:r>
      <w:r w:rsidR="00B602BB">
        <w:t xml:space="preserve">; </w:t>
      </w:r>
      <w:r w:rsidR="00771D0F" w:rsidRPr="00EC5712">
        <w:rPr>
          <w:i/>
          <w:iCs/>
        </w:rPr>
        <w:t>Tas v Maher</w:t>
      </w:r>
      <w:r w:rsidR="00771D0F">
        <w:t xml:space="preserve"> (</w:t>
      </w:r>
      <w:r w:rsidR="00771D0F" w:rsidRPr="003C4B61">
        <w:t>Supreme Court of Tasmania</w:t>
      </w:r>
      <w:r w:rsidR="00771D0F">
        <w:t xml:space="preserve">, Pearce J, </w:t>
      </w:r>
      <w:r w:rsidR="00771D0F" w:rsidRPr="003C4B61">
        <w:t>8 November 2021</w:t>
      </w:r>
      <w:r w:rsidR="00BE530A">
        <w:t>)</w:t>
      </w:r>
      <w:r w:rsidR="00771D0F">
        <w:t>.</w:t>
      </w:r>
    </w:p>
  </w:footnote>
  <w:footnote w:id="197">
    <w:p w14:paraId="41742D3D" w14:textId="67DD14B4" w:rsidR="00BE530A" w:rsidRDefault="00BE530A">
      <w:pPr>
        <w:pStyle w:val="FootnoteText"/>
      </w:pPr>
      <w:r>
        <w:rPr>
          <w:rStyle w:val="FootnoteReference"/>
        </w:rPr>
        <w:footnoteRef/>
      </w:r>
      <w:r>
        <w:t xml:space="preserve"> </w:t>
      </w:r>
      <w:r w:rsidR="00B602BB" w:rsidRPr="00B602BB">
        <w:t xml:space="preserve">Mrs Corstorphine was smothered with a pillow and Mrs Edwards was administered a drug: see Table B.1 in </w:t>
      </w:r>
      <w:r w:rsidR="00B602BB" w:rsidRPr="00B602BB">
        <w:rPr>
          <w:b/>
          <w:bCs/>
        </w:rPr>
        <w:t>Appendix B</w:t>
      </w:r>
      <w:r w:rsidR="00B602BB" w:rsidRPr="00B602BB">
        <w:t>.</w:t>
      </w:r>
    </w:p>
  </w:footnote>
  <w:footnote w:id="198">
    <w:p w14:paraId="7F746302" w14:textId="351B651C" w:rsidR="00732DCF" w:rsidRDefault="00732DCF" w:rsidP="00732DCF">
      <w:pPr>
        <w:pStyle w:val="FootnoteText"/>
      </w:pPr>
      <w:r>
        <w:rPr>
          <w:rStyle w:val="FootnoteReference"/>
        </w:rPr>
        <w:footnoteRef/>
      </w:r>
      <w:r>
        <w:t xml:space="preserve"> </w:t>
      </w:r>
      <w:r w:rsidRPr="00A2413E">
        <w:t xml:space="preserve">Mrs Mackozdi died of hypothermia after sleeping in a shipping container that was between -1.0 and 2.9 degrees Celsius, with advanced dementia, weighing 37.9kg. Mrs Atkins died from meningitis with sepsis with likely cause of infection an ulcer, and was very emaciated, with pressure sores and evidence of poor hygiene: see Table </w:t>
      </w:r>
      <w:r w:rsidR="00A2413E" w:rsidRPr="00A2413E">
        <w:t>B.1 in</w:t>
      </w:r>
      <w:r w:rsidRPr="00A2413E">
        <w:t xml:space="preserve"> </w:t>
      </w:r>
      <w:r w:rsidRPr="00A2413E">
        <w:rPr>
          <w:b/>
          <w:bCs/>
        </w:rPr>
        <w:t>Appendix B</w:t>
      </w:r>
      <w:r w:rsidRPr="00A2413E">
        <w:t>.</w:t>
      </w:r>
    </w:p>
  </w:footnote>
  <w:footnote w:id="199">
    <w:p w14:paraId="3E8724DF" w14:textId="28314218" w:rsidR="00692F06" w:rsidRDefault="00692F06" w:rsidP="00692F06">
      <w:pPr>
        <w:pStyle w:val="FootnoteText"/>
      </w:pPr>
      <w:r>
        <w:rPr>
          <w:rStyle w:val="FootnoteReference"/>
        </w:rPr>
        <w:footnoteRef/>
      </w:r>
      <w:r>
        <w:t xml:space="preserve"> </w:t>
      </w:r>
      <w:r w:rsidRPr="00A2413E">
        <w:t>In the cases of Mrs Mac</w:t>
      </w:r>
      <w:r w:rsidR="00CF05AD">
        <w:t>k</w:t>
      </w:r>
      <w:r w:rsidRPr="00A2413E">
        <w:t xml:space="preserve">ozdi and Mrs Corstophine, there was conduct by family members to gain a benefit from the finances or property owned by the older person (either before or after their death): see Table </w:t>
      </w:r>
      <w:r w:rsidR="003A340E" w:rsidRPr="00A2413E">
        <w:t xml:space="preserve">B.1 </w:t>
      </w:r>
      <w:r w:rsidRPr="00A2413E">
        <w:t xml:space="preserve">in </w:t>
      </w:r>
      <w:r w:rsidRPr="00A2413E">
        <w:rPr>
          <w:b/>
          <w:bCs/>
        </w:rPr>
        <w:t>Appendix B</w:t>
      </w:r>
      <w:r w:rsidRPr="00A2413E">
        <w:t>.</w:t>
      </w:r>
    </w:p>
  </w:footnote>
  <w:footnote w:id="200">
    <w:p w14:paraId="389859B9" w14:textId="0A3249DA" w:rsidR="00556DCB" w:rsidRDefault="00556DCB" w:rsidP="00556DCB">
      <w:pPr>
        <w:pStyle w:val="FootnoteText"/>
      </w:pPr>
      <w:r>
        <w:rPr>
          <w:rStyle w:val="FootnoteReference"/>
        </w:rPr>
        <w:footnoteRef/>
      </w:r>
      <w:r>
        <w:t xml:space="preserve"> </w:t>
      </w:r>
      <w:r w:rsidRPr="001C3C5F">
        <w:t>Mrs Mac</w:t>
      </w:r>
      <w:r w:rsidR="00CF05AD">
        <w:t>k</w:t>
      </w:r>
      <w:r w:rsidRPr="001C3C5F">
        <w:t xml:space="preserve">ozdi and Mrs Corstophine: see </w:t>
      </w:r>
      <w:r w:rsidRPr="00F06886">
        <w:t xml:space="preserve">Table </w:t>
      </w:r>
      <w:r w:rsidR="003A340E" w:rsidRPr="00F06886">
        <w:t>B.1</w:t>
      </w:r>
      <w:r w:rsidR="003A340E" w:rsidRPr="003C4B61">
        <w:rPr>
          <w:rFonts w:cs="Times New Roman"/>
          <w:sz w:val="18"/>
          <w:szCs w:val="18"/>
        </w:rPr>
        <w:t xml:space="preserve"> </w:t>
      </w:r>
      <w:r w:rsidRPr="001C3C5F">
        <w:t xml:space="preserve">in </w:t>
      </w:r>
      <w:r w:rsidRPr="00C36293">
        <w:rPr>
          <w:b/>
          <w:bCs/>
        </w:rPr>
        <w:t>Appendix B</w:t>
      </w:r>
      <w:r w:rsidRPr="001C3C5F">
        <w:t>.</w:t>
      </w:r>
    </w:p>
  </w:footnote>
  <w:footnote w:id="201">
    <w:p w14:paraId="77BBC6C6" w14:textId="4DD69C17" w:rsidR="00483947" w:rsidRPr="001C3C5F" w:rsidRDefault="00483947">
      <w:pPr>
        <w:pStyle w:val="FootnoteText"/>
      </w:pPr>
      <w:r>
        <w:rPr>
          <w:rStyle w:val="FootnoteReference"/>
        </w:rPr>
        <w:footnoteRef/>
      </w:r>
      <w:r>
        <w:t xml:space="preserve"> </w:t>
      </w:r>
      <w:r w:rsidR="00FE4FEC" w:rsidRPr="00FE4FEC">
        <w:t xml:space="preserve">Mrs </w:t>
      </w:r>
      <w:r w:rsidR="00FE4FEC" w:rsidRPr="001C3C5F">
        <w:t>Mac</w:t>
      </w:r>
      <w:r w:rsidR="00CF05AD">
        <w:t>k</w:t>
      </w:r>
      <w:r w:rsidR="00FE4FEC" w:rsidRPr="001C3C5F">
        <w:t xml:space="preserve">ozdi, Mrs Atkins and Mrs Edwards: </w:t>
      </w:r>
      <w:r w:rsidR="00FE4FEC" w:rsidRPr="00F06886">
        <w:t xml:space="preserve">see Table </w:t>
      </w:r>
      <w:r w:rsidR="003A340E" w:rsidRPr="00F06886">
        <w:t>B.1</w:t>
      </w:r>
      <w:r w:rsidR="003A340E" w:rsidRPr="003C4B61">
        <w:rPr>
          <w:rFonts w:cs="Times New Roman"/>
          <w:sz w:val="18"/>
          <w:szCs w:val="18"/>
        </w:rPr>
        <w:t xml:space="preserve"> </w:t>
      </w:r>
      <w:r w:rsidR="00FE4FEC" w:rsidRPr="001C3C5F">
        <w:t xml:space="preserve">in </w:t>
      </w:r>
      <w:r w:rsidR="00FE4FEC" w:rsidRPr="00C36293">
        <w:rPr>
          <w:b/>
          <w:bCs/>
        </w:rPr>
        <w:t>Appendix B</w:t>
      </w:r>
      <w:r w:rsidR="00FE4FEC" w:rsidRPr="001C3C5F">
        <w:t>.</w:t>
      </w:r>
    </w:p>
  </w:footnote>
  <w:footnote w:id="202">
    <w:p w14:paraId="42D7F027" w14:textId="7EDEE2D5" w:rsidR="00A2413E" w:rsidRDefault="00A2413E">
      <w:pPr>
        <w:pStyle w:val="FootnoteText"/>
      </w:pPr>
      <w:r>
        <w:rPr>
          <w:rStyle w:val="FootnoteReference"/>
        </w:rPr>
        <w:footnoteRef/>
      </w:r>
      <w:r>
        <w:t xml:space="preserve"> </w:t>
      </w:r>
      <w:r w:rsidRPr="003C4B61">
        <w:t xml:space="preserve">See </w:t>
      </w:r>
      <w:r w:rsidRPr="00247D18">
        <w:rPr>
          <w:b/>
          <w:bCs/>
        </w:rPr>
        <w:t>Part 4</w:t>
      </w:r>
      <w:r w:rsidRPr="003C4B61">
        <w:t xml:space="preserve"> at </w:t>
      </w:r>
      <w:r w:rsidR="00247D18">
        <w:t>[4.2.4]</w:t>
      </w:r>
      <w:r w:rsidRPr="003C4B61">
        <w:t>.</w:t>
      </w:r>
    </w:p>
  </w:footnote>
  <w:footnote w:id="203">
    <w:p w14:paraId="10474038" w14:textId="6061FC01" w:rsidR="00A2413E" w:rsidRDefault="00A2413E">
      <w:pPr>
        <w:pStyle w:val="FootnoteText"/>
      </w:pPr>
      <w:r>
        <w:rPr>
          <w:rStyle w:val="FootnoteReference"/>
        </w:rPr>
        <w:footnoteRef/>
      </w:r>
      <w:r>
        <w:t xml:space="preserve"> </w:t>
      </w:r>
      <w:r w:rsidRPr="003C4B61">
        <w:t xml:space="preserve">See </w:t>
      </w:r>
      <w:r w:rsidR="0034648A">
        <w:t xml:space="preserve">Table B.1 in </w:t>
      </w:r>
      <w:r w:rsidR="0034648A" w:rsidRPr="0034648A">
        <w:rPr>
          <w:b/>
          <w:bCs/>
        </w:rPr>
        <w:t>Appendix B</w:t>
      </w:r>
      <w:r w:rsidR="00254116">
        <w:t>.</w:t>
      </w:r>
    </w:p>
  </w:footnote>
  <w:footnote w:id="204">
    <w:p w14:paraId="176CBE37" w14:textId="2A9B3249" w:rsidR="00BD7D81" w:rsidRDefault="00BD7D81">
      <w:pPr>
        <w:pStyle w:val="FootnoteText"/>
      </w:pPr>
      <w:r>
        <w:rPr>
          <w:rStyle w:val="FootnoteReference"/>
        </w:rPr>
        <w:footnoteRef/>
      </w:r>
      <w:r>
        <w:t xml:space="preserve"> </w:t>
      </w:r>
      <w:r w:rsidR="008E4027">
        <w:t>These frame</w:t>
      </w:r>
      <w:r w:rsidR="00F21B47">
        <w:t>works are described in</w:t>
      </w:r>
      <w:r w:rsidRPr="008E4027">
        <w:t xml:space="preserve"> </w:t>
      </w:r>
      <w:r w:rsidRPr="008E4027">
        <w:rPr>
          <w:b/>
          <w:bCs/>
        </w:rPr>
        <w:t xml:space="preserve">Part </w:t>
      </w:r>
      <w:r w:rsidR="005F4BE3" w:rsidRPr="008E4027">
        <w:rPr>
          <w:b/>
          <w:bCs/>
        </w:rPr>
        <w:t>3</w:t>
      </w:r>
      <w:r w:rsidR="005F4BE3" w:rsidRPr="008E4027">
        <w:t xml:space="preserve"> at</w:t>
      </w:r>
      <w:r w:rsidRPr="008E4027">
        <w:t xml:space="preserve"> </w:t>
      </w:r>
      <w:r w:rsidR="006D6476" w:rsidRPr="008E4027">
        <w:t>[3.3.</w:t>
      </w:r>
      <w:r w:rsidR="00302877" w:rsidRPr="008E4027">
        <w:t>17</w:t>
      </w:r>
      <w:r w:rsidR="006D6476" w:rsidRPr="008E4027">
        <w:t>]–[3.</w:t>
      </w:r>
      <w:r w:rsidR="00302877" w:rsidRPr="008E4027">
        <w:t>3</w:t>
      </w:r>
      <w:r w:rsidR="006D6476" w:rsidRPr="008E4027">
        <w:t>.</w:t>
      </w:r>
      <w:r w:rsidR="00302877" w:rsidRPr="008E4027">
        <w:t>19</w:t>
      </w:r>
      <w:r w:rsidR="006D6476" w:rsidRPr="008E4027">
        <w:t xml:space="preserve">] regarding </w:t>
      </w:r>
      <w:r w:rsidR="00A46255" w:rsidRPr="008E4027">
        <w:t xml:space="preserve">financial decision making, [3.3.20]–[3.2.25] regarding </w:t>
      </w:r>
      <w:r w:rsidR="008E4027" w:rsidRPr="008E4027">
        <w:t xml:space="preserve">medical, personal and lifestyle decisions, and </w:t>
      </w:r>
      <w:r w:rsidR="005F4BE3" w:rsidRPr="008E4027">
        <w:t xml:space="preserve">[3.3.26]–[3.2.27] regarding </w:t>
      </w:r>
      <w:r w:rsidR="00A46255" w:rsidRPr="008E4027">
        <w:t>end-</w:t>
      </w:r>
      <w:r w:rsidR="008E4027" w:rsidRPr="008E4027">
        <w:t>of-life decisions.</w:t>
      </w:r>
    </w:p>
  </w:footnote>
  <w:footnote w:id="205">
    <w:p w14:paraId="495C587B" w14:textId="6CC2570A" w:rsidR="00BD7D81" w:rsidRDefault="00BD7D81">
      <w:pPr>
        <w:pStyle w:val="FootnoteText"/>
      </w:pPr>
      <w:r>
        <w:rPr>
          <w:rStyle w:val="FootnoteReference"/>
        </w:rPr>
        <w:footnoteRef/>
      </w:r>
      <w:r w:rsidR="00783BEB">
        <w:t xml:space="preserve"> </w:t>
      </w:r>
      <w:r>
        <w:t>These were obtained from searches of</w:t>
      </w:r>
      <w:r w:rsidRPr="005B22DF">
        <w:t xml:space="preserve"> decisions of the Tasmanian Civil and Administrative Tribunal (TASCAT) in its Guardianship stream</w:t>
      </w:r>
      <w:r>
        <w:t xml:space="preserve"> published on AustLII</w:t>
      </w:r>
      <w:r w:rsidR="00023BCB">
        <w:t xml:space="preserve">: </w:t>
      </w:r>
      <w:r w:rsidR="00023BCB" w:rsidRPr="00BA7477">
        <w:rPr>
          <w:i/>
          <w:iCs/>
        </w:rPr>
        <w:t>Aust</w:t>
      </w:r>
      <w:r w:rsidR="00B56AAB" w:rsidRPr="00BA7477">
        <w:rPr>
          <w:i/>
          <w:iCs/>
        </w:rPr>
        <w:t>LII</w:t>
      </w:r>
      <w:r w:rsidR="00B56AAB">
        <w:t xml:space="preserve"> (n 27)</w:t>
      </w:r>
      <w:r>
        <w:t xml:space="preserve">. </w:t>
      </w:r>
      <w:r w:rsidR="00A6426C">
        <w:t>S</w:t>
      </w:r>
      <w:r w:rsidR="00A6426C" w:rsidRPr="00F06886">
        <w:t>ee Table B.2</w:t>
      </w:r>
      <w:r w:rsidR="00A6426C" w:rsidRPr="003C4B61">
        <w:rPr>
          <w:rFonts w:cs="Times New Roman"/>
          <w:sz w:val="18"/>
          <w:szCs w:val="18"/>
        </w:rPr>
        <w:t xml:space="preserve"> </w:t>
      </w:r>
      <w:r w:rsidR="00A6426C" w:rsidRPr="003C4B61">
        <w:t xml:space="preserve">in </w:t>
      </w:r>
      <w:r w:rsidRPr="00BD7D81">
        <w:rPr>
          <w:b/>
          <w:bCs/>
        </w:rPr>
        <w:t>Appendix B</w:t>
      </w:r>
      <w:r w:rsidRPr="003C4B61">
        <w:t>.</w:t>
      </w:r>
    </w:p>
  </w:footnote>
  <w:footnote w:id="206">
    <w:p w14:paraId="2C5BCA16" w14:textId="1D080F8F" w:rsidR="00BD7D81" w:rsidRDefault="00BD7D81">
      <w:pPr>
        <w:pStyle w:val="FootnoteText"/>
      </w:pPr>
      <w:r>
        <w:rPr>
          <w:rStyle w:val="FootnoteReference"/>
        </w:rPr>
        <w:footnoteRef/>
      </w:r>
      <w:r>
        <w:t xml:space="preserve"> </w:t>
      </w:r>
      <w:r w:rsidRPr="003C4B61">
        <w:t xml:space="preserve">FKD; GBL; CT; OU; XBD; IFE; </w:t>
      </w:r>
      <w:r w:rsidRPr="001C3C5F">
        <w:t>IET</w:t>
      </w:r>
      <w:r w:rsidRPr="003C4B61">
        <w:t>; OX; KT</w:t>
      </w:r>
      <w:r w:rsidR="00F06886">
        <w:t>: s</w:t>
      </w:r>
      <w:r w:rsidRPr="00F06886">
        <w:t>ee Table B.2</w:t>
      </w:r>
      <w:r w:rsidRPr="003C4B61">
        <w:rPr>
          <w:rFonts w:cs="Times New Roman"/>
          <w:sz w:val="18"/>
          <w:szCs w:val="18"/>
        </w:rPr>
        <w:t xml:space="preserve"> </w:t>
      </w:r>
      <w:r w:rsidRPr="003C4B61">
        <w:t xml:space="preserve">in </w:t>
      </w:r>
      <w:r w:rsidRPr="00C36293">
        <w:rPr>
          <w:b/>
          <w:bCs/>
        </w:rPr>
        <w:t>Appendix B</w:t>
      </w:r>
      <w:r>
        <w:t>.</w:t>
      </w:r>
    </w:p>
  </w:footnote>
  <w:footnote w:id="207">
    <w:p w14:paraId="0CD76B77" w14:textId="2C88C9C5" w:rsidR="00BD7D81" w:rsidRDefault="00BD7D81">
      <w:pPr>
        <w:pStyle w:val="FootnoteText"/>
      </w:pPr>
      <w:r>
        <w:rPr>
          <w:rStyle w:val="FootnoteReference"/>
        </w:rPr>
        <w:footnoteRef/>
      </w:r>
      <w:r>
        <w:t xml:space="preserve"> </w:t>
      </w:r>
      <w:r w:rsidRPr="003C4B61">
        <w:t>CT</w:t>
      </w:r>
      <w:r w:rsidR="00F06886">
        <w:t xml:space="preserve">: </w:t>
      </w:r>
      <w:r w:rsidR="00F06886" w:rsidRPr="00F06886">
        <w:t>s</w:t>
      </w:r>
      <w:r w:rsidRPr="00F06886">
        <w:t>ee Table B.2</w:t>
      </w:r>
      <w:r w:rsidRPr="003C4B61">
        <w:rPr>
          <w:rFonts w:cs="Times New Roman"/>
          <w:sz w:val="18"/>
          <w:szCs w:val="18"/>
        </w:rPr>
        <w:t xml:space="preserve"> </w:t>
      </w:r>
      <w:r w:rsidRPr="003C4B61">
        <w:t xml:space="preserve">in </w:t>
      </w:r>
      <w:r w:rsidRPr="00C36293">
        <w:rPr>
          <w:b/>
          <w:bCs/>
        </w:rPr>
        <w:t>Appendix B</w:t>
      </w:r>
      <w:r>
        <w:t>.</w:t>
      </w:r>
    </w:p>
  </w:footnote>
  <w:footnote w:id="208">
    <w:p w14:paraId="6A5D4233" w14:textId="630716E1" w:rsidR="00BD7D81" w:rsidRDefault="00BD7D81">
      <w:pPr>
        <w:pStyle w:val="FootnoteText"/>
      </w:pPr>
      <w:r>
        <w:rPr>
          <w:rStyle w:val="FootnoteReference"/>
        </w:rPr>
        <w:footnoteRef/>
      </w:r>
      <w:r>
        <w:t xml:space="preserve"> </w:t>
      </w:r>
      <w:r w:rsidRPr="003C4B61">
        <w:t>XBD</w:t>
      </w:r>
      <w:r w:rsidR="00B51E9D">
        <w:t>: s</w:t>
      </w:r>
      <w:r w:rsidRPr="003C4B61">
        <w:t xml:space="preserve">ee </w:t>
      </w:r>
      <w:r w:rsidRPr="00B23712">
        <w:t>Table B.2</w:t>
      </w:r>
      <w:r w:rsidRPr="003C4B61">
        <w:rPr>
          <w:rFonts w:cs="Times New Roman"/>
          <w:sz w:val="18"/>
          <w:szCs w:val="18"/>
        </w:rPr>
        <w:t xml:space="preserve"> </w:t>
      </w:r>
      <w:r w:rsidRPr="003C4B61">
        <w:t xml:space="preserve">in </w:t>
      </w:r>
      <w:r w:rsidRPr="0063204C">
        <w:rPr>
          <w:b/>
          <w:bCs/>
        </w:rPr>
        <w:t>Appendix B</w:t>
      </w:r>
      <w:r w:rsidRPr="00C36293">
        <w:t>.</w:t>
      </w:r>
    </w:p>
  </w:footnote>
  <w:footnote w:id="209">
    <w:p w14:paraId="3A9530D2" w14:textId="7590FBCC" w:rsidR="00BD7D81" w:rsidRDefault="00BD7D81">
      <w:pPr>
        <w:pStyle w:val="FootnoteText"/>
      </w:pPr>
      <w:r>
        <w:rPr>
          <w:rStyle w:val="FootnoteReference"/>
        </w:rPr>
        <w:footnoteRef/>
      </w:r>
      <w:r>
        <w:t xml:space="preserve"> </w:t>
      </w:r>
      <w:r w:rsidRPr="003C4B61">
        <w:t>HBI</w:t>
      </w:r>
      <w:r w:rsidR="00B51E9D">
        <w:t>: s</w:t>
      </w:r>
      <w:r w:rsidRPr="003C4B61">
        <w:t xml:space="preserve">ee </w:t>
      </w:r>
      <w:r w:rsidRPr="00B23712">
        <w:t>Table B.2</w:t>
      </w:r>
      <w:r w:rsidRPr="003C4B61">
        <w:rPr>
          <w:rFonts w:cs="Times New Roman"/>
          <w:sz w:val="18"/>
          <w:szCs w:val="18"/>
        </w:rPr>
        <w:t xml:space="preserve"> </w:t>
      </w:r>
      <w:r w:rsidRPr="003C4B61">
        <w:t xml:space="preserve">in </w:t>
      </w:r>
      <w:r w:rsidRPr="0063204C">
        <w:rPr>
          <w:b/>
          <w:bCs/>
        </w:rPr>
        <w:t>Appendix B</w:t>
      </w:r>
      <w:r>
        <w:t>.</w:t>
      </w:r>
    </w:p>
  </w:footnote>
  <w:footnote w:id="210">
    <w:p w14:paraId="6BC45A8C" w14:textId="06EA5B65" w:rsidR="00BD7D81" w:rsidRDefault="00BD7D81">
      <w:pPr>
        <w:pStyle w:val="FootnoteText"/>
      </w:pPr>
      <w:r>
        <w:rPr>
          <w:rStyle w:val="FootnoteReference"/>
        </w:rPr>
        <w:footnoteRef/>
      </w:r>
      <w:r>
        <w:t xml:space="preserve"> </w:t>
      </w:r>
      <w:r w:rsidR="00023FEA" w:rsidRPr="007A07D1">
        <w:t>FKD,</w:t>
      </w:r>
      <w:r w:rsidR="002A225F" w:rsidRPr="007A07D1">
        <w:t xml:space="preserve"> GBL,</w:t>
      </w:r>
      <w:r w:rsidR="00264D4F" w:rsidRPr="007A07D1">
        <w:t xml:space="preserve"> CT, </w:t>
      </w:r>
      <w:r w:rsidR="007A07D1" w:rsidRPr="007A07D1">
        <w:t xml:space="preserve">OU, </w:t>
      </w:r>
      <w:r w:rsidR="00264D4F" w:rsidRPr="007A07D1">
        <w:t xml:space="preserve">XBD, IFE, </w:t>
      </w:r>
      <w:r w:rsidR="00DD463B" w:rsidRPr="007A07D1">
        <w:t xml:space="preserve">SFK, KT, </w:t>
      </w:r>
      <w:r w:rsidR="002904A4" w:rsidRPr="007A07D1">
        <w:t>HBI</w:t>
      </w:r>
      <w:r w:rsidR="007A07D1">
        <w:t>: s</w:t>
      </w:r>
      <w:r>
        <w:t xml:space="preserve">ee </w:t>
      </w:r>
      <w:r w:rsidRPr="003C4B61">
        <w:t xml:space="preserve">Table </w:t>
      </w:r>
      <w:r>
        <w:t>B.2</w:t>
      </w:r>
      <w:r w:rsidRPr="003C4B61">
        <w:t xml:space="preserve"> in </w:t>
      </w:r>
      <w:r w:rsidRPr="00C36293">
        <w:rPr>
          <w:b/>
          <w:bCs/>
        </w:rPr>
        <w:t>Appendix B</w:t>
      </w:r>
      <w:r>
        <w:t>.</w:t>
      </w:r>
    </w:p>
  </w:footnote>
  <w:footnote w:id="211">
    <w:p w14:paraId="31921144" w14:textId="736DA937" w:rsidR="00BD7D81" w:rsidRDefault="00BD7D81">
      <w:pPr>
        <w:pStyle w:val="FootnoteText"/>
      </w:pPr>
      <w:r>
        <w:rPr>
          <w:rStyle w:val="FootnoteReference"/>
        </w:rPr>
        <w:footnoteRef/>
      </w:r>
      <w:r>
        <w:t xml:space="preserve"> </w:t>
      </w:r>
      <w:r w:rsidRPr="003C4B61">
        <w:t>OX</w:t>
      </w:r>
      <w:r w:rsidR="00B51E9D">
        <w:t>: s</w:t>
      </w:r>
      <w:r w:rsidRPr="003C4B61">
        <w:t xml:space="preserve">ee Table </w:t>
      </w:r>
      <w:r>
        <w:t>B.2</w:t>
      </w:r>
      <w:r w:rsidRPr="003C4B61">
        <w:t xml:space="preserve"> in </w:t>
      </w:r>
      <w:r w:rsidRPr="0063204C">
        <w:rPr>
          <w:b/>
          <w:bCs/>
        </w:rPr>
        <w:t>Appendix B</w:t>
      </w:r>
      <w:r w:rsidRPr="003C4B61">
        <w:t>.</w:t>
      </w:r>
    </w:p>
  </w:footnote>
  <w:footnote w:id="212">
    <w:p w14:paraId="0F121778" w14:textId="2F432B65" w:rsidR="00BD7D81" w:rsidRDefault="00BD7D81">
      <w:pPr>
        <w:pStyle w:val="FootnoteText"/>
      </w:pPr>
      <w:r>
        <w:rPr>
          <w:rStyle w:val="FootnoteReference"/>
        </w:rPr>
        <w:footnoteRef/>
      </w:r>
      <w:r>
        <w:t xml:space="preserve"> </w:t>
      </w:r>
      <w:r w:rsidRPr="003C4B61">
        <w:t>CT</w:t>
      </w:r>
      <w:r w:rsidR="007A07D1">
        <w:t xml:space="preserve"> (</w:t>
      </w:r>
      <w:r w:rsidR="00B51E9D">
        <w:t>s</w:t>
      </w:r>
      <w:r w:rsidRPr="003C4B61">
        <w:t>ee also OU</w:t>
      </w:r>
      <w:r w:rsidR="007A07D1">
        <w:t>): s</w:t>
      </w:r>
      <w:r w:rsidRPr="003C4B61">
        <w:t xml:space="preserve">ee Table </w:t>
      </w:r>
      <w:r>
        <w:t>B.2</w:t>
      </w:r>
      <w:r w:rsidRPr="003C4B61">
        <w:t xml:space="preserve"> in </w:t>
      </w:r>
      <w:r w:rsidRPr="0063204C">
        <w:rPr>
          <w:b/>
          <w:bCs/>
        </w:rPr>
        <w:t>Appendix B</w:t>
      </w:r>
      <w:r w:rsidRPr="003C4B61">
        <w:t>.</w:t>
      </w:r>
    </w:p>
  </w:footnote>
  <w:footnote w:id="213">
    <w:p w14:paraId="59E933E4" w14:textId="778A40FD" w:rsidR="00BD7D81" w:rsidRDefault="00BD7D81">
      <w:pPr>
        <w:pStyle w:val="FootnoteText"/>
      </w:pPr>
      <w:r>
        <w:rPr>
          <w:rStyle w:val="FootnoteReference"/>
        </w:rPr>
        <w:footnoteRef/>
      </w:r>
      <w:r>
        <w:t xml:space="preserve"> </w:t>
      </w:r>
      <w:r w:rsidRPr="003C4B61">
        <w:t>SFK</w:t>
      </w:r>
      <w:r w:rsidR="00B51E9D">
        <w:t>: s</w:t>
      </w:r>
      <w:r w:rsidRPr="003C4B61">
        <w:t xml:space="preserve">ee Table </w:t>
      </w:r>
      <w:r>
        <w:t>B.2</w:t>
      </w:r>
      <w:r w:rsidRPr="003C4B61">
        <w:t xml:space="preserve"> in </w:t>
      </w:r>
      <w:r w:rsidRPr="0063204C">
        <w:rPr>
          <w:b/>
          <w:bCs/>
        </w:rPr>
        <w:t>Appendix B</w:t>
      </w:r>
      <w:r w:rsidRPr="003C4B61">
        <w:t>.</w:t>
      </w:r>
    </w:p>
  </w:footnote>
  <w:footnote w:id="214">
    <w:p w14:paraId="4D7C19B6" w14:textId="4AE6FD28" w:rsidR="00BD7D81" w:rsidRDefault="00BD7D81">
      <w:pPr>
        <w:pStyle w:val="FootnoteText"/>
      </w:pPr>
      <w:r>
        <w:rPr>
          <w:rStyle w:val="FootnoteReference"/>
        </w:rPr>
        <w:footnoteRef/>
      </w:r>
      <w:r>
        <w:t xml:space="preserve"> </w:t>
      </w:r>
      <w:r w:rsidRPr="003C4B61">
        <w:t>See</w:t>
      </w:r>
      <w:r w:rsidR="00B51E9D">
        <w:t>,</w:t>
      </w:r>
      <w:r w:rsidRPr="003C4B61">
        <w:t xml:space="preserve"> eg, OX, FKD, GBL, CT, OU, XBD, </w:t>
      </w:r>
      <w:r w:rsidRPr="001C3C5F">
        <w:t>IET</w:t>
      </w:r>
      <w:r w:rsidRPr="003C4B61">
        <w:t>, HBI, KT</w:t>
      </w:r>
      <w:r w:rsidR="00B51E9D">
        <w:t>: s</w:t>
      </w:r>
      <w:r w:rsidRPr="003C4B61">
        <w:t xml:space="preserve">ee Table </w:t>
      </w:r>
      <w:r>
        <w:t>B.2</w:t>
      </w:r>
      <w:r w:rsidRPr="003C4B61">
        <w:t xml:space="preserve"> in </w:t>
      </w:r>
      <w:r w:rsidRPr="0063204C">
        <w:rPr>
          <w:b/>
          <w:bCs/>
        </w:rPr>
        <w:t>Appendix B</w:t>
      </w:r>
      <w:r w:rsidRPr="003C4B61">
        <w:t>.</w:t>
      </w:r>
    </w:p>
  </w:footnote>
  <w:footnote w:id="215">
    <w:p w14:paraId="606BE7FE" w14:textId="5B9DAC47" w:rsidR="00BD7D81" w:rsidRDefault="00BD7D81">
      <w:pPr>
        <w:pStyle w:val="FootnoteText"/>
      </w:pPr>
      <w:r>
        <w:rPr>
          <w:rStyle w:val="FootnoteReference"/>
        </w:rPr>
        <w:footnoteRef/>
      </w:r>
      <w:r>
        <w:t xml:space="preserve"> </w:t>
      </w:r>
      <w:r w:rsidRPr="003C4B61">
        <w:t>See</w:t>
      </w:r>
      <w:r w:rsidR="00B51E9D">
        <w:t>,</w:t>
      </w:r>
      <w:r w:rsidRPr="003C4B61">
        <w:t xml:space="preserve"> eg, OX and KT</w:t>
      </w:r>
      <w:r w:rsidR="00B51E9D">
        <w:t>: s</w:t>
      </w:r>
      <w:r w:rsidRPr="003C4B61">
        <w:t xml:space="preserve">ee Table </w:t>
      </w:r>
      <w:r>
        <w:t>B.2</w:t>
      </w:r>
      <w:r w:rsidRPr="003C4B61">
        <w:t xml:space="preserve"> in </w:t>
      </w:r>
      <w:r w:rsidRPr="0063204C">
        <w:rPr>
          <w:b/>
          <w:bCs/>
        </w:rPr>
        <w:t>Appendix B</w:t>
      </w:r>
      <w:r w:rsidRPr="003C4B61">
        <w:t>.</w:t>
      </w:r>
    </w:p>
  </w:footnote>
  <w:footnote w:id="216">
    <w:p w14:paraId="22985586" w14:textId="5BD36C79" w:rsidR="00BD7D81" w:rsidRDefault="00BD7D81">
      <w:pPr>
        <w:pStyle w:val="FootnoteText"/>
      </w:pPr>
      <w:r>
        <w:rPr>
          <w:rStyle w:val="FootnoteReference"/>
        </w:rPr>
        <w:footnoteRef/>
      </w:r>
      <w:r>
        <w:t xml:space="preserve"> </w:t>
      </w:r>
      <w:r w:rsidRPr="003C4B61">
        <w:t>FKD</w:t>
      </w:r>
      <w:r w:rsidR="00B51E9D">
        <w:t>: s</w:t>
      </w:r>
      <w:r w:rsidRPr="003C4B61">
        <w:t xml:space="preserve">ee Table </w:t>
      </w:r>
      <w:r>
        <w:t>B.2</w:t>
      </w:r>
      <w:r w:rsidRPr="003C4B61">
        <w:t xml:space="preserve"> in </w:t>
      </w:r>
      <w:r w:rsidRPr="0063204C">
        <w:rPr>
          <w:b/>
          <w:bCs/>
        </w:rPr>
        <w:t>Appendix B</w:t>
      </w:r>
      <w:r w:rsidRPr="003C4B61">
        <w:t>.</w:t>
      </w:r>
    </w:p>
  </w:footnote>
  <w:footnote w:id="217">
    <w:p w14:paraId="35D8CDB2" w14:textId="05D42B23" w:rsidR="006E2999" w:rsidRDefault="006E2999" w:rsidP="001C3C5F">
      <w:pPr>
        <w:pStyle w:val="FootnoteText"/>
      </w:pPr>
      <w:r>
        <w:rPr>
          <w:rStyle w:val="FootnoteReference"/>
        </w:rPr>
        <w:footnoteRef/>
      </w:r>
      <w:r>
        <w:t xml:space="preserve"> </w:t>
      </w:r>
      <w:r w:rsidRPr="003C4B61">
        <w:t xml:space="preserve">See Table </w:t>
      </w:r>
      <w:r w:rsidR="007B6AB6">
        <w:t>B.2</w:t>
      </w:r>
      <w:r w:rsidR="007B6AB6" w:rsidRPr="003C4B61">
        <w:t xml:space="preserve"> in </w:t>
      </w:r>
      <w:r w:rsidR="007B6AB6" w:rsidRPr="0063204C">
        <w:rPr>
          <w:b/>
          <w:bCs/>
        </w:rPr>
        <w:t>Appendix B</w:t>
      </w:r>
      <w:r>
        <w:t>.</w:t>
      </w:r>
    </w:p>
  </w:footnote>
  <w:footnote w:id="218">
    <w:p w14:paraId="26D1BC70" w14:textId="66352BA7" w:rsidR="007C3DA6" w:rsidRDefault="007C3DA6" w:rsidP="007C3DA6">
      <w:pPr>
        <w:pStyle w:val="FootnoteText"/>
      </w:pPr>
      <w:r>
        <w:rPr>
          <w:rStyle w:val="FootnoteReference"/>
        </w:rPr>
        <w:footnoteRef/>
      </w:r>
      <w:r>
        <w:t xml:space="preserve"> </w:t>
      </w:r>
      <w:r w:rsidR="00F049F7" w:rsidRPr="00D715B3">
        <w:rPr>
          <w:rFonts w:cs="Times New Roman"/>
        </w:rPr>
        <w:t>Fernando (n 27)</w:t>
      </w:r>
      <w:r w:rsidR="00F049F7">
        <w:rPr>
          <w:rFonts w:cs="Times New Roman"/>
        </w:rPr>
        <w:t xml:space="preserve">. </w:t>
      </w:r>
      <w:r>
        <w:t xml:space="preserve">The study was undertaken to explore the concept of voluntariness as a safeguard in the context of voluntary assisted dying under </w:t>
      </w:r>
      <w:r w:rsidRPr="002A74B0">
        <w:rPr>
          <w:i/>
          <w:iCs/>
        </w:rPr>
        <w:t>the End-of-Life Choices (Voluntary Assisted Dying Act 2021</w:t>
      </w:r>
      <w:r>
        <w:t xml:space="preserve"> (Tas).</w:t>
      </w:r>
    </w:p>
  </w:footnote>
  <w:footnote w:id="219">
    <w:p w14:paraId="2C64B8FA" w14:textId="48446ECD" w:rsidR="00694DD0" w:rsidRDefault="00694DD0" w:rsidP="001C3C5F">
      <w:pPr>
        <w:pStyle w:val="FootnoteText"/>
      </w:pPr>
      <w:r>
        <w:rPr>
          <w:rStyle w:val="FootnoteReference"/>
        </w:rPr>
        <w:footnoteRef/>
      </w:r>
      <w:r>
        <w:t xml:space="preserve"> </w:t>
      </w:r>
      <w:r w:rsidR="00695DB4" w:rsidRPr="00D715B3">
        <w:rPr>
          <w:rFonts w:cs="Times New Roman"/>
        </w:rPr>
        <w:t>Fernando (n 27)</w:t>
      </w:r>
      <w:r w:rsidR="00695DB4">
        <w:rPr>
          <w:rFonts w:cs="Times New Roman"/>
        </w:rPr>
        <w:t xml:space="preserve"> </w:t>
      </w:r>
      <w:r>
        <w:t>67–86</w:t>
      </w:r>
      <w:r w:rsidR="00695DB4">
        <w:t xml:space="preserve"> (summary of </w:t>
      </w:r>
      <w:r w:rsidR="00175459">
        <w:t xml:space="preserve">the 15 </w:t>
      </w:r>
      <w:r w:rsidR="00695DB4">
        <w:t>cases)</w:t>
      </w:r>
      <w:r>
        <w:t xml:space="preserve">. </w:t>
      </w:r>
    </w:p>
  </w:footnote>
  <w:footnote w:id="220">
    <w:p w14:paraId="2F191C13" w14:textId="619C8B26" w:rsidR="00694DD0" w:rsidRDefault="00694DD0" w:rsidP="001C3C5F">
      <w:pPr>
        <w:pStyle w:val="FootnoteText"/>
      </w:pPr>
      <w:r>
        <w:rPr>
          <w:rStyle w:val="FootnoteReference"/>
        </w:rPr>
        <w:footnoteRef/>
      </w:r>
      <w:r>
        <w:t xml:space="preserve"> </w:t>
      </w:r>
      <w:r w:rsidR="00695DB4">
        <w:t>Ibid</w:t>
      </w:r>
      <w:r w:rsidR="00511D34">
        <w:t xml:space="preserve"> </w:t>
      </w:r>
      <w:r w:rsidR="00745494">
        <w:t>55–8</w:t>
      </w:r>
      <w:r w:rsidR="00AB4AE8">
        <w:t xml:space="preserve">. </w:t>
      </w:r>
      <w:r w:rsidR="00AB68A7">
        <w:t xml:space="preserve">Undue influence </w:t>
      </w:r>
      <w:r w:rsidR="00745494">
        <w:t>originates in equity</w:t>
      </w:r>
      <w:r w:rsidR="00AB68A7">
        <w:t xml:space="preserve"> </w:t>
      </w:r>
      <w:r w:rsidR="00CC2EFB">
        <w:t xml:space="preserve">and is generally applied as a concept in the area of </w:t>
      </w:r>
      <w:r w:rsidR="00AB68A7">
        <w:t>contract</w:t>
      </w:r>
      <w:r w:rsidR="00CC2EFB">
        <w:t>s and family law</w:t>
      </w:r>
      <w:r w:rsidR="0047049B">
        <w:t>, with two forms of undue influence recognised: ‘equitable undue influence’ and probate undue influence</w:t>
      </w:r>
      <w:r w:rsidR="007D378D">
        <w:t xml:space="preserve">. It refers to </w:t>
      </w:r>
      <w:r w:rsidR="00F57B30">
        <w:t xml:space="preserve">where </w:t>
      </w:r>
      <w:r w:rsidR="00BE7037">
        <w:t xml:space="preserve">the will </w:t>
      </w:r>
      <w:r w:rsidR="00113E1E">
        <w:t xml:space="preserve">or consent </w:t>
      </w:r>
      <w:r w:rsidR="00BE7037">
        <w:t xml:space="preserve">of a person is overborne </w:t>
      </w:r>
      <w:r w:rsidR="0089380B">
        <w:t xml:space="preserve">by the conduct of another such that a legal decision is not the exercise of ‘independent and voluntary’ will: </w:t>
      </w:r>
      <w:r w:rsidR="00FA77FD" w:rsidRPr="00511D34">
        <w:rPr>
          <w:i/>
          <w:iCs/>
        </w:rPr>
        <w:t>Garcia v National Bank Limited</w:t>
      </w:r>
      <w:r w:rsidR="00FA77FD">
        <w:t xml:space="preserve"> (1998) 194 CLRC 395</w:t>
      </w:r>
      <w:r w:rsidR="00264D63">
        <w:t xml:space="preserve">, </w:t>
      </w:r>
      <w:r w:rsidR="00264D63" w:rsidRPr="00264D63">
        <w:t xml:space="preserve">402 </w:t>
      </w:r>
      <w:r w:rsidR="00C902DD" w:rsidRPr="00264D63">
        <w:t>[12], citing</w:t>
      </w:r>
      <w:r w:rsidR="00C902DD">
        <w:t xml:space="preserve"> </w:t>
      </w:r>
      <w:r w:rsidR="00AA5165" w:rsidRPr="00AA5165">
        <w:rPr>
          <w:i/>
          <w:iCs/>
        </w:rPr>
        <w:t>Commercial Bank of Australia v Amadio</w:t>
      </w:r>
      <w:r w:rsidR="00AA5165">
        <w:t xml:space="preserve"> (1983) 151 CLR 447, 461.</w:t>
      </w:r>
      <w:r w:rsidR="00C66AC6">
        <w:t xml:space="preserve"> See also, </w:t>
      </w:r>
      <w:r w:rsidR="00C66AC6" w:rsidRPr="00C66AC6">
        <w:rPr>
          <w:i/>
          <w:iCs/>
        </w:rPr>
        <w:t>Guild v Stasnik</w:t>
      </w:r>
      <w:r w:rsidR="00C66AC6">
        <w:t xml:space="preserve"> [2020] 63 Fam CR 322.</w:t>
      </w:r>
    </w:p>
  </w:footnote>
  <w:footnote w:id="221">
    <w:p w14:paraId="7156C2CA" w14:textId="28016337" w:rsidR="00694DD0" w:rsidRDefault="00694DD0" w:rsidP="001C3C5F">
      <w:pPr>
        <w:pStyle w:val="FootnoteText"/>
      </w:pPr>
      <w:r>
        <w:rPr>
          <w:rStyle w:val="FootnoteReference"/>
        </w:rPr>
        <w:footnoteRef/>
      </w:r>
      <w:r>
        <w:t xml:space="preserve"> </w:t>
      </w:r>
      <w:r w:rsidR="00AB4AE8">
        <w:t xml:space="preserve">See </w:t>
      </w:r>
      <w:r w:rsidR="00695DB4" w:rsidRPr="00D715B3">
        <w:rPr>
          <w:rFonts w:cs="Times New Roman"/>
        </w:rPr>
        <w:t>Fernando (n 27)</w:t>
      </w:r>
      <w:r w:rsidR="00695DB4">
        <w:rPr>
          <w:rFonts w:cs="Times New Roman"/>
        </w:rPr>
        <w:t xml:space="preserve"> </w:t>
      </w:r>
      <w:r w:rsidR="00AB4AE8">
        <w:t>53</w:t>
      </w:r>
      <w:r w:rsidR="00C66AC6">
        <w:t>–5.</w:t>
      </w:r>
      <w:r w:rsidR="00AB4AE8">
        <w:t xml:space="preserve"> </w:t>
      </w:r>
      <w:r w:rsidR="008E6565">
        <w:t>Dishonesty i</w:t>
      </w:r>
      <w:r w:rsidR="00916DC1">
        <w:t xml:space="preserve">s normally associated with property offences, </w:t>
      </w:r>
      <w:r w:rsidR="00BB2979">
        <w:t xml:space="preserve">ordinarily </w:t>
      </w:r>
      <w:r w:rsidR="00916DC1">
        <w:t xml:space="preserve">referring to the </w:t>
      </w:r>
      <w:r w:rsidR="002B31C7">
        <w:t>conduct of a person with regard to the current standards of ‘ordinary and decent people</w:t>
      </w:r>
      <w:r w:rsidR="00470426">
        <w:t xml:space="preserve">’ (R v Feely [1973] QB 530, 537); however, </w:t>
      </w:r>
      <w:r w:rsidR="006903F0">
        <w:t>dishonesty also has a meaning in a ‘</w:t>
      </w:r>
      <w:r w:rsidR="00470426">
        <w:t xml:space="preserve">special </w:t>
      </w:r>
      <w:r w:rsidR="00BB2979">
        <w:t>sense</w:t>
      </w:r>
      <w:r w:rsidR="006903F0">
        <w:t xml:space="preserve">’, in particular contexts for example, </w:t>
      </w:r>
      <w:r w:rsidR="00BD3FFC">
        <w:t xml:space="preserve">dishonest behaviour </w:t>
      </w:r>
      <w:r w:rsidR="00550AA0">
        <w:t xml:space="preserve">with regard to </w:t>
      </w:r>
      <w:r w:rsidR="00BD3FFC">
        <w:t>a person</w:t>
      </w:r>
      <w:r w:rsidR="009A5580">
        <w:t xml:space="preserve">’s </w:t>
      </w:r>
      <w:r w:rsidR="003C0F1D">
        <w:t xml:space="preserve">belief </w:t>
      </w:r>
      <w:r w:rsidR="00550AA0">
        <w:t>as to whether</w:t>
      </w:r>
      <w:r w:rsidR="003C0F1D">
        <w:t xml:space="preserve"> he or she had a legal right </w:t>
      </w:r>
      <w:r w:rsidR="003F64D8">
        <w:t xml:space="preserve">to a financial advantage </w:t>
      </w:r>
      <w:r w:rsidR="009A5580">
        <w:t xml:space="preserve">or deliberate or intentional behaviour </w:t>
      </w:r>
      <w:r w:rsidR="00062A3F">
        <w:t xml:space="preserve">in making a false document knowing it to be false: see </w:t>
      </w:r>
      <w:r w:rsidR="003F64D8" w:rsidRPr="003F64D8">
        <w:rPr>
          <w:i/>
          <w:iCs/>
        </w:rPr>
        <w:t>R v Todo</w:t>
      </w:r>
      <w:r w:rsidR="003F64D8">
        <w:t xml:space="preserve"> (2004) 10 VR 244; </w:t>
      </w:r>
      <w:r w:rsidR="003F64D8" w:rsidRPr="003F64D8">
        <w:rPr>
          <w:i/>
          <w:iCs/>
        </w:rPr>
        <w:t>Director of Public Prosecutions (Cth) v Gerathy</w:t>
      </w:r>
      <w:r w:rsidR="003F64D8">
        <w:t xml:space="preserve"> (Ruling) [2018] VSC 255.</w:t>
      </w:r>
    </w:p>
  </w:footnote>
  <w:footnote w:id="222">
    <w:p w14:paraId="2A23CA58" w14:textId="45A476D0" w:rsidR="00D840C6" w:rsidRDefault="00D840C6" w:rsidP="001C3C5F">
      <w:pPr>
        <w:pStyle w:val="FootnoteText"/>
      </w:pPr>
      <w:r>
        <w:rPr>
          <w:rStyle w:val="FootnoteReference"/>
        </w:rPr>
        <w:footnoteRef/>
      </w:r>
      <w:r>
        <w:t xml:space="preserve"> See </w:t>
      </w:r>
      <w:r w:rsidR="00AD33A3">
        <w:t>[3.3.</w:t>
      </w:r>
      <w:r w:rsidR="005317D3">
        <w:t>2</w:t>
      </w:r>
      <w:r w:rsidR="00AD33A3">
        <w:t>8].</w:t>
      </w:r>
    </w:p>
  </w:footnote>
  <w:footnote w:id="223">
    <w:p w14:paraId="5C0CF19F" w14:textId="0D4D19DB" w:rsidR="00F27BA2" w:rsidRDefault="00F27BA2" w:rsidP="001C3C5F">
      <w:pPr>
        <w:pStyle w:val="FootnoteText"/>
      </w:pPr>
      <w:r>
        <w:rPr>
          <w:rStyle w:val="FootnoteReference"/>
        </w:rPr>
        <w:footnoteRef/>
      </w:r>
      <w:r>
        <w:t xml:space="preserve"> </w:t>
      </w:r>
      <w:r w:rsidR="00695DB4" w:rsidRPr="00D715B3">
        <w:rPr>
          <w:rFonts w:cs="Times New Roman"/>
        </w:rPr>
        <w:t>Fernando (n 27)</w:t>
      </w:r>
      <w:r w:rsidR="00695DB4">
        <w:rPr>
          <w:rFonts w:cs="Times New Roman"/>
        </w:rPr>
        <w:t xml:space="preserve"> </w:t>
      </w:r>
      <w:r w:rsidRPr="001C3C5F">
        <w:t>88</w:t>
      </w:r>
      <w:r>
        <w:t>–98.</w:t>
      </w:r>
    </w:p>
  </w:footnote>
  <w:footnote w:id="224">
    <w:p w14:paraId="04B0BC0E" w14:textId="44C73F96" w:rsidR="009548DB" w:rsidRDefault="009548DB">
      <w:pPr>
        <w:pStyle w:val="FootnoteText"/>
      </w:pPr>
      <w:r>
        <w:rPr>
          <w:rStyle w:val="FootnoteReference"/>
        </w:rPr>
        <w:footnoteRef/>
      </w:r>
      <w:r>
        <w:t xml:space="preserve"> Tasmanian Government, </w:t>
      </w:r>
      <w:r w:rsidRPr="006A13DE">
        <w:rPr>
          <w:i/>
          <w:iCs/>
        </w:rPr>
        <w:t>Protecting Older Tasmanians from Abuse: Tasmania’s Elder Abuse Prevention Strategy</w:t>
      </w:r>
      <w:r>
        <w:t xml:space="preserve"> (January 2011).</w:t>
      </w:r>
    </w:p>
  </w:footnote>
  <w:footnote w:id="225">
    <w:p w14:paraId="18C0EE22" w14:textId="122980FB" w:rsidR="00BC0D33" w:rsidRPr="008E12D2" w:rsidRDefault="00BC0D33">
      <w:pPr>
        <w:pStyle w:val="FootnoteText"/>
      </w:pPr>
      <w:r>
        <w:rPr>
          <w:rStyle w:val="FootnoteReference"/>
        </w:rPr>
        <w:footnoteRef/>
      </w:r>
      <w:r>
        <w:t xml:space="preserve"> </w:t>
      </w:r>
      <w:r w:rsidR="008E12D2">
        <w:t xml:space="preserve">Tasmanian Government (Department of Communities Tasmania), </w:t>
      </w:r>
      <w:r w:rsidR="008E12D2" w:rsidRPr="008E12D2">
        <w:rPr>
          <w:i/>
          <w:iCs/>
        </w:rPr>
        <w:t>Respect and Protect Older Tasmanians: Tasmania’s Elder Abuse Prevention Strategy 2019–2022</w:t>
      </w:r>
      <w:r w:rsidR="008E12D2">
        <w:t xml:space="preserve"> (</w:t>
      </w:r>
      <w:r w:rsidR="007D62AC">
        <w:t>June 2019)</w:t>
      </w:r>
      <w:r w:rsidR="008A2684">
        <w:t xml:space="preserve"> (‘Tasmanian Government, </w:t>
      </w:r>
      <w:r w:rsidR="008A2684" w:rsidRPr="008E12D2">
        <w:rPr>
          <w:i/>
          <w:iCs/>
        </w:rPr>
        <w:t>Respect and Protect</w:t>
      </w:r>
      <w:r w:rsidR="008A2684">
        <w:t>’)</w:t>
      </w:r>
      <w:r w:rsidR="007D62AC">
        <w:t>.</w:t>
      </w:r>
    </w:p>
  </w:footnote>
  <w:footnote w:id="226">
    <w:p w14:paraId="47B8445B" w14:textId="137E5977" w:rsidR="00BC0D33" w:rsidRDefault="00BC0D33">
      <w:pPr>
        <w:pStyle w:val="FootnoteText"/>
      </w:pPr>
      <w:r>
        <w:rPr>
          <w:rStyle w:val="FootnoteReference"/>
        </w:rPr>
        <w:footnoteRef/>
      </w:r>
      <w:r>
        <w:t xml:space="preserve"> </w:t>
      </w:r>
      <w:r w:rsidR="00004430" w:rsidRPr="00004430">
        <w:t xml:space="preserve">Tasmanian Government, </w:t>
      </w:r>
      <w:r w:rsidR="00004430" w:rsidRPr="00004430">
        <w:rPr>
          <w:i/>
          <w:iCs/>
        </w:rPr>
        <w:t>Lifelong Respect Strategy 2023–2029</w:t>
      </w:r>
      <w:r w:rsidR="00004430" w:rsidRPr="00004430">
        <w:t xml:space="preserve"> (n 19).</w:t>
      </w:r>
    </w:p>
  </w:footnote>
  <w:footnote w:id="227">
    <w:p w14:paraId="1B43146C" w14:textId="2CDD1A18" w:rsidR="001D1B53" w:rsidRDefault="001D1B53">
      <w:pPr>
        <w:pStyle w:val="FootnoteText"/>
      </w:pPr>
      <w:r>
        <w:rPr>
          <w:rStyle w:val="FootnoteReference"/>
        </w:rPr>
        <w:footnoteRef/>
      </w:r>
      <w:r>
        <w:t xml:space="preserve"> </w:t>
      </w:r>
      <w:r w:rsidR="00056CF6">
        <w:t>Ibid</w:t>
      </w:r>
      <w:r>
        <w:t xml:space="preserve"> </w:t>
      </w:r>
      <w:r w:rsidRPr="003C4B61">
        <w:t xml:space="preserve">13. See further </w:t>
      </w:r>
      <w:r w:rsidRPr="001373BC">
        <w:rPr>
          <w:b/>
          <w:bCs/>
        </w:rPr>
        <w:t xml:space="preserve">Part </w:t>
      </w:r>
      <w:r w:rsidR="001373BC" w:rsidRPr="001373BC">
        <w:rPr>
          <w:b/>
          <w:bCs/>
        </w:rPr>
        <w:t>3</w:t>
      </w:r>
      <w:r w:rsidRPr="003C4B61">
        <w:t xml:space="preserve"> at [</w:t>
      </w:r>
      <w:r w:rsidR="001373BC">
        <w:t>3.4</w:t>
      </w:r>
      <w:r w:rsidRPr="003C4B61">
        <w:t xml:space="preserve">]. </w:t>
      </w:r>
    </w:p>
  </w:footnote>
  <w:footnote w:id="228">
    <w:p w14:paraId="6B867243" w14:textId="2DDA8148" w:rsidR="001D1B53" w:rsidRDefault="001D1B53">
      <w:pPr>
        <w:pStyle w:val="FootnoteText"/>
      </w:pPr>
      <w:r>
        <w:rPr>
          <w:rStyle w:val="FootnoteReference"/>
        </w:rPr>
        <w:footnoteRef/>
      </w:r>
      <w:r>
        <w:t xml:space="preserve"> </w:t>
      </w:r>
      <w:r w:rsidRPr="00D715B3">
        <w:rPr>
          <w:rFonts w:cs="Times New Roman"/>
        </w:rPr>
        <w:t xml:space="preserve">Tasmanian Government, </w:t>
      </w:r>
      <w:r w:rsidRPr="00D715B3">
        <w:rPr>
          <w:rFonts w:cs="Times New Roman"/>
          <w:i/>
          <w:iCs/>
        </w:rPr>
        <w:t>Action Plan 2025–2029</w:t>
      </w:r>
      <w:r w:rsidRPr="00D715B3">
        <w:rPr>
          <w:rFonts w:cs="Times New Roman"/>
        </w:rPr>
        <w:t xml:space="preserve"> (n 18)</w:t>
      </w:r>
      <w:r w:rsidRPr="003C4B61">
        <w:t>.</w:t>
      </w:r>
    </w:p>
  </w:footnote>
  <w:footnote w:id="229">
    <w:p w14:paraId="63C7DB08" w14:textId="0A42D79E" w:rsidR="001D1B53" w:rsidRDefault="001D1B53">
      <w:pPr>
        <w:pStyle w:val="FootnoteText"/>
      </w:pPr>
      <w:r>
        <w:rPr>
          <w:rStyle w:val="FootnoteReference"/>
        </w:rPr>
        <w:footnoteRef/>
      </w:r>
      <w:r>
        <w:t xml:space="preserve"> Ibid 32, 34</w:t>
      </w:r>
      <w:r w:rsidRPr="003C4B61">
        <w:t>.</w:t>
      </w:r>
    </w:p>
  </w:footnote>
  <w:footnote w:id="230">
    <w:p w14:paraId="68A4AB50" w14:textId="61152022" w:rsidR="001D1B53" w:rsidRDefault="001D1B53">
      <w:pPr>
        <w:pStyle w:val="FootnoteText"/>
      </w:pPr>
      <w:r>
        <w:rPr>
          <w:rStyle w:val="FootnoteReference"/>
        </w:rPr>
        <w:footnoteRef/>
      </w:r>
      <w:r>
        <w:t xml:space="preserve"> </w:t>
      </w:r>
      <w:r w:rsidRPr="003C4B61">
        <w:t xml:space="preserve">See </w:t>
      </w:r>
      <w:r w:rsidR="00362C29" w:rsidRPr="003C4B61">
        <w:t xml:space="preserve">further </w:t>
      </w:r>
      <w:r w:rsidR="00362C29" w:rsidRPr="001373BC">
        <w:rPr>
          <w:b/>
          <w:bCs/>
        </w:rPr>
        <w:t>Part 3</w:t>
      </w:r>
      <w:r w:rsidR="00362C29" w:rsidRPr="003C4B61">
        <w:t xml:space="preserve"> at [</w:t>
      </w:r>
      <w:r w:rsidR="00362C29">
        <w:t>3.4</w:t>
      </w:r>
      <w:r w:rsidR="00362C29" w:rsidRPr="003C4B61">
        <w:t>].</w:t>
      </w:r>
    </w:p>
  </w:footnote>
  <w:footnote w:id="231">
    <w:p w14:paraId="545CFB30" w14:textId="59FCDD2E" w:rsidR="000E0131" w:rsidRDefault="000E0131" w:rsidP="001C3C5F">
      <w:pPr>
        <w:pStyle w:val="FootnoteText"/>
      </w:pPr>
      <w:r>
        <w:rPr>
          <w:rStyle w:val="FootnoteReference"/>
        </w:rPr>
        <w:footnoteRef/>
      </w:r>
      <w:r>
        <w:t xml:space="preserve"> </w:t>
      </w:r>
      <w:r w:rsidR="00EC0C03" w:rsidRPr="00004430">
        <w:t xml:space="preserve">Tasmanian Government, </w:t>
      </w:r>
      <w:r w:rsidR="00EC0C03" w:rsidRPr="00004430">
        <w:rPr>
          <w:i/>
          <w:iCs/>
        </w:rPr>
        <w:t>Lifelong Respect Strategy 2023–2029</w:t>
      </w:r>
      <w:r w:rsidR="00EC0C03" w:rsidRPr="00004430">
        <w:t xml:space="preserve"> (n 19)</w:t>
      </w:r>
      <w:r w:rsidR="00EC0C03">
        <w:t xml:space="preserve"> 14.</w:t>
      </w:r>
      <w:r w:rsidR="00FB3DC3">
        <w:t xml:space="preserve"> See </w:t>
      </w:r>
      <w:r w:rsidR="00FB3DC3" w:rsidRPr="00C36293">
        <w:rPr>
          <w:b/>
          <w:bCs/>
        </w:rPr>
        <w:t xml:space="preserve">Appendix </w:t>
      </w:r>
      <w:r w:rsidR="007B6AB6" w:rsidRPr="00C36293">
        <w:rPr>
          <w:b/>
          <w:bCs/>
        </w:rPr>
        <w:t>C</w:t>
      </w:r>
      <w:r w:rsidR="007B6AB6">
        <w:t xml:space="preserve"> </w:t>
      </w:r>
      <w:r w:rsidR="00FB3DC3">
        <w:t>for a description of each principle.</w:t>
      </w:r>
    </w:p>
  </w:footnote>
  <w:footnote w:id="232">
    <w:p w14:paraId="11871560" w14:textId="6B6B161C" w:rsidR="007B3F12" w:rsidRPr="006F54AB" w:rsidRDefault="007B3F12" w:rsidP="009C0221">
      <w:pPr>
        <w:pStyle w:val="FootnoteText"/>
      </w:pPr>
      <w:r>
        <w:rPr>
          <w:rStyle w:val="FootnoteReference"/>
        </w:rPr>
        <w:footnoteRef/>
      </w:r>
      <w:r>
        <w:t xml:space="preserve"> </w:t>
      </w:r>
      <w:r w:rsidR="003B3AE8">
        <w:t xml:space="preserve">Department of Premier and Cabinet, </w:t>
      </w:r>
      <w:r w:rsidR="00240070">
        <w:t xml:space="preserve">Tasmanian Government, ‘Information for Service Providers’, </w:t>
      </w:r>
      <w:r w:rsidR="00240070">
        <w:rPr>
          <w:i/>
          <w:iCs/>
        </w:rPr>
        <w:t>Elder Abuse Tasmania</w:t>
      </w:r>
      <w:r w:rsidR="00633534">
        <w:rPr>
          <w:i/>
          <w:iCs/>
        </w:rPr>
        <w:t>: It’s OK to Ask the Question</w:t>
      </w:r>
      <w:r w:rsidR="00240070">
        <w:rPr>
          <w:i/>
          <w:iCs/>
        </w:rPr>
        <w:t xml:space="preserve"> </w:t>
      </w:r>
      <w:r w:rsidR="00633534">
        <w:t>(Web Page</w:t>
      </w:r>
      <w:r w:rsidR="00A242F4">
        <w:t>) &lt;</w:t>
      </w:r>
      <w:hyperlink r:id="rId45" w:history="1">
        <w:r w:rsidR="00CA3E8A" w:rsidRPr="006315CC">
          <w:rPr>
            <w:rStyle w:val="Hyperlink"/>
          </w:rPr>
          <w:t>https://www.elderabuse.tas.gov.au/information-for-service-providers</w:t>
        </w:r>
      </w:hyperlink>
      <w:r w:rsidR="00CA3E8A">
        <w:t xml:space="preserve">&gt;. </w:t>
      </w:r>
      <w:r w:rsidR="005A3BBE">
        <w:t xml:space="preserve">Regarding the </w:t>
      </w:r>
      <w:r w:rsidR="003947DA">
        <w:t>‘</w:t>
      </w:r>
      <w:r w:rsidR="004A4EF4" w:rsidRPr="003947DA">
        <w:t>United Nations Principles for Older Persons</w:t>
      </w:r>
      <w:r w:rsidR="003947DA">
        <w:t>’</w:t>
      </w:r>
      <w:r w:rsidR="005A3BBE">
        <w:t xml:space="preserve">, see </w:t>
      </w:r>
      <w:r w:rsidR="005A3BBE" w:rsidRPr="00E507F8">
        <w:rPr>
          <w:b/>
          <w:bCs/>
        </w:rPr>
        <w:t>Appendix D</w:t>
      </w:r>
      <w:r w:rsidR="00E53919" w:rsidRPr="00E53919">
        <w:t>.</w:t>
      </w:r>
      <w:r w:rsidR="00E53919">
        <w:t xml:space="preserve"> </w:t>
      </w:r>
      <w:r w:rsidR="00565E06">
        <w:t>Regarding</w:t>
      </w:r>
      <w:r w:rsidR="005A3BBE">
        <w:t xml:space="preserve"> the</w:t>
      </w:r>
      <w:r w:rsidR="00FC5295">
        <w:t xml:space="preserve"> </w:t>
      </w:r>
      <w:r w:rsidR="003947DA">
        <w:t>‘</w:t>
      </w:r>
      <w:r w:rsidR="00FC5295" w:rsidRPr="003947DA">
        <w:t xml:space="preserve">South Australian </w:t>
      </w:r>
      <w:r w:rsidR="003947DA">
        <w:t>Charter</w:t>
      </w:r>
      <w:r w:rsidR="00FC5295" w:rsidRPr="003947DA">
        <w:t xml:space="preserve"> of the Rights and Freedom</w:t>
      </w:r>
      <w:r w:rsidR="00A97046">
        <w:t>s</w:t>
      </w:r>
      <w:r w:rsidR="00FC5295" w:rsidRPr="003947DA">
        <w:t xml:space="preserve"> of Older People</w:t>
      </w:r>
      <w:r w:rsidR="003947DA">
        <w:t>’</w:t>
      </w:r>
      <w:r w:rsidR="00FC5295">
        <w:t xml:space="preserve"> </w:t>
      </w:r>
      <w:r w:rsidR="005A3BBE">
        <w:t xml:space="preserve">see: </w:t>
      </w:r>
      <w:r w:rsidR="008701D9">
        <w:t xml:space="preserve">Government of South Australia (Office for Ageing Well, SA Health), </w:t>
      </w:r>
      <w:r w:rsidR="008701D9">
        <w:rPr>
          <w:i/>
          <w:iCs/>
        </w:rPr>
        <w:t>Statement</w:t>
      </w:r>
      <w:r w:rsidR="008701D9" w:rsidRPr="00AE09FC">
        <w:rPr>
          <w:i/>
          <w:iCs/>
        </w:rPr>
        <w:t xml:space="preserve"> of the Rights and Freedom</w:t>
      </w:r>
      <w:r w:rsidR="00A97046">
        <w:rPr>
          <w:i/>
          <w:iCs/>
        </w:rPr>
        <w:t>s</w:t>
      </w:r>
      <w:r w:rsidR="008701D9" w:rsidRPr="00AE09FC">
        <w:rPr>
          <w:i/>
          <w:iCs/>
        </w:rPr>
        <w:t xml:space="preserve"> of Older People</w:t>
      </w:r>
      <w:r w:rsidR="008701D9">
        <w:t xml:space="preserve"> (</w:t>
      </w:r>
      <w:r w:rsidR="00637570">
        <w:t>9 July 2023) &lt;</w:t>
      </w:r>
      <w:hyperlink r:id="rId46" w:history="1">
        <w:r w:rsidR="00B84A2F" w:rsidRPr="00873F7A">
          <w:rPr>
            <w:rStyle w:val="Hyperlink"/>
          </w:rPr>
          <w:t>https://dhs.sa.gov.au/__data/assets/pdf_file/0018/180135/Statement-on-the-Rights-and-Freedoms-of-Older-South-Australians.pdf</w:t>
        </w:r>
      </w:hyperlink>
      <w:r w:rsidR="00637570">
        <w:t xml:space="preserve"> &gt;; </w:t>
      </w:r>
      <w:r w:rsidR="00A5008B">
        <w:t xml:space="preserve">Government of </w:t>
      </w:r>
      <w:r w:rsidR="00CA5BC9">
        <w:t>S</w:t>
      </w:r>
      <w:r w:rsidR="00A5008B">
        <w:t>outh Australia (</w:t>
      </w:r>
      <w:r w:rsidR="001F0AB1">
        <w:t xml:space="preserve">Office for Ageing Well, </w:t>
      </w:r>
      <w:r w:rsidR="00A5008B">
        <w:t xml:space="preserve">SA Health), </w:t>
      </w:r>
      <w:r w:rsidR="00A5008B" w:rsidRPr="006E2F6B">
        <w:rPr>
          <w:i/>
          <w:iCs/>
        </w:rPr>
        <w:t>Know Your Rights: A Guide to the Rights of Older Australians</w:t>
      </w:r>
      <w:r w:rsidR="00267204">
        <w:t xml:space="preserve"> </w:t>
      </w:r>
      <w:r w:rsidR="001F0AB1">
        <w:t xml:space="preserve">(February 2023) </w:t>
      </w:r>
      <w:r w:rsidR="00F47445">
        <w:t>&lt;</w:t>
      </w:r>
      <w:hyperlink r:id="rId47" w:history="1">
        <w:r w:rsidR="00627545" w:rsidRPr="008F4485">
          <w:rPr>
            <w:rStyle w:val="Hyperlink"/>
          </w:rPr>
          <w:t>https://dhs.sa.gov.au/__data/assets/pdf_file/0003/179481/Know-your-rights-A-guide-to-the-rights-of-older-South-Australians.pdf</w:t>
        </w:r>
      </w:hyperlink>
      <w:r w:rsidR="00F47445">
        <w:t>&gt;</w:t>
      </w:r>
      <w:r w:rsidR="00637570">
        <w:t xml:space="preserve">. </w:t>
      </w:r>
      <w:r w:rsidR="0058664A">
        <w:t>The</w:t>
      </w:r>
      <w:r w:rsidR="00690ECE">
        <w:t xml:space="preserve"> </w:t>
      </w:r>
      <w:r w:rsidR="00690ECE" w:rsidRPr="00472C27">
        <w:rPr>
          <w:i/>
          <w:iCs/>
        </w:rPr>
        <w:t>Ageing and Adult Safeguarding Act 1995</w:t>
      </w:r>
      <w:r w:rsidR="00690ECE">
        <w:t xml:space="preserve"> (SA) requires the </w:t>
      </w:r>
      <w:r w:rsidR="003F0742">
        <w:t xml:space="preserve">creation of </w:t>
      </w:r>
      <w:r w:rsidR="0058664A">
        <w:t xml:space="preserve">a </w:t>
      </w:r>
      <w:r w:rsidR="003947DA">
        <w:t>‘</w:t>
      </w:r>
      <w:r w:rsidR="00211757" w:rsidRPr="003947DA">
        <w:t>South Australian Charter of the Rights and Freedom</w:t>
      </w:r>
      <w:r w:rsidR="00934027">
        <w:t>s</w:t>
      </w:r>
      <w:r w:rsidR="00211757" w:rsidRPr="003947DA">
        <w:t xml:space="preserve"> of Vulnerable Adults</w:t>
      </w:r>
      <w:r w:rsidR="003947DA">
        <w:t>’</w:t>
      </w:r>
      <w:r w:rsidR="009D04B0">
        <w:t xml:space="preserve">, </w:t>
      </w:r>
      <w:r w:rsidR="003F0742">
        <w:t xml:space="preserve">with vulnerable adults defined </w:t>
      </w:r>
      <w:r w:rsidR="00111C92">
        <w:t xml:space="preserve"> as: ‘</w:t>
      </w:r>
      <w:r w:rsidR="009C0221">
        <w:t>an adult person who, by reason of age, ill health, disability, social isolation, dependence on others or other disadvantage, is vulnerable to abuse</w:t>
      </w:r>
      <w:r w:rsidR="00690ECE">
        <w:t>’:</w:t>
      </w:r>
      <w:r w:rsidR="00111C92">
        <w:t xml:space="preserve"> s</w:t>
      </w:r>
      <w:r w:rsidR="00472C27">
        <w:t xml:space="preserve">ee </w:t>
      </w:r>
      <w:r w:rsidR="00B36F5A" w:rsidRPr="00472C27">
        <w:rPr>
          <w:i/>
          <w:iCs/>
        </w:rPr>
        <w:t>Ageing and Adult Safeguarding Act 1995</w:t>
      </w:r>
      <w:r w:rsidR="00B36F5A">
        <w:t xml:space="preserve"> (SA) s</w:t>
      </w:r>
      <w:r w:rsidR="00111C92">
        <w:t>s 3,</w:t>
      </w:r>
      <w:r w:rsidR="00B36F5A">
        <w:t xml:space="preserve"> 20</w:t>
      </w:r>
      <w:r w:rsidR="00111C92">
        <w:t xml:space="preserve">; Adult Safeguarding Unit, </w:t>
      </w:r>
      <w:r w:rsidR="006F54AB" w:rsidRPr="00AE09FC">
        <w:rPr>
          <w:i/>
          <w:iCs/>
        </w:rPr>
        <w:t xml:space="preserve">South Australian </w:t>
      </w:r>
      <w:r w:rsidR="006F54AB">
        <w:rPr>
          <w:i/>
          <w:iCs/>
        </w:rPr>
        <w:t>Charter</w:t>
      </w:r>
      <w:r w:rsidR="006F54AB" w:rsidRPr="00AE09FC">
        <w:rPr>
          <w:i/>
          <w:iCs/>
        </w:rPr>
        <w:t xml:space="preserve"> of the Rights and Freedom</w:t>
      </w:r>
      <w:r w:rsidR="00460CEF">
        <w:rPr>
          <w:i/>
          <w:iCs/>
        </w:rPr>
        <w:t>s</w:t>
      </w:r>
      <w:r w:rsidR="006F54AB" w:rsidRPr="00AE09FC">
        <w:rPr>
          <w:i/>
          <w:iCs/>
        </w:rPr>
        <w:t xml:space="preserve"> of </w:t>
      </w:r>
      <w:r w:rsidR="006F54AB">
        <w:rPr>
          <w:i/>
          <w:iCs/>
        </w:rPr>
        <w:t>Vulnerable Adults</w:t>
      </w:r>
      <w:r w:rsidR="006F54AB">
        <w:t xml:space="preserve"> (11 October 2020) &lt;</w:t>
      </w:r>
      <w:hyperlink r:id="rId48" w:history="1">
        <w:r w:rsidR="000E7A70" w:rsidRPr="006315CC">
          <w:rPr>
            <w:rStyle w:val="Hyperlink"/>
          </w:rPr>
          <w:t>https://dhs.sa.gov.au/__data/assets/pdf_file/0008/179945/SA-Charter-of-the-Rights-and-Freedoms-of-Vulnerable-Adults.pdf</w:t>
        </w:r>
      </w:hyperlink>
      <w:r w:rsidR="000E7A70">
        <w:t>&gt;.</w:t>
      </w:r>
    </w:p>
  </w:footnote>
  <w:footnote w:id="233">
    <w:p w14:paraId="7C66693E" w14:textId="3640B157" w:rsidR="001E789E" w:rsidRDefault="001E789E">
      <w:pPr>
        <w:pStyle w:val="FootnoteText"/>
      </w:pPr>
      <w:r>
        <w:rPr>
          <w:rStyle w:val="FootnoteReference"/>
        </w:rPr>
        <w:footnoteRef/>
      </w:r>
      <w:r>
        <w:t xml:space="preserve"> </w:t>
      </w:r>
      <w:r w:rsidRPr="00D715B3">
        <w:rPr>
          <w:rFonts w:cs="Times New Roman"/>
        </w:rPr>
        <w:t>Qu et al, AIFS (n 56)</w:t>
      </w:r>
      <w:r>
        <w:rPr>
          <w:rFonts w:cs="Times New Roman"/>
        </w:rPr>
        <w:t xml:space="preserve"> </w:t>
      </w:r>
      <w:r w:rsidRPr="003C4B61">
        <w:t>1.</w:t>
      </w:r>
    </w:p>
  </w:footnote>
  <w:footnote w:id="234">
    <w:p w14:paraId="7D289865" w14:textId="7B372A75" w:rsidR="00FD650E" w:rsidRDefault="00FD650E">
      <w:pPr>
        <w:pStyle w:val="FootnoteText"/>
      </w:pPr>
      <w:r>
        <w:rPr>
          <w:rStyle w:val="FootnoteReference"/>
        </w:rPr>
        <w:footnoteRef/>
      </w:r>
      <w:r>
        <w:t xml:space="preserve"> </w:t>
      </w:r>
      <w:r w:rsidR="003210B3">
        <w:t xml:space="preserve">ALRC, </w:t>
      </w:r>
      <w:r w:rsidR="003210B3" w:rsidRPr="003210B3">
        <w:rPr>
          <w:i/>
          <w:iCs/>
        </w:rPr>
        <w:t>Elder Abuse</w:t>
      </w:r>
      <w:r>
        <w:t xml:space="preserve"> (n 6</w:t>
      </w:r>
      <w:r w:rsidRPr="003C4B61">
        <w:t>).</w:t>
      </w:r>
    </w:p>
  </w:footnote>
  <w:footnote w:id="235">
    <w:p w14:paraId="59CBC1FE" w14:textId="0F5A8C85" w:rsidR="004B05FA" w:rsidRDefault="004B05FA">
      <w:pPr>
        <w:pStyle w:val="FootnoteText"/>
      </w:pPr>
      <w:r>
        <w:rPr>
          <w:rStyle w:val="FootnoteReference"/>
        </w:rPr>
        <w:footnoteRef/>
      </w:r>
      <w:r>
        <w:t xml:space="preserve"> </w:t>
      </w:r>
      <w:r w:rsidR="00291F00" w:rsidRPr="00D715B3">
        <w:rPr>
          <w:rFonts w:eastAsia="Aptos" w:cs="Times New Roman"/>
        </w:rPr>
        <w:t xml:space="preserve">Council of Attorneys-General, </w:t>
      </w:r>
      <w:r w:rsidR="00291F00" w:rsidRPr="00D715B3">
        <w:rPr>
          <w:rFonts w:eastAsia="Aptos" w:cs="Times New Roman"/>
          <w:i/>
          <w:iCs/>
        </w:rPr>
        <w:t>National Plan 2019–2023</w:t>
      </w:r>
      <w:r w:rsidR="00291F00" w:rsidRPr="00D715B3">
        <w:rPr>
          <w:rFonts w:eastAsia="Aptos" w:cs="Times New Roman"/>
        </w:rPr>
        <w:t xml:space="preserve"> </w:t>
      </w:r>
      <w:r w:rsidR="00291F00" w:rsidRPr="00D715B3">
        <w:rPr>
          <w:rFonts w:cs="Times New Roman"/>
        </w:rPr>
        <w:t>(n 1)</w:t>
      </w:r>
      <w:r w:rsidR="00291F00">
        <w:rPr>
          <w:rFonts w:cs="Times New Roman"/>
        </w:rPr>
        <w:t xml:space="preserve"> </w:t>
      </w:r>
      <w:r w:rsidRPr="003C4B61">
        <w:t>10.</w:t>
      </w:r>
    </w:p>
  </w:footnote>
  <w:footnote w:id="236">
    <w:p w14:paraId="13DED54C" w14:textId="4A9DA0CA" w:rsidR="00291F00" w:rsidRDefault="00291F00">
      <w:pPr>
        <w:pStyle w:val="FootnoteText"/>
      </w:pPr>
      <w:r>
        <w:rPr>
          <w:rStyle w:val="FootnoteReference"/>
        </w:rPr>
        <w:footnoteRef/>
      </w:r>
      <w:r>
        <w:t xml:space="preserve"> </w:t>
      </w:r>
      <w:r w:rsidR="003A6A9E">
        <w:t xml:space="preserve">Jade McEwan et al, Australian Institute of Family Studies (‘AIFS’) </w:t>
      </w:r>
      <w:r w:rsidR="00613D85">
        <w:t>and Bianca Brijnath, Peter Feldman and Rachel Muoio, National Ageing Research Institute (‘NARI’)</w:t>
      </w:r>
      <w:r w:rsidR="00544B11">
        <w:t xml:space="preserve">, </w:t>
      </w:r>
      <w:r w:rsidR="00544B11" w:rsidRPr="00544B11">
        <w:rPr>
          <w:i/>
          <w:iCs/>
        </w:rPr>
        <w:t>Evaluation of the National Plan to Respond to the Abuse of Older Australians</w:t>
      </w:r>
      <w:r w:rsidR="00544B11">
        <w:t xml:space="preserve"> (Final Report, July 2024)</w:t>
      </w:r>
      <w:r w:rsidR="003A6A9E">
        <w:t xml:space="preserve"> </w:t>
      </w:r>
      <w:r w:rsidR="0029795C">
        <w:t>&lt;</w:t>
      </w:r>
      <w:hyperlink r:id="rId49" w:history="1">
        <w:r w:rsidR="00544B11" w:rsidRPr="008F4485">
          <w:rPr>
            <w:rStyle w:val="Hyperlink"/>
          </w:rPr>
          <w:t>https://aifs.gov.au/resources/collections/evaluation-national-plan-respond-abuse-older-australians</w:t>
        </w:r>
      </w:hyperlink>
      <w:r w:rsidR="0029795C">
        <w:t>&gt;</w:t>
      </w:r>
      <w:r w:rsidR="009D346B">
        <w:t xml:space="preserve"> (‘</w:t>
      </w:r>
      <w:r w:rsidR="0035634E">
        <w:t xml:space="preserve">AIFS and NARI, </w:t>
      </w:r>
      <w:r w:rsidR="0035634E" w:rsidRPr="00544B11">
        <w:rPr>
          <w:i/>
          <w:iCs/>
        </w:rPr>
        <w:t>Evaluation of the National Plan</w:t>
      </w:r>
      <w:r w:rsidR="0035634E">
        <w:t>’)</w:t>
      </w:r>
      <w:r w:rsidR="00544B11">
        <w:t>.</w:t>
      </w:r>
      <w:r w:rsidR="0029795C">
        <w:t xml:space="preserve"> </w:t>
      </w:r>
      <w:r w:rsidR="006A45A0">
        <w:t>Relevant issues</w:t>
      </w:r>
      <w:r w:rsidR="00786B81">
        <w:t xml:space="preserve"> </w:t>
      </w:r>
      <w:r w:rsidR="00BB4BD2">
        <w:t xml:space="preserve">identified </w:t>
      </w:r>
      <w:r w:rsidR="00CE0EFD">
        <w:t xml:space="preserve">regarding </w:t>
      </w:r>
      <w:r w:rsidR="00E30963">
        <w:t xml:space="preserve">‘Priority Area 5: Strengthening safeguards for vulnerable older adults’ </w:t>
      </w:r>
      <w:r w:rsidR="00786B81">
        <w:t>included</w:t>
      </w:r>
      <w:r w:rsidR="00BB4BD2">
        <w:t xml:space="preserve"> that s</w:t>
      </w:r>
      <w:r w:rsidRPr="003C4B61">
        <w:t xml:space="preserve">afeguarding units in SA and NSW and progress in </w:t>
      </w:r>
      <w:r w:rsidRPr="001C3C5F">
        <w:t>developing</w:t>
      </w:r>
      <w:r w:rsidRPr="003C4B61">
        <w:t xml:space="preserve"> safeguarding model in Queensland were welcomed. Safeguarding units a ‘powerful tool in combating elder abuse, as they hold protective powers to investigate suspected abuse or neglect</w:t>
      </w:r>
      <w:r w:rsidR="00544B11">
        <w:t>’:</w:t>
      </w:r>
      <w:r w:rsidR="005072D3">
        <w:t xml:space="preserve"> at 128.</w:t>
      </w:r>
      <w:r w:rsidR="00544B11">
        <w:t xml:space="preserve"> </w:t>
      </w:r>
    </w:p>
  </w:footnote>
  <w:footnote w:id="237">
    <w:p w14:paraId="14A3A6BB" w14:textId="3460554B" w:rsidR="00F23F84" w:rsidRDefault="00F23F84">
      <w:pPr>
        <w:pStyle w:val="FootnoteText"/>
      </w:pPr>
      <w:r>
        <w:rPr>
          <w:rStyle w:val="FootnoteReference"/>
        </w:rPr>
        <w:footnoteRef/>
      </w:r>
      <w:r>
        <w:t xml:space="preserve"> </w:t>
      </w:r>
      <w:r w:rsidRPr="00D715B3">
        <w:rPr>
          <w:rFonts w:cs="Times New Roman"/>
        </w:rPr>
        <w:t>Council of Attorneys-General, ‘</w:t>
      </w:r>
      <w:r w:rsidRPr="00D715B3">
        <w:rPr>
          <w:rFonts w:cs="Times New Roman"/>
          <w:i/>
          <w:iCs/>
        </w:rPr>
        <w:t>National Plan 2024–2034: Public Consultation Draft</w:t>
      </w:r>
      <w:r w:rsidRPr="00D715B3">
        <w:rPr>
          <w:rFonts w:cs="Times New Roman"/>
        </w:rPr>
        <w:t xml:space="preserve"> (n 40)</w:t>
      </w:r>
      <w:r w:rsidRPr="003C4B61">
        <w:t xml:space="preserve"> 53.</w:t>
      </w:r>
    </w:p>
  </w:footnote>
  <w:footnote w:id="238">
    <w:p w14:paraId="5A6A0245" w14:textId="5AFBA6B9" w:rsidR="00F23F84" w:rsidRDefault="00F23F84">
      <w:pPr>
        <w:pStyle w:val="FootnoteText"/>
      </w:pPr>
      <w:r>
        <w:rPr>
          <w:rStyle w:val="FootnoteReference"/>
        </w:rPr>
        <w:footnoteRef/>
      </w:r>
      <w:r>
        <w:t xml:space="preserve"> </w:t>
      </w:r>
      <w:r w:rsidRPr="006A45A0">
        <w:t>Australian Human Rights Commission</w:t>
      </w:r>
      <w:r>
        <w:t xml:space="preserve">, </w:t>
      </w:r>
      <w:r w:rsidRPr="006A45A0">
        <w:rPr>
          <w:i/>
          <w:iCs/>
        </w:rPr>
        <w:t>New Project to Tackle Financial Elder Abuse</w:t>
      </w:r>
      <w:r>
        <w:t xml:space="preserve"> (Web Page, 11 December 2024) &lt;</w:t>
      </w:r>
      <w:hyperlink r:id="rId50" w:history="1">
        <w:r w:rsidRPr="008F4485">
          <w:rPr>
            <w:rStyle w:val="Hyperlink"/>
          </w:rPr>
          <w:t>https://humanrights.gov.au/about/news/new-project-tackle-financial-elder-abuse</w:t>
        </w:r>
      </w:hyperlink>
      <w:r>
        <w:t xml:space="preserve">&gt;. </w:t>
      </w:r>
      <w:r w:rsidRPr="003C4B61">
        <w:t>The project is due to run for 14 months from late November 2024. To inform the work of this Collaborative, the Australian Human Rights Commission is engaging with various sectors, including ‘banking and financial, legal, advocacy and mediation services, adult safeguarding entities, peak bodies and relevant government agencies who engage in responding to financial elder abuse’. This has included activities such as a survey to ‘gather information about what works well, where more work needs to be done and what actions to take to support the safety, dignity and well-being of older people at risk of or experiencing financial abuse’.</w:t>
      </w:r>
    </w:p>
  </w:footnote>
  <w:footnote w:id="239">
    <w:p w14:paraId="2C174A62" w14:textId="6B7C682C" w:rsidR="00F23F84" w:rsidRDefault="00F23F84">
      <w:pPr>
        <w:pStyle w:val="FootnoteText"/>
      </w:pPr>
      <w:r>
        <w:rPr>
          <w:rStyle w:val="FootnoteReference"/>
        </w:rPr>
        <w:footnoteRef/>
      </w:r>
      <w:r>
        <w:t xml:space="preserve"> For example, </w:t>
      </w:r>
      <w:r w:rsidRPr="003C4B61">
        <w:rPr>
          <w:i/>
          <w:iCs/>
        </w:rPr>
        <w:t>Family Violence Act 2004</w:t>
      </w:r>
      <w:r w:rsidRPr="003C4B61">
        <w:t xml:space="preserve"> (Tas) (within ‘family relationship’); </w:t>
      </w:r>
      <w:r w:rsidRPr="003C4B61">
        <w:rPr>
          <w:i/>
          <w:iCs/>
        </w:rPr>
        <w:t>Justices Act 195</w:t>
      </w:r>
      <w:r w:rsidR="00477F94">
        <w:rPr>
          <w:i/>
          <w:iCs/>
        </w:rPr>
        <w:t>9</w:t>
      </w:r>
      <w:r w:rsidRPr="003C4B61">
        <w:t xml:space="preserve"> (Tas) (restraint orders)</w:t>
      </w:r>
      <w:r>
        <w:t xml:space="preserve">; </w:t>
      </w:r>
      <w:r w:rsidRPr="001C3C5F">
        <w:rPr>
          <w:i/>
          <w:iCs/>
        </w:rPr>
        <w:t>Guardianship and Administration Act 1995</w:t>
      </w:r>
      <w:r w:rsidRPr="003C4B61">
        <w:t xml:space="preserve"> (Tas); (</w:t>
      </w:r>
      <w:r>
        <w:t xml:space="preserve">guardianship and </w:t>
      </w:r>
      <w:r w:rsidRPr="003C4B61">
        <w:t xml:space="preserve">administration orders); </w:t>
      </w:r>
      <w:r w:rsidRPr="001C3C5F">
        <w:rPr>
          <w:i/>
          <w:iCs/>
        </w:rPr>
        <w:t>Powers of Attorney Act 2000</w:t>
      </w:r>
      <w:r w:rsidRPr="003C4B61">
        <w:t xml:space="preserve"> (Tas) (</w:t>
      </w:r>
      <w:r w:rsidR="008F59A0">
        <w:t xml:space="preserve">enduring </w:t>
      </w:r>
      <w:r w:rsidRPr="003C4B61">
        <w:t>power</w:t>
      </w:r>
      <w:r>
        <w:t>s</w:t>
      </w:r>
      <w:r w:rsidRPr="003C4B61">
        <w:t xml:space="preserve"> of attorney); </w:t>
      </w:r>
      <w:r w:rsidRPr="001C3C5F">
        <w:rPr>
          <w:i/>
          <w:iCs/>
        </w:rPr>
        <w:t>End-of-Life Choices (Voluntary Assisted Dying) Act 2021</w:t>
      </w:r>
      <w:r w:rsidRPr="003C4B61">
        <w:t xml:space="preserve"> (Tas) (end-of-life decisions).</w:t>
      </w:r>
    </w:p>
  </w:footnote>
  <w:footnote w:id="240">
    <w:p w14:paraId="571E608F" w14:textId="6386A57D" w:rsidR="0065582D" w:rsidRDefault="0065582D">
      <w:pPr>
        <w:pStyle w:val="FootnoteText"/>
      </w:pPr>
      <w:r>
        <w:rPr>
          <w:rStyle w:val="FootnoteReference"/>
        </w:rPr>
        <w:footnoteRef/>
      </w:r>
      <w:r>
        <w:t xml:space="preserve"> </w:t>
      </w:r>
      <w:r w:rsidRPr="003C4B61">
        <w:rPr>
          <w:i/>
          <w:iCs/>
        </w:rPr>
        <w:t>Family Violence Act 2004</w:t>
      </w:r>
      <w:r w:rsidRPr="003C4B61">
        <w:t xml:space="preserve"> (Tas) ss 4, 7 (‘family relationship’); </w:t>
      </w:r>
      <w:r w:rsidRPr="003C4B61">
        <w:rPr>
          <w:i/>
          <w:iCs/>
        </w:rPr>
        <w:t>Relationships Act 2003</w:t>
      </w:r>
      <w:r w:rsidRPr="003C4B61">
        <w:t xml:space="preserve"> (Tas) s 4 (‘significant relationship’).</w:t>
      </w:r>
    </w:p>
  </w:footnote>
  <w:footnote w:id="241">
    <w:p w14:paraId="4816DF46" w14:textId="3E6D501C" w:rsidR="0065582D" w:rsidRDefault="0065582D">
      <w:pPr>
        <w:pStyle w:val="FootnoteText"/>
      </w:pPr>
      <w:r>
        <w:rPr>
          <w:rStyle w:val="FootnoteReference"/>
        </w:rPr>
        <w:footnoteRef/>
      </w:r>
      <w:r>
        <w:t xml:space="preserve"> </w:t>
      </w:r>
      <w:r w:rsidRPr="003C4B61">
        <w:rPr>
          <w:i/>
          <w:iCs/>
        </w:rPr>
        <w:t>Family Violence Act 2004</w:t>
      </w:r>
      <w:r w:rsidRPr="003C4B61">
        <w:t xml:space="preserve"> (Tas) ss 4, 7 (‘</w:t>
      </w:r>
      <w:r w:rsidRPr="001C3C5F">
        <w:t>family</w:t>
      </w:r>
      <w:r w:rsidRPr="003C4B61">
        <w:t xml:space="preserve"> relationship’); </w:t>
      </w:r>
      <w:r w:rsidRPr="003C4B61">
        <w:rPr>
          <w:i/>
          <w:iCs/>
        </w:rPr>
        <w:t>Relationships Act 2003</w:t>
      </w:r>
      <w:r w:rsidRPr="003C4B61">
        <w:t xml:space="preserve"> (Tas) s 4 (‘significant relationship’).</w:t>
      </w:r>
    </w:p>
  </w:footnote>
  <w:footnote w:id="242">
    <w:p w14:paraId="5F5E19ED" w14:textId="2AE5350D" w:rsidR="0065582D" w:rsidRDefault="0065582D">
      <w:pPr>
        <w:pStyle w:val="FootnoteText"/>
      </w:pPr>
      <w:r>
        <w:rPr>
          <w:rStyle w:val="FootnoteReference"/>
        </w:rPr>
        <w:footnoteRef/>
      </w:r>
      <w:r>
        <w:t xml:space="preserve"> </w:t>
      </w:r>
      <w:r w:rsidRPr="003C4B61">
        <w:t xml:space="preserve">See </w:t>
      </w:r>
      <w:r>
        <w:t xml:space="preserve">Table G.1 in </w:t>
      </w:r>
      <w:r w:rsidRPr="00C36293">
        <w:rPr>
          <w:b/>
          <w:bCs/>
        </w:rPr>
        <w:t>Appendix G</w:t>
      </w:r>
      <w:r w:rsidRPr="003C4B61">
        <w:t xml:space="preserve"> for a summary of the potential criminal offences. See also </w:t>
      </w:r>
      <w:r w:rsidRPr="003C4B61">
        <w:rPr>
          <w:i/>
          <w:iCs/>
        </w:rPr>
        <w:t>Family Violence Act 2004</w:t>
      </w:r>
      <w:r w:rsidRPr="003C4B61">
        <w:t xml:space="preserve"> (Tas) (within ‘family relationship’); </w:t>
      </w:r>
      <w:r w:rsidRPr="003C4B61">
        <w:rPr>
          <w:i/>
          <w:iCs/>
        </w:rPr>
        <w:t>Justices Act 195</w:t>
      </w:r>
      <w:r w:rsidR="00477F94">
        <w:rPr>
          <w:i/>
          <w:iCs/>
        </w:rPr>
        <w:t>9</w:t>
      </w:r>
      <w:r w:rsidRPr="003C4B61">
        <w:t xml:space="preserve"> (Tas) (restraint orders)</w:t>
      </w:r>
      <w:r>
        <w:t xml:space="preserve">; </w:t>
      </w:r>
      <w:r w:rsidRPr="00F140C2">
        <w:rPr>
          <w:i/>
          <w:iCs/>
        </w:rPr>
        <w:t>Guardianship and Administration Act 1995</w:t>
      </w:r>
      <w:r w:rsidRPr="003C4B61">
        <w:t xml:space="preserve"> (Tas); (</w:t>
      </w:r>
      <w:r>
        <w:t xml:space="preserve">guardianship and </w:t>
      </w:r>
      <w:r w:rsidRPr="003C4B61">
        <w:t xml:space="preserve">administration </w:t>
      </w:r>
      <w:r w:rsidRPr="001C3C5F">
        <w:t>orders</w:t>
      </w:r>
      <w:r w:rsidRPr="003C4B61">
        <w:t xml:space="preserve">); </w:t>
      </w:r>
      <w:r w:rsidRPr="00F140C2">
        <w:rPr>
          <w:i/>
          <w:iCs/>
        </w:rPr>
        <w:t>Powers of Attorney Act 2000</w:t>
      </w:r>
      <w:r w:rsidRPr="003C4B61">
        <w:t xml:space="preserve"> (Tas) (enduring power of attorney); </w:t>
      </w:r>
      <w:r w:rsidRPr="00F140C2">
        <w:rPr>
          <w:i/>
          <w:iCs/>
        </w:rPr>
        <w:t>End-of-Life Choices (Voluntary Assisted Dying) Act 2021</w:t>
      </w:r>
      <w:r w:rsidRPr="003C4B61">
        <w:t xml:space="preserve"> (Tas) (end-of-life decisions).</w:t>
      </w:r>
    </w:p>
  </w:footnote>
  <w:footnote w:id="243">
    <w:p w14:paraId="0C450EC4" w14:textId="32359416" w:rsidR="0065582D" w:rsidRDefault="0065582D">
      <w:pPr>
        <w:pStyle w:val="FootnoteText"/>
      </w:pPr>
      <w:r>
        <w:rPr>
          <w:rStyle w:val="FootnoteReference"/>
        </w:rPr>
        <w:footnoteRef/>
      </w:r>
      <w:r>
        <w:t xml:space="preserve"> </w:t>
      </w:r>
      <w:r w:rsidRPr="003C4B61">
        <w:rPr>
          <w:i/>
          <w:iCs/>
        </w:rPr>
        <w:t>Criminal Code 1924</w:t>
      </w:r>
      <w:r w:rsidRPr="003C4B61">
        <w:t xml:space="preserve"> (</w:t>
      </w:r>
      <w:r w:rsidRPr="001C3C5F">
        <w:t>Tas</w:t>
      </w:r>
      <w:r w:rsidRPr="003C4B61">
        <w:t>) ss 144, 152, 177.</w:t>
      </w:r>
    </w:p>
  </w:footnote>
  <w:footnote w:id="244">
    <w:p w14:paraId="6B913F6E" w14:textId="6A7B6A4C" w:rsidR="0065582D" w:rsidRDefault="0065582D">
      <w:pPr>
        <w:pStyle w:val="FootnoteText"/>
      </w:pPr>
      <w:r>
        <w:rPr>
          <w:rStyle w:val="FootnoteReference"/>
        </w:rPr>
        <w:footnoteRef/>
      </w:r>
      <w:r>
        <w:t xml:space="preserve"> </w:t>
      </w:r>
      <w:r w:rsidRPr="00475F36">
        <w:rPr>
          <w:i/>
          <w:iCs/>
        </w:rPr>
        <w:t>Criminal Code 1924</w:t>
      </w:r>
      <w:r w:rsidRPr="003C4B61">
        <w:t xml:space="preserve"> (Tas) s 178.</w:t>
      </w:r>
    </w:p>
  </w:footnote>
  <w:footnote w:id="245">
    <w:p w14:paraId="581ABA29" w14:textId="25EBF6B2" w:rsidR="0065582D" w:rsidRDefault="0065582D">
      <w:pPr>
        <w:pStyle w:val="FootnoteText"/>
      </w:pPr>
      <w:r>
        <w:rPr>
          <w:rStyle w:val="FootnoteReference"/>
        </w:rPr>
        <w:footnoteRef/>
      </w:r>
      <w:r>
        <w:t xml:space="preserve"> See Table G.1 in </w:t>
      </w:r>
      <w:r w:rsidRPr="0063204C">
        <w:rPr>
          <w:b/>
          <w:bCs/>
        </w:rPr>
        <w:t>Appendix G</w:t>
      </w:r>
      <w:r>
        <w:t xml:space="preserve">. </w:t>
      </w:r>
      <w:r w:rsidRPr="00F756AE">
        <w:rPr>
          <w:i/>
          <w:iCs/>
        </w:rPr>
        <w:t>Powers of Attorney Act 2000</w:t>
      </w:r>
      <w:r w:rsidRPr="003C4B61">
        <w:t xml:space="preserve"> (Tas) (enduring power of attorney)</w:t>
      </w:r>
      <w:r w:rsidR="00103C5F">
        <w:t xml:space="preserve">; </w:t>
      </w:r>
      <w:r w:rsidR="00103C5F" w:rsidRPr="001C3C5F">
        <w:rPr>
          <w:i/>
          <w:iCs/>
        </w:rPr>
        <w:t>Guardianship and Administration Act 1995</w:t>
      </w:r>
      <w:r w:rsidR="00103C5F" w:rsidRPr="003C4B61">
        <w:t xml:space="preserve"> (Tas)</w:t>
      </w:r>
      <w:r w:rsidR="00103C5F">
        <w:t xml:space="preserve"> </w:t>
      </w:r>
      <w:r w:rsidR="00103C5F" w:rsidRPr="003C4B61">
        <w:t>(</w:t>
      </w:r>
      <w:r w:rsidR="00103C5F">
        <w:t>administration</w:t>
      </w:r>
      <w:r w:rsidR="007F2CD3">
        <w:t>)</w:t>
      </w:r>
      <w:r w:rsidR="00103C5F">
        <w:t>.</w:t>
      </w:r>
    </w:p>
  </w:footnote>
  <w:footnote w:id="246">
    <w:p w14:paraId="411C679B" w14:textId="1A9B23B6" w:rsidR="003B0F65" w:rsidRPr="003C4B61" w:rsidRDefault="003B0F65" w:rsidP="001C3C5F">
      <w:pPr>
        <w:pStyle w:val="FootnoteText"/>
      </w:pPr>
      <w:r>
        <w:rPr>
          <w:rStyle w:val="FootnoteReference"/>
        </w:rPr>
        <w:footnoteRef/>
      </w:r>
      <w:r w:rsidR="001E6BC0">
        <w:t xml:space="preserve"> </w:t>
      </w:r>
      <w:r w:rsidR="00462E86">
        <w:t xml:space="preserve">See </w:t>
      </w:r>
      <w:r w:rsidR="00B77BB3">
        <w:t xml:space="preserve">Table G.1 in </w:t>
      </w:r>
      <w:r w:rsidR="00B77BB3" w:rsidRPr="0063204C">
        <w:rPr>
          <w:b/>
          <w:bCs/>
        </w:rPr>
        <w:t>Appendix G</w:t>
      </w:r>
      <w:r w:rsidR="00462E86">
        <w:t>.</w:t>
      </w:r>
      <w:r w:rsidR="001C3C5F">
        <w:t xml:space="preserve"> </w:t>
      </w:r>
      <w:r w:rsidRPr="001C3C5F">
        <w:rPr>
          <w:i/>
          <w:iCs/>
        </w:rPr>
        <w:t>Guardianship and Administration Act 1995</w:t>
      </w:r>
      <w:r w:rsidRPr="003C4B61">
        <w:t xml:space="preserve"> (Tas)</w:t>
      </w:r>
      <w:r w:rsidR="00040137">
        <w:t xml:space="preserve"> </w:t>
      </w:r>
      <w:r w:rsidRPr="003C4B61">
        <w:t>(</w:t>
      </w:r>
      <w:r w:rsidR="00103C5F">
        <w:t>guardianship</w:t>
      </w:r>
      <w:r w:rsidRPr="003C4B61">
        <w:t>)</w:t>
      </w:r>
      <w:r w:rsidR="00040137">
        <w:t>.</w:t>
      </w:r>
    </w:p>
  </w:footnote>
  <w:footnote w:id="247">
    <w:p w14:paraId="371AA91A" w14:textId="05192A01" w:rsidR="00820DB1" w:rsidRDefault="00820DB1">
      <w:pPr>
        <w:pStyle w:val="FootnoteText"/>
      </w:pPr>
      <w:r>
        <w:rPr>
          <w:rStyle w:val="FootnoteReference"/>
        </w:rPr>
        <w:footnoteRef/>
      </w:r>
      <w:r>
        <w:t xml:space="preserve"> </w:t>
      </w:r>
      <w:r w:rsidRPr="003C4B61">
        <w:t xml:space="preserve">Depending on the seriousness of the </w:t>
      </w:r>
      <w:r w:rsidRPr="00040137">
        <w:t>offence</w:t>
      </w:r>
      <w:r w:rsidRPr="003C4B61">
        <w:t xml:space="preserve">, this may be the Magistrates Court of Tasmania or the Supreme Court of Tasmania. Less serious offences </w:t>
      </w:r>
      <w:r w:rsidR="00164E13">
        <w:t xml:space="preserve">under </w:t>
      </w:r>
      <w:r w:rsidRPr="003C4B61">
        <w:t xml:space="preserve">the </w:t>
      </w:r>
      <w:r w:rsidRPr="003C4B61">
        <w:rPr>
          <w:i/>
          <w:iCs/>
        </w:rPr>
        <w:t>Police Offences Act 1935</w:t>
      </w:r>
      <w:r w:rsidRPr="003C4B61">
        <w:t xml:space="preserve"> (Tas) are heard in the Magistrates Court of Tasmania, as are the offences contained in the </w:t>
      </w:r>
      <w:r w:rsidRPr="003C4B61">
        <w:rPr>
          <w:i/>
          <w:iCs/>
        </w:rPr>
        <w:t>Family Violence Act 2004</w:t>
      </w:r>
      <w:r w:rsidRPr="003C4B61">
        <w:t xml:space="preserve"> (Tas). The </w:t>
      </w:r>
      <w:r w:rsidRPr="003C4B61">
        <w:rPr>
          <w:i/>
          <w:iCs/>
        </w:rPr>
        <w:t>Criminal Code Act 1924</w:t>
      </w:r>
      <w:r w:rsidRPr="003C4B61">
        <w:t xml:space="preserve"> (Tas) contains the most serious (indictable) offences such as murder, sexual offences and serious violence</w:t>
      </w:r>
      <w:r w:rsidR="00164E13">
        <w:t xml:space="preserve"> offences</w:t>
      </w:r>
      <w:r w:rsidRPr="003C4B61">
        <w:t>, and these matters are generally heard in the Supreme Court of Tasmania.</w:t>
      </w:r>
    </w:p>
  </w:footnote>
  <w:footnote w:id="248">
    <w:p w14:paraId="7FC0F6CF" w14:textId="1FC16172" w:rsidR="00820DB1" w:rsidRDefault="00820DB1">
      <w:pPr>
        <w:pStyle w:val="FootnoteText"/>
      </w:pPr>
      <w:r>
        <w:rPr>
          <w:rStyle w:val="FootnoteReference"/>
        </w:rPr>
        <w:footnoteRef/>
      </w:r>
      <w:r>
        <w:t xml:space="preserve"> </w:t>
      </w:r>
      <w:r w:rsidRPr="003C4B61">
        <w:t xml:space="preserve">This sets out a range of </w:t>
      </w:r>
      <w:r w:rsidRPr="00040137">
        <w:t>sentencing</w:t>
      </w:r>
      <w:r w:rsidRPr="003C4B61">
        <w:t xml:space="preserve"> options for courts from custodial sentences (imprisonment and partially and fully suspended sentences) and non-custodial sentences (from home detention to low-end sentencing orders such as a dismissal or discharge). The </w:t>
      </w:r>
      <w:r w:rsidRPr="003C4B61">
        <w:rPr>
          <w:i/>
          <w:iCs/>
        </w:rPr>
        <w:t>Sentencing Act 1997</w:t>
      </w:r>
      <w:r w:rsidRPr="003C4B61">
        <w:t xml:space="preserve"> (Tas) applies to adult offenders and youth offenders in some circumstances, see </w:t>
      </w:r>
      <w:r w:rsidRPr="003C4B61">
        <w:rPr>
          <w:i/>
          <w:iCs/>
        </w:rPr>
        <w:t xml:space="preserve">Youth Justice Act 1997 </w:t>
      </w:r>
      <w:r w:rsidRPr="003C4B61">
        <w:t>(Tas).</w:t>
      </w:r>
    </w:p>
  </w:footnote>
  <w:footnote w:id="249">
    <w:p w14:paraId="66C9C390" w14:textId="1CE983FF" w:rsidR="00820DB1" w:rsidRDefault="00820DB1">
      <w:pPr>
        <w:pStyle w:val="FootnoteText"/>
      </w:pPr>
      <w:r>
        <w:rPr>
          <w:rStyle w:val="FootnoteReference"/>
        </w:rPr>
        <w:footnoteRef/>
      </w:r>
      <w:r>
        <w:t xml:space="preserve"> </w:t>
      </w:r>
      <w:r w:rsidRPr="003C4B61">
        <w:rPr>
          <w:i/>
          <w:iCs/>
        </w:rPr>
        <w:t>Coroners Act 1995</w:t>
      </w:r>
      <w:r w:rsidRPr="003C4B61">
        <w:t xml:space="preserve"> (Tas) ss 3 (‘</w:t>
      </w:r>
      <w:r w:rsidRPr="00D057CC">
        <w:t>reportable</w:t>
      </w:r>
      <w:r w:rsidRPr="003C4B61">
        <w:t xml:space="preserve"> death’), 21. </w:t>
      </w:r>
      <w:r>
        <w:t xml:space="preserve">See s 3 for other categories of reportable death. </w:t>
      </w:r>
      <w:r w:rsidRPr="003C4B61">
        <w:t xml:space="preserve">The Coroner’s Court does not have </w:t>
      </w:r>
      <w:r w:rsidRPr="00D057CC">
        <w:t>jurisdiction</w:t>
      </w:r>
      <w:r w:rsidRPr="003C4B61">
        <w:t xml:space="preserve"> in relation to natural deaths. The concept of a ‘natural death’ is very complicated both medically and legally, therefore the determination that a death was ‘natural’ can occur at any stage in the investigation, at which time, the investigation is completed as soon as is practicable.</w:t>
      </w:r>
    </w:p>
  </w:footnote>
  <w:footnote w:id="250">
    <w:p w14:paraId="532FFACF" w14:textId="7F7D733A" w:rsidR="00820DB1" w:rsidRDefault="00820DB1">
      <w:pPr>
        <w:pStyle w:val="FootnoteText"/>
      </w:pPr>
      <w:r>
        <w:rPr>
          <w:rStyle w:val="FootnoteReference"/>
        </w:rPr>
        <w:footnoteRef/>
      </w:r>
      <w:r>
        <w:t xml:space="preserve"> </w:t>
      </w:r>
      <w:r w:rsidRPr="00820DB1">
        <w:rPr>
          <w:i/>
          <w:iCs/>
        </w:rPr>
        <w:t>Coroners Act 1995</w:t>
      </w:r>
      <w:r w:rsidRPr="003C4B61">
        <w:t xml:space="preserve"> (Tas) s </w:t>
      </w:r>
      <w:r>
        <w:t>2</w:t>
      </w:r>
      <w:r w:rsidRPr="003C4B61">
        <w:t>4.</w:t>
      </w:r>
    </w:p>
  </w:footnote>
  <w:footnote w:id="251">
    <w:p w14:paraId="1E6D1E53" w14:textId="55E49405" w:rsidR="00A62790" w:rsidRDefault="00A62790">
      <w:pPr>
        <w:pStyle w:val="FootnoteText"/>
      </w:pPr>
      <w:r>
        <w:rPr>
          <w:rStyle w:val="FootnoteReference"/>
        </w:rPr>
        <w:footnoteRef/>
      </w:r>
      <w:r>
        <w:t xml:space="preserve"> </w:t>
      </w:r>
      <w:r w:rsidRPr="003C4B61">
        <w:rPr>
          <w:i/>
          <w:iCs/>
        </w:rPr>
        <w:t>Coroners Act 1995</w:t>
      </w:r>
      <w:r w:rsidRPr="003C4B61">
        <w:t xml:space="preserve"> (Tas) ss 24(a), (b). A reportable death of an older person may also occur in other circumstances listed in </w:t>
      </w:r>
      <w:r>
        <w:t>s</w:t>
      </w:r>
      <w:r w:rsidRPr="003C4B61">
        <w:t xml:space="preserve">s </w:t>
      </w:r>
      <w:r>
        <w:t xml:space="preserve">3 and </w:t>
      </w:r>
      <w:r w:rsidRPr="003C4B61">
        <w:t>24.</w:t>
      </w:r>
    </w:p>
  </w:footnote>
  <w:footnote w:id="252">
    <w:p w14:paraId="43BD39B1" w14:textId="4C8310AF" w:rsidR="00A62790" w:rsidRDefault="00A62790">
      <w:pPr>
        <w:pStyle w:val="FootnoteText"/>
      </w:pPr>
      <w:r>
        <w:rPr>
          <w:rStyle w:val="FootnoteReference"/>
        </w:rPr>
        <w:footnoteRef/>
      </w:r>
      <w:r>
        <w:t xml:space="preserve"> Magistrates</w:t>
      </w:r>
      <w:r w:rsidR="003A21C0">
        <w:t xml:space="preserve"> Court of Tasmania, ‘</w:t>
      </w:r>
      <w:r w:rsidR="000867D6">
        <w:t>About’</w:t>
      </w:r>
      <w:r w:rsidR="003A21C0">
        <w:t xml:space="preserve">, </w:t>
      </w:r>
      <w:r w:rsidR="00054B4F" w:rsidRPr="003A7F44">
        <w:rPr>
          <w:i/>
          <w:iCs/>
        </w:rPr>
        <w:t>Coroners Court</w:t>
      </w:r>
      <w:r w:rsidR="00054B4F">
        <w:t xml:space="preserve"> (Web Page</w:t>
      </w:r>
      <w:r w:rsidR="000867D6">
        <w:t>, 16 July 2024</w:t>
      </w:r>
      <w:r w:rsidR="00054B4F">
        <w:t>) &lt;</w:t>
      </w:r>
      <w:hyperlink r:id="rId51" w:history="1">
        <w:r w:rsidR="000867D6" w:rsidRPr="004A7257">
          <w:rPr>
            <w:rStyle w:val="Hyperlink"/>
          </w:rPr>
          <w:t>https://www.magistratescourt.tas.gov.au/coronerscourt/about</w:t>
        </w:r>
      </w:hyperlink>
      <w:r w:rsidR="000867D6">
        <w:t>&gt;.</w:t>
      </w:r>
    </w:p>
  </w:footnote>
  <w:footnote w:id="253">
    <w:p w14:paraId="571BEE7F" w14:textId="320C4E9B" w:rsidR="00BD636F" w:rsidRDefault="00BD636F">
      <w:pPr>
        <w:pStyle w:val="FootnoteText"/>
      </w:pPr>
      <w:r>
        <w:rPr>
          <w:rStyle w:val="FootnoteReference"/>
        </w:rPr>
        <w:footnoteRef/>
      </w:r>
      <w:r>
        <w:t xml:space="preserve"> </w:t>
      </w:r>
      <w:r w:rsidRPr="003C4B61">
        <w:t xml:space="preserve">The standard expressed in </w:t>
      </w:r>
      <w:r w:rsidRPr="003C4B61">
        <w:rPr>
          <w:i/>
          <w:iCs/>
        </w:rPr>
        <w:t>Briginshaw v Briginshaw</w:t>
      </w:r>
      <w:r w:rsidRPr="003C4B61">
        <w:t xml:space="preserve"> (1938) 60 CLR 336, 362 is relevant ‘where a serious allegation is made, which it is necessary to determine, and the determination of that allegation will (or could) reflect adversely on a person’</w:t>
      </w:r>
      <w:r>
        <w:t>: ibid.</w:t>
      </w:r>
    </w:p>
  </w:footnote>
  <w:footnote w:id="254">
    <w:p w14:paraId="56E6514A" w14:textId="4A94578C" w:rsidR="00BD636F" w:rsidRDefault="00BD636F">
      <w:pPr>
        <w:pStyle w:val="FootnoteText"/>
      </w:pPr>
      <w:r>
        <w:rPr>
          <w:rStyle w:val="FootnoteReference"/>
        </w:rPr>
        <w:footnoteRef/>
      </w:r>
      <w:r>
        <w:t xml:space="preserve"> </w:t>
      </w:r>
      <w:r w:rsidRPr="003C4B61">
        <w:t xml:space="preserve">This includes findings, if possible, regarding the identity of the deceased, how the death occurred, the cause of death, when and where the death occurred, and information required for the death to be registered: </w:t>
      </w:r>
      <w:r w:rsidRPr="003C4B61">
        <w:rPr>
          <w:i/>
          <w:iCs/>
        </w:rPr>
        <w:t>Coroners Act 1995</w:t>
      </w:r>
      <w:r w:rsidRPr="003C4B61">
        <w:t xml:space="preserve"> (Tas) s 28(1).</w:t>
      </w:r>
    </w:p>
  </w:footnote>
  <w:footnote w:id="255">
    <w:p w14:paraId="3FECDE08" w14:textId="7815220D" w:rsidR="00BD636F" w:rsidRDefault="00BD636F">
      <w:pPr>
        <w:pStyle w:val="FootnoteText"/>
      </w:pPr>
      <w:r>
        <w:rPr>
          <w:rStyle w:val="FootnoteReference"/>
        </w:rPr>
        <w:footnoteRef/>
      </w:r>
      <w:r>
        <w:t xml:space="preserve"> </w:t>
      </w:r>
      <w:r w:rsidRPr="003C4B61">
        <w:rPr>
          <w:i/>
          <w:iCs/>
        </w:rPr>
        <w:t>Coroners Act 1995</w:t>
      </w:r>
      <w:r w:rsidRPr="003C4B61">
        <w:t xml:space="preserve"> (Tas) s 28(2)</w:t>
      </w:r>
      <w:r>
        <w:t>.</w:t>
      </w:r>
    </w:p>
  </w:footnote>
  <w:footnote w:id="256">
    <w:p w14:paraId="1810B3F3" w14:textId="2E3D347B" w:rsidR="00BD636F" w:rsidRDefault="00BD636F">
      <w:pPr>
        <w:pStyle w:val="FootnoteText"/>
      </w:pPr>
      <w:r>
        <w:rPr>
          <w:rStyle w:val="FootnoteReference"/>
        </w:rPr>
        <w:footnoteRef/>
      </w:r>
      <w:r>
        <w:t xml:space="preserve"> </w:t>
      </w:r>
      <w:r w:rsidRPr="003C4B61">
        <w:rPr>
          <w:i/>
          <w:iCs/>
        </w:rPr>
        <w:t>Coroners Act 1995</w:t>
      </w:r>
      <w:r w:rsidRPr="003C4B61">
        <w:t xml:space="preserve"> (Tas) s 28(3). Where an inquest is held into the death of a person who died while ‘that person was held in custody or in care or while the person was escaping or attempting to escape from prison, a secure mental health unit, a detention centre or police custody’ the coroner must include a report on their care, supervision and treatment while they were in custody or care: </w:t>
      </w:r>
      <w:r w:rsidRPr="003C4B61">
        <w:rPr>
          <w:i/>
          <w:iCs/>
        </w:rPr>
        <w:t>Coroners Act 1995</w:t>
      </w:r>
      <w:r w:rsidRPr="003C4B61">
        <w:t xml:space="preserve"> (Tas) s 28(5).</w:t>
      </w:r>
    </w:p>
  </w:footnote>
  <w:footnote w:id="257">
    <w:p w14:paraId="3E2E9E3D" w14:textId="5E4D2502" w:rsidR="00BD636F" w:rsidRDefault="00BD636F">
      <w:pPr>
        <w:pStyle w:val="FootnoteText"/>
      </w:pPr>
      <w:r>
        <w:rPr>
          <w:rStyle w:val="FootnoteReference"/>
        </w:rPr>
        <w:footnoteRef/>
      </w:r>
      <w:r>
        <w:t xml:space="preserve"> </w:t>
      </w:r>
      <w:r w:rsidRPr="003C4B61">
        <w:rPr>
          <w:i/>
          <w:iCs/>
        </w:rPr>
        <w:t>Coroners Act 1995</w:t>
      </w:r>
      <w:r w:rsidRPr="003C4B61">
        <w:t xml:space="preserve"> (Tas) s 25(4).</w:t>
      </w:r>
    </w:p>
  </w:footnote>
  <w:footnote w:id="258">
    <w:p w14:paraId="5661FFD1" w14:textId="640003C5" w:rsidR="00BD636F" w:rsidRDefault="00BD636F">
      <w:pPr>
        <w:pStyle w:val="FootnoteText"/>
      </w:pPr>
      <w:r>
        <w:rPr>
          <w:rStyle w:val="FootnoteReference"/>
        </w:rPr>
        <w:footnoteRef/>
      </w:r>
      <w:r>
        <w:t xml:space="preserve"> </w:t>
      </w:r>
      <w:r w:rsidRPr="003C4B61">
        <w:rPr>
          <w:i/>
          <w:iCs/>
        </w:rPr>
        <w:t>Coroners Act 1995</w:t>
      </w:r>
      <w:r w:rsidRPr="003C4B61">
        <w:t xml:space="preserve"> (Tas) s 28(4).</w:t>
      </w:r>
    </w:p>
  </w:footnote>
  <w:footnote w:id="259">
    <w:p w14:paraId="4655CB4C" w14:textId="4222A1F9" w:rsidR="00BD636F" w:rsidRDefault="00BD636F">
      <w:pPr>
        <w:pStyle w:val="FootnoteText"/>
      </w:pPr>
      <w:r>
        <w:rPr>
          <w:rStyle w:val="FootnoteReference"/>
        </w:rPr>
        <w:footnoteRef/>
      </w:r>
      <w:r>
        <w:t xml:space="preserve"> John Blackwood and </w:t>
      </w:r>
      <w:r w:rsidRPr="008701F6">
        <w:t>Kate</w:t>
      </w:r>
      <w:r>
        <w:t xml:space="preserve"> Warner, </w:t>
      </w:r>
      <w:r>
        <w:rPr>
          <w:i/>
          <w:iCs/>
        </w:rPr>
        <w:t xml:space="preserve">Tasmanian Criminal Law: Text and Cases </w:t>
      </w:r>
      <w:r>
        <w:t>(University of Tasmania Law Press, 1997).</w:t>
      </w:r>
    </w:p>
  </w:footnote>
  <w:footnote w:id="260">
    <w:p w14:paraId="56C358EE" w14:textId="02953F69" w:rsidR="00A201AA" w:rsidRDefault="00A201AA">
      <w:pPr>
        <w:pStyle w:val="FootnoteText"/>
      </w:pPr>
      <w:r>
        <w:rPr>
          <w:rStyle w:val="FootnoteReference"/>
        </w:rPr>
        <w:footnoteRef/>
      </w:r>
      <w:r>
        <w:t xml:space="preserve"> </w:t>
      </w:r>
      <w:r w:rsidRPr="003C4B61">
        <w:rPr>
          <w:i/>
          <w:iCs/>
        </w:rPr>
        <w:t xml:space="preserve">Family Violence Act 2004 </w:t>
      </w:r>
      <w:r w:rsidRPr="003C4B61">
        <w:t xml:space="preserve">(Tas) s 7. Examples </w:t>
      </w:r>
      <w:r>
        <w:t xml:space="preserve">of </w:t>
      </w:r>
      <w:r w:rsidR="00252395">
        <w:t>‘</w:t>
      </w:r>
      <w:r>
        <w:t>family violence offences</w:t>
      </w:r>
      <w:r w:rsidR="00252395">
        <w:t>’</w:t>
      </w:r>
      <w:r>
        <w:t xml:space="preserve"> </w:t>
      </w:r>
      <w:r w:rsidRPr="003C4B61">
        <w:t xml:space="preserve">include assault, aggravated assault, rape, sexual assault, threats, coercion, intimidation or verbal abuse, abduction, stalking, bullying, wounding or bodily harm, penetrative sexual abuse of a child, young person or a person with a mental impairment, any other conduct causing personal injury, economic abuse and emotional abuse and intimidation, contravening a family violence order, property damage, </w:t>
      </w:r>
      <w:r>
        <w:t xml:space="preserve">and </w:t>
      </w:r>
      <w:r w:rsidRPr="003C4B61">
        <w:t xml:space="preserve">conduct that causes death, neglect or injury to an animal (or threats to do so) </w:t>
      </w:r>
      <w:r w:rsidR="00AF513E">
        <w:t>to</w:t>
      </w:r>
      <w:r w:rsidRPr="003C4B61">
        <w:t xml:space="preserve"> intimidate, coerce or control or cause mental harm, apprehension or fear (or</w:t>
      </w:r>
      <w:r>
        <w:t xml:space="preserve"> such</w:t>
      </w:r>
      <w:r w:rsidRPr="003C4B61">
        <w:t xml:space="preserve"> conduct or threats </w:t>
      </w:r>
      <w:r>
        <w:t xml:space="preserve">while knowing, </w:t>
      </w:r>
      <w:r w:rsidRPr="003C4B61">
        <w:t>or reasonably ought to</w:t>
      </w:r>
      <w:r w:rsidR="00A82AB6">
        <w:t xml:space="preserve"> have</w:t>
      </w:r>
      <w:r>
        <w:t xml:space="preserve"> </w:t>
      </w:r>
      <w:r w:rsidRPr="003C4B61">
        <w:t>know</w:t>
      </w:r>
      <w:r w:rsidR="00A82AB6">
        <w:t>n</w:t>
      </w:r>
      <w:r>
        <w:t xml:space="preserve">, it </w:t>
      </w:r>
      <w:r w:rsidRPr="003C4B61">
        <w:t xml:space="preserve">will have these impacts), </w:t>
      </w:r>
      <w:r>
        <w:t>as well as</w:t>
      </w:r>
      <w:r w:rsidRPr="003C4B61">
        <w:t xml:space="preserve"> attempts or threats to commit family violence offences.</w:t>
      </w:r>
    </w:p>
  </w:footnote>
  <w:footnote w:id="261">
    <w:p w14:paraId="628D0E77" w14:textId="45160658" w:rsidR="00A82AB6" w:rsidRDefault="00A82AB6">
      <w:pPr>
        <w:pStyle w:val="FootnoteText"/>
      </w:pPr>
      <w:r>
        <w:rPr>
          <w:rStyle w:val="FootnoteReference"/>
        </w:rPr>
        <w:footnoteRef/>
      </w:r>
      <w:r>
        <w:t xml:space="preserve"> </w:t>
      </w:r>
      <w:r w:rsidR="00252395">
        <w:t>‘</w:t>
      </w:r>
      <w:r w:rsidRPr="003C4B61">
        <w:t>Family violence</w:t>
      </w:r>
      <w:r w:rsidR="00252395">
        <w:t>’</w:t>
      </w:r>
      <w:r w:rsidRPr="003C4B61">
        <w:t xml:space="preserve"> is violence towards a spouse or partner, which is defined as a </w:t>
      </w:r>
      <w:r w:rsidR="00252395">
        <w:t>‘</w:t>
      </w:r>
      <w:r w:rsidRPr="003C4B61">
        <w:t>family relationship</w:t>
      </w:r>
      <w:r w:rsidR="00252395">
        <w:t>’</w:t>
      </w:r>
      <w:r w:rsidRPr="003C4B61">
        <w:t xml:space="preserve">: </w:t>
      </w:r>
      <w:r w:rsidRPr="003C4B61">
        <w:rPr>
          <w:i/>
          <w:iCs/>
        </w:rPr>
        <w:t>Family Violence Act 2004</w:t>
      </w:r>
      <w:r w:rsidRPr="003C4B61">
        <w:t xml:space="preserve"> (Tas) ss 4, 7. A family relationship is ‘a marriage or </w:t>
      </w:r>
      <w:r w:rsidRPr="00DB3307">
        <w:t>significant</w:t>
      </w:r>
      <w:r w:rsidRPr="003C4B61">
        <w:t xml:space="preserve"> relationship within the meaning of the </w:t>
      </w:r>
      <w:r w:rsidRPr="003C4B61">
        <w:rPr>
          <w:i/>
        </w:rPr>
        <w:t>Relationships Act 2003</w:t>
      </w:r>
      <w:r w:rsidRPr="003C4B61">
        <w:rPr>
          <w:iCs/>
        </w:rPr>
        <w:t xml:space="preserve"> </w:t>
      </w:r>
      <w:r w:rsidRPr="003C4B61">
        <w:t>(Tas), and includes a relationship in which one or both of the parties is between the ages of 16 and 18</w:t>
      </w:r>
      <w:r w:rsidR="00252395">
        <w:t xml:space="preserve"> years</w:t>
      </w:r>
      <w:r w:rsidRPr="003C4B61">
        <w:t xml:space="preserve">: </w:t>
      </w:r>
      <w:r w:rsidRPr="003C4B61">
        <w:rPr>
          <w:i/>
          <w:iCs/>
        </w:rPr>
        <w:t>Family Violence Act 2004</w:t>
      </w:r>
      <w:r w:rsidRPr="003C4B61">
        <w:t xml:space="preserve"> (Tas) s 4 (‘family relationship’). A significant relationship is defined in the </w:t>
      </w:r>
      <w:r w:rsidRPr="003C4B61">
        <w:rPr>
          <w:i/>
          <w:iCs/>
        </w:rPr>
        <w:t>Relationships Act 2003</w:t>
      </w:r>
      <w:r w:rsidRPr="003C4B61">
        <w:t xml:space="preserve"> (Tas) as a relationship as a couple between two adults who are not married to one another or related by family (</w:t>
      </w:r>
      <w:r w:rsidR="002B5115">
        <w:t>eg,</w:t>
      </w:r>
      <w:r w:rsidRPr="003C4B61">
        <w:t xml:space="preserve"> parent-child, siblings, grandparent-grandchild). If the couple has registered their significant relationship under the </w:t>
      </w:r>
      <w:r w:rsidRPr="003C4B61">
        <w:rPr>
          <w:i/>
          <w:iCs/>
        </w:rPr>
        <w:t xml:space="preserve">Relationships Act 2003 </w:t>
      </w:r>
      <w:r w:rsidRPr="003C4B61">
        <w:t>(Tas)</w:t>
      </w:r>
      <w:r w:rsidRPr="003C4B61">
        <w:rPr>
          <w:i/>
          <w:iCs/>
        </w:rPr>
        <w:t xml:space="preserve">, </w:t>
      </w:r>
      <w:r w:rsidRPr="003C4B61">
        <w:t xml:space="preserve">they are definitively in a significant relationship. If they have not registered their significant relationship, then the question of whether they are (or were) a couple is decided by considering all the circumstances of their </w:t>
      </w:r>
      <w:r w:rsidRPr="00DB3307">
        <w:t>relationship</w:t>
      </w:r>
      <w:r w:rsidRPr="003C4B61">
        <w:t xml:space="preserve">, including specific factors such as their living and financial arrangements, care and support of children, and reputation or public aspects of their relationship: </w:t>
      </w:r>
      <w:r w:rsidRPr="003C4B61">
        <w:rPr>
          <w:i/>
          <w:iCs/>
        </w:rPr>
        <w:t>Relationships Act 2003</w:t>
      </w:r>
      <w:r w:rsidRPr="003C4B61">
        <w:t xml:space="preserve"> (Tas) s 4 (‘significant relationship’).</w:t>
      </w:r>
    </w:p>
  </w:footnote>
  <w:footnote w:id="262">
    <w:p w14:paraId="5F39BA8E" w14:textId="4D724413" w:rsidR="00A82AB6" w:rsidRDefault="00A82AB6">
      <w:pPr>
        <w:pStyle w:val="FootnoteText"/>
      </w:pPr>
      <w:r>
        <w:rPr>
          <w:rStyle w:val="FootnoteReference"/>
        </w:rPr>
        <w:footnoteRef/>
      </w:r>
      <w:r>
        <w:t xml:space="preserve"> </w:t>
      </w:r>
      <w:r w:rsidRPr="003C4B61">
        <w:t xml:space="preserve">May be issued by police if ‘satisfied that the person has committed, or is likely to commit, a family violence offence’: </w:t>
      </w:r>
      <w:r w:rsidRPr="003C4B61">
        <w:rPr>
          <w:i/>
          <w:iCs/>
        </w:rPr>
        <w:t xml:space="preserve">Family Violence Act </w:t>
      </w:r>
      <w:r w:rsidR="003E0DC8">
        <w:rPr>
          <w:i/>
          <w:iCs/>
        </w:rPr>
        <w:t>2004</w:t>
      </w:r>
      <w:r w:rsidRPr="003C4B61">
        <w:t xml:space="preserve"> (Tas) ss 14(1), (6).</w:t>
      </w:r>
    </w:p>
  </w:footnote>
  <w:footnote w:id="263">
    <w:p w14:paraId="53FF5A99" w14:textId="40C4C3AB" w:rsidR="00A82AB6" w:rsidRDefault="00A82AB6">
      <w:pPr>
        <w:pStyle w:val="FootnoteText"/>
      </w:pPr>
      <w:r>
        <w:rPr>
          <w:rStyle w:val="FootnoteReference"/>
        </w:rPr>
        <w:footnoteRef/>
      </w:r>
      <w:r>
        <w:t xml:space="preserve"> </w:t>
      </w:r>
      <w:r w:rsidRPr="003C4B61">
        <w:t>Following an application</w:t>
      </w:r>
      <w:r w:rsidR="0042014E">
        <w:t>, a family violence order</w:t>
      </w:r>
      <w:r w:rsidRPr="003C4B61">
        <w:t xml:space="preserve"> may be made by a court if ‘satisfied, on the balance of </w:t>
      </w:r>
      <w:r w:rsidRPr="00DB3307">
        <w:t>probabilities</w:t>
      </w:r>
      <w:r w:rsidRPr="003C4B61">
        <w:t xml:space="preserve"> that</w:t>
      </w:r>
      <w:r w:rsidR="0042014E">
        <w:t xml:space="preserve">: </w:t>
      </w:r>
      <w:r w:rsidR="001C02D1">
        <w:t>‘</w:t>
      </w:r>
      <w:r w:rsidRPr="003C4B61">
        <w:t>(a) a person has committed family violence; and (b) that person may again commit family violence</w:t>
      </w:r>
      <w:r w:rsidR="001C02D1">
        <w:t>’</w:t>
      </w:r>
      <w:r w:rsidRPr="003C4B61">
        <w:t>:</w:t>
      </w:r>
      <w:r w:rsidRPr="003C4B61">
        <w:rPr>
          <w:i/>
          <w:iCs/>
        </w:rPr>
        <w:t xml:space="preserve"> </w:t>
      </w:r>
      <w:r w:rsidR="003E0DC8" w:rsidRPr="003C4B61">
        <w:rPr>
          <w:i/>
          <w:iCs/>
        </w:rPr>
        <w:t xml:space="preserve">Family Violence Act </w:t>
      </w:r>
      <w:r w:rsidR="003E0DC8">
        <w:rPr>
          <w:i/>
          <w:iCs/>
        </w:rPr>
        <w:t>2004</w:t>
      </w:r>
      <w:r w:rsidR="003E0DC8" w:rsidRPr="003C4B61">
        <w:t xml:space="preserve"> </w:t>
      </w:r>
      <w:r w:rsidRPr="003C4B61">
        <w:t>(Tas) s 16(1).</w:t>
      </w:r>
    </w:p>
  </w:footnote>
  <w:footnote w:id="264">
    <w:p w14:paraId="31B2E833" w14:textId="3ECE5B49" w:rsidR="00A82AB6" w:rsidRDefault="00A82AB6">
      <w:pPr>
        <w:pStyle w:val="FootnoteText"/>
      </w:pPr>
      <w:r>
        <w:rPr>
          <w:rStyle w:val="FootnoteReference"/>
        </w:rPr>
        <w:footnoteRef/>
      </w:r>
      <w:r>
        <w:t xml:space="preserve"> </w:t>
      </w:r>
      <w:r w:rsidRPr="003C4B61">
        <w:t xml:space="preserve">At any stage during proceedings under the Act (including when an application is made to vary, extend or revoke a police family violence order or if a person makes an application for a family violence order), the court may make an interim family violence order, whether or not it is satisfied that the person has committed, or is likely to commit, a family violence offence: </w:t>
      </w:r>
      <w:r w:rsidR="003E0DC8" w:rsidRPr="003C4B61">
        <w:rPr>
          <w:i/>
          <w:iCs/>
        </w:rPr>
        <w:t xml:space="preserve">Family Violence Act </w:t>
      </w:r>
      <w:r w:rsidR="003E0DC8">
        <w:rPr>
          <w:i/>
          <w:iCs/>
        </w:rPr>
        <w:t>2004</w:t>
      </w:r>
      <w:r w:rsidR="003E0DC8" w:rsidRPr="003C4B61">
        <w:t xml:space="preserve"> </w:t>
      </w:r>
      <w:r w:rsidRPr="003C4B61">
        <w:t>(Tas) ss 14(9A), 23, 23(1A), 23.</w:t>
      </w:r>
    </w:p>
  </w:footnote>
  <w:footnote w:id="265">
    <w:p w14:paraId="36052EAB" w14:textId="0A1782C7" w:rsidR="00A82AB6" w:rsidRDefault="00A82AB6">
      <w:pPr>
        <w:pStyle w:val="FootnoteText"/>
      </w:pPr>
      <w:r>
        <w:rPr>
          <w:rStyle w:val="FootnoteReference"/>
        </w:rPr>
        <w:footnoteRef/>
      </w:r>
      <w:r>
        <w:t xml:space="preserve"> </w:t>
      </w:r>
      <w:r w:rsidR="003E0DC8" w:rsidRPr="003C4B61">
        <w:rPr>
          <w:i/>
          <w:iCs/>
        </w:rPr>
        <w:t xml:space="preserve">Family Violence Act </w:t>
      </w:r>
      <w:r w:rsidR="003E0DC8">
        <w:rPr>
          <w:i/>
          <w:iCs/>
        </w:rPr>
        <w:t>2004</w:t>
      </w:r>
      <w:r w:rsidR="003E0DC8" w:rsidRPr="003C4B61">
        <w:t xml:space="preserve"> </w:t>
      </w:r>
      <w:r w:rsidRPr="00A82AB6">
        <w:t>(Tas) s 4 (‘family violence offence’).</w:t>
      </w:r>
    </w:p>
  </w:footnote>
  <w:footnote w:id="266">
    <w:p w14:paraId="619F92F0" w14:textId="0E599F49" w:rsidR="00A82AB6" w:rsidRDefault="00A82AB6">
      <w:pPr>
        <w:pStyle w:val="FootnoteText"/>
      </w:pPr>
      <w:r>
        <w:rPr>
          <w:rStyle w:val="FootnoteReference"/>
        </w:rPr>
        <w:footnoteRef/>
      </w:r>
      <w:r>
        <w:t xml:space="preserve"> </w:t>
      </w:r>
      <w:r w:rsidR="003E0DC8" w:rsidRPr="003C4B61">
        <w:rPr>
          <w:i/>
          <w:iCs/>
        </w:rPr>
        <w:t xml:space="preserve">Family Violence Act </w:t>
      </w:r>
      <w:r w:rsidR="003E0DC8">
        <w:rPr>
          <w:i/>
          <w:iCs/>
        </w:rPr>
        <w:t>2004</w:t>
      </w:r>
      <w:r w:rsidR="003E0DC8" w:rsidRPr="003C4B61">
        <w:t xml:space="preserve"> </w:t>
      </w:r>
      <w:r w:rsidRPr="003C4B61">
        <w:t>(Tas) ss 8, 9. Each offence has a maximum penalty of 40 penalty units or imprisonment for a term not exceeding two years.</w:t>
      </w:r>
    </w:p>
  </w:footnote>
  <w:footnote w:id="267">
    <w:p w14:paraId="3162BAC4" w14:textId="38153129" w:rsidR="00A82AB6" w:rsidRDefault="00A82AB6">
      <w:pPr>
        <w:pStyle w:val="FootnoteText"/>
      </w:pPr>
      <w:r>
        <w:rPr>
          <w:rStyle w:val="FootnoteReference"/>
        </w:rPr>
        <w:footnoteRef/>
      </w:r>
      <w:r>
        <w:t xml:space="preserve"> </w:t>
      </w:r>
      <w:r w:rsidRPr="003C4B61">
        <w:rPr>
          <w:i/>
          <w:iCs/>
        </w:rPr>
        <w:t>Family Violence Act 2004</w:t>
      </w:r>
      <w:r w:rsidRPr="003C4B61">
        <w:t xml:space="preserve"> (Tas) s 35. The penalties are as </w:t>
      </w:r>
      <w:r w:rsidRPr="00DB3307">
        <w:t>follows</w:t>
      </w:r>
      <w:r w:rsidRPr="003C4B61">
        <w:t>: ‘(a) in the case of a first offence, a fine not exceeding 20 penalty units or to imprisonment for a term not exceeding 12 months; or (b) in the case of a second offence, a fine not exceeding 30 penalty units or to imprisonment for a term not exceeding 18 months; or (c) in the case of a third offence, a fine not exceeding 40 penalty units or to imprisonment for a term not exceeding 2 years; or (d) in the case of a fourth or subsequent offence, to imprisonment for a term not exceeding 5 years.’</w:t>
      </w:r>
    </w:p>
  </w:footnote>
  <w:footnote w:id="268">
    <w:p w14:paraId="5F78A4AE" w14:textId="2EDDC9D1" w:rsidR="00287C43" w:rsidRDefault="00287C43">
      <w:pPr>
        <w:pStyle w:val="FootnoteText"/>
      </w:pPr>
      <w:r>
        <w:rPr>
          <w:rStyle w:val="FootnoteReference"/>
        </w:rPr>
        <w:footnoteRef/>
      </w:r>
      <w:r>
        <w:t xml:space="preserve"> </w:t>
      </w:r>
      <w:r w:rsidRPr="003C4B61">
        <w:t>Department of Justice (Safe at Home Coordination Unit</w:t>
      </w:r>
      <w:r w:rsidR="007B11F8">
        <w:t>,</w:t>
      </w:r>
      <w:r w:rsidRPr="003C4B61">
        <w:t xml:space="preserve"> Court Support and Liaison Service</w:t>
      </w:r>
      <w:r w:rsidR="007B11F8">
        <w:t>,</w:t>
      </w:r>
      <w:r w:rsidRPr="003C4B61">
        <w:t xml:space="preserve"> Community Correction</w:t>
      </w:r>
      <w:r w:rsidR="007B11F8">
        <w:t>s—F</w:t>
      </w:r>
      <w:r w:rsidRPr="003C4B61">
        <w:t xml:space="preserve">amily Violence Offender Intervention Program, Tasmanian </w:t>
      </w:r>
      <w:r w:rsidRPr="00DB3307">
        <w:t>Prison</w:t>
      </w:r>
      <w:r w:rsidRPr="003C4B61">
        <w:t xml:space="preserve"> Service)</w:t>
      </w:r>
      <w:r w:rsidR="006C197C">
        <w:t>;</w:t>
      </w:r>
      <w:r w:rsidRPr="003C4B61">
        <w:t xml:space="preserve"> Department of Police, Fire and Emergency Management (Family Violence Units, Specialist Police Prosecutors); Department for Education, Children and Young People (Family Violence Response and Referral Line</w:t>
      </w:r>
      <w:r w:rsidR="006C197C">
        <w:t>,</w:t>
      </w:r>
      <w:r w:rsidRPr="003C4B61">
        <w:t xml:space="preserve"> Child Safety Services</w:t>
      </w:r>
      <w:r w:rsidR="006C197C">
        <w:t>,</w:t>
      </w:r>
      <w:r w:rsidRPr="003C4B61">
        <w:t xml:space="preserve"> Specialist Social Workers); Department of Health (Family Violence Counselling and Support Service, Defendant Health Liaison Service); and Tasmania Legal Aid (specialist lawyers)</w:t>
      </w:r>
      <w:r w:rsidR="00DC5147">
        <w:t xml:space="preserve">: </w:t>
      </w:r>
      <w:r w:rsidR="00DC5147" w:rsidRPr="00884C72">
        <w:rPr>
          <w:rFonts w:cs="Times New Roman"/>
        </w:rPr>
        <w:t>Department of Justice, Tasmanian Government, ‘</w:t>
      </w:r>
      <w:r w:rsidR="00DC5147">
        <w:rPr>
          <w:rFonts w:cs="Times New Roman"/>
        </w:rPr>
        <w:t xml:space="preserve">Safe at Home </w:t>
      </w:r>
      <w:r w:rsidR="003D015A">
        <w:rPr>
          <w:rFonts w:cs="Times New Roman"/>
        </w:rPr>
        <w:t>Partners</w:t>
      </w:r>
      <w:r w:rsidR="00DC5147" w:rsidRPr="00884C72">
        <w:rPr>
          <w:rFonts w:cs="Times New Roman"/>
        </w:rPr>
        <w:t xml:space="preserve">’, </w:t>
      </w:r>
      <w:r w:rsidR="00DC5147" w:rsidRPr="00FD7373">
        <w:rPr>
          <w:rFonts w:cs="Times New Roman"/>
          <w:i/>
          <w:iCs/>
        </w:rPr>
        <w:t>Safe at Home</w:t>
      </w:r>
      <w:r w:rsidR="00DC5147" w:rsidRPr="00884C72">
        <w:rPr>
          <w:rFonts w:cs="Times New Roman"/>
        </w:rPr>
        <w:t xml:space="preserve"> (Web Page, 9 December 2024) &lt;</w:t>
      </w:r>
      <w:r w:rsidR="003D015A">
        <w:t xml:space="preserve"> </w:t>
      </w:r>
      <w:hyperlink r:id="rId52" w:anchor="Safe-at-Home-Partners" w:history="1">
        <w:r w:rsidR="003D015A" w:rsidRPr="00574462">
          <w:rPr>
            <w:rStyle w:val="Hyperlink"/>
          </w:rPr>
          <w:t>https://www.safeathome.tas.gov.au/about-us#Safe-at-Home-Partners</w:t>
        </w:r>
      </w:hyperlink>
      <w:r w:rsidR="00DC5147" w:rsidRPr="00884C72">
        <w:rPr>
          <w:rFonts w:cs="Times New Roman"/>
        </w:rPr>
        <w:t xml:space="preserve">&gt; (‘Department of Justice, Tasmanian Government, </w:t>
      </w:r>
      <w:r w:rsidR="003D015A">
        <w:rPr>
          <w:rFonts w:cs="Times New Roman"/>
        </w:rPr>
        <w:t>Safe at Home Partners</w:t>
      </w:r>
      <w:r w:rsidR="003D015A" w:rsidRPr="00884C72">
        <w:rPr>
          <w:rFonts w:cs="Times New Roman"/>
        </w:rPr>
        <w:t>’</w:t>
      </w:r>
      <w:r w:rsidR="00DC5147" w:rsidRPr="00884C72">
        <w:rPr>
          <w:rFonts w:cs="Times New Roman"/>
        </w:rPr>
        <w:t>).</w:t>
      </w:r>
      <w:r w:rsidRPr="003C4B61">
        <w:t xml:space="preserve"> </w:t>
      </w:r>
      <w:r w:rsidR="002462BA">
        <w:t>See further discussion at [5.2.17]–[5.2.19].</w:t>
      </w:r>
    </w:p>
  </w:footnote>
  <w:footnote w:id="269">
    <w:p w14:paraId="139F1FC6" w14:textId="1DF39533" w:rsidR="00C94B6F" w:rsidRDefault="00C94B6F">
      <w:pPr>
        <w:pStyle w:val="FootnoteText"/>
      </w:pPr>
      <w:r>
        <w:rPr>
          <w:rStyle w:val="FootnoteReference"/>
        </w:rPr>
        <w:footnoteRef/>
      </w:r>
      <w:r>
        <w:t xml:space="preserve"> Department of Justice, Tasmanian Government, ‘About Us’, </w:t>
      </w:r>
      <w:r w:rsidRPr="004035A7">
        <w:rPr>
          <w:i/>
          <w:iCs/>
        </w:rPr>
        <w:t>Safe at Home</w:t>
      </w:r>
      <w:r>
        <w:t xml:space="preserve"> (Web Page, 9 December 2024) &lt;</w:t>
      </w:r>
      <w:hyperlink r:id="rId53" w:history="1">
        <w:r w:rsidR="00322656" w:rsidRPr="004A7257">
          <w:rPr>
            <w:rStyle w:val="Hyperlink"/>
          </w:rPr>
          <w:t>https://www.safeathome.tas.gov.au/about-us</w:t>
        </w:r>
      </w:hyperlink>
      <w:r w:rsidR="00322656">
        <w:t>&gt;</w:t>
      </w:r>
      <w:r w:rsidR="001F3239">
        <w:t xml:space="preserve"> (‘</w:t>
      </w:r>
      <w:r w:rsidR="001F3239" w:rsidRPr="00884C72">
        <w:rPr>
          <w:rFonts w:cs="Times New Roman"/>
        </w:rPr>
        <w:t>(‘Department of Justice, Tasmanian Government, About Us’).</w:t>
      </w:r>
    </w:p>
  </w:footnote>
  <w:footnote w:id="270">
    <w:p w14:paraId="4FDD5CD6" w14:textId="2A48702A" w:rsidR="00322656" w:rsidRDefault="00322656">
      <w:pPr>
        <w:pStyle w:val="FootnoteText"/>
      </w:pPr>
      <w:r>
        <w:rPr>
          <w:rStyle w:val="FootnoteReference"/>
        </w:rPr>
        <w:footnoteRef/>
      </w:r>
      <w:r>
        <w:t xml:space="preserve"> </w:t>
      </w:r>
      <w:r w:rsidRPr="00322656">
        <w:rPr>
          <w:i/>
          <w:iCs/>
        </w:rPr>
        <w:t>Family Violence Act 2004</w:t>
      </w:r>
      <w:r w:rsidRPr="003C4B61">
        <w:t xml:space="preserve"> (Tas) s 3</w:t>
      </w:r>
      <w:r w:rsidR="00446E03">
        <w:t>.</w:t>
      </w:r>
    </w:p>
  </w:footnote>
  <w:footnote w:id="271">
    <w:p w14:paraId="25A1DC84" w14:textId="3B02F999" w:rsidR="00322656" w:rsidRDefault="00322656">
      <w:pPr>
        <w:pStyle w:val="FootnoteText"/>
      </w:pPr>
      <w:r>
        <w:rPr>
          <w:rStyle w:val="FootnoteReference"/>
        </w:rPr>
        <w:footnoteRef/>
      </w:r>
      <w:r>
        <w:t xml:space="preserve"> </w:t>
      </w:r>
      <w:r w:rsidR="00C807F8">
        <w:t xml:space="preserve">Urbis (prepared for Department of Justice, Tasmanian Government), </w:t>
      </w:r>
      <w:r w:rsidR="00C807F8" w:rsidRPr="00D62131">
        <w:rPr>
          <w:i/>
          <w:iCs/>
        </w:rPr>
        <w:t>Review of the Family Violence Act 2004 (Tas)</w:t>
      </w:r>
      <w:r w:rsidR="00C807F8">
        <w:t xml:space="preserve"> (March 2008) </w:t>
      </w:r>
      <w:r>
        <w:t xml:space="preserve">(conducted within three years of the commencement of the Act as required under s 43 of the </w:t>
      </w:r>
      <w:r w:rsidR="00C807F8" w:rsidRPr="00322656">
        <w:rPr>
          <w:i/>
          <w:iCs/>
        </w:rPr>
        <w:t>Family Violence Act 2004</w:t>
      </w:r>
      <w:r w:rsidR="00C807F8" w:rsidRPr="003C4B61">
        <w:t xml:space="preserve"> (Tas)</w:t>
      </w:r>
      <w:r>
        <w:t xml:space="preserve">; </w:t>
      </w:r>
      <w:r w:rsidR="00E135F3">
        <w:t xml:space="preserve">Success Works, </w:t>
      </w:r>
      <w:r w:rsidR="00E135F3">
        <w:rPr>
          <w:i/>
          <w:iCs/>
        </w:rPr>
        <w:t xml:space="preserve">Review of the Integrated Response to Family Violence </w:t>
      </w:r>
      <w:r w:rsidR="00E135F3">
        <w:t>(Discussion Paper, March 2009)</w:t>
      </w:r>
      <w:r>
        <w:t xml:space="preserve">; </w:t>
      </w:r>
      <w:r w:rsidR="0007799E">
        <w:t xml:space="preserve">Department of Justice, Tasmanian Government, </w:t>
      </w:r>
      <w:r w:rsidR="0007799E">
        <w:rPr>
          <w:i/>
          <w:iCs/>
        </w:rPr>
        <w:t xml:space="preserve">Safe at Home: Internal Performance Review Report 2014 </w:t>
      </w:r>
      <w:r w:rsidR="0007799E">
        <w:t>(April 2015)</w:t>
      </w:r>
      <w:r>
        <w:t xml:space="preserve">; </w:t>
      </w:r>
      <w:r w:rsidR="00556708">
        <w:t xml:space="preserve">Department of Communities Tasmania, Tasmanian Government, </w:t>
      </w:r>
      <w:r w:rsidR="00556708">
        <w:rPr>
          <w:i/>
          <w:iCs/>
        </w:rPr>
        <w:t xml:space="preserve">Family Violence Service System Review Report </w:t>
      </w:r>
      <w:r w:rsidR="00556708">
        <w:t>(May 2019).</w:t>
      </w:r>
    </w:p>
  </w:footnote>
  <w:footnote w:id="272">
    <w:p w14:paraId="679957DF" w14:textId="03F3605D" w:rsidR="00F816C4" w:rsidRDefault="00F816C4">
      <w:pPr>
        <w:pStyle w:val="FootnoteText"/>
      </w:pPr>
      <w:r>
        <w:rPr>
          <w:rStyle w:val="FootnoteReference"/>
        </w:rPr>
        <w:footnoteRef/>
      </w:r>
      <w:r>
        <w:t xml:space="preserve"> </w:t>
      </w:r>
      <w:r w:rsidR="000D366F" w:rsidRPr="000D366F">
        <w:t xml:space="preserve">Tasmanian Government, </w:t>
      </w:r>
      <w:r w:rsidR="000D366F" w:rsidRPr="000D366F">
        <w:rPr>
          <w:i/>
          <w:iCs/>
        </w:rPr>
        <w:t>Safe Homes, Safe Families: Tasmania’s Family Violence Action Plan 2015–2020</w:t>
      </w:r>
      <w:r w:rsidR="000D366F" w:rsidRPr="000D366F">
        <w:t xml:space="preserve"> (2015) &lt;</w:t>
      </w:r>
      <w:hyperlink r:id="rId54" w:history="1">
        <w:r w:rsidR="000D366F" w:rsidRPr="004A7257">
          <w:rPr>
            <w:rStyle w:val="Hyperlink"/>
          </w:rPr>
          <w:t>https://www.safefromviolence.tas.gov.au/our-plan/safe-homes,-families,-communities-governance</w:t>
        </w:r>
      </w:hyperlink>
      <w:r w:rsidR="000D366F" w:rsidRPr="000D366F">
        <w:t>&gt;</w:t>
      </w:r>
      <w:r w:rsidR="000D366F">
        <w:t xml:space="preserve">; </w:t>
      </w:r>
      <w:r w:rsidR="004B74D5" w:rsidRPr="00884C72">
        <w:rPr>
          <w:rFonts w:cs="Times New Roman"/>
        </w:rPr>
        <w:t xml:space="preserve">Tasmanian Government, </w:t>
      </w:r>
      <w:r w:rsidR="004B74D5" w:rsidRPr="00884C72">
        <w:rPr>
          <w:rFonts w:cs="Times New Roman"/>
          <w:i/>
          <w:iCs/>
        </w:rPr>
        <w:t>Safe Homes Families Communities: Tasmania’s Action Plan for Family and Sexual Violence 2019–2022</w:t>
      </w:r>
      <w:r w:rsidR="004B74D5" w:rsidRPr="00884C72">
        <w:rPr>
          <w:rFonts w:cs="Times New Roman"/>
        </w:rPr>
        <w:t xml:space="preserve"> (2019) &lt;</w:t>
      </w:r>
      <w:hyperlink r:id="rId55" w:history="1">
        <w:r w:rsidR="004B74D5" w:rsidRPr="00884C72">
          <w:rPr>
            <w:rStyle w:val="Hyperlink"/>
            <w:rFonts w:cs="Times New Roman"/>
          </w:rPr>
          <w:t>https://www.safefromviolence.tas.gov.au/our-plan/safe-homes,-families,-communities-governance</w:t>
        </w:r>
      </w:hyperlink>
      <w:r w:rsidR="004B74D5" w:rsidRPr="00884C72">
        <w:rPr>
          <w:rFonts w:cs="Times New Roman"/>
        </w:rPr>
        <w:t>&gt;</w:t>
      </w:r>
      <w:r w:rsidR="004B74D5">
        <w:rPr>
          <w:rFonts w:cs="Times New Roman"/>
        </w:rPr>
        <w:t xml:space="preserve">; </w:t>
      </w:r>
      <w:r w:rsidR="001D5AD1" w:rsidRPr="00884C72">
        <w:rPr>
          <w:rFonts w:cs="Times New Roman"/>
        </w:rPr>
        <w:t xml:space="preserve">Tasmanian Government, </w:t>
      </w:r>
      <w:r w:rsidR="001D5AD1" w:rsidRPr="00884C72">
        <w:rPr>
          <w:rFonts w:cs="Times New Roman"/>
          <w:i/>
          <w:iCs/>
        </w:rPr>
        <w:t>Survivors at the Centre: Tasmania’s Third Family and Sexual Violence Action</w:t>
      </w:r>
      <w:r w:rsidR="001D5AD1" w:rsidRPr="00884C72">
        <w:rPr>
          <w:rFonts w:cs="Times New Roman"/>
        </w:rPr>
        <w:t xml:space="preserve"> </w:t>
      </w:r>
      <w:r w:rsidR="001D5AD1" w:rsidRPr="00884C72">
        <w:rPr>
          <w:rFonts w:cs="Times New Roman"/>
          <w:i/>
          <w:iCs/>
        </w:rPr>
        <w:t>Plan 2022–2027</w:t>
      </w:r>
      <w:r w:rsidR="001D5AD1" w:rsidRPr="00884C72">
        <w:rPr>
          <w:rFonts w:cs="Times New Roman"/>
        </w:rPr>
        <w:t xml:space="preserve"> (November 2022) &lt;</w:t>
      </w:r>
      <w:hyperlink r:id="rId56" w:history="1">
        <w:r w:rsidR="001D5AD1" w:rsidRPr="00884C72">
          <w:rPr>
            <w:rStyle w:val="Hyperlink"/>
            <w:rFonts w:cs="Times New Roman"/>
          </w:rPr>
          <w:t>https://www.safefromviolence.tas.gov.au/our-plan/safe-homes,-families,-communities-governance</w:t>
        </w:r>
      </w:hyperlink>
      <w:r w:rsidR="001D5AD1" w:rsidRPr="00884C72">
        <w:rPr>
          <w:rFonts w:cs="Times New Roman"/>
        </w:rPr>
        <w:t>&gt;</w:t>
      </w:r>
      <w:r w:rsidR="001D5AD1">
        <w:rPr>
          <w:rFonts w:cs="Times New Roman"/>
        </w:rPr>
        <w:t>.</w:t>
      </w:r>
    </w:p>
  </w:footnote>
  <w:footnote w:id="273">
    <w:p w14:paraId="6B582366" w14:textId="7BEB453D" w:rsidR="007A4CE8" w:rsidRDefault="007A4CE8">
      <w:pPr>
        <w:pStyle w:val="FootnoteText"/>
      </w:pPr>
      <w:r>
        <w:rPr>
          <w:rStyle w:val="FootnoteReference"/>
        </w:rPr>
        <w:footnoteRef/>
      </w:r>
      <w:r>
        <w:t xml:space="preserve"> </w:t>
      </w:r>
      <w:r w:rsidR="0078707A">
        <w:t xml:space="preserve">Department of Social Services, Australian Government, </w:t>
      </w:r>
      <w:r w:rsidR="0078707A" w:rsidRPr="00F50FBB">
        <w:rPr>
          <w:i/>
          <w:iCs/>
        </w:rPr>
        <w:t>National Plan to Reduce Violence Against Women and their Children 2010–2022</w:t>
      </w:r>
      <w:r w:rsidR="0078707A">
        <w:t xml:space="preserve"> (Commonwealth of Australia, February 2011); </w:t>
      </w:r>
      <w:r w:rsidR="002E471C" w:rsidRPr="00884C72">
        <w:rPr>
          <w:rFonts w:cs="Times New Roman"/>
        </w:rPr>
        <w:t xml:space="preserve">Department of Social Services, Australian Government, </w:t>
      </w:r>
      <w:r w:rsidR="002E471C" w:rsidRPr="00884C72">
        <w:rPr>
          <w:rFonts w:cs="Times New Roman"/>
          <w:i/>
          <w:iCs/>
        </w:rPr>
        <w:t>National Plan to End Violence Against Women and Children 2022–2032: Ending Gender-Based Violence in One Generation</w:t>
      </w:r>
      <w:r w:rsidR="002E471C" w:rsidRPr="00884C72">
        <w:rPr>
          <w:rFonts w:cs="Times New Roman"/>
        </w:rPr>
        <w:t xml:space="preserve">, </w:t>
      </w:r>
      <w:r w:rsidR="002E471C" w:rsidRPr="00884C72">
        <w:rPr>
          <w:rFonts w:cs="Times New Roman"/>
          <w:i/>
          <w:iCs/>
        </w:rPr>
        <w:t>A Joint Australian, State and Territory Government Initiative</w:t>
      </w:r>
      <w:r w:rsidR="002E471C" w:rsidRPr="00884C72">
        <w:rPr>
          <w:rFonts w:cs="Times New Roman"/>
        </w:rPr>
        <w:t>, (Commonwealth of Australia, 2022) &lt;</w:t>
      </w:r>
      <w:hyperlink r:id="rId57" w:history="1">
        <w:r w:rsidR="002E471C" w:rsidRPr="00884C72">
          <w:rPr>
            <w:rStyle w:val="Hyperlink"/>
            <w:rFonts w:cs="Times New Roman"/>
          </w:rPr>
          <w:t>https://www.dss.gov.au/national-plan-end-gender-based-violence/resource/national-plan-end-violence-against-women-and-children-2022-2032</w:t>
        </w:r>
      </w:hyperlink>
      <w:r w:rsidR="002E471C" w:rsidRPr="00884C72">
        <w:rPr>
          <w:rFonts w:cs="Times New Roman"/>
        </w:rPr>
        <w:t>&gt;</w:t>
      </w:r>
      <w:r w:rsidR="002E471C">
        <w:rPr>
          <w:rFonts w:cs="Times New Roman"/>
        </w:rPr>
        <w:t>.</w:t>
      </w:r>
    </w:p>
  </w:footnote>
  <w:footnote w:id="274">
    <w:p w14:paraId="681731F7" w14:textId="1494DF6B" w:rsidR="003E5D79" w:rsidRDefault="003E5D79">
      <w:pPr>
        <w:pStyle w:val="FootnoteText"/>
      </w:pPr>
      <w:r>
        <w:rPr>
          <w:rStyle w:val="FootnoteReference"/>
        </w:rPr>
        <w:footnoteRef/>
      </w:r>
      <w:r>
        <w:t xml:space="preserve"> </w:t>
      </w:r>
      <w:r w:rsidRPr="003C4B61">
        <w:rPr>
          <w:i/>
          <w:iCs/>
        </w:rPr>
        <w:t xml:space="preserve">Justices Act 1959 </w:t>
      </w:r>
      <w:r w:rsidRPr="003C4B61">
        <w:t xml:space="preserve">(Tas) s </w:t>
      </w:r>
      <w:r w:rsidRPr="00DB3307">
        <w:t>106D</w:t>
      </w:r>
      <w:r w:rsidRPr="003C4B61">
        <w:t>(1).</w:t>
      </w:r>
    </w:p>
  </w:footnote>
  <w:footnote w:id="275">
    <w:p w14:paraId="705B6925" w14:textId="6CE6354A" w:rsidR="003E5D79" w:rsidRDefault="003E5D79">
      <w:pPr>
        <w:pStyle w:val="FootnoteText"/>
      </w:pPr>
      <w:r>
        <w:rPr>
          <w:rStyle w:val="FootnoteReference"/>
        </w:rPr>
        <w:footnoteRef/>
      </w:r>
      <w:r>
        <w:t xml:space="preserve"> </w:t>
      </w:r>
      <w:r w:rsidRPr="003C4B61">
        <w:t xml:space="preserve">An application for a restraint order can be </w:t>
      </w:r>
      <w:r w:rsidRPr="00DB3307">
        <w:t>made</w:t>
      </w:r>
      <w:r w:rsidRPr="003C4B61">
        <w:t xml:space="preserve"> by a police officer, a person where they</w:t>
      </w:r>
      <w:r>
        <w:t>,</w:t>
      </w:r>
      <w:r w:rsidRPr="003C4B61">
        <w:t xml:space="preserve"> or their property</w:t>
      </w:r>
      <w:r>
        <w:t>,</w:t>
      </w:r>
      <w:r w:rsidRPr="003C4B61">
        <w:t xml:space="preserve"> is targeted by the </w:t>
      </w:r>
      <w:r>
        <w:t xml:space="preserve">person sought to be restrained </w:t>
      </w:r>
      <w:r w:rsidRPr="003C4B61">
        <w:t>(or</w:t>
      </w:r>
      <w:r>
        <w:t>,</w:t>
      </w:r>
      <w:r w:rsidRPr="003C4B61">
        <w:t xml:space="preserve"> where that person is a chil</w:t>
      </w:r>
      <w:r>
        <w:t>d, t</w:t>
      </w:r>
      <w:r w:rsidRPr="003C4B61">
        <w:t>he</w:t>
      </w:r>
      <w:r>
        <w:t xml:space="preserve"> child’s</w:t>
      </w:r>
      <w:r w:rsidRPr="003C4B61">
        <w:t xml:space="preserve"> parent or guardian), by the guardian or administrator of a person within the meaning of the </w:t>
      </w:r>
      <w:r w:rsidRPr="003C4B61">
        <w:rPr>
          <w:i/>
          <w:iCs/>
        </w:rPr>
        <w:t>Guardianship and Administration Act 1995</w:t>
      </w:r>
      <w:r w:rsidRPr="003C4B61">
        <w:t xml:space="preserve"> (Tas) or a person granted leave to apply under s 106A(3) of the </w:t>
      </w:r>
      <w:r w:rsidRPr="003C4B61">
        <w:rPr>
          <w:i/>
          <w:iCs/>
        </w:rPr>
        <w:t>Justices Act 1959</w:t>
      </w:r>
      <w:r w:rsidRPr="003C4B61">
        <w:t xml:space="preserve"> (Tas).</w:t>
      </w:r>
    </w:p>
  </w:footnote>
  <w:footnote w:id="276">
    <w:p w14:paraId="225C6963" w14:textId="7DD5FC23" w:rsidR="003E5D79" w:rsidRDefault="003E5D79">
      <w:pPr>
        <w:pStyle w:val="FootnoteText"/>
      </w:pPr>
      <w:r>
        <w:rPr>
          <w:rStyle w:val="FootnoteReference"/>
        </w:rPr>
        <w:footnoteRef/>
      </w:r>
      <w:r>
        <w:t xml:space="preserve"> </w:t>
      </w:r>
      <w:r w:rsidRPr="003C4B61">
        <w:rPr>
          <w:i/>
          <w:iCs/>
        </w:rPr>
        <w:t>Justices Act 1959</w:t>
      </w:r>
      <w:r w:rsidRPr="003C4B61">
        <w:t xml:space="preserve"> (Tas) s </w:t>
      </w:r>
      <w:r w:rsidRPr="00DB3307">
        <w:t>106B</w:t>
      </w:r>
      <w:r w:rsidRPr="003C4B61">
        <w:t>(6).</w:t>
      </w:r>
    </w:p>
  </w:footnote>
  <w:footnote w:id="277">
    <w:p w14:paraId="6AB1B203" w14:textId="091A203B" w:rsidR="003E5D79" w:rsidRDefault="003E5D79">
      <w:pPr>
        <w:pStyle w:val="FootnoteText"/>
      </w:pPr>
      <w:r>
        <w:rPr>
          <w:rStyle w:val="FootnoteReference"/>
        </w:rPr>
        <w:footnoteRef/>
      </w:r>
      <w:r>
        <w:t xml:space="preserve"> </w:t>
      </w:r>
      <w:r w:rsidRPr="003C4B61">
        <w:rPr>
          <w:i/>
          <w:iCs/>
        </w:rPr>
        <w:t xml:space="preserve">Justices Act 1959 </w:t>
      </w:r>
      <w:r w:rsidRPr="003C4B61">
        <w:t>(Tas) s 106B. This include</w:t>
      </w:r>
      <w:r>
        <w:t>s</w:t>
      </w:r>
      <w:r w:rsidRPr="003C4B61">
        <w:t xml:space="preserve"> either </w:t>
      </w:r>
      <w:r w:rsidRPr="00DB3307">
        <w:t>stalking</w:t>
      </w:r>
      <w:r w:rsidRPr="003C4B61">
        <w:t xml:space="preserve"> of the person who is seeking a restraint order or stalking another person, which causes the person seeking the restraint order to feel apprehension or fear.</w:t>
      </w:r>
    </w:p>
  </w:footnote>
  <w:footnote w:id="278">
    <w:p w14:paraId="19DB0474" w14:textId="757405B7" w:rsidR="003E5D79" w:rsidRDefault="003E5D79">
      <w:pPr>
        <w:pStyle w:val="FootnoteText"/>
      </w:pPr>
      <w:r>
        <w:rPr>
          <w:rStyle w:val="FootnoteReference"/>
        </w:rPr>
        <w:footnoteRef/>
      </w:r>
      <w:r>
        <w:t xml:space="preserve"> </w:t>
      </w:r>
      <w:r w:rsidRPr="003C4B61">
        <w:rPr>
          <w:i/>
          <w:iCs/>
        </w:rPr>
        <w:t>Justices Act 1959</w:t>
      </w:r>
      <w:r w:rsidRPr="003C4B61">
        <w:t xml:space="preserve"> (Tas) s 106B(</w:t>
      </w:r>
      <w:r w:rsidRPr="00DB3307">
        <w:t>4AAB</w:t>
      </w:r>
      <w:r w:rsidRPr="003C4B61">
        <w:t>).</w:t>
      </w:r>
    </w:p>
  </w:footnote>
  <w:footnote w:id="279">
    <w:p w14:paraId="19199645" w14:textId="313BC3E1" w:rsidR="003E5D79" w:rsidRDefault="003E5D79">
      <w:pPr>
        <w:pStyle w:val="FootnoteText"/>
      </w:pPr>
      <w:r>
        <w:rPr>
          <w:rStyle w:val="FootnoteReference"/>
        </w:rPr>
        <w:footnoteRef/>
      </w:r>
      <w:r>
        <w:t xml:space="preserve"> </w:t>
      </w:r>
      <w:r w:rsidRPr="003C4B61">
        <w:rPr>
          <w:i/>
          <w:iCs/>
        </w:rPr>
        <w:t>Justices Act 1959</w:t>
      </w:r>
      <w:r w:rsidRPr="003C4B61">
        <w:t xml:space="preserve"> (Tas) s </w:t>
      </w:r>
      <w:r w:rsidRPr="00DB3307">
        <w:t>106B</w:t>
      </w:r>
      <w:r w:rsidRPr="003C4B61">
        <w:t>(4A).</w:t>
      </w:r>
    </w:p>
  </w:footnote>
  <w:footnote w:id="280">
    <w:p w14:paraId="0DFB4FBF" w14:textId="0B86DE50" w:rsidR="003E5D79" w:rsidRDefault="003E5D79">
      <w:pPr>
        <w:pStyle w:val="FootnoteText"/>
      </w:pPr>
      <w:r>
        <w:rPr>
          <w:rStyle w:val="FootnoteReference"/>
        </w:rPr>
        <w:footnoteRef/>
      </w:r>
      <w:r>
        <w:t xml:space="preserve"> </w:t>
      </w:r>
      <w:r w:rsidRPr="003C4B61">
        <w:rPr>
          <w:i/>
          <w:iCs/>
        </w:rPr>
        <w:t>Justices Act 1959</w:t>
      </w:r>
      <w:r w:rsidRPr="003C4B61">
        <w:t xml:space="preserve"> (Tas) s 106B(4AAB)</w:t>
      </w:r>
      <w:r>
        <w:t>. I</w:t>
      </w:r>
      <w:r w:rsidRPr="003C4B61">
        <w:t xml:space="preserve">n </w:t>
      </w:r>
      <w:r w:rsidRPr="00DB3307">
        <w:t>deciding</w:t>
      </w:r>
      <w:r w:rsidRPr="003C4B61">
        <w:t xml:space="preserve"> whether to make a restraint order, consideration is required to be given to whether access between a person seeking a restraint order</w:t>
      </w:r>
      <w:r>
        <w:t>,</w:t>
      </w:r>
      <w:r w:rsidRPr="003C4B61">
        <w:t xml:space="preserve"> or the person against whom a restraint order is sought to be made</w:t>
      </w:r>
      <w:r>
        <w:t>,</w:t>
      </w:r>
      <w:r w:rsidRPr="003C4B61">
        <w:t xml:space="preserve"> and a child who is a member of the family of either of these people is relevant and</w:t>
      </w:r>
      <w:r>
        <w:t xml:space="preserve"> also</w:t>
      </w:r>
      <w:r w:rsidRPr="003C4B61">
        <w:t xml:space="preserve"> to any relevant family contact order that is known about. Further, s 106B(5) requires that factors must be considered before any other orders are made as part of restraint orders, including the effect on accommodation of people affected, the effect of making or declining to make orders on any of their children or children who are in their care, and the need for the person against whom the order is made to collect personal property on the premises.</w:t>
      </w:r>
    </w:p>
  </w:footnote>
  <w:footnote w:id="281">
    <w:p w14:paraId="74F9CFFF" w14:textId="3569F88A" w:rsidR="00950EF8" w:rsidRDefault="00950EF8">
      <w:pPr>
        <w:pStyle w:val="FootnoteText"/>
      </w:pPr>
      <w:r>
        <w:rPr>
          <w:rStyle w:val="FootnoteReference"/>
        </w:rPr>
        <w:footnoteRef/>
      </w:r>
      <w:r>
        <w:t xml:space="preserve"> </w:t>
      </w:r>
      <w:r w:rsidRPr="003C4B61">
        <w:t>Broadly defined as ‘the illegal and improper exploitation or use of funds or resources of the older person.’</w:t>
      </w:r>
      <w:r w:rsidRPr="00284B95">
        <w:t xml:space="preserve">: </w:t>
      </w:r>
      <w:r w:rsidR="00667004">
        <w:t xml:space="preserve">‘Financial Abuse of Older People’, </w:t>
      </w:r>
      <w:r w:rsidR="0034387F" w:rsidRPr="003D451B">
        <w:rPr>
          <w:i/>
          <w:iCs/>
        </w:rPr>
        <w:t>CPA Australia</w:t>
      </w:r>
      <w:r w:rsidR="00667004">
        <w:t xml:space="preserve"> (Web Page</w:t>
      </w:r>
      <w:r w:rsidR="00E453F5">
        <w:t>, 1997–2020)</w:t>
      </w:r>
      <w:r w:rsidR="0034387F">
        <w:t xml:space="preserve"> </w:t>
      </w:r>
      <w:r w:rsidR="00E453F5">
        <w:t>&lt;</w:t>
      </w:r>
      <w:hyperlink r:id="rId58" w:history="1">
        <w:r w:rsidR="00EA42FC" w:rsidRPr="00752F60">
          <w:rPr>
            <w:rStyle w:val="Hyperlink"/>
          </w:rPr>
          <w:t>https://www.cpaaustralia.com.au/public-practice/public-practice-research/financial-abuse-of-older-people</w:t>
        </w:r>
      </w:hyperlink>
      <w:r w:rsidR="00EA42FC">
        <w:t>&gt;</w:t>
      </w:r>
      <w:r w:rsidR="00575B7D">
        <w:t>, citing the World Health Organization</w:t>
      </w:r>
      <w:r w:rsidR="00B67B76">
        <w:t xml:space="preserve"> (‘WHO’)</w:t>
      </w:r>
      <w:r w:rsidR="00575B7D">
        <w:t>. S</w:t>
      </w:r>
      <w:r w:rsidRPr="00284B95">
        <w:t xml:space="preserve">ee also </w:t>
      </w:r>
      <w:r w:rsidR="00284B95" w:rsidRPr="00284B95">
        <w:t>Lowndes et al (n 64)</w:t>
      </w:r>
      <w:r w:rsidR="00284B95">
        <w:t>.</w:t>
      </w:r>
    </w:p>
  </w:footnote>
  <w:footnote w:id="282">
    <w:p w14:paraId="5B35C09A" w14:textId="6B04747D" w:rsidR="00950EF8" w:rsidRDefault="00950EF8">
      <w:pPr>
        <w:pStyle w:val="FootnoteText"/>
      </w:pPr>
      <w:r>
        <w:rPr>
          <w:rStyle w:val="FootnoteReference"/>
        </w:rPr>
        <w:footnoteRef/>
      </w:r>
      <w:r>
        <w:t xml:space="preserve"> </w:t>
      </w:r>
      <w:r w:rsidR="00106A7A">
        <w:t xml:space="preserve">Attorney-General’s Department, </w:t>
      </w:r>
      <w:r w:rsidR="002B336E">
        <w:t>Australian</w:t>
      </w:r>
      <w:r w:rsidRPr="003C4B61">
        <w:t xml:space="preserve"> </w:t>
      </w:r>
      <w:r w:rsidR="002B336E">
        <w:t>Government</w:t>
      </w:r>
      <w:r w:rsidRPr="003C4B61">
        <w:t xml:space="preserve">, </w:t>
      </w:r>
      <w:r w:rsidRPr="002B336E">
        <w:rPr>
          <w:i/>
          <w:iCs/>
        </w:rPr>
        <w:t>Achieving Greater Consistency in Laws for Financial Enduring Powers of Attorney</w:t>
      </w:r>
      <w:r w:rsidRPr="003C4B61">
        <w:t xml:space="preserve"> </w:t>
      </w:r>
      <w:r w:rsidR="002B336E">
        <w:t xml:space="preserve">(Consultation Paper, </w:t>
      </w:r>
      <w:r w:rsidRPr="003C4B61">
        <w:t>Sept</w:t>
      </w:r>
      <w:r w:rsidR="002B336E">
        <w:t>ember</w:t>
      </w:r>
      <w:r w:rsidRPr="003C4B61">
        <w:t xml:space="preserve"> 2023</w:t>
      </w:r>
      <w:r w:rsidR="002B336E">
        <w:t>)</w:t>
      </w:r>
      <w:r w:rsidRPr="003C4B61">
        <w:t xml:space="preserve"> </w:t>
      </w:r>
      <w:r w:rsidR="00022902">
        <w:t xml:space="preserve">(‘Attorney-General’s Department, </w:t>
      </w:r>
      <w:r w:rsidR="00022902" w:rsidRPr="002B336E">
        <w:rPr>
          <w:i/>
          <w:iCs/>
        </w:rPr>
        <w:t>Achieving Greater Consistency in Laws for Financial Enduring Powers of Attorney</w:t>
      </w:r>
      <w:r w:rsidR="00022902">
        <w:t xml:space="preserve">’) </w:t>
      </w:r>
      <w:r w:rsidRPr="003C4B61">
        <w:t>2</w:t>
      </w:r>
      <w:r w:rsidR="002B336E">
        <w:t>.</w:t>
      </w:r>
    </w:p>
  </w:footnote>
  <w:footnote w:id="283">
    <w:p w14:paraId="787E84E9" w14:textId="3D9FCC2A" w:rsidR="00950EF8" w:rsidRDefault="00950EF8">
      <w:pPr>
        <w:pStyle w:val="FootnoteText"/>
      </w:pPr>
      <w:r>
        <w:rPr>
          <w:rStyle w:val="FootnoteReference"/>
        </w:rPr>
        <w:footnoteRef/>
      </w:r>
      <w:r>
        <w:t xml:space="preserve"> </w:t>
      </w:r>
      <w:r w:rsidR="002B336E">
        <w:t>Ibid.</w:t>
      </w:r>
    </w:p>
  </w:footnote>
  <w:footnote w:id="284">
    <w:p w14:paraId="0D02648D" w14:textId="0581540A" w:rsidR="00950EF8" w:rsidRDefault="00950EF8">
      <w:pPr>
        <w:pStyle w:val="FootnoteText"/>
      </w:pPr>
      <w:r>
        <w:rPr>
          <w:rStyle w:val="FootnoteReference"/>
        </w:rPr>
        <w:footnoteRef/>
      </w:r>
      <w:r>
        <w:t xml:space="preserve"> </w:t>
      </w:r>
      <w:r w:rsidRPr="00950EF8">
        <w:rPr>
          <w:i/>
          <w:iCs/>
        </w:rPr>
        <w:t>Powers of Attorney Act 2000</w:t>
      </w:r>
      <w:r w:rsidRPr="003C4B61">
        <w:t xml:space="preserve"> (Tas) s 32(1)</w:t>
      </w:r>
      <w:r>
        <w:t>.</w:t>
      </w:r>
    </w:p>
  </w:footnote>
  <w:footnote w:id="285">
    <w:p w14:paraId="5AF7DB8D" w14:textId="6C0C3E93" w:rsidR="00950EF8" w:rsidRDefault="00950EF8">
      <w:pPr>
        <w:pStyle w:val="FootnoteText"/>
      </w:pPr>
      <w:r>
        <w:rPr>
          <w:rStyle w:val="FootnoteReference"/>
        </w:rPr>
        <w:footnoteRef/>
      </w:r>
      <w:r>
        <w:t xml:space="preserve"> </w:t>
      </w:r>
      <w:r w:rsidRPr="003C4B61">
        <w:rPr>
          <w:i/>
          <w:iCs/>
        </w:rPr>
        <w:t>Powers of Attorney Act 2000</w:t>
      </w:r>
      <w:r w:rsidRPr="003C4B61">
        <w:t xml:space="preserve"> (Tas) s 32(3)</w:t>
      </w:r>
      <w:r>
        <w:t xml:space="preserve"> (</w:t>
      </w:r>
      <w:r w:rsidRPr="003C4B61">
        <w:t xml:space="preserve">punishable by a fine not exceeding 50 </w:t>
      </w:r>
      <w:r w:rsidRPr="00DB3307">
        <w:t>penalty</w:t>
      </w:r>
      <w:r w:rsidRPr="003C4B61">
        <w:t xml:space="preserve"> units</w:t>
      </w:r>
      <w:r>
        <w:t>)</w:t>
      </w:r>
      <w:r w:rsidRPr="003C4B61">
        <w:t>.</w:t>
      </w:r>
    </w:p>
  </w:footnote>
  <w:footnote w:id="286">
    <w:p w14:paraId="329EE339" w14:textId="43AB5DA5" w:rsidR="00950EF8" w:rsidRDefault="00950EF8">
      <w:pPr>
        <w:pStyle w:val="FootnoteText"/>
      </w:pPr>
      <w:r>
        <w:rPr>
          <w:rStyle w:val="FootnoteReference"/>
        </w:rPr>
        <w:footnoteRef/>
      </w:r>
      <w:r>
        <w:t xml:space="preserve"> </w:t>
      </w:r>
      <w:r w:rsidRPr="00950EF8">
        <w:rPr>
          <w:i/>
          <w:iCs/>
        </w:rPr>
        <w:t>Powers of Attorney Act 2000</w:t>
      </w:r>
      <w:r w:rsidRPr="003C4B61">
        <w:t xml:space="preserve"> (Tas) s </w:t>
      </w:r>
      <w:r w:rsidRPr="00DB3307">
        <w:t>32AD</w:t>
      </w:r>
      <w:r w:rsidRPr="003C4B61">
        <w:t>.</w:t>
      </w:r>
    </w:p>
  </w:footnote>
  <w:footnote w:id="287">
    <w:p w14:paraId="21897A1F" w14:textId="5FE3E87A" w:rsidR="00950EF8" w:rsidRDefault="00950EF8">
      <w:pPr>
        <w:pStyle w:val="FootnoteText"/>
      </w:pPr>
      <w:r>
        <w:rPr>
          <w:rStyle w:val="FootnoteReference"/>
        </w:rPr>
        <w:footnoteRef/>
      </w:r>
      <w:r>
        <w:t xml:space="preserve"> </w:t>
      </w:r>
      <w:r w:rsidRPr="00950EF8">
        <w:rPr>
          <w:i/>
          <w:iCs/>
        </w:rPr>
        <w:t>Powers of Attorney Act 2000</w:t>
      </w:r>
      <w:r w:rsidRPr="003C4B61">
        <w:t xml:space="preserve"> (Tas) s </w:t>
      </w:r>
      <w:r w:rsidRPr="00DB3307">
        <w:t>32AC</w:t>
      </w:r>
      <w:r w:rsidRPr="003C4B61">
        <w:t>.</w:t>
      </w:r>
    </w:p>
  </w:footnote>
  <w:footnote w:id="288">
    <w:p w14:paraId="0551000F" w14:textId="00AD0029" w:rsidR="00950EF8" w:rsidRDefault="00950EF8">
      <w:pPr>
        <w:pStyle w:val="FootnoteText"/>
      </w:pPr>
      <w:r>
        <w:rPr>
          <w:rStyle w:val="FootnoteReference"/>
        </w:rPr>
        <w:footnoteRef/>
      </w:r>
      <w:r>
        <w:t xml:space="preserve"> </w:t>
      </w:r>
      <w:r w:rsidRPr="003C4B61">
        <w:t>These include</w:t>
      </w:r>
      <w:r>
        <w:t xml:space="preserve">: </w:t>
      </w:r>
      <w:r w:rsidRPr="003C4B61">
        <w:t xml:space="preserve">contravene a direction by a Tribunal given to an </w:t>
      </w:r>
      <w:r w:rsidRPr="00DB3307">
        <w:t>attorney</w:t>
      </w:r>
      <w:r w:rsidRPr="003C4B61">
        <w:t xml:space="preserve"> under power of attorney: </w:t>
      </w:r>
      <w:r w:rsidRPr="003C4B61">
        <w:rPr>
          <w:i/>
          <w:iCs/>
        </w:rPr>
        <w:t>Powers of Attorney Act 2000</w:t>
      </w:r>
      <w:r w:rsidRPr="003C4B61">
        <w:t xml:space="preserve"> (Tas) s 35; false or misleading applications</w:t>
      </w:r>
      <w:r>
        <w:t xml:space="preserve">: </w:t>
      </w:r>
      <w:r w:rsidRPr="003C4B61">
        <w:rPr>
          <w:i/>
          <w:iCs/>
        </w:rPr>
        <w:t>Powers of Attorney Act 2000</w:t>
      </w:r>
      <w:r w:rsidRPr="003C4B61">
        <w:t xml:space="preserve"> (Tas) s 36; and refuse or neglect to produce a power of attorney document required by a Tribunal: </w:t>
      </w:r>
      <w:r w:rsidRPr="003C4B61">
        <w:rPr>
          <w:i/>
          <w:iCs/>
        </w:rPr>
        <w:t>Powers of Attorney Act 2000</w:t>
      </w:r>
      <w:r w:rsidRPr="003C4B61">
        <w:t xml:space="preserve"> (Tas) s 48.</w:t>
      </w:r>
    </w:p>
  </w:footnote>
  <w:footnote w:id="289">
    <w:p w14:paraId="79D27E71" w14:textId="4E28924C" w:rsidR="00950EF8" w:rsidRDefault="00950EF8">
      <w:pPr>
        <w:pStyle w:val="FootnoteText"/>
      </w:pPr>
      <w:r>
        <w:rPr>
          <w:rStyle w:val="FootnoteReference"/>
        </w:rPr>
        <w:footnoteRef/>
      </w:r>
      <w:r>
        <w:t xml:space="preserve"> </w:t>
      </w:r>
      <w:r w:rsidRPr="00950EF8">
        <w:rPr>
          <w:i/>
          <w:iCs/>
        </w:rPr>
        <w:t>Powers of Attorney Act 2000</w:t>
      </w:r>
      <w:r w:rsidRPr="003C4B61">
        <w:t xml:space="preserve"> (Tas) s 33(2).</w:t>
      </w:r>
    </w:p>
  </w:footnote>
  <w:footnote w:id="290">
    <w:p w14:paraId="5F9B9C8F" w14:textId="18B64534" w:rsidR="00FA6E4C" w:rsidRDefault="00FA6E4C">
      <w:pPr>
        <w:pStyle w:val="FootnoteText"/>
      </w:pPr>
      <w:r>
        <w:rPr>
          <w:rStyle w:val="FootnoteReference"/>
        </w:rPr>
        <w:footnoteRef/>
      </w:r>
      <w:r>
        <w:t xml:space="preserve"> </w:t>
      </w:r>
      <w:r w:rsidRPr="003C4B61">
        <w:rPr>
          <w:i/>
          <w:iCs/>
        </w:rPr>
        <w:t>Guardianship and Administration Act 1995</w:t>
      </w:r>
      <w:r w:rsidRPr="003C4B61">
        <w:t xml:space="preserve"> (Tas) </w:t>
      </w:r>
      <w:r>
        <w:t>pt</w:t>
      </w:r>
      <w:r w:rsidRPr="003C4B61">
        <w:t xml:space="preserve"> 7. This includes decisions</w:t>
      </w:r>
      <w:r>
        <w:t xml:space="preserve"> regarding</w:t>
      </w:r>
      <w:r w:rsidRPr="003C4B61">
        <w:t xml:space="preserve"> the appointment of administrators</w:t>
      </w:r>
      <w:r>
        <w:t>,</w:t>
      </w:r>
      <w:r w:rsidRPr="003C4B61">
        <w:t xml:space="preserve"> including the duration of the order, the person to be appointed as administrator</w:t>
      </w:r>
      <w:r>
        <w:t>,</w:t>
      </w:r>
      <w:r w:rsidRPr="003C4B61">
        <w:t xml:space="preserve"> and the scope of the powers provided.</w:t>
      </w:r>
    </w:p>
  </w:footnote>
  <w:footnote w:id="291">
    <w:p w14:paraId="5C4DCC1A" w14:textId="2E48A765" w:rsidR="00FA6E4C" w:rsidRDefault="00FA6E4C">
      <w:pPr>
        <w:pStyle w:val="FootnoteText"/>
      </w:pPr>
      <w:r>
        <w:rPr>
          <w:rStyle w:val="FootnoteReference"/>
        </w:rPr>
        <w:footnoteRef/>
      </w:r>
      <w:r>
        <w:t xml:space="preserve"> </w:t>
      </w:r>
      <w:r w:rsidRPr="00FA6E4C">
        <w:rPr>
          <w:i/>
          <w:iCs/>
        </w:rPr>
        <w:t>Guardianship and Administration Act 1995</w:t>
      </w:r>
      <w:r w:rsidRPr="003C4B61">
        <w:t xml:space="preserve"> (Tas) s </w:t>
      </w:r>
      <w:r w:rsidRPr="00DB3307">
        <w:t>67</w:t>
      </w:r>
      <w:r w:rsidRPr="003C4B61">
        <w:t>.</w:t>
      </w:r>
    </w:p>
  </w:footnote>
  <w:footnote w:id="292">
    <w:p w14:paraId="0EC89ACD" w14:textId="18959998" w:rsidR="00FA6E4C" w:rsidRDefault="00FA6E4C">
      <w:pPr>
        <w:pStyle w:val="FootnoteText"/>
      </w:pPr>
      <w:r>
        <w:rPr>
          <w:rStyle w:val="FootnoteReference"/>
        </w:rPr>
        <w:footnoteRef/>
      </w:r>
      <w:r>
        <w:t xml:space="preserve"> </w:t>
      </w:r>
      <w:r w:rsidRPr="003C4B61">
        <w:t>See</w:t>
      </w:r>
      <w:r>
        <w:t>,</w:t>
      </w:r>
      <w:r w:rsidRPr="003C4B61">
        <w:t xml:space="preserve"> eg, </w:t>
      </w:r>
      <w:r w:rsidRPr="003C4B61">
        <w:rPr>
          <w:i/>
          <w:iCs/>
        </w:rPr>
        <w:t>Guardianship and Administration Act 1995</w:t>
      </w:r>
      <w:r w:rsidRPr="003C4B61">
        <w:t xml:space="preserve"> (Tas) ss 56, 58, 59, 60, 61, 63, 65.</w:t>
      </w:r>
    </w:p>
  </w:footnote>
  <w:footnote w:id="293">
    <w:p w14:paraId="789C0EDA" w14:textId="740E66EE" w:rsidR="00FA6E4C" w:rsidRDefault="00FA6E4C">
      <w:pPr>
        <w:pStyle w:val="FootnoteText"/>
      </w:pPr>
      <w:r>
        <w:rPr>
          <w:rStyle w:val="FootnoteReference"/>
        </w:rPr>
        <w:footnoteRef/>
      </w:r>
      <w:r>
        <w:t xml:space="preserve"> </w:t>
      </w:r>
      <w:r w:rsidRPr="00FA6E4C">
        <w:rPr>
          <w:i/>
          <w:iCs/>
        </w:rPr>
        <w:t>Guardianship and Administration Act 1995</w:t>
      </w:r>
      <w:r w:rsidRPr="003C4B61">
        <w:t xml:space="preserve"> (Tas) ss </w:t>
      </w:r>
      <w:r w:rsidRPr="00DB3307">
        <w:t>62A</w:t>
      </w:r>
      <w:r w:rsidRPr="003C4B61">
        <w:t>, 63, 66.</w:t>
      </w:r>
    </w:p>
  </w:footnote>
  <w:footnote w:id="294">
    <w:p w14:paraId="11F8A359" w14:textId="706FE6DF" w:rsidR="00FA6E4C" w:rsidRDefault="00FA6E4C">
      <w:pPr>
        <w:pStyle w:val="FootnoteText"/>
      </w:pPr>
      <w:r>
        <w:rPr>
          <w:rStyle w:val="FootnoteReference"/>
        </w:rPr>
        <w:footnoteRef/>
      </w:r>
      <w:r>
        <w:t xml:space="preserve"> </w:t>
      </w:r>
      <w:r w:rsidRPr="003C4B61">
        <w:t xml:space="preserve">Defined in </w:t>
      </w:r>
      <w:r>
        <w:t xml:space="preserve">the </w:t>
      </w:r>
      <w:r w:rsidRPr="00FA6E4C">
        <w:rPr>
          <w:i/>
          <w:iCs/>
        </w:rPr>
        <w:t>Guardianship and Administration Act 1995</w:t>
      </w:r>
      <w:r w:rsidRPr="003C4B61">
        <w:t xml:space="preserve"> (Tas) s </w:t>
      </w:r>
      <w:r w:rsidRPr="00DB3307">
        <w:t>11</w:t>
      </w:r>
      <w:r w:rsidRPr="003C4B61">
        <w:t>.</w:t>
      </w:r>
    </w:p>
  </w:footnote>
  <w:footnote w:id="295">
    <w:p w14:paraId="41A9202C" w14:textId="2280D808" w:rsidR="00FA6E4C" w:rsidRDefault="00FA6E4C">
      <w:pPr>
        <w:pStyle w:val="FootnoteText"/>
      </w:pPr>
      <w:r>
        <w:rPr>
          <w:rStyle w:val="FootnoteReference"/>
        </w:rPr>
        <w:footnoteRef/>
      </w:r>
      <w:r>
        <w:t xml:space="preserve"> </w:t>
      </w:r>
      <w:r w:rsidRPr="00FA6E4C">
        <w:rPr>
          <w:i/>
          <w:iCs/>
        </w:rPr>
        <w:t>Guardianship and Administration Act 1995</w:t>
      </w:r>
      <w:r w:rsidRPr="003C4B61">
        <w:t xml:space="preserve"> (Tas) s</w:t>
      </w:r>
      <w:r w:rsidR="004E10F0">
        <w:t>s 20</w:t>
      </w:r>
      <w:r w:rsidR="000C6F2F">
        <w:t>, 21, 32, 32A.</w:t>
      </w:r>
    </w:p>
  </w:footnote>
  <w:footnote w:id="296">
    <w:p w14:paraId="0E0EFF9B" w14:textId="298BAE9D" w:rsidR="00FA6E4C" w:rsidRDefault="00FA6E4C">
      <w:pPr>
        <w:pStyle w:val="FootnoteText"/>
      </w:pPr>
      <w:r>
        <w:rPr>
          <w:rStyle w:val="FootnoteReference"/>
        </w:rPr>
        <w:footnoteRef/>
      </w:r>
      <w:r>
        <w:t xml:space="preserve"> </w:t>
      </w:r>
      <w:r w:rsidRPr="00FA6E4C">
        <w:rPr>
          <w:i/>
          <w:iCs/>
        </w:rPr>
        <w:t>Guardianship and Administration Act 1995</w:t>
      </w:r>
      <w:r w:rsidRPr="003C4B61">
        <w:t xml:space="preserve"> (Tas) s </w:t>
      </w:r>
      <w:r w:rsidR="00F476D6">
        <w:t>17.</w:t>
      </w:r>
    </w:p>
  </w:footnote>
  <w:footnote w:id="297">
    <w:p w14:paraId="027D29B0" w14:textId="27A7C43A" w:rsidR="00F476D6" w:rsidRDefault="00F476D6">
      <w:pPr>
        <w:pStyle w:val="FootnoteText"/>
      </w:pPr>
      <w:r>
        <w:rPr>
          <w:rStyle w:val="FootnoteReference"/>
        </w:rPr>
        <w:footnoteRef/>
      </w:r>
      <w:r>
        <w:t xml:space="preserve"> </w:t>
      </w:r>
      <w:r w:rsidRPr="003C4B61">
        <w:t xml:space="preserve">Other drivers included an independent review commissioned </w:t>
      </w:r>
      <w:r w:rsidRPr="00DB3307">
        <w:t>by</w:t>
      </w:r>
      <w:r w:rsidRPr="003C4B61">
        <w:t xml:space="preserve"> the Tasmanian Government into the administrative and operational practices of the Public Trustee</w:t>
      </w:r>
      <w:r w:rsidR="00E233D5">
        <w:t xml:space="preserve">: </w:t>
      </w:r>
      <w:r w:rsidR="000E3411">
        <w:t xml:space="preserve">see </w:t>
      </w:r>
      <w:r w:rsidR="00E233D5">
        <w:t xml:space="preserve">Damian Bugg, </w:t>
      </w:r>
      <w:r w:rsidR="00E233D5" w:rsidRPr="00B84A2F">
        <w:rPr>
          <w:i/>
          <w:iCs/>
        </w:rPr>
        <w:t xml:space="preserve">Independent Review </w:t>
      </w:r>
      <w:r w:rsidR="008478DC" w:rsidRPr="00B84A2F">
        <w:rPr>
          <w:i/>
          <w:iCs/>
        </w:rPr>
        <w:t>Public Trustee Tasmania</w:t>
      </w:r>
      <w:r w:rsidR="008478DC">
        <w:t xml:space="preserve"> (</w:t>
      </w:r>
      <w:r w:rsidR="00673A17">
        <w:t xml:space="preserve">Report, </w:t>
      </w:r>
      <w:r w:rsidR="008478DC">
        <w:t>Copy for Publication, 30 November 2021)</w:t>
      </w:r>
      <w:r>
        <w:t>;</w:t>
      </w:r>
      <w:r w:rsidRPr="003C4B61">
        <w:t xml:space="preserve"> </w:t>
      </w:r>
      <w:r>
        <w:t xml:space="preserve">recommendations of </w:t>
      </w:r>
      <w:r w:rsidRPr="003C4B61">
        <w:t xml:space="preserve">the </w:t>
      </w:r>
      <w:r w:rsidRPr="00FA6E4C">
        <w:rPr>
          <w:i/>
          <w:iCs/>
        </w:rPr>
        <w:t>Royal Commission into Violence, Abuse and Neglect and Exploitation of People with Disability</w:t>
      </w:r>
      <w:r>
        <w:t xml:space="preserve">: </w:t>
      </w:r>
      <w:r w:rsidR="000E3411">
        <w:t xml:space="preserve">see </w:t>
      </w:r>
      <w:r w:rsidR="00395C99" w:rsidRPr="00FA6E4C">
        <w:rPr>
          <w:i/>
          <w:iCs/>
        </w:rPr>
        <w:t>Royal Commission into Violence, Abuse and Neglect and Exploitation of People with Disability</w:t>
      </w:r>
      <w:r w:rsidR="00395C99">
        <w:t xml:space="preserve"> (Final Report,</w:t>
      </w:r>
      <w:r w:rsidR="00E739A6">
        <w:t xml:space="preserve"> 2023</w:t>
      </w:r>
      <w:r w:rsidR="00673A17">
        <w:t>)</w:t>
      </w:r>
      <w:r>
        <w:t>; and</w:t>
      </w:r>
      <w:r w:rsidRPr="003C4B61">
        <w:t xml:space="preserve"> concerns raised in systemic advocacy in Tasmania around the operation of the guardianship and administration system</w:t>
      </w:r>
      <w:r w:rsidR="007967EC">
        <w:t xml:space="preserve">: </w:t>
      </w:r>
      <w:r w:rsidR="000E3411">
        <w:t xml:space="preserve">see </w:t>
      </w:r>
      <w:r w:rsidR="007967EC">
        <w:t xml:space="preserve">Advocacy Tasmania, </w:t>
      </w:r>
      <w:r w:rsidR="00433BFF">
        <w:t>‘</w:t>
      </w:r>
      <w:r w:rsidR="007967EC">
        <w:t>Submission: Guardianship and Administration Amendment Bill 2002</w:t>
      </w:r>
      <w:r w:rsidR="00433BFF">
        <w:t>’</w:t>
      </w:r>
      <w:r w:rsidR="007967EC">
        <w:t xml:space="preserve"> (October 2022) &lt;</w:t>
      </w:r>
      <w:hyperlink r:id="rId59" w:history="1">
        <w:r w:rsidR="00433BFF" w:rsidRPr="004A7257">
          <w:rPr>
            <w:rStyle w:val="Hyperlink"/>
          </w:rPr>
          <w:t>https://advocacytasmania.org.au/news-updates/publications/</w:t>
        </w:r>
      </w:hyperlink>
      <w:r w:rsidR="00433BFF">
        <w:t>&gt;.</w:t>
      </w:r>
    </w:p>
  </w:footnote>
  <w:footnote w:id="298">
    <w:p w14:paraId="36E0A51F" w14:textId="2DF7D7B7" w:rsidR="00433BFF" w:rsidRDefault="00433BFF">
      <w:pPr>
        <w:pStyle w:val="FootnoteText"/>
      </w:pPr>
      <w:r>
        <w:rPr>
          <w:rStyle w:val="FootnoteReference"/>
        </w:rPr>
        <w:footnoteRef/>
      </w:r>
      <w:r>
        <w:t xml:space="preserve"> </w:t>
      </w:r>
      <w:r w:rsidRPr="003C4B61">
        <w:rPr>
          <w:i/>
          <w:iCs/>
        </w:rPr>
        <w:t>Guardianship and Administration Act 1995</w:t>
      </w:r>
      <w:r w:rsidRPr="003C4B61">
        <w:t xml:space="preserve"> (Tas) s 8. </w:t>
      </w:r>
      <w:r w:rsidRPr="00DB3307">
        <w:t>See</w:t>
      </w:r>
      <w:r w:rsidRPr="003C4B61">
        <w:t xml:space="preserve"> also</w:t>
      </w:r>
      <w:r w:rsidR="0067226D">
        <w:t xml:space="preserve"> Tasmanian Government, ‘Tasmania’s Guardianship and Administration System is Changing’</w:t>
      </w:r>
      <w:r w:rsidR="00DD34B8">
        <w:t xml:space="preserve">, </w:t>
      </w:r>
      <w:r w:rsidR="00DD34B8" w:rsidRPr="00DD34B8">
        <w:rPr>
          <w:i/>
          <w:iCs/>
        </w:rPr>
        <w:t>Department of Justice</w:t>
      </w:r>
      <w:r w:rsidR="00DD34B8">
        <w:t xml:space="preserve"> (Web Page, </w:t>
      </w:r>
      <w:r w:rsidR="00B57E3C">
        <w:t xml:space="preserve">21 August 2024) </w:t>
      </w:r>
      <w:r w:rsidRPr="003C4B61">
        <w:t>&lt;</w:t>
      </w:r>
      <w:hyperlink r:id="rId60" w:history="1">
        <w:r w:rsidR="00DD34B8" w:rsidRPr="004A7257">
          <w:rPr>
            <w:rStyle w:val="Hyperlink"/>
          </w:rPr>
          <w:t>https://www.justice.tas.gov.au/about-us/news/articles/tasmanias-guardianship-and-administration-system-is-changing</w:t>
        </w:r>
      </w:hyperlink>
      <w:r w:rsidR="00DD34B8">
        <w:t>&gt;</w:t>
      </w:r>
      <w:r w:rsidR="00C54820">
        <w:t xml:space="preserve"> (‘Tasmanian Government, ‘Tasmania’s Guardianship and Administration System is Changing’).</w:t>
      </w:r>
    </w:p>
  </w:footnote>
  <w:footnote w:id="299">
    <w:p w14:paraId="34504794" w14:textId="3A365C50" w:rsidR="00B57E3C" w:rsidRDefault="00B57E3C">
      <w:pPr>
        <w:pStyle w:val="FootnoteText"/>
      </w:pPr>
      <w:r>
        <w:rPr>
          <w:rStyle w:val="FootnoteReference"/>
        </w:rPr>
        <w:footnoteRef/>
      </w:r>
      <w:r>
        <w:t xml:space="preserve"> </w:t>
      </w:r>
      <w:r w:rsidRPr="00B57E3C">
        <w:rPr>
          <w:i/>
          <w:iCs/>
        </w:rPr>
        <w:t>Guardianship and Administration Act 1995</w:t>
      </w:r>
      <w:r w:rsidRPr="003C4B61">
        <w:t xml:space="preserve"> (Tas) s </w:t>
      </w:r>
      <w:r w:rsidRPr="00DB3307">
        <w:t>15</w:t>
      </w:r>
      <w:r w:rsidRPr="003C4B61">
        <w:t>.</w:t>
      </w:r>
    </w:p>
  </w:footnote>
  <w:footnote w:id="300">
    <w:p w14:paraId="009092C8" w14:textId="3E3A42C9" w:rsidR="00B57E3C" w:rsidRDefault="00B57E3C">
      <w:pPr>
        <w:pStyle w:val="FootnoteText"/>
      </w:pPr>
      <w:r>
        <w:rPr>
          <w:rStyle w:val="FootnoteReference"/>
        </w:rPr>
        <w:footnoteRef/>
      </w:r>
      <w:r>
        <w:t xml:space="preserve"> </w:t>
      </w:r>
      <w:r w:rsidRPr="003C4B61">
        <w:t xml:space="preserve">See </w:t>
      </w:r>
      <w:r w:rsidR="00824E5B">
        <w:t xml:space="preserve">further </w:t>
      </w:r>
      <w:r w:rsidR="00C83644" w:rsidRPr="00C83644">
        <w:rPr>
          <w:b/>
          <w:bCs/>
        </w:rPr>
        <w:t>Part 5</w:t>
      </w:r>
      <w:r w:rsidR="00C83644">
        <w:t xml:space="preserve"> at </w:t>
      </w:r>
      <w:r w:rsidR="00824E5B">
        <w:t>[5.2.2</w:t>
      </w:r>
      <w:r w:rsidR="004D12EC">
        <w:t>5</w:t>
      </w:r>
      <w:r w:rsidR="00824E5B">
        <w:t>]</w:t>
      </w:r>
      <w:r w:rsidR="00C47BEF">
        <w:t>,</w:t>
      </w:r>
      <w:r w:rsidR="004D12EC">
        <w:t xml:space="preserve"> [5.2.26]</w:t>
      </w:r>
      <w:r w:rsidR="00C47BEF">
        <w:t xml:space="preserve"> and </w:t>
      </w:r>
      <w:r w:rsidR="008D64E8">
        <w:t>[5.4.30]</w:t>
      </w:r>
      <w:r w:rsidR="003B25F1">
        <w:t>.</w:t>
      </w:r>
    </w:p>
  </w:footnote>
  <w:footnote w:id="301">
    <w:p w14:paraId="734144BF" w14:textId="50A27DC2" w:rsidR="00B57E3C" w:rsidRDefault="00B57E3C">
      <w:pPr>
        <w:pStyle w:val="FootnoteText"/>
      </w:pPr>
      <w:r>
        <w:rPr>
          <w:rStyle w:val="FootnoteReference"/>
        </w:rPr>
        <w:footnoteRef/>
      </w:r>
      <w:r>
        <w:t xml:space="preserve"> </w:t>
      </w:r>
      <w:r w:rsidRPr="00861451">
        <w:rPr>
          <w:i/>
          <w:iCs/>
        </w:rPr>
        <w:t>Guardianship and Administration Act 1995</w:t>
      </w:r>
      <w:r w:rsidRPr="003C4B61">
        <w:t xml:space="preserve"> (Tas) s </w:t>
      </w:r>
      <w:r w:rsidRPr="00DB3307">
        <w:t>69</w:t>
      </w:r>
      <w:r w:rsidRPr="003C4B61">
        <w:t>.</w:t>
      </w:r>
    </w:p>
  </w:footnote>
  <w:footnote w:id="302">
    <w:p w14:paraId="31F02B4E" w14:textId="0A66E96A" w:rsidR="00B57E3C" w:rsidRDefault="00B57E3C">
      <w:pPr>
        <w:pStyle w:val="FootnoteText"/>
      </w:pPr>
      <w:r>
        <w:rPr>
          <w:rStyle w:val="FootnoteReference"/>
        </w:rPr>
        <w:footnoteRef/>
      </w:r>
      <w:r>
        <w:t xml:space="preserve"> </w:t>
      </w:r>
      <w:r w:rsidRPr="00861451">
        <w:rPr>
          <w:i/>
          <w:iCs/>
        </w:rPr>
        <w:t>Guardianship and Administration Act 1995</w:t>
      </w:r>
      <w:r w:rsidRPr="003C4B61">
        <w:t xml:space="preserve"> (Tas) s </w:t>
      </w:r>
      <w:r w:rsidRPr="00DB3307">
        <w:t>70</w:t>
      </w:r>
      <w:r w:rsidRPr="003C4B61">
        <w:t>.</w:t>
      </w:r>
    </w:p>
  </w:footnote>
  <w:footnote w:id="303">
    <w:p w14:paraId="73AEF690" w14:textId="3A47F3A6" w:rsidR="00B57E3C" w:rsidRDefault="00B57E3C">
      <w:pPr>
        <w:pStyle w:val="FootnoteText"/>
      </w:pPr>
      <w:r>
        <w:rPr>
          <w:rStyle w:val="FootnoteReference"/>
        </w:rPr>
        <w:footnoteRef/>
      </w:r>
      <w:r>
        <w:t xml:space="preserve"> </w:t>
      </w:r>
      <w:r w:rsidRPr="00861451">
        <w:rPr>
          <w:i/>
          <w:iCs/>
        </w:rPr>
        <w:t>Guardianship and Administration Act 1995</w:t>
      </w:r>
      <w:r w:rsidRPr="003C4B61">
        <w:t xml:space="preserve"> (Tas) s </w:t>
      </w:r>
      <w:r w:rsidRPr="00DB3307">
        <w:t>17</w:t>
      </w:r>
      <w:r w:rsidR="002C5AEB">
        <w:t>.</w:t>
      </w:r>
    </w:p>
  </w:footnote>
  <w:footnote w:id="304">
    <w:p w14:paraId="0FC03D53" w14:textId="4700F609" w:rsidR="00B57E3C" w:rsidRDefault="00B57E3C">
      <w:pPr>
        <w:pStyle w:val="FootnoteText"/>
      </w:pPr>
      <w:r>
        <w:rPr>
          <w:rStyle w:val="FootnoteReference"/>
        </w:rPr>
        <w:footnoteRef/>
      </w:r>
      <w:r>
        <w:t xml:space="preserve"> </w:t>
      </w:r>
      <w:r w:rsidRPr="00E85A11">
        <w:rPr>
          <w:i/>
          <w:iCs/>
        </w:rPr>
        <w:t>Guardianship and Administration Act 1995</w:t>
      </w:r>
      <w:r w:rsidRPr="003C4B61">
        <w:t xml:space="preserve"> (Tas) s </w:t>
      </w:r>
      <w:r>
        <w:t>29.</w:t>
      </w:r>
    </w:p>
  </w:footnote>
  <w:footnote w:id="305">
    <w:p w14:paraId="55522FB5" w14:textId="6BF96643" w:rsidR="00B57E3C" w:rsidRDefault="00B57E3C">
      <w:pPr>
        <w:pStyle w:val="FootnoteText"/>
      </w:pPr>
      <w:r>
        <w:rPr>
          <w:rStyle w:val="FootnoteReference"/>
        </w:rPr>
        <w:footnoteRef/>
      </w:r>
      <w:r>
        <w:t xml:space="preserve"> </w:t>
      </w:r>
      <w:r w:rsidRPr="00C36293">
        <w:rPr>
          <w:i/>
          <w:iCs/>
        </w:rPr>
        <w:t>Guardianship and Administration Act 1995</w:t>
      </w:r>
      <w:r w:rsidRPr="003C4B61">
        <w:t xml:space="preserve"> (Tas) s </w:t>
      </w:r>
      <w:r>
        <w:t xml:space="preserve">30. See </w:t>
      </w:r>
      <w:r w:rsidR="00D44E18">
        <w:t>Tasmanian Government, ‘Tasmania’s Guardianship and Administration System is Changing (n 297)</w:t>
      </w:r>
      <w:r w:rsidR="00F86572">
        <w:t>.</w:t>
      </w:r>
      <w:r w:rsidRPr="009D42F1">
        <w:t xml:space="preserve"> </w:t>
      </w:r>
    </w:p>
  </w:footnote>
  <w:footnote w:id="306">
    <w:p w14:paraId="4B20EA4D" w14:textId="0AB1C186" w:rsidR="00B57E3C" w:rsidRDefault="00B57E3C">
      <w:pPr>
        <w:pStyle w:val="FootnoteText"/>
      </w:pPr>
      <w:r>
        <w:rPr>
          <w:rStyle w:val="FootnoteReference"/>
        </w:rPr>
        <w:footnoteRef/>
      </w:r>
      <w:r>
        <w:t xml:space="preserve"> </w:t>
      </w:r>
      <w:r w:rsidRPr="005327A8">
        <w:rPr>
          <w:i/>
          <w:iCs/>
        </w:rPr>
        <w:t>Guardianship and Administration Act 1995</w:t>
      </w:r>
      <w:r w:rsidRPr="003C4B61">
        <w:t xml:space="preserve"> (Tas) ss 29, 30.</w:t>
      </w:r>
    </w:p>
  </w:footnote>
  <w:footnote w:id="307">
    <w:p w14:paraId="0585FCEC" w14:textId="6059E228" w:rsidR="00B57E3C" w:rsidRDefault="00B57E3C">
      <w:pPr>
        <w:pStyle w:val="FootnoteText"/>
      </w:pPr>
      <w:r>
        <w:rPr>
          <w:rStyle w:val="FootnoteReference"/>
        </w:rPr>
        <w:footnoteRef/>
      </w:r>
      <w:r>
        <w:t xml:space="preserve"> </w:t>
      </w:r>
      <w:r w:rsidRPr="003C4B61">
        <w:rPr>
          <w:i/>
          <w:iCs/>
        </w:rPr>
        <w:t>Guardianship and Administration Act 1995</w:t>
      </w:r>
      <w:r w:rsidRPr="003C4B61">
        <w:t xml:space="preserve"> (Tas) </w:t>
      </w:r>
      <w:r>
        <w:t>s</w:t>
      </w:r>
      <w:r w:rsidRPr="003C4B61">
        <w:t xml:space="preserve">s 31, </w:t>
      </w:r>
      <w:r w:rsidRPr="00DB3307">
        <w:t>86</w:t>
      </w:r>
      <w:r w:rsidRPr="003C4B61">
        <w:t>. There are also criminal offences regarding conduct of unapproved health and medical research (without human research ethical approval): s 48Q and conducting health and medical research without consent or authorisation: s 48R.</w:t>
      </w:r>
    </w:p>
  </w:footnote>
  <w:footnote w:id="308">
    <w:p w14:paraId="4E3B3FF1" w14:textId="4E2DB7A7" w:rsidR="00CA4D31" w:rsidRDefault="00CA4D31">
      <w:pPr>
        <w:pStyle w:val="FootnoteText"/>
      </w:pPr>
      <w:r>
        <w:rPr>
          <w:rStyle w:val="FootnoteReference"/>
        </w:rPr>
        <w:footnoteRef/>
      </w:r>
      <w:r>
        <w:t xml:space="preserve"> </w:t>
      </w:r>
      <w:r w:rsidRPr="003C4B61">
        <w:t xml:space="preserve">This includes: offer </w:t>
      </w:r>
      <w:r>
        <w:t xml:space="preserve">an </w:t>
      </w:r>
      <w:r w:rsidRPr="003C4B61">
        <w:t>inducement</w:t>
      </w:r>
      <w:r>
        <w:t xml:space="preserve"> another person to make a request under the Act, to give final permission to end life or to </w:t>
      </w:r>
      <w:r w:rsidRPr="003C4B61">
        <w:t xml:space="preserve">inform medical practitioners with involvement in this decision, or by dishonesty or </w:t>
      </w:r>
      <w:r w:rsidRPr="00DB3307">
        <w:t>undue</w:t>
      </w:r>
      <w:r w:rsidRPr="003C4B61">
        <w:t xml:space="preserve"> influence</w:t>
      </w:r>
      <w:r>
        <w:t>,</w:t>
      </w:r>
      <w:r w:rsidRPr="003C4B61">
        <w:t xml:space="preserve"> induce or attempt to induce</w:t>
      </w:r>
      <w:r>
        <w:t>,</w:t>
      </w:r>
      <w:r w:rsidRPr="003C4B61">
        <w:t xml:space="preserve"> another person to give final permission to end life or to inform medical practitioners with involvement in this decision</w:t>
      </w:r>
      <w:r>
        <w:t xml:space="preserve">: </w:t>
      </w:r>
      <w:r w:rsidRPr="003C4B61">
        <w:rPr>
          <w:i/>
          <w:iCs/>
        </w:rPr>
        <w:t>End-of-Life Choices (Voluntary Assisted Dying) Act 2021</w:t>
      </w:r>
      <w:r w:rsidRPr="003C4B61">
        <w:t xml:space="preserve"> (Tas) s 124; and dishonestly or by undue influence, induc</w:t>
      </w:r>
      <w:r>
        <w:t>e</w:t>
      </w:r>
      <w:r w:rsidRPr="003C4B61">
        <w:t xml:space="preserve"> or attempt to induce another person to self-administer a voluntary assisted dying substance</w:t>
      </w:r>
      <w:r>
        <w:t xml:space="preserve">: </w:t>
      </w:r>
      <w:r w:rsidRPr="003C4B61">
        <w:rPr>
          <w:i/>
          <w:iCs/>
        </w:rPr>
        <w:t>End-of-Life Choices (Voluntary Assisted Dying) Act 2021</w:t>
      </w:r>
      <w:r w:rsidRPr="003C4B61">
        <w:t xml:space="preserve"> (Tas) s 129. Other offences are contained in: </w:t>
      </w:r>
      <w:r w:rsidRPr="003C4B61">
        <w:rPr>
          <w:i/>
          <w:iCs/>
        </w:rPr>
        <w:t>End-of-Life Choices (Voluntary Assisted Dying) Act 2021</w:t>
      </w:r>
      <w:r w:rsidRPr="003C4B61">
        <w:t xml:space="preserve"> (Tas) ss 125–128.</w:t>
      </w:r>
    </w:p>
  </w:footnote>
  <w:footnote w:id="309">
    <w:p w14:paraId="7C44311E" w14:textId="4F446F7F" w:rsidR="00CA4D31" w:rsidRDefault="00CA4D31">
      <w:pPr>
        <w:pStyle w:val="FootnoteText"/>
      </w:pPr>
      <w:r>
        <w:rPr>
          <w:rStyle w:val="FootnoteReference"/>
        </w:rPr>
        <w:footnoteRef/>
      </w:r>
      <w:r>
        <w:t xml:space="preserve"> </w:t>
      </w:r>
      <w:r w:rsidRPr="00DB3307">
        <w:rPr>
          <w:i/>
          <w:iCs/>
        </w:rPr>
        <w:t>End-of-Life Choices (Voluntary Assisted Dying) Act 2021</w:t>
      </w:r>
      <w:r w:rsidRPr="003C4B61">
        <w:t xml:space="preserve"> (Tas) </w:t>
      </w:r>
      <w:r w:rsidRPr="00DB3307">
        <w:t>pt</w:t>
      </w:r>
      <w:r w:rsidRPr="003C4B61">
        <w:t xml:space="preserve"> 17.</w:t>
      </w:r>
    </w:p>
  </w:footnote>
  <w:footnote w:id="310">
    <w:p w14:paraId="31E442BE" w14:textId="1CE55B55" w:rsidR="00CA4D31" w:rsidRDefault="00CA4D31">
      <w:pPr>
        <w:pStyle w:val="FootnoteText"/>
      </w:pPr>
      <w:r>
        <w:rPr>
          <w:rStyle w:val="FootnoteReference"/>
        </w:rPr>
        <w:footnoteRef/>
      </w:r>
      <w:r>
        <w:t xml:space="preserve"> </w:t>
      </w:r>
      <w:r w:rsidRPr="003B25F1">
        <w:rPr>
          <w:i/>
          <w:iCs/>
        </w:rPr>
        <w:t>End-of-Life Choices (Voluntary Assisted Dying) Act 2021</w:t>
      </w:r>
      <w:r w:rsidRPr="003C4B61">
        <w:t xml:space="preserve"> (Tas) ss </w:t>
      </w:r>
      <w:r w:rsidRPr="00DB3307">
        <w:t>121</w:t>
      </w:r>
      <w:r w:rsidRPr="003C4B61">
        <w:t>–123.</w:t>
      </w:r>
    </w:p>
  </w:footnote>
  <w:footnote w:id="311">
    <w:p w14:paraId="1A7BCCBC" w14:textId="5AF61A27" w:rsidR="00CA4D31" w:rsidRDefault="00CA4D31">
      <w:pPr>
        <w:pStyle w:val="FootnoteText"/>
      </w:pPr>
      <w:r>
        <w:rPr>
          <w:rStyle w:val="FootnoteReference"/>
        </w:rPr>
        <w:footnoteRef/>
      </w:r>
      <w:r>
        <w:t xml:space="preserve"> </w:t>
      </w:r>
      <w:r w:rsidRPr="003C4B61">
        <w:t xml:space="preserve">A special disadvantage can exist where ‘there is poverty or need of any kind, sickness, age sex, infirmity of body or mind, drunkenness, illiteracy or lack of education, lack of assistance or explanation where assistance or explanation is necessary’: </w:t>
      </w:r>
      <w:r w:rsidRPr="00D715B3">
        <w:rPr>
          <w:rFonts w:cs="Times New Roman"/>
        </w:rPr>
        <w:t xml:space="preserve">Somes and Webb (n 40) </w:t>
      </w:r>
      <w:r w:rsidRPr="003C4B61">
        <w:t>234–5</w:t>
      </w:r>
      <w:r>
        <w:t>, citing</w:t>
      </w:r>
      <w:r w:rsidRPr="003C4B61">
        <w:t xml:space="preserve"> </w:t>
      </w:r>
      <w:r w:rsidRPr="003C4B61">
        <w:rPr>
          <w:i/>
        </w:rPr>
        <w:t>Blomley v Ryan</w:t>
      </w:r>
      <w:r w:rsidRPr="003C4B61">
        <w:t xml:space="preserve"> </w:t>
      </w:r>
      <w:r>
        <w:t>(</w:t>
      </w:r>
      <w:r w:rsidRPr="003C4B61">
        <w:t>1956</w:t>
      </w:r>
      <w:r>
        <w:t>)</w:t>
      </w:r>
      <w:r w:rsidRPr="003C4B61">
        <w:t xml:space="preserve"> 99 CLR 362 (Fullagar J).</w:t>
      </w:r>
    </w:p>
  </w:footnote>
  <w:footnote w:id="312">
    <w:p w14:paraId="1BD69AAF" w14:textId="310AA0A3" w:rsidR="00CA4D31" w:rsidRDefault="00CA4D31">
      <w:pPr>
        <w:pStyle w:val="FootnoteText"/>
      </w:pPr>
      <w:r>
        <w:rPr>
          <w:rStyle w:val="FootnoteReference"/>
        </w:rPr>
        <w:footnoteRef/>
      </w:r>
      <w:r>
        <w:t xml:space="preserve"> </w:t>
      </w:r>
      <w:r w:rsidRPr="003C4B61">
        <w:t xml:space="preserve">This ground may be available where an older person has a special disadvantage affecting their mental ability, such as dementia, and </w:t>
      </w:r>
      <w:r>
        <w:t xml:space="preserve">a </w:t>
      </w:r>
      <w:r w:rsidRPr="003C4B61">
        <w:t xml:space="preserve">person granted power of attorney, knows of </w:t>
      </w:r>
      <w:r w:rsidRPr="00DB3307">
        <w:t>that</w:t>
      </w:r>
      <w:r w:rsidRPr="003C4B61">
        <w:t xml:space="preserve"> disability and uses the older person’s funds for themselves. Other examples include where ownership of a house is transferred, or a financial gift made to a family member in circumstances where a person is older and in state of fragility and/or poor health such as to constitute a ‘special disadvantage’: </w:t>
      </w:r>
      <w:r>
        <w:t>see, eg</w:t>
      </w:r>
      <w:r w:rsidRPr="003C4B61">
        <w:t xml:space="preserve">, </w:t>
      </w:r>
      <w:r w:rsidRPr="003C4B61">
        <w:rPr>
          <w:i/>
          <w:iCs/>
        </w:rPr>
        <w:t xml:space="preserve">Hanna v Raoul </w:t>
      </w:r>
      <w:r w:rsidRPr="003C4B61">
        <w:t>[2018] NSWCA 201;</w:t>
      </w:r>
      <w:r w:rsidRPr="003C4B61">
        <w:rPr>
          <w:i/>
          <w:iCs/>
        </w:rPr>
        <w:t xml:space="preserve">Grant v Grant </w:t>
      </w:r>
      <w:r w:rsidRPr="003C4B61">
        <w:t xml:space="preserve">[2020] NSWSC 760; </w:t>
      </w:r>
      <w:r w:rsidRPr="003C4B61">
        <w:rPr>
          <w:i/>
          <w:iCs/>
        </w:rPr>
        <w:t xml:space="preserve">Johns v Smith </w:t>
      </w:r>
      <w:r w:rsidRPr="003C4B61">
        <w:t>[2010] NSWCA 306.</w:t>
      </w:r>
    </w:p>
  </w:footnote>
  <w:footnote w:id="313">
    <w:p w14:paraId="1F630241" w14:textId="3EC73A32" w:rsidR="009C0161" w:rsidRDefault="009C0161">
      <w:pPr>
        <w:pStyle w:val="FootnoteText"/>
      </w:pPr>
      <w:r>
        <w:rPr>
          <w:rStyle w:val="FootnoteReference"/>
        </w:rPr>
        <w:footnoteRef/>
      </w:r>
      <w:r>
        <w:t xml:space="preserve"> </w:t>
      </w:r>
      <w:r w:rsidRPr="003C4B61">
        <w:t xml:space="preserve">In contrast to the presumption that exists for parents over their children, </w:t>
      </w:r>
      <w:r w:rsidRPr="00DB3307">
        <w:t>including</w:t>
      </w:r>
      <w:r w:rsidRPr="003C4B61">
        <w:t xml:space="preserve"> an adult child: </w:t>
      </w:r>
      <w:r w:rsidRPr="00D715B3">
        <w:rPr>
          <w:rFonts w:cs="Times New Roman"/>
        </w:rPr>
        <w:t xml:space="preserve">Somes and Webb (n 40) </w:t>
      </w:r>
      <w:r w:rsidRPr="003C4B61">
        <w:t>235. See also F</w:t>
      </w:r>
      <w:r w:rsidR="00FB7DF4">
        <w:t>iona</w:t>
      </w:r>
      <w:r w:rsidRPr="003C4B61">
        <w:t xml:space="preserve"> Burns, ‘Undue Influence Inter Vivos and the Elderly’ (2002) 26</w:t>
      </w:r>
      <w:r w:rsidR="00415637">
        <w:t>(</w:t>
      </w:r>
      <w:r w:rsidRPr="003C4B61">
        <w:t xml:space="preserve">3) </w:t>
      </w:r>
      <w:r w:rsidRPr="003C4B61">
        <w:rPr>
          <w:i/>
        </w:rPr>
        <w:t>Melbourne University Law Review</w:t>
      </w:r>
      <w:r w:rsidRPr="003C4B61">
        <w:t xml:space="preserve"> 499; </w:t>
      </w:r>
      <w:r w:rsidR="00685C34" w:rsidRPr="00D715B3">
        <w:rPr>
          <w:rFonts w:cs="Times New Roman"/>
        </w:rPr>
        <w:t>Fernando (n 27)</w:t>
      </w:r>
      <w:r w:rsidRPr="003C4B61">
        <w:t>.</w:t>
      </w:r>
      <w:r>
        <w:t xml:space="preserve"> In matters involving financial abuse in the context of powers of attorney, there may be a common law cause of action for breach of a fiduciary duty</w:t>
      </w:r>
      <w:r w:rsidR="00685C34">
        <w:t xml:space="preserve">: </w:t>
      </w:r>
      <w:r>
        <w:t xml:space="preserve">see </w:t>
      </w:r>
      <w:r w:rsidRPr="003C4B61">
        <w:rPr>
          <w:i/>
        </w:rPr>
        <w:t>Hospital Products Ltd v United States Surgical Corp</w:t>
      </w:r>
      <w:r w:rsidRPr="003C4B61">
        <w:t xml:space="preserve"> </w:t>
      </w:r>
      <w:r w:rsidR="00685C34">
        <w:t>(</w:t>
      </w:r>
      <w:r w:rsidRPr="003C4B61">
        <w:t>1984</w:t>
      </w:r>
      <w:r w:rsidR="00685C34">
        <w:t>)</w:t>
      </w:r>
      <w:r w:rsidRPr="003C4B61">
        <w:t xml:space="preserve"> 156 CLR 41; </w:t>
      </w:r>
      <w:r w:rsidRPr="003C4B61">
        <w:rPr>
          <w:i/>
        </w:rPr>
        <w:t>Watson v Watson</w:t>
      </w:r>
      <w:r w:rsidRPr="003C4B61">
        <w:t xml:space="preserve"> [2002] NSWSC 919; </w:t>
      </w:r>
      <w:r w:rsidRPr="003C4B61">
        <w:rPr>
          <w:i/>
        </w:rPr>
        <w:t>Klotz v Neubauer</w:t>
      </w:r>
      <w:r w:rsidRPr="003C4B61">
        <w:t xml:space="preserve"> [2001] SAC 4</w:t>
      </w:r>
      <w:r>
        <w:t>.</w:t>
      </w:r>
    </w:p>
  </w:footnote>
  <w:footnote w:id="314">
    <w:p w14:paraId="433F0115" w14:textId="3F516ECC" w:rsidR="00685C34" w:rsidRDefault="00685C34">
      <w:pPr>
        <w:pStyle w:val="FootnoteText"/>
      </w:pPr>
      <w:r>
        <w:rPr>
          <w:rStyle w:val="FootnoteReference"/>
        </w:rPr>
        <w:footnoteRef/>
      </w:r>
      <w:r>
        <w:t xml:space="preserve"> </w:t>
      </w:r>
      <w:r w:rsidRPr="00D715B3">
        <w:rPr>
          <w:rFonts w:cs="Times New Roman"/>
        </w:rPr>
        <w:t xml:space="preserve">Somes and Webb (n 40) </w:t>
      </w:r>
      <w:r w:rsidRPr="003C4B61">
        <w:t xml:space="preserve">235. The categories of </w:t>
      </w:r>
      <w:r w:rsidRPr="00DB3307">
        <w:t>relationships</w:t>
      </w:r>
      <w:r w:rsidRPr="003C4B61">
        <w:t xml:space="preserve"> that could give rise to a presumption are not closed: </w:t>
      </w:r>
      <w:r w:rsidRPr="003C4B61">
        <w:rPr>
          <w:i/>
        </w:rPr>
        <w:t>Stivactas v Michaletos</w:t>
      </w:r>
      <w:r w:rsidRPr="003C4B61">
        <w:t xml:space="preserve"> (no 2) [1994] AZ ConvR 252.</w:t>
      </w:r>
    </w:p>
  </w:footnote>
  <w:footnote w:id="315">
    <w:p w14:paraId="01E4CD56" w14:textId="5FEB55DA" w:rsidR="00685C34" w:rsidRDefault="00685C34">
      <w:pPr>
        <w:pStyle w:val="FootnoteText"/>
      </w:pPr>
      <w:r>
        <w:rPr>
          <w:rStyle w:val="FootnoteReference"/>
        </w:rPr>
        <w:footnoteRef/>
      </w:r>
      <w:r w:rsidR="00481167">
        <w:t xml:space="preserve"> ‘About Disability Commissioner Tasmania’, </w:t>
      </w:r>
      <w:r w:rsidR="00481167" w:rsidRPr="00A74960">
        <w:rPr>
          <w:i/>
          <w:iCs/>
        </w:rPr>
        <w:t>Disability Commissioner Tasmania</w:t>
      </w:r>
      <w:r w:rsidR="00481167">
        <w:t xml:space="preserve"> </w:t>
      </w:r>
      <w:r>
        <w:t xml:space="preserve"> </w:t>
      </w:r>
      <w:r w:rsidR="00481167">
        <w:t>(Web Page</w:t>
      </w:r>
      <w:r w:rsidR="00A74960">
        <w:t>)</w:t>
      </w:r>
      <w:r w:rsidR="00481167">
        <w:t xml:space="preserve"> </w:t>
      </w:r>
      <w:r w:rsidR="00A74960">
        <w:t>&lt;</w:t>
      </w:r>
      <w:hyperlink r:id="rId61" w:history="1">
        <w:r w:rsidR="007F4E0E" w:rsidRPr="004A7257">
          <w:rPr>
            <w:rStyle w:val="Hyperlink"/>
          </w:rPr>
          <w:t>https://www.disabilitycommissioner.tas.gov.au/about-us/about-disability-commissioner-tasmania</w:t>
        </w:r>
      </w:hyperlink>
      <w:r w:rsidR="00A74960">
        <w:t>&gt;</w:t>
      </w:r>
      <w:r w:rsidRPr="00BA7DB8">
        <w:t>;</w:t>
      </w:r>
      <w:r w:rsidR="00A74960">
        <w:t xml:space="preserve"> ‘</w:t>
      </w:r>
      <w:r w:rsidR="007F4E0E">
        <w:t>Catherine Whitington’</w:t>
      </w:r>
      <w:r w:rsidR="00A74960">
        <w:t xml:space="preserve">, </w:t>
      </w:r>
      <w:r w:rsidR="00A74960" w:rsidRPr="00A74960">
        <w:rPr>
          <w:i/>
          <w:iCs/>
        </w:rPr>
        <w:t>Disability Commissioner Tasmania</w:t>
      </w:r>
      <w:r w:rsidR="00A74960">
        <w:t xml:space="preserve">  (Web Page) &lt;</w:t>
      </w:r>
      <w:hyperlink r:id="rId62" w:history="1">
        <w:r w:rsidR="00E349BE" w:rsidRPr="00873F7A">
          <w:rPr>
            <w:rStyle w:val="Hyperlink"/>
          </w:rPr>
          <w:t>https://www.disabilitycommissioner.tas.gov.au/about-us/meet-our-team/team-bios/catherine-whitington</w:t>
        </w:r>
      </w:hyperlink>
      <w:r w:rsidR="007F4E0E">
        <w:t>&gt;.</w:t>
      </w:r>
    </w:p>
  </w:footnote>
  <w:footnote w:id="316">
    <w:p w14:paraId="3B24741A" w14:textId="509C5D91" w:rsidR="00685C34" w:rsidRPr="00281935" w:rsidRDefault="00685C34">
      <w:pPr>
        <w:pStyle w:val="FootnoteText"/>
      </w:pPr>
      <w:r>
        <w:rPr>
          <w:rStyle w:val="FootnoteReference"/>
        </w:rPr>
        <w:footnoteRef/>
      </w:r>
      <w:r>
        <w:t xml:space="preserve"> </w:t>
      </w:r>
      <w:r w:rsidRPr="00685C34">
        <w:t xml:space="preserve">Applications for the Disability Commissioner closed on 8 December 2024: </w:t>
      </w:r>
      <w:r w:rsidR="001E44C4">
        <w:t xml:space="preserve">Jo Palmer, </w:t>
      </w:r>
      <w:r w:rsidR="007A10BD">
        <w:t xml:space="preserve">Minister for Disability Services, </w:t>
      </w:r>
      <w:r w:rsidR="00281935">
        <w:t>Tasmanian Government, ‘</w:t>
      </w:r>
      <w:r w:rsidRPr="00685C34">
        <w:t>Applications open for Tasmania’s first Disability Commissioner</w:t>
      </w:r>
      <w:r w:rsidR="00281935">
        <w:t>’, (</w:t>
      </w:r>
      <w:r w:rsidR="008312C1">
        <w:t>Media Release</w:t>
      </w:r>
      <w:r w:rsidR="00281935">
        <w:t xml:space="preserve">, </w:t>
      </w:r>
      <w:r w:rsidR="00CE7828" w:rsidRPr="00CE7828">
        <w:t>Premier of Tasmania,</w:t>
      </w:r>
      <w:r w:rsidR="00CE7828">
        <w:t xml:space="preserve"> Tasmanian Government, </w:t>
      </w:r>
      <w:r w:rsidR="007A10BD">
        <w:t>10 November 2024) &lt;</w:t>
      </w:r>
      <w:hyperlink r:id="rId63" w:history="1">
        <w:r w:rsidR="00CE7828" w:rsidRPr="004A7257">
          <w:rPr>
            <w:rStyle w:val="Hyperlink"/>
          </w:rPr>
          <w:t>https://www.premier.tas.gov.au/latest-news/2024/november/applications-open-for-tasmanias-first-disability-commissioner</w:t>
        </w:r>
      </w:hyperlink>
      <w:r w:rsidR="007A10BD">
        <w:t>&gt;.</w:t>
      </w:r>
    </w:p>
  </w:footnote>
  <w:footnote w:id="317">
    <w:p w14:paraId="1DAEA336" w14:textId="36D4459A" w:rsidR="00685C34" w:rsidRDefault="00685C34">
      <w:pPr>
        <w:pStyle w:val="FootnoteText"/>
      </w:pPr>
      <w:r>
        <w:rPr>
          <w:rStyle w:val="FootnoteReference"/>
        </w:rPr>
        <w:footnoteRef/>
      </w:r>
      <w:r>
        <w:t xml:space="preserve"> </w:t>
      </w:r>
      <w:r w:rsidRPr="00CE7828">
        <w:rPr>
          <w:i/>
          <w:iCs/>
        </w:rPr>
        <w:t>Disability Rights, Inclusion and Safeguarding Act 2024</w:t>
      </w:r>
      <w:r w:rsidRPr="003C4B61">
        <w:t xml:space="preserve"> (Tas) </w:t>
      </w:r>
      <w:r w:rsidR="00CE7828">
        <w:t>s</w:t>
      </w:r>
      <w:r w:rsidRPr="003C4B61">
        <w:t>s 28(i), (k)</w:t>
      </w:r>
      <w:r w:rsidR="00CE7828">
        <w:t>.</w:t>
      </w:r>
    </w:p>
  </w:footnote>
  <w:footnote w:id="318">
    <w:p w14:paraId="5EC1C01D" w14:textId="601F4217" w:rsidR="00685C34" w:rsidRDefault="00685C34">
      <w:pPr>
        <w:pStyle w:val="FootnoteText"/>
      </w:pPr>
      <w:r>
        <w:rPr>
          <w:rStyle w:val="FootnoteReference"/>
        </w:rPr>
        <w:footnoteRef/>
      </w:r>
      <w:r>
        <w:t xml:space="preserve"> </w:t>
      </w:r>
      <w:r w:rsidRPr="00CE7828">
        <w:rPr>
          <w:i/>
          <w:iCs/>
        </w:rPr>
        <w:t>Disability Rights, Inclusion and Safeguarding Act 2024</w:t>
      </w:r>
      <w:r w:rsidRPr="002C083A">
        <w:t xml:space="preserve"> (Tas)</w:t>
      </w:r>
      <w:r>
        <w:t xml:space="preserve"> s </w:t>
      </w:r>
      <w:r w:rsidRPr="0042481B">
        <w:t>36</w:t>
      </w:r>
      <w:r>
        <w:t>.</w:t>
      </w:r>
    </w:p>
  </w:footnote>
  <w:footnote w:id="319">
    <w:p w14:paraId="2392C679" w14:textId="7AC78A5E" w:rsidR="00685C34" w:rsidRDefault="00685C34">
      <w:pPr>
        <w:pStyle w:val="FootnoteText"/>
      </w:pPr>
      <w:r>
        <w:rPr>
          <w:rStyle w:val="FootnoteReference"/>
        </w:rPr>
        <w:footnoteRef/>
      </w:r>
      <w:r>
        <w:t xml:space="preserve"> </w:t>
      </w:r>
      <w:r w:rsidRPr="00CE7828">
        <w:rPr>
          <w:i/>
          <w:iCs/>
        </w:rPr>
        <w:t>Disability Rights, Inclusion and Safeguarding Act 2024</w:t>
      </w:r>
      <w:r w:rsidRPr="002C083A">
        <w:t xml:space="preserve"> (Tas)</w:t>
      </w:r>
      <w:r>
        <w:t xml:space="preserve"> s 29(4).</w:t>
      </w:r>
    </w:p>
  </w:footnote>
  <w:footnote w:id="320">
    <w:p w14:paraId="50963DEA" w14:textId="353ED769" w:rsidR="00685C34" w:rsidRDefault="00685C34">
      <w:pPr>
        <w:pStyle w:val="FootnoteText"/>
      </w:pPr>
      <w:r>
        <w:rPr>
          <w:rStyle w:val="FootnoteReference"/>
        </w:rPr>
        <w:footnoteRef/>
      </w:r>
      <w:r>
        <w:t xml:space="preserve"> </w:t>
      </w:r>
      <w:r w:rsidRPr="00313BD0">
        <w:rPr>
          <w:i/>
          <w:iCs/>
        </w:rPr>
        <w:t>Disability Rights, Inclusion and Safeguarding Act 2024</w:t>
      </w:r>
      <w:r w:rsidRPr="002C083A">
        <w:t xml:space="preserve"> (Tas)</w:t>
      </w:r>
      <w:r>
        <w:t xml:space="preserve"> s 37(2). </w:t>
      </w:r>
      <w:r w:rsidRPr="00F72C0D">
        <w:t xml:space="preserve">There are numerous </w:t>
      </w:r>
      <w:r w:rsidRPr="0042481B">
        <w:t>reasons</w:t>
      </w:r>
      <w:r w:rsidRPr="00F72C0D">
        <w:t xml:space="preserve"> for declining to act, including if </w:t>
      </w:r>
      <w:r w:rsidR="00CE7828">
        <w:t xml:space="preserve">the </w:t>
      </w:r>
      <w:r w:rsidR="000F2BB0">
        <w:t xml:space="preserve">report </w:t>
      </w:r>
      <w:r w:rsidR="00CE7828">
        <w:t xml:space="preserve">is </w:t>
      </w:r>
      <w:r w:rsidRPr="00F72C0D">
        <w:t xml:space="preserve">frivolous, vexatious, misconceived or lacking in substance, the matter is being considered by a court, board or tribunal or has already been </w:t>
      </w:r>
      <w:r w:rsidR="00EA5E32">
        <w:t xml:space="preserve">considered by a court, board or tribunal </w:t>
      </w:r>
      <w:r w:rsidRPr="00F72C0D">
        <w:t>and no outstanding issues have not been considered</w:t>
      </w:r>
      <w:r w:rsidR="00EA5E32">
        <w:t>,</w:t>
      </w:r>
      <w:r w:rsidRPr="00F72C0D">
        <w:t xml:space="preserve"> or it is outside of the Commissioner’s jurisdiction.</w:t>
      </w:r>
    </w:p>
  </w:footnote>
  <w:footnote w:id="321">
    <w:p w14:paraId="30EE8393" w14:textId="07F9AED7" w:rsidR="00EA5E32" w:rsidRDefault="00EA5E32">
      <w:pPr>
        <w:pStyle w:val="FootnoteText"/>
      </w:pPr>
      <w:r>
        <w:rPr>
          <w:rStyle w:val="FootnoteReference"/>
        </w:rPr>
        <w:footnoteRef/>
      </w:r>
      <w:r>
        <w:t xml:space="preserve"> </w:t>
      </w:r>
      <w:r w:rsidRPr="00EA5E32">
        <w:rPr>
          <w:i/>
          <w:iCs/>
        </w:rPr>
        <w:t>Disability Rights, Inclusion and Safeguarding Act 2024</w:t>
      </w:r>
      <w:r w:rsidRPr="002C083A">
        <w:t xml:space="preserve"> (Tas)</w:t>
      </w:r>
      <w:r>
        <w:t xml:space="preserve"> s 36.</w:t>
      </w:r>
    </w:p>
  </w:footnote>
  <w:footnote w:id="322">
    <w:p w14:paraId="0A727CFD" w14:textId="12DF7035" w:rsidR="00EA5E32" w:rsidRDefault="00EA5E32">
      <w:pPr>
        <w:pStyle w:val="FootnoteText"/>
      </w:pPr>
      <w:r>
        <w:rPr>
          <w:rStyle w:val="FootnoteReference"/>
        </w:rPr>
        <w:footnoteRef/>
      </w:r>
      <w:r>
        <w:t xml:space="preserve"> </w:t>
      </w:r>
      <w:r w:rsidRPr="00015DC9">
        <w:rPr>
          <w:i/>
          <w:iCs/>
        </w:rPr>
        <w:t>Disability Rights, Inclusion and Safeguarding Act 2024</w:t>
      </w:r>
      <w:r w:rsidRPr="003C4B61">
        <w:t xml:space="preserve"> (Tas) s 29.</w:t>
      </w:r>
      <w:r>
        <w:t xml:space="preserve"> See </w:t>
      </w:r>
      <w:r w:rsidRPr="0042481B">
        <w:t>also</w:t>
      </w:r>
      <w:r>
        <w:t xml:space="preserve"> </w:t>
      </w:r>
      <w:r w:rsidR="00CA1F2C">
        <w:t>[4.5.2</w:t>
      </w:r>
      <w:r w:rsidR="00994EA0">
        <w:t>0</w:t>
      </w:r>
      <w:r w:rsidR="00CA1F2C">
        <w:t>]–[</w:t>
      </w:r>
      <w:r w:rsidR="002F6D3D">
        <w:t>4.5.41]</w:t>
      </w:r>
      <w:r>
        <w:t>.</w:t>
      </w:r>
    </w:p>
  </w:footnote>
  <w:footnote w:id="323">
    <w:p w14:paraId="67AED176" w14:textId="6AA21446" w:rsidR="00EA5E32" w:rsidRDefault="00EA5E32">
      <w:pPr>
        <w:pStyle w:val="FootnoteText"/>
      </w:pPr>
      <w:r>
        <w:rPr>
          <w:rStyle w:val="FootnoteReference"/>
        </w:rPr>
        <w:footnoteRef/>
      </w:r>
      <w:r>
        <w:t xml:space="preserve"> </w:t>
      </w:r>
      <w:r w:rsidRPr="00015DC9">
        <w:rPr>
          <w:i/>
          <w:iCs/>
        </w:rPr>
        <w:t>Disability Rights, Inclusion and Safeguarding Act 2024</w:t>
      </w:r>
      <w:r w:rsidRPr="002C083A">
        <w:t xml:space="preserve"> (Tas)</w:t>
      </w:r>
      <w:r>
        <w:t xml:space="preserve"> s 38(3).</w:t>
      </w:r>
    </w:p>
  </w:footnote>
  <w:footnote w:id="324">
    <w:p w14:paraId="67241355" w14:textId="775C5808" w:rsidR="00EA5E32" w:rsidRDefault="00EA5E32">
      <w:pPr>
        <w:pStyle w:val="FootnoteText"/>
      </w:pPr>
      <w:r>
        <w:rPr>
          <w:rStyle w:val="FootnoteReference"/>
        </w:rPr>
        <w:footnoteRef/>
      </w:r>
      <w:r>
        <w:t xml:space="preserve"> </w:t>
      </w:r>
      <w:r w:rsidRPr="00015DC9">
        <w:rPr>
          <w:i/>
          <w:iCs/>
        </w:rPr>
        <w:t>Disability Rights, Inclusion and Safeguarding Act 2024</w:t>
      </w:r>
      <w:r w:rsidRPr="002C083A">
        <w:t xml:space="preserve"> (Tas)</w:t>
      </w:r>
      <w:r>
        <w:t xml:space="preserve"> </w:t>
      </w:r>
      <w:r w:rsidRPr="00E9557F">
        <w:t>s 38(4)</w:t>
      </w:r>
      <w:r>
        <w:t>.</w:t>
      </w:r>
    </w:p>
  </w:footnote>
  <w:footnote w:id="325">
    <w:p w14:paraId="725DC275" w14:textId="01EB0B02" w:rsidR="00EA5E32" w:rsidRDefault="00EA5E32">
      <w:pPr>
        <w:pStyle w:val="FootnoteText"/>
      </w:pPr>
      <w:r>
        <w:rPr>
          <w:rStyle w:val="FootnoteReference"/>
        </w:rPr>
        <w:footnoteRef/>
      </w:r>
      <w:r>
        <w:t xml:space="preserve"> </w:t>
      </w:r>
      <w:r w:rsidRPr="00015DC9">
        <w:rPr>
          <w:i/>
          <w:iCs/>
        </w:rPr>
        <w:t>Disability Rights, Inclusion and Safeguarding Act 2024</w:t>
      </w:r>
      <w:r w:rsidRPr="002C083A">
        <w:t xml:space="preserve"> (Tas)</w:t>
      </w:r>
      <w:r>
        <w:t xml:space="preserve"> </w:t>
      </w:r>
      <w:r w:rsidRPr="002555CF">
        <w:t>s 38</w:t>
      </w:r>
      <w:r>
        <w:t>.</w:t>
      </w:r>
    </w:p>
  </w:footnote>
  <w:footnote w:id="326">
    <w:p w14:paraId="2D1995CB" w14:textId="039F8B01" w:rsidR="00EA5E32" w:rsidRDefault="00EA5E32">
      <w:pPr>
        <w:pStyle w:val="FootnoteText"/>
      </w:pPr>
      <w:r>
        <w:rPr>
          <w:rStyle w:val="FootnoteReference"/>
        </w:rPr>
        <w:footnoteRef/>
      </w:r>
      <w:r>
        <w:t xml:space="preserve"> See </w:t>
      </w:r>
      <w:r w:rsidR="00547F43">
        <w:t>Department of Communities, Tasmanian Government</w:t>
      </w:r>
      <w:r>
        <w:t xml:space="preserve">, </w:t>
      </w:r>
      <w:r w:rsidRPr="00015DC9">
        <w:rPr>
          <w:i/>
          <w:iCs/>
        </w:rPr>
        <w:t xml:space="preserve">Review of the Disability Services Act 2011: </w:t>
      </w:r>
      <w:r>
        <w:rPr>
          <w:i/>
          <w:iCs/>
        </w:rPr>
        <w:t>Discussion Paper</w:t>
      </w:r>
      <w:r>
        <w:t xml:space="preserve"> (September 2021)</w:t>
      </w:r>
      <w:r w:rsidR="006D6D85">
        <w:t xml:space="preserve"> &lt;</w:t>
      </w:r>
      <w:hyperlink r:id="rId64" w:history="1">
        <w:r w:rsidR="00161AB9" w:rsidRPr="004A7257">
          <w:rPr>
            <w:rStyle w:val="Hyperlink"/>
          </w:rPr>
          <w:t>https://www.dpac.tas.gov.au/divisions/cpp/community-and-disability-services/tasmanian-disability-services-act-2011/tasmanian-disability-services-act-2011-review/how-we-will-consult</w:t>
        </w:r>
      </w:hyperlink>
      <w:r w:rsidR="006D6D85">
        <w:t>&gt;</w:t>
      </w:r>
      <w:r w:rsidR="00397A40">
        <w:t xml:space="preserve">; </w:t>
      </w:r>
      <w:r w:rsidR="00606C7E">
        <w:t>Annie Curtis Consulting</w:t>
      </w:r>
      <w:r>
        <w:t xml:space="preserve">, </w:t>
      </w:r>
      <w:r w:rsidR="00F32130">
        <w:t>Tasmanian Government</w:t>
      </w:r>
      <w:r w:rsidR="00F32130" w:rsidRPr="00015DC9">
        <w:rPr>
          <w:i/>
          <w:iCs/>
        </w:rPr>
        <w:t xml:space="preserve"> </w:t>
      </w:r>
      <w:r w:rsidRPr="00015DC9">
        <w:rPr>
          <w:i/>
          <w:iCs/>
        </w:rPr>
        <w:t>Review of the Disability Services Act 2011: Community Consultation Report</w:t>
      </w:r>
      <w:r>
        <w:t xml:space="preserve"> (May 2022)</w:t>
      </w:r>
      <w:r w:rsidR="00161AB9">
        <w:t xml:space="preserve"> &lt;</w:t>
      </w:r>
      <w:hyperlink r:id="rId65" w:history="1">
        <w:r w:rsidR="00161AB9" w:rsidRPr="004A7257">
          <w:rPr>
            <w:rStyle w:val="Hyperlink"/>
          </w:rPr>
          <w:t>https://www.dpac.tas.gov.au/divisions/cpp/community-and-disability-services/tasmanian-disability-services-act-2011/tasmanian-disability-services-act-2011-review/consultation-outcomes</w:t>
        </w:r>
      </w:hyperlink>
      <w:r w:rsidR="00161AB9">
        <w:t>&gt;.</w:t>
      </w:r>
    </w:p>
  </w:footnote>
  <w:footnote w:id="327">
    <w:p w14:paraId="0A760534" w14:textId="143F91A8" w:rsidR="00EA5E32" w:rsidRDefault="00EA5E32">
      <w:pPr>
        <w:pStyle w:val="FootnoteText"/>
      </w:pPr>
      <w:r>
        <w:rPr>
          <w:rStyle w:val="FootnoteReference"/>
        </w:rPr>
        <w:footnoteRef/>
      </w:r>
      <w:r>
        <w:t xml:space="preserve"> </w:t>
      </w:r>
      <w:r w:rsidRPr="00015DC9">
        <w:rPr>
          <w:i/>
          <w:iCs/>
        </w:rPr>
        <w:t>Disability Rights, Inclusion and Safeguarding Act 2024</w:t>
      </w:r>
      <w:r w:rsidRPr="003C4B61">
        <w:t xml:space="preserve"> (Tas) s 3.</w:t>
      </w:r>
    </w:p>
  </w:footnote>
  <w:footnote w:id="328">
    <w:p w14:paraId="36D74292" w14:textId="08C94527" w:rsidR="00EA5E32" w:rsidRDefault="00EA5E32">
      <w:pPr>
        <w:pStyle w:val="FootnoteText"/>
      </w:pPr>
      <w:r>
        <w:rPr>
          <w:rStyle w:val="FootnoteReference"/>
        </w:rPr>
        <w:footnoteRef/>
      </w:r>
      <w:r>
        <w:t xml:space="preserve"> </w:t>
      </w:r>
      <w:r w:rsidRPr="00015DC9">
        <w:rPr>
          <w:i/>
          <w:iCs/>
        </w:rPr>
        <w:t>Disability Rights, Inclusion and Safeguarding Act 2024</w:t>
      </w:r>
      <w:r w:rsidRPr="003C4B61">
        <w:t xml:space="preserve"> (Tas) s 1(e).</w:t>
      </w:r>
    </w:p>
  </w:footnote>
  <w:footnote w:id="329">
    <w:p w14:paraId="0CCDEBDE" w14:textId="397F61CF" w:rsidR="00EA5E32" w:rsidRDefault="00EA5E32">
      <w:pPr>
        <w:pStyle w:val="FootnoteText"/>
      </w:pPr>
      <w:r>
        <w:rPr>
          <w:rStyle w:val="FootnoteReference"/>
        </w:rPr>
        <w:footnoteRef/>
      </w:r>
      <w:r>
        <w:t xml:space="preserve"> </w:t>
      </w:r>
      <w:r w:rsidRPr="00015DC9">
        <w:rPr>
          <w:i/>
          <w:iCs/>
        </w:rPr>
        <w:t>Disability Rights, Inclusion and Safeguarding Act 2024</w:t>
      </w:r>
      <w:r w:rsidRPr="003C4B61">
        <w:t xml:space="preserve"> (Tas) </w:t>
      </w:r>
      <w:r>
        <w:t>s 5.</w:t>
      </w:r>
    </w:p>
  </w:footnote>
  <w:footnote w:id="330">
    <w:p w14:paraId="578A9EFB" w14:textId="5AFBEC45" w:rsidR="000D1554" w:rsidRDefault="000D1554" w:rsidP="000D1554">
      <w:pPr>
        <w:pStyle w:val="FootnoteText"/>
      </w:pPr>
      <w:r>
        <w:rPr>
          <w:rStyle w:val="FootnoteReference"/>
        </w:rPr>
        <w:footnoteRef/>
      </w:r>
      <w:r w:rsidR="009443C5">
        <w:t xml:space="preserve"> </w:t>
      </w:r>
      <w:r w:rsidR="00562C14" w:rsidRPr="00562C14">
        <w:t>Health Complaints Commissioner Tasmania</w:t>
      </w:r>
      <w:r w:rsidR="00562C14">
        <w:t xml:space="preserve">, ‘Rights 1 to 6 of the Charter’, </w:t>
      </w:r>
      <w:r w:rsidR="00CD61DA" w:rsidRPr="00562C14">
        <w:rPr>
          <w:i/>
          <w:iCs/>
        </w:rPr>
        <w:t>Tasmanian Charter of Health Rights and Responsibilities—Guidelines for Health Service Providers and Users</w:t>
      </w:r>
      <w:r w:rsidR="00562C14">
        <w:t xml:space="preserve"> </w:t>
      </w:r>
      <w:r w:rsidR="005A036B">
        <w:t xml:space="preserve">(Web Page, </w:t>
      </w:r>
      <w:r w:rsidR="00562C14">
        <w:t>3 February</w:t>
      </w:r>
      <w:r w:rsidR="005A036B">
        <w:t xml:space="preserve"> 2021) &lt;</w:t>
      </w:r>
      <w:hyperlink r:id="rId66" w:history="1">
        <w:r w:rsidR="00352394" w:rsidRPr="004A7257">
          <w:rPr>
            <w:rStyle w:val="Hyperlink"/>
          </w:rPr>
          <w:t>https://www.healthcomplaints.tas.gov.au/publications/tasmanian-charter-of-health-rights-and-responsibilities/charter-introduction/rights-1-to-6-of-the-charter</w:t>
        </w:r>
      </w:hyperlink>
      <w:r w:rsidR="005A036B">
        <w:t>&gt;</w:t>
      </w:r>
      <w:r w:rsidR="00352394">
        <w:t>:</w:t>
      </w:r>
      <w:r w:rsidR="00512D46">
        <w:t xml:space="preserve"> </w:t>
      </w:r>
      <w:r>
        <w:t xml:space="preserve"> </w:t>
      </w:r>
      <w:r w:rsidR="00512D46">
        <w:t xml:space="preserve">Right 1: Active Participation in Health Care; Right 2: Individualised service that is free from discrimination; Right 3: Confidentiality, privacy and security; Right 4: Access to complaint mechanisms; Right 5: Carers; Right 6: The contribution of the health service provider. In addition, the Australian Charter of Healthcare Rights, been developed by the Australian Commission on Safety and Quality in Health Care and this applies to ‘all people in all places where health care is provided in Australia’: Australian Commission on Safety and Quality in Health Care, </w:t>
      </w:r>
      <w:r w:rsidR="00512D46" w:rsidRPr="0099160C">
        <w:rPr>
          <w:i/>
          <w:iCs/>
        </w:rPr>
        <w:t xml:space="preserve">Australian Charter of Healthcare Rights: My </w:t>
      </w:r>
      <w:r w:rsidR="0099160C" w:rsidRPr="0099160C">
        <w:rPr>
          <w:i/>
          <w:iCs/>
        </w:rPr>
        <w:t>H</w:t>
      </w:r>
      <w:r w:rsidR="00512D46" w:rsidRPr="0099160C">
        <w:rPr>
          <w:i/>
          <w:iCs/>
        </w:rPr>
        <w:t xml:space="preserve">ealthcare </w:t>
      </w:r>
      <w:r w:rsidR="0099160C" w:rsidRPr="0099160C">
        <w:rPr>
          <w:i/>
          <w:iCs/>
        </w:rPr>
        <w:t>R</w:t>
      </w:r>
      <w:r w:rsidR="00512D46" w:rsidRPr="0099160C">
        <w:rPr>
          <w:i/>
          <w:iCs/>
        </w:rPr>
        <w:t>ights</w:t>
      </w:r>
      <w:r w:rsidR="00512D46">
        <w:t xml:space="preserve"> (Brochure, second edition, July 2019) &lt; </w:t>
      </w:r>
      <w:hyperlink r:id="rId67" w:history="1">
        <w:r w:rsidR="00352394" w:rsidRPr="004A7257">
          <w:rPr>
            <w:rStyle w:val="Hyperlink"/>
          </w:rPr>
          <w:t>https://www.safetyandquality.gov.au/publications-and-resources/resource-library/australian-charter-healthcare-rights-second-edition-a4-accessible</w:t>
        </w:r>
      </w:hyperlink>
      <w:r w:rsidR="00512D46">
        <w:t xml:space="preserve"> &gt;.</w:t>
      </w:r>
    </w:p>
  </w:footnote>
  <w:footnote w:id="331">
    <w:p w14:paraId="1328729F" w14:textId="6248184F" w:rsidR="00500ACD" w:rsidRDefault="00500ACD">
      <w:pPr>
        <w:pStyle w:val="FootnoteText"/>
      </w:pPr>
      <w:r>
        <w:rPr>
          <w:rStyle w:val="FootnoteReference"/>
        </w:rPr>
        <w:footnoteRef/>
      </w:r>
      <w:r>
        <w:t xml:space="preserve"> </w:t>
      </w:r>
      <w:r w:rsidRPr="003C4B61">
        <w:t xml:space="preserve">Elements of Right 1 that are relevant include making decisions about </w:t>
      </w:r>
      <w:r w:rsidRPr="0042481B">
        <w:t>their</w:t>
      </w:r>
      <w:r w:rsidRPr="003C4B61">
        <w:t xml:space="preserve"> own healthcare and granting, withholding or withdrawing consent. Elements of Right 2 include receiving health services free from any harassment, exploitation, abuse, deception, assault or fraud, free from physical intimacy unrelated to the health service or medical treatment and free from unwarranted attention of a sexual nature, and the right to be treated with dignity, courtesy and respect</w:t>
      </w:r>
      <w:r>
        <w:t>:</w:t>
      </w:r>
      <w:r w:rsidRPr="003C4B61">
        <w:t xml:space="preserve"> </w:t>
      </w:r>
      <w:r w:rsidRPr="00562C14">
        <w:t>Health Complaints Commissioner Tasmania</w:t>
      </w:r>
      <w:r>
        <w:t xml:space="preserve"> (n 329) Right 1: Active Participation in Health Care; Right 2: Individualised service that is free from discrimination.</w:t>
      </w:r>
    </w:p>
  </w:footnote>
  <w:footnote w:id="332">
    <w:p w14:paraId="47AB9518" w14:textId="68843653" w:rsidR="00500ACD" w:rsidRDefault="00500ACD">
      <w:pPr>
        <w:pStyle w:val="FootnoteText"/>
      </w:pPr>
      <w:r>
        <w:rPr>
          <w:rStyle w:val="FootnoteReference"/>
        </w:rPr>
        <w:footnoteRef/>
      </w:r>
      <w:r>
        <w:t xml:space="preserve"> </w:t>
      </w:r>
      <w:r w:rsidRPr="00562C14">
        <w:t>Health Complaints Commissioner Tasmania</w:t>
      </w:r>
      <w:r>
        <w:t xml:space="preserve"> (n 329)</w:t>
      </w:r>
      <w:r w:rsidR="00CB549A">
        <w:t xml:space="preserve"> Right 4: Access to complaint mechanisms.</w:t>
      </w:r>
    </w:p>
  </w:footnote>
  <w:footnote w:id="333">
    <w:p w14:paraId="39468237" w14:textId="531775D7" w:rsidR="00500ACD" w:rsidRDefault="00500ACD">
      <w:pPr>
        <w:pStyle w:val="FootnoteText"/>
      </w:pPr>
      <w:r>
        <w:rPr>
          <w:rStyle w:val="FootnoteReference"/>
        </w:rPr>
        <w:footnoteRef/>
      </w:r>
      <w:r>
        <w:t xml:space="preserve"> </w:t>
      </w:r>
      <w:r w:rsidRPr="003C4B61">
        <w:t xml:space="preserve">The Health Complaints Commissioner is also the Tasmanian </w:t>
      </w:r>
      <w:r w:rsidRPr="0042481B">
        <w:t>Ombudsman</w:t>
      </w:r>
      <w:r w:rsidRPr="003C4B61">
        <w:t>, an independent officer with a separate role and functions</w:t>
      </w:r>
      <w:r w:rsidR="002700AA">
        <w:t>:</w:t>
      </w:r>
      <w:r w:rsidRPr="003C4B61">
        <w:t xml:space="preserve"> see </w:t>
      </w:r>
      <w:r w:rsidR="00F177E7">
        <w:t xml:space="preserve">‘About Us’, </w:t>
      </w:r>
      <w:r w:rsidR="002700AA" w:rsidRPr="00F177E7">
        <w:rPr>
          <w:i/>
          <w:iCs/>
        </w:rPr>
        <w:t>Ombudsman Tasmania</w:t>
      </w:r>
      <w:r w:rsidR="00F177E7">
        <w:t xml:space="preserve"> (Web Page) &lt;</w:t>
      </w:r>
      <w:hyperlink r:id="rId68" w:history="1">
        <w:r w:rsidR="00F177E7" w:rsidRPr="004A7257">
          <w:rPr>
            <w:rStyle w:val="Hyperlink"/>
          </w:rPr>
          <w:t>https://www.ombudsman.tas.gov.au/about-us</w:t>
        </w:r>
      </w:hyperlink>
      <w:r w:rsidR="00F177E7">
        <w:t>&gt;.</w:t>
      </w:r>
    </w:p>
  </w:footnote>
  <w:footnote w:id="334">
    <w:p w14:paraId="26C17F2F" w14:textId="11381549" w:rsidR="00500ACD" w:rsidRDefault="00500ACD">
      <w:pPr>
        <w:pStyle w:val="FootnoteText"/>
      </w:pPr>
      <w:r>
        <w:rPr>
          <w:rStyle w:val="FootnoteReference"/>
        </w:rPr>
        <w:footnoteRef/>
      </w:r>
      <w:r>
        <w:t xml:space="preserve"> </w:t>
      </w:r>
      <w:r w:rsidRPr="00CA361E">
        <w:rPr>
          <w:i/>
          <w:iCs/>
        </w:rPr>
        <w:t>Health Complaints Act 1995</w:t>
      </w:r>
      <w:r w:rsidRPr="003C4B61">
        <w:t xml:space="preserve"> (Tas) pt 6.</w:t>
      </w:r>
    </w:p>
  </w:footnote>
  <w:footnote w:id="335">
    <w:p w14:paraId="48929843" w14:textId="7A8DCA86" w:rsidR="00500ACD" w:rsidRDefault="00500ACD">
      <w:pPr>
        <w:pStyle w:val="FootnoteText"/>
      </w:pPr>
      <w:r>
        <w:rPr>
          <w:rStyle w:val="FootnoteReference"/>
        </w:rPr>
        <w:footnoteRef/>
      </w:r>
      <w:r>
        <w:t xml:space="preserve"> </w:t>
      </w:r>
      <w:r w:rsidRPr="00CA361E">
        <w:rPr>
          <w:i/>
          <w:iCs/>
        </w:rPr>
        <w:t>Health Complaints Act 1995</w:t>
      </w:r>
      <w:r w:rsidRPr="003C4B61">
        <w:t xml:space="preserve"> (Tas) pt 6 div 2.</w:t>
      </w:r>
    </w:p>
  </w:footnote>
  <w:footnote w:id="336">
    <w:p w14:paraId="1A9E18CD" w14:textId="59E1497E" w:rsidR="00500ACD" w:rsidRDefault="00500ACD">
      <w:pPr>
        <w:pStyle w:val="FootnoteText"/>
      </w:pPr>
      <w:r>
        <w:rPr>
          <w:rStyle w:val="FootnoteReference"/>
        </w:rPr>
        <w:footnoteRef/>
      </w:r>
      <w:r>
        <w:t xml:space="preserve"> </w:t>
      </w:r>
      <w:r w:rsidRPr="003C4B61">
        <w:rPr>
          <w:i/>
          <w:iCs/>
        </w:rPr>
        <w:t>Health Complaints Act 1995</w:t>
      </w:r>
      <w:r w:rsidRPr="003C4B61">
        <w:t xml:space="preserve"> (Tas) ss 55, 56. Such a notice is also to </w:t>
      </w:r>
      <w:r w:rsidRPr="0042481B">
        <w:t>include</w:t>
      </w:r>
      <w:r w:rsidRPr="003C4B61">
        <w:t xml:space="preserve"> the particulars of the complaint, and the reasons for the decision.</w:t>
      </w:r>
    </w:p>
  </w:footnote>
  <w:footnote w:id="337">
    <w:p w14:paraId="3CAE9A8D" w14:textId="4588AE39" w:rsidR="00500ACD" w:rsidRDefault="00500ACD">
      <w:pPr>
        <w:pStyle w:val="FootnoteText"/>
      </w:pPr>
      <w:r>
        <w:rPr>
          <w:rStyle w:val="FootnoteReference"/>
        </w:rPr>
        <w:footnoteRef/>
      </w:r>
      <w:r>
        <w:t xml:space="preserve"> </w:t>
      </w:r>
      <w:r w:rsidRPr="003C4B61">
        <w:rPr>
          <w:i/>
          <w:iCs/>
        </w:rPr>
        <w:t>Health Complaints Act 1995</w:t>
      </w:r>
      <w:r w:rsidRPr="003C4B61">
        <w:t xml:space="preserve"> (Tas) ss 56AAA; 56AAB, </w:t>
      </w:r>
      <w:r w:rsidRPr="0042481B">
        <w:t>56AAC</w:t>
      </w:r>
      <w:r w:rsidRPr="003C4B61">
        <w:t>.</w:t>
      </w:r>
    </w:p>
  </w:footnote>
  <w:footnote w:id="338">
    <w:p w14:paraId="09E69D6F" w14:textId="02E1FB5B" w:rsidR="00AE1658" w:rsidRDefault="00AE1658">
      <w:pPr>
        <w:pStyle w:val="FootnoteText"/>
      </w:pPr>
      <w:r>
        <w:rPr>
          <w:rStyle w:val="FootnoteReference"/>
        </w:rPr>
        <w:footnoteRef/>
      </w:r>
      <w:r>
        <w:t xml:space="preserve"> </w:t>
      </w:r>
      <w:r w:rsidRPr="003C4B61">
        <w:t xml:space="preserve">Discrimination on the basis of race is also prohibited under federal law, which overlaps with </w:t>
      </w:r>
      <w:r w:rsidRPr="0042481B">
        <w:t>Tasmanian</w:t>
      </w:r>
      <w:r w:rsidRPr="003C4B61">
        <w:t xml:space="preserve"> law regarding discrimination on the basis of race.</w:t>
      </w:r>
    </w:p>
  </w:footnote>
  <w:footnote w:id="339">
    <w:p w14:paraId="3B07AD4E" w14:textId="5812ED7A" w:rsidR="00AE1658" w:rsidRDefault="00AE1658">
      <w:pPr>
        <w:pStyle w:val="FootnoteText"/>
      </w:pPr>
      <w:r>
        <w:rPr>
          <w:rStyle w:val="FootnoteReference"/>
        </w:rPr>
        <w:footnoteRef/>
      </w:r>
      <w:r>
        <w:t xml:space="preserve"> </w:t>
      </w:r>
      <w:r w:rsidRPr="003C4B61">
        <w:t xml:space="preserve">The </w:t>
      </w:r>
      <w:r w:rsidRPr="003C4B61">
        <w:rPr>
          <w:i/>
          <w:iCs/>
        </w:rPr>
        <w:t>Anti-Discrimination Act 1998</w:t>
      </w:r>
      <w:r w:rsidRPr="003C4B61">
        <w:t xml:space="preserve"> (Tas) applies in specified contexts, </w:t>
      </w:r>
      <w:r w:rsidRPr="0042481B">
        <w:t>including</w:t>
      </w:r>
      <w:r w:rsidRPr="003C4B61">
        <w:t xml:space="preserve"> employment, education and training, provision of facilities, goods and services, accommodation, club membership and activities, administration of any State law or program, and awards, enterprise agreements or industrial agreement</w:t>
      </w:r>
      <w:r>
        <w:t xml:space="preserve">: </w:t>
      </w:r>
      <w:r w:rsidRPr="003C4B61">
        <w:rPr>
          <w:i/>
          <w:iCs/>
        </w:rPr>
        <w:t>Anti-Discrimination Act 1998</w:t>
      </w:r>
      <w:r w:rsidRPr="003C4B61">
        <w:t xml:space="preserve"> (Tas) s 22.</w:t>
      </w:r>
    </w:p>
  </w:footnote>
  <w:footnote w:id="340">
    <w:p w14:paraId="7A0DDCFC" w14:textId="4EB5D0F2" w:rsidR="000F57CC" w:rsidRDefault="00545BB7" w:rsidP="00ED0369">
      <w:pPr>
        <w:pStyle w:val="FootnoteText"/>
      </w:pPr>
      <w:r>
        <w:rPr>
          <w:rStyle w:val="FootnoteReference"/>
        </w:rPr>
        <w:footnoteRef/>
      </w:r>
      <w:r>
        <w:t xml:space="preserve"> See, eg, </w:t>
      </w:r>
      <w:r w:rsidR="00C071B0">
        <w:t xml:space="preserve">Sarah Bolt, Anti-Discrimination Commissioner, </w:t>
      </w:r>
      <w:r w:rsidR="00923C7A">
        <w:t>‘</w:t>
      </w:r>
      <w:r w:rsidR="00ED0369">
        <w:t>Residential Aged Care Lockdown—Anti-Discrimination Commissioner Calls for Reports of Discrimination, Abuse and Neglect</w:t>
      </w:r>
      <w:r w:rsidR="00923C7A">
        <w:t xml:space="preserve">’ </w:t>
      </w:r>
      <w:r w:rsidR="00ED0369">
        <w:t xml:space="preserve">(Media Release/Statement, </w:t>
      </w:r>
      <w:r w:rsidR="00C071B0">
        <w:t>Equal Opportunity Tasmania</w:t>
      </w:r>
      <w:r w:rsidR="00A54E7B">
        <w:t xml:space="preserve"> (</w:t>
      </w:r>
      <w:r w:rsidR="00654E57">
        <w:t>from</w:t>
      </w:r>
      <w:r w:rsidR="00BC60E1">
        <w:t xml:space="preserve"> September</w:t>
      </w:r>
      <w:r w:rsidR="00A54E7B">
        <w:t xml:space="preserve"> 2024</w:t>
      </w:r>
      <w:r w:rsidR="00BC60E1">
        <w:t>,</w:t>
      </w:r>
      <w:r w:rsidR="00A54E7B">
        <w:t xml:space="preserve"> </w:t>
      </w:r>
      <w:r w:rsidR="003512FD">
        <w:t>Office of the Anti-Discrimination Commissioner)</w:t>
      </w:r>
      <w:r w:rsidR="00ED0369">
        <w:t>, 15 April 2020)</w:t>
      </w:r>
      <w:r w:rsidR="00951EED">
        <w:t>. See also</w:t>
      </w:r>
      <w:r w:rsidR="000F57CC">
        <w:t>,</w:t>
      </w:r>
      <w:r w:rsidR="00ED0369">
        <w:t xml:space="preserve"> generally</w:t>
      </w:r>
      <w:r w:rsidR="000F57CC">
        <w:t xml:space="preserve">, ‘News, Reports and Submissions, </w:t>
      </w:r>
      <w:r w:rsidR="000F57CC" w:rsidRPr="00923C7A">
        <w:rPr>
          <w:i/>
          <w:iCs/>
        </w:rPr>
        <w:t>Office of the Anti-Discrimination Commissioner</w:t>
      </w:r>
      <w:r w:rsidR="000F57CC">
        <w:t xml:space="preserve"> (Web Page</w:t>
      </w:r>
      <w:r w:rsidR="00923C7A">
        <w:t>) &lt;</w:t>
      </w:r>
      <w:hyperlink r:id="rId69" w:history="1">
        <w:r w:rsidR="00923C7A" w:rsidRPr="004A7257">
          <w:rPr>
            <w:rStyle w:val="Hyperlink"/>
          </w:rPr>
          <w:t>https://www.antidiscrimination.tas.gov.au/news_and_events</w:t>
        </w:r>
      </w:hyperlink>
      <w:r w:rsidR="00923C7A">
        <w:t>&gt;.</w:t>
      </w:r>
    </w:p>
  </w:footnote>
  <w:footnote w:id="341">
    <w:p w14:paraId="056BD865" w14:textId="6F8BFF63" w:rsidR="002B5129" w:rsidRDefault="002B5129">
      <w:pPr>
        <w:pStyle w:val="FootnoteText"/>
      </w:pPr>
      <w:r>
        <w:rPr>
          <w:rStyle w:val="FootnoteReference"/>
        </w:rPr>
        <w:footnoteRef/>
      </w:r>
      <w:r>
        <w:t xml:space="preserve"> Australian Government, ‘Changing Aged Care for the Better’, </w:t>
      </w:r>
      <w:r w:rsidRPr="002B5129">
        <w:rPr>
          <w:i/>
          <w:iCs/>
        </w:rPr>
        <w:t>Aged Care Quality and Safety Commission</w:t>
      </w:r>
      <w:r>
        <w:t xml:space="preserve"> (Web Page) &lt;</w:t>
      </w:r>
      <w:hyperlink r:id="rId70" w:history="1">
        <w:r w:rsidRPr="004A7257">
          <w:rPr>
            <w:rStyle w:val="Hyperlink"/>
          </w:rPr>
          <w:t>https://www.agedcarequality.gov.au/</w:t>
        </w:r>
      </w:hyperlink>
      <w:r>
        <w:t>&gt;.</w:t>
      </w:r>
      <w:r w:rsidRPr="003C4B61">
        <w:t xml:space="preserve"> </w:t>
      </w:r>
      <w:r>
        <w:t xml:space="preserve">The Aged Care Quality and Safety Commission </w:t>
      </w:r>
      <w:r w:rsidRPr="003C4B61">
        <w:t xml:space="preserve">does not apply to people </w:t>
      </w:r>
      <w:r w:rsidRPr="0042481B">
        <w:t>who</w:t>
      </w:r>
      <w:r w:rsidRPr="003C4B61">
        <w:t xml:space="preserve"> are living in retirement villages.</w:t>
      </w:r>
    </w:p>
  </w:footnote>
  <w:footnote w:id="342">
    <w:p w14:paraId="31D38631" w14:textId="230CB36C" w:rsidR="00EB0C35" w:rsidRDefault="00EB0C35">
      <w:pPr>
        <w:pStyle w:val="FootnoteText"/>
      </w:pPr>
      <w:r>
        <w:rPr>
          <w:rStyle w:val="FootnoteReference"/>
        </w:rPr>
        <w:footnoteRef/>
      </w:r>
      <w:r>
        <w:t xml:space="preserve"> </w:t>
      </w:r>
      <w:r w:rsidRPr="002B5129">
        <w:rPr>
          <w:i/>
          <w:iCs/>
        </w:rPr>
        <w:t>Royal Commission into Aged Care Quality and Safety</w:t>
      </w:r>
      <w:r>
        <w:t xml:space="preserve"> (Final Report: Care, Dignity and Respect, 1 March 2021).</w:t>
      </w:r>
    </w:p>
  </w:footnote>
  <w:footnote w:id="343">
    <w:p w14:paraId="45BBCC49" w14:textId="518A75D8" w:rsidR="00EB0C35" w:rsidRDefault="00EB0C35">
      <w:pPr>
        <w:pStyle w:val="FootnoteText"/>
      </w:pPr>
      <w:r>
        <w:rPr>
          <w:rStyle w:val="FootnoteReference"/>
        </w:rPr>
        <w:footnoteRef/>
      </w:r>
      <w:r>
        <w:t xml:space="preserve"> </w:t>
      </w:r>
      <w:r w:rsidR="006A69EA">
        <w:t xml:space="preserve">Australian Government, ‘About the New Rights-Based Aged Care Act’, </w:t>
      </w:r>
      <w:r w:rsidR="006A69EA" w:rsidRPr="00632017">
        <w:rPr>
          <w:i/>
          <w:iCs/>
        </w:rPr>
        <w:t>Department</w:t>
      </w:r>
      <w:r w:rsidR="00632017" w:rsidRPr="00632017">
        <w:rPr>
          <w:i/>
          <w:iCs/>
        </w:rPr>
        <w:t xml:space="preserve"> of Health, Disability and Ageing</w:t>
      </w:r>
      <w:r w:rsidR="00632017">
        <w:t xml:space="preserve"> (Web Page, 2025) &lt;</w:t>
      </w:r>
      <w:hyperlink r:id="rId71" w:history="1">
        <w:r w:rsidR="00632017" w:rsidRPr="004A7257">
          <w:rPr>
            <w:rStyle w:val="Hyperlink"/>
          </w:rPr>
          <w:t>https://www.health.gov.au/our-work/aged-care-act/about</w:t>
        </w:r>
      </w:hyperlink>
      <w:r w:rsidR="00632017">
        <w:t>&gt;.</w:t>
      </w:r>
    </w:p>
  </w:footnote>
  <w:footnote w:id="344">
    <w:p w14:paraId="6E8A6DF0" w14:textId="06D2D8CC" w:rsidR="00172D94" w:rsidRDefault="00172D94">
      <w:pPr>
        <w:pStyle w:val="FootnoteText"/>
      </w:pPr>
      <w:r>
        <w:rPr>
          <w:rStyle w:val="FootnoteReference"/>
        </w:rPr>
        <w:footnoteRef/>
      </w:r>
      <w:r>
        <w:t xml:space="preserve"> In Australia, in 2022, there were 3 million carers, representing 11.9% of all Australians living in households: ABS, </w:t>
      </w:r>
      <w:r w:rsidRPr="00282A03">
        <w:rPr>
          <w:i/>
          <w:iCs/>
        </w:rPr>
        <w:t>Disability, Ageing and Carers, Australia: Summary of Findings</w:t>
      </w:r>
      <w:r>
        <w:t>, 2022 (n 117).</w:t>
      </w:r>
    </w:p>
  </w:footnote>
  <w:footnote w:id="345">
    <w:p w14:paraId="0981C09B" w14:textId="044A1F75" w:rsidR="00172D94" w:rsidRDefault="00172D94">
      <w:pPr>
        <w:pStyle w:val="FootnoteText"/>
      </w:pPr>
      <w:r>
        <w:rPr>
          <w:rStyle w:val="FootnoteReference"/>
        </w:rPr>
        <w:footnoteRef/>
      </w:r>
      <w:r>
        <w:t xml:space="preserve"> </w:t>
      </w:r>
      <w:r w:rsidR="00677876" w:rsidRPr="00D715B3">
        <w:rPr>
          <w:rFonts w:cs="Times New Roman"/>
        </w:rPr>
        <w:t xml:space="preserve">Somes and Webb (n 40) </w:t>
      </w:r>
      <w:r w:rsidRPr="003C4B61">
        <w:t>238</w:t>
      </w:r>
      <w:r w:rsidR="00677876">
        <w:t>.</w:t>
      </w:r>
    </w:p>
  </w:footnote>
  <w:footnote w:id="346">
    <w:p w14:paraId="66A0CDCF" w14:textId="069365FF" w:rsidR="00677876" w:rsidRDefault="00677876">
      <w:pPr>
        <w:pStyle w:val="FootnoteText"/>
      </w:pPr>
      <w:r>
        <w:rPr>
          <w:rStyle w:val="FootnoteReference"/>
        </w:rPr>
        <w:footnoteRef/>
      </w:r>
      <w:r>
        <w:t xml:space="preserve"> Ibid</w:t>
      </w:r>
      <w:r w:rsidRPr="003C4B61">
        <w:t xml:space="preserve">. See </w:t>
      </w:r>
      <w:r w:rsidRPr="0042481B">
        <w:rPr>
          <w:i/>
          <w:iCs/>
        </w:rPr>
        <w:t>Baira v RHG Mortgage Corporation Ltd</w:t>
      </w:r>
      <w:r w:rsidRPr="003C4B61">
        <w:t xml:space="preserve"> [2012] NSWCA 387; </w:t>
      </w:r>
      <w:r w:rsidRPr="0042481B">
        <w:rPr>
          <w:i/>
          <w:iCs/>
        </w:rPr>
        <w:t>Perpetual Trustee Co Ltd v Khoshaba</w:t>
      </w:r>
      <w:r w:rsidRPr="003C4B61">
        <w:t xml:space="preserve"> [2006] NSWCA 42; </w:t>
      </w:r>
      <w:r w:rsidRPr="0042481B">
        <w:rPr>
          <w:i/>
          <w:iCs/>
        </w:rPr>
        <w:t>Tonto Home Loans Australia Pty Ltd v Tavares</w:t>
      </w:r>
      <w:r w:rsidRPr="003C4B61">
        <w:t xml:space="preserve"> [211] NSWCA 389.</w:t>
      </w:r>
    </w:p>
  </w:footnote>
  <w:footnote w:id="347">
    <w:p w14:paraId="32563E0E" w14:textId="7B6D8C0C" w:rsidR="00831AB7" w:rsidRDefault="00831AB7">
      <w:pPr>
        <w:pStyle w:val="FootnoteText"/>
      </w:pPr>
      <w:r>
        <w:rPr>
          <w:rStyle w:val="FootnoteReference"/>
        </w:rPr>
        <w:footnoteRef/>
      </w:r>
      <w:r>
        <w:t xml:space="preserve"> Scams Prevention</w:t>
      </w:r>
      <w:r w:rsidR="007064C8">
        <w:t xml:space="preserve"> Framework</w:t>
      </w:r>
      <w:r>
        <w:t xml:space="preserve"> Bill </w:t>
      </w:r>
      <w:r w:rsidR="007064C8">
        <w:t xml:space="preserve">2025 (Cth); </w:t>
      </w:r>
      <w:r w:rsidR="007F5E92">
        <w:t xml:space="preserve">Parliament of Australia, </w:t>
      </w:r>
      <w:r w:rsidR="007064C8">
        <w:t>‘Scams Prevention Bill Framework</w:t>
      </w:r>
      <w:r w:rsidR="007F5E92">
        <w:t xml:space="preserve"> 2025</w:t>
      </w:r>
      <w:r w:rsidR="007064C8">
        <w:t>’</w:t>
      </w:r>
      <w:r w:rsidR="00A4775D">
        <w:t xml:space="preserve">, </w:t>
      </w:r>
      <w:r w:rsidR="00A4775D" w:rsidRPr="00B7008B">
        <w:rPr>
          <w:i/>
          <w:iCs/>
        </w:rPr>
        <w:t>Parliamentary Business</w:t>
      </w:r>
      <w:r w:rsidR="00A4775D">
        <w:t xml:space="preserve"> (Web Page) </w:t>
      </w:r>
      <w:r w:rsidR="00B7008B">
        <w:t>&lt;</w:t>
      </w:r>
      <w:hyperlink r:id="rId72" w:history="1">
        <w:r w:rsidR="00B7008B" w:rsidRPr="004A7257">
          <w:rPr>
            <w:rStyle w:val="Hyperlink"/>
          </w:rPr>
          <w:t>https://www.aph.gov.au/Parliamentary_Business/Bills_Legislation/Bills_Search_Results/Result?bId=r7275</w:t>
        </w:r>
      </w:hyperlink>
      <w:r w:rsidR="00B7008B">
        <w:t>&gt;.</w:t>
      </w:r>
    </w:p>
  </w:footnote>
  <w:footnote w:id="348">
    <w:p w14:paraId="6DAF3478" w14:textId="43FAC9A3" w:rsidR="00094686" w:rsidRPr="00094686" w:rsidRDefault="00094686">
      <w:pPr>
        <w:pStyle w:val="FootnoteText"/>
      </w:pPr>
      <w:r>
        <w:rPr>
          <w:rStyle w:val="FootnoteReference"/>
        </w:rPr>
        <w:footnoteRef/>
      </w:r>
      <w:r>
        <w:t xml:space="preserve"> Commonwealth Bank</w:t>
      </w:r>
      <w:r w:rsidR="00CE2810">
        <w:t xml:space="preserve"> of Australia</w:t>
      </w:r>
      <w:r>
        <w:t xml:space="preserve">, </w:t>
      </w:r>
      <w:r w:rsidRPr="00094686">
        <w:rPr>
          <w:i/>
          <w:iCs/>
        </w:rPr>
        <w:t xml:space="preserve">Safe and Savvy: A </w:t>
      </w:r>
      <w:r>
        <w:rPr>
          <w:i/>
          <w:iCs/>
        </w:rPr>
        <w:t>G</w:t>
      </w:r>
      <w:r w:rsidRPr="00094686">
        <w:rPr>
          <w:i/>
          <w:iCs/>
        </w:rPr>
        <w:t xml:space="preserve">uide to </w:t>
      </w:r>
      <w:r>
        <w:rPr>
          <w:i/>
          <w:iCs/>
        </w:rPr>
        <w:t>H</w:t>
      </w:r>
      <w:r w:rsidRPr="00094686">
        <w:rPr>
          <w:i/>
          <w:iCs/>
        </w:rPr>
        <w:t xml:space="preserve">elp </w:t>
      </w:r>
      <w:r>
        <w:rPr>
          <w:i/>
          <w:iCs/>
        </w:rPr>
        <w:t>P</w:t>
      </w:r>
      <w:r w:rsidRPr="00094686">
        <w:rPr>
          <w:i/>
          <w:iCs/>
        </w:rPr>
        <w:t xml:space="preserve">eople </w:t>
      </w:r>
      <w:r>
        <w:rPr>
          <w:i/>
          <w:iCs/>
        </w:rPr>
        <w:t>A</w:t>
      </w:r>
      <w:r w:rsidRPr="00094686">
        <w:rPr>
          <w:i/>
          <w:iCs/>
        </w:rPr>
        <w:t xml:space="preserve">void </w:t>
      </w:r>
      <w:r>
        <w:rPr>
          <w:i/>
          <w:iCs/>
        </w:rPr>
        <w:t>S</w:t>
      </w:r>
      <w:r w:rsidRPr="00094686">
        <w:rPr>
          <w:i/>
          <w:iCs/>
        </w:rPr>
        <w:t xml:space="preserve">cams, </w:t>
      </w:r>
      <w:r>
        <w:rPr>
          <w:i/>
          <w:iCs/>
        </w:rPr>
        <w:t>F</w:t>
      </w:r>
      <w:r w:rsidRPr="00094686">
        <w:rPr>
          <w:i/>
          <w:iCs/>
        </w:rPr>
        <w:t xml:space="preserve">raud and </w:t>
      </w:r>
      <w:r>
        <w:rPr>
          <w:i/>
          <w:iCs/>
        </w:rPr>
        <w:t>E</w:t>
      </w:r>
      <w:r w:rsidRPr="00094686">
        <w:rPr>
          <w:i/>
          <w:iCs/>
        </w:rPr>
        <w:t xml:space="preserve">lder </w:t>
      </w:r>
      <w:r>
        <w:rPr>
          <w:i/>
          <w:iCs/>
        </w:rPr>
        <w:t>F</w:t>
      </w:r>
      <w:r w:rsidRPr="00094686">
        <w:rPr>
          <w:i/>
          <w:iCs/>
        </w:rPr>
        <w:t xml:space="preserve">inancial </w:t>
      </w:r>
      <w:r>
        <w:rPr>
          <w:i/>
          <w:iCs/>
        </w:rPr>
        <w:t>A</w:t>
      </w:r>
      <w:r w:rsidRPr="00094686">
        <w:rPr>
          <w:i/>
          <w:iCs/>
        </w:rPr>
        <w:t>buse</w:t>
      </w:r>
      <w:r>
        <w:t xml:space="preserve"> </w:t>
      </w:r>
      <w:r w:rsidR="00CE2810">
        <w:t xml:space="preserve">(2023) </w:t>
      </w:r>
      <w:r w:rsidR="009F7082">
        <w:t>&lt;</w:t>
      </w:r>
      <w:hyperlink r:id="rId73" w:history="1">
        <w:r w:rsidR="009F7082" w:rsidRPr="004A7257">
          <w:rPr>
            <w:rStyle w:val="Hyperlink"/>
          </w:rPr>
          <w:t>https://www.commbank.com.au/support/preventing-financial-abuse-of-seniors/download-guide.html?ei=CTA-GuideSafeSavvy</w:t>
        </w:r>
      </w:hyperlink>
      <w:r w:rsidR="009F7082">
        <w:t xml:space="preserve">&gt;; </w:t>
      </w:r>
      <w:r w:rsidR="00392EC2">
        <w:t xml:space="preserve">eSafety Commissioner, </w:t>
      </w:r>
      <w:r w:rsidR="002E523A">
        <w:t xml:space="preserve">Australian Government, </w:t>
      </w:r>
      <w:r w:rsidR="002E523A" w:rsidRPr="00015C33">
        <w:rPr>
          <w:i/>
          <w:iCs/>
        </w:rPr>
        <w:t>Be Connected: Every Australian Online</w:t>
      </w:r>
      <w:r w:rsidR="002E523A">
        <w:t xml:space="preserve"> (</w:t>
      </w:r>
      <w:r w:rsidR="00392EC2">
        <w:t>Online Resources</w:t>
      </w:r>
      <w:r w:rsidR="00015C33">
        <w:t xml:space="preserve">) &lt; </w:t>
      </w:r>
      <w:hyperlink r:id="rId74" w:history="1">
        <w:r w:rsidR="00015C33" w:rsidRPr="004A7257">
          <w:rPr>
            <w:rStyle w:val="Hyperlink"/>
          </w:rPr>
          <w:t>https://beconnected.esafety.gov.au/</w:t>
        </w:r>
      </w:hyperlink>
      <w:r w:rsidR="00015C33">
        <w:t xml:space="preserve"> &gt;.  </w:t>
      </w:r>
    </w:p>
  </w:footnote>
  <w:footnote w:id="349">
    <w:p w14:paraId="2F8F01CE" w14:textId="67531112" w:rsidR="00AD5EE9" w:rsidRDefault="00AD5EE9">
      <w:pPr>
        <w:pStyle w:val="FootnoteText"/>
      </w:pPr>
      <w:r>
        <w:rPr>
          <w:rStyle w:val="FootnoteReference"/>
        </w:rPr>
        <w:footnoteRef/>
      </w:r>
      <w:r>
        <w:t xml:space="preserve"> The W</w:t>
      </w:r>
      <w:r w:rsidR="00E349BE">
        <w:t>orld Health Organization (‘W</w:t>
      </w:r>
      <w:r>
        <w:t>HO</w:t>
      </w:r>
      <w:r w:rsidR="00E349BE">
        <w:t>’)</w:t>
      </w:r>
      <w:r>
        <w:t xml:space="preserve"> definition </w:t>
      </w:r>
      <w:r w:rsidRPr="00EB4F78">
        <w:t>describes elder abuse as ‘a single, or repeated act, or lack of appropriate action, occurring within any relationship where there is an expectation of trust which causes harm or distress to an older person’</w:t>
      </w:r>
      <w:r>
        <w:t xml:space="preserve">: </w:t>
      </w:r>
      <w:r w:rsidRPr="00AE543A">
        <w:t xml:space="preserve">WHO, </w:t>
      </w:r>
      <w:r w:rsidRPr="00AE543A">
        <w:rPr>
          <w:i/>
          <w:iCs/>
        </w:rPr>
        <w:t>Toronto Declaration on the Global Prevention of Elder Abuse</w:t>
      </w:r>
      <w:r>
        <w:t xml:space="preserve"> (n 33). See further [2.2.1] and nn 34 and 35 for references in relevant Tasmanian and national policy frameworks. See also ‘Demographic Change and Healthy Ageing’, WHO (Web Page) &lt;   </w:t>
      </w:r>
      <w:hyperlink r:id="rId75" w:history="1">
        <w:r w:rsidRPr="004A7257">
          <w:rPr>
            <w:rStyle w:val="Hyperlink"/>
          </w:rPr>
          <w:t>https://www.who.int/teams/social-determinants-of-health/demographic-change-and-healthy-ageing</w:t>
        </w:r>
      </w:hyperlink>
      <w:r>
        <w:t xml:space="preserve"> &gt;; WHO, </w:t>
      </w:r>
      <w:r>
        <w:rPr>
          <w:i/>
          <w:iCs/>
        </w:rPr>
        <w:t xml:space="preserve">Tackling Abuse of Older People: Five Priorities for the United Nations Decade of Health Ageing 2021–2030 </w:t>
      </w:r>
      <w:r>
        <w:t xml:space="preserve">(Decade of Healthy Ageing, WHO, 2022) &lt; </w:t>
      </w:r>
      <w:hyperlink r:id="rId76" w:history="1">
        <w:r w:rsidRPr="004A7257">
          <w:rPr>
            <w:rStyle w:val="Hyperlink"/>
          </w:rPr>
          <w:t>https://www.who.int/publications/i/item/9789240052550</w:t>
        </w:r>
      </w:hyperlink>
      <w:r>
        <w:t>&gt;</w:t>
      </w:r>
      <w:r w:rsidRPr="003C4B61">
        <w:t>.</w:t>
      </w:r>
    </w:p>
  </w:footnote>
  <w:footnote w:id="350">
    <w:p w14:paraId="5155D7D5" w14:textId="624F94B3" w:rsidR="00AD5EE9" w:rsidRDefault="00AD5EE9">
      <w:pPr>
        <w:pStyle w:val="FootnoteText"/>
      </w:pPr>
      <w:r>
        <w:rPr>
          <w:rStyle w:val="FootnoteReference"/>
        </w:rPr>
        <w:footnoteRef/>
      </w:r>
      <w:r>
        <w:t xml:space="preserve"> </w:t>
      </w:r>
      <w:r w:rsidR="0031783D">
        <w:t>Office of the High Commissioner for Human Rights (‘O</w:t>
      </w:r>
      <w:r w:rsidR="00044FF4">
        <w:t xml:space="preserve">HCHR’), </w:t>
      </w:r>
      <w:r w:rsidR="00387901" w:rsidRPr="00646751">
        <w:rPr>
          <w:i/>
          <w:iCs/>
        </w:rPr>
        <w:t>United Nations Principles for Older Persons</w:t>
      </w:r>
      <w:r w:rsidR="00387901">
        <w:t xml:space="preserve">, </w:t>
      </w:r>
      <w:r w:rsidR="003D7213">
        <w:t>GA Res 46/91 (16 December 1991</w:t>
      </w:r>
      <w:r w:rsidR="00646751">
        <w:t>) &lt;</w:t>
      </w:r>
      <w:hyperlink r:id="rId77" w:history="1">
        <w:r w:rsidR="0031783D" w:rsidRPr="004A7257">
          <w:rPr>
            <w:rStyle w:val="Hyperlink"/>
          </w:rPr>
          <w:t>https://www.ohchr.org/en/instruments-mechanisms/instruments/united-nations-principles-older-persons</w:t>
        </w:r>
      </w:hyperlink>
      <w:r w:rsidR="0031783D">
        <w:t>&gt;</w:t>
      </w:r>
      <w:r w:rsidRPr="003C4B61">
        <w:t xml:space="preserve">. See </w:t>
      </w:r>
      <w:r w:rsidRPr="00C36293">
        <w:rPr>
          <w:b/>
          <w:bCs/>
        </w:rPr>
        <w:t>Appendix D</w:t>
      </w:r>
      <w:r>
        <w:t xml:space="preserve"> for the </w:t>
      </w:r>
      <w:r w:rsidRPr="00646751">
        <w:rPr>
          <w:i/>
          <w:iCs/>
        </w:rPr>
        <w:t>United Nations Principles for Older Persons</w:t>
      </w:r>
      <w:r>
        <w:t>.</w:t>
      </w:r>
    </w:p>
  </w:footnote>
  <w:footnote w:id="351">
    <w:p w14:paraId="101B7917" w14:textId="77777777" w:rsidR="003E00B5" w:rsidRPr="00BA7DB8" w:rsidRDefault="003E00B5" w:rsidP="0042481B">
      <w:pPr>
        <w:pStyle w:val="FootnoteText"/>
      </w:pPr>
      <w:r>
        <w:rPr>
          <w:rStyle w:val="FootnoteReference"/>
        </w:rPr>
        <w:footnoteRef/>
      </w:r>
      <w:r>
        <w:t xml:space="preserve"> </w:t>
      </w:r>
      <w:r w:rsidRPr="00540DDC">
        <w:rPr>
          <w:i/>
          <w:iCs/>
        </w:rPr>
        <w:t>OPCAT Implementation Act 2021</w:t>
      </w:r>
      <w:r w:rsidRPr="00BA7DB8">
        <w:t xml:space="preserve"> (</w:t>
      </w:r>
      <w:r w:rsidRPr="0042481B">
        <w:t>Tas</w:t>
      </w:r>
      <w:r w:rsidRPr="00BA7DB8">
        <w:t xml:space="preserve">). </w:t>
      </w:r>
    </w:p>
  </w:footnote>
  <w:footnote w:id="352">
    <w:p w14:paraId="3A05047A" w14:textId="14CA74EF" w:rsidR="00BF7131" w:rsidRPr="00BA7DB8" w:rsidRDefault="00BF7131" w:rsidP="00FD742D">
      <w:pPr>
        <w:pStyle w:val="FootnoteText"/>
      </w:pPr>
      <w:r w:rsidRPr="00BA7DB8">
        <w:rPr>
          <w:rStyle w:val="FootnoteReference"/>
        </w:rPr>
        <w:footnoteRef/>
      </w:r>
      <w:r w:rsidRPr="00BA7DB8">
        <w:t xml:space="preserve"> </w:t>
      </w:r>
      <w:r w:rsidR="00FF6DD2">
        <w:t xml:space="preserve">Tasmanian </w:t>
      </w:r>
      <w:r w:rsidR="00886CA6">
        <w:t>National Preventi</w:t>
      </w:r>
      <w:r w:rsidR="00D63E8E">
        <w:t>ve Mechanism</w:t>
      </w:r>
      <w:r w:rsidR="00FF6DD2">
        <w:t>,</w:t>
      </w:r>
      <w:r w:rsidR="00D63E8E">
        <w:t xml:space="preserve"> </w:t>
      </w:r>
      <w:r w:rsidR="00D63E8E" w:rsidRPr="00FD742D">
        <w:rPr>
          <w:i/>
          <w:iCs/>
        </w:rPr>
        <w:t>Preventing Torture and Ill-treatment in Tasmania</w:t>
      </w:r>
      <w:r w:rsidR="00FD742D" w:rsidRPr="00FD742D">
        <w:rPr>
          <w:i/>
          <w:iCs/>
        </w:rPr>
        <w:t>: Supplementary Report to the Tasmanian Government Focusing on Health and Social Care and Update on the Implementation of the Tasmanian National Preventive Mechanism under the OPCAT Implementation Act 2021</w:t>
      </w:r>
      <w:r w:rsidR="00FF6DD2">
        <w:t xml:space="preserve"> </w:t>
      </w:r>
      <w:r w:rsidR="00FD742D" w:rsidRPr="00AC57E3">
        <w:t>(</w:t>
      </w:r>
      <w:r w:rsidRPr="00AC57E3">
        <w:t xml:space="preserve">2024 </w:t>
      </w:r>
      <w:r w:rsidR="00AC57E3" w:rsidRPr="00AC57E3">
        <w:t>Annual</w:t>
      </w:r>
      <w:r w:rsidRPr="00AC57E3">
        <w:t xml:space="preserve"> Report, </w:t>
      </w:r>
      <w:r w:rsidR="00AC57E3">
        <w:t xml:space="preserve">November 2024) </w:t>
      </w:r>
      <w:r w:rsidR="00B14C1A">
        <w:t>&lt;</w:t>
      </w:r>
      <w:hyperlink r:id="rId78" w:history="1">
        <w:r w:rsidR="00B14C1A" w:rsidRPr="00574462">
          <w:rPr>
            <w:rStyle w:val="Hyperlink"/>
          </w:rPr>
          <w:t>https://npm.tas.gov.au/</w:t>
        </w:r>
      </w:hyperlink>
      <w:r w:rsidR="00B14C1A">
        <w:t xml:space="preserve">&gt; </w:t>
      </w:r>
      <w:r w:rsidRPr="00BA7DB8">
        <w:t xml:space="preserve">focused on the Tasmanian </w:t>
      </w:r>
      <w:r w:rsidR="00D5393D" w:rsidRPr="006F2DE6">
        <w:t xml:space="preserve">National Preventive Mechanism </w:t>
      </w:r>
      <w:r w:rsidR="00D5393D">
        <w:t>(‘</w:t>
      </w:r>
      <w:r w:rsidRPr="00BA7DB8">
        <w:t>NPM</w:t>
      </w:r>
      <w:r w:rsidR="00D5393D">
        <w:t>’)</w:t>
      </w:r>
      <w:r w:rsidRPr="00BA7DB8">
        <w:t>’s mandate in community-based aged residential care and disability support services</w:t>
      </w:r>
      <w:r w:rsidR="00D5393D">
        <w:t>.</w:t>
      </w:r>
    </w:p>
  </w:footnote>
  <w:footnote w:id="353">
    <w:p w14:paraId="05575439" w14:textId="7D1C6C0E" w:rsidR="002554FE" w:rsidRPr="00BA7DB8" w:rsidRDefault="002554FE" w:rsidP="0042481B">
      <w:pPr>
        <w:pStyle w:val="FootnoteText"/>
      </w:pPr>
      <w:r w:rsidRPr="00BA7DB8">
        <w:rPr>
          <w:rStyle w:val="FootnoteReference"/>
        </w:rPr>
        <w:footnoteRef/>
      </w:r>
      <w:r w:rsidRPr="00BA7DB8">
        <w:t xml:space="preserve"> </w:t>
      </w:r>
      <w:r w:rsidR="000C7341">
        <w:t>Tasmanian Government, ‘About the Tasmanian NPM’,</w:t>
      </w:r>
      <w:r w:rsidR="0099466E">
        <w:t xml:space="preserve"> </w:t>
      </w:r>
      <w:r w:rsidR="0099466E" w:rsidRPr="001C5668">
        <w:rPr>
          <w:i/>
          <w:iCs/>
        </w:rPr>
        <w:t>Tasmanian National Preventive Mechanism</w:t>
      </w:r>
      <w:r w:rsidR="0099466E">
        <w:t xml:space="preserve"> (Web Page, 17 July 2025) &lt;</w:t>
      </w:r>
      <w:hyperlink r:id="rId79" w:history="1">
        <w:r w:rsidR="001C5668" w:rsidRPr="00574462">
          <w:rPr>
            <w:rStyle w:val="Hyperlink"/>
          </w:rPr>
          <w:t>https://npm.tas.gov.au/about</w:t>
        </w:r>
      </w:hyperlink>
      <w:r w:rsidR="001C5668">
        <w:t>&gt;</w:t>
      </w:r>
      <w:r w:rsidR="00CC16FA" w:rsidRPr="00BA7DB8">
        <w:t>.</w:t>
      </w:r>
    </w:p>
  </w:footnote>
  <w:footnote w:id="354">
    <w:p w14:paraId="2B6E4039" w14:textId="1C1F23DC" w:rsidR="008509C5" w:rsidRDefault="008509C5" w:rsidP="0042481B">
      <w:pPr>
        <w:pStyle w:val="FootnoteText"/>
      </w:pPr>
      <w:r w:rsidRPr="00BA7DB8">
        <w:rPr>
          <w:rStyle w:val="FootnoteReference"/>
        </w:rPr>
        <w:footnoteRef/>
      </w:r>
      <w:r w:rsidRPr="00BA7DB8">
        <w:t xml:space="preserve"> </w:t>
      </w:r>
      <w:r w:rsidR="001C5668">
        <w:t>Ibid</w:t>
      </w:r>
      <w:r w:rsidR="00264176" w:rsidRPr="00BA7DB8">
        <w:t>.</w:t>
      </w:r>
    </w:p>
  </w:footnote>
  <w:footnote w:id="355">
    <w:p w14:paraId="29760C7B" w14:textId="060E74D7" w:rsidR="00393F7E" w:rsidRDefault="00393F7E">
      <w:pPr>
        <w:pStyle w:val="FootnoteText"/>
      </w:pPr>
      <w:r>
        <w:rPr>
          <w:rStyle w:val="FootnoteReference"/>
        </w:rPr>
        <w:footnoteRef/>
      </w:r>
      <w:r>
        <w:t xml:space="preserve"> </w:t>
      </w:r>
      <w:r w:rsidRPr="003C4B61">
        <w:t>T</w:t>
      </w:r>
      <w:r>
        <w:t>asmania Law Reform Institute</w:t>
      </w:r>
      <w:r w:rsidR="00A42E2D">
        <w:t xml:space="preserve"> (‘TLRI’)</w:t>
      </w:r>
      <w:r>
        <w:t xml:space="preserve">, </w:t>
      </w:r>
      <w:r>
        <w:rPr>
          <w:i/>
          <w:iCs/>
        </w:rPr>
        <w:t xml:space="preserve">A Charter of Rights for Tasmania </w:t>
      </w:r>
      <w:r>
        <w:t>(Report No 10, October 2007)</w:t>
      </w:r>
      <w:r w:rsidR="00A42E2D">
        <w:t xml:space="preserve"> (‘TLRI, </w:t>
      </w:r>
      <w:r w:rsidR="00A42E2D">
        <w:rPr>
          <w:i/>
          <w:iCs/>
        </w:rPr>
        <w:t>A Charter of Rights</w:t>
      </w:r>
      <w:r w:rsidR="00A42E2D">
        <w:t xml:space="preserve"> (2007)’)</w:t>
      </w:r>
      <w:r>
        <w:t xml:space="preserve">; </w:t>
      </w:r>
      <w:r w:rsidRPr="003C4B61">
        <w:t>T</w:t>
      </w:r>
      <w:r>
        <w:t>asmania Law Reform Institute</w:t>
      </w:r>
      <w:r w:rsidR="00A42E2D">
        <w:t xml:space="preserve"> (‘TLRI’)</w:t>
      </w:r>
      <w:r>
        <w:t xml:space="preserve">, </w:t>
      </w:r>
      <w:r>
        <w:rPr>
          <w:i/>
          <w:iCs/>
        </w:rPr>
        <w:t>A Charter of Human Rights for Tasmania? Update</w:t>
      </w:r>
      <w:r>
        <w:t xml:space="preserve"> (Research Paper No 6, April 2024)</w:t>
      </w:r>
      <w:r w:rsidR="00A42E2D">
        <w:t xml:space="preserve"> (‘TLRI, </w:t>
      </w:r>
      <w:r w:rsidR="00A42E2D">
        <w:rPr>
          <w:i/>
          <w:iCs/>
        </w:rPr>
        <w:t>A Charter of Human Rights</w:t>
      </w:r>
      <w:r w:rsidR="00A42E2D" w:rsidRPr="00FF3550">
        <w:rPr>
          <w:i/>
          <w:iCs/>
        </w:rPr>
        <w:t>: Update</w:t>
      </w:r>
      <w:r w:rsidR="00A42E2D">
        <w:t xml:space="preserve"> (2024)’)</w:t>
      </w:r>
      <w:r>
        <w:t>.</w:t>
      </w:r>
      <w:r w:rsidRPr="003C4B61">
        <w:t xml:space="preserve"> </w:t>
      </w:r>
      <w:r>
        <w:t xml:space="preserve">In its 2007 Report, </w:t>
      </w:r>
      <w:r w:rsidRPr="003C4B61">
        <w:t>the TLRI made 23 recommendations to give better effect to human rights principles in Tasmanian law, including enacting a Charter of Human Rights protecting a comprehensive range of civil, political, economic, social and cultural rights and extensive recommendations about to whom the Charter should apply and how it should operate.</w:t>
      </w:r>
    </w:p>
  </w:footnote>
  <w:footnote w:id="356">
    <w:p w14:paraId="2438C2E6" w14:textId="59F1E3E1" w:rsidR="006F5DBC" w:rsidRDefault="006F5DBC" w:rsidP="006F5DBC">
      <w:pPr>
        <w:pStyle w:val="FootnoteText"/>
      </w:pPr>
      <w:r>
        <w:rPr>
          <w:rStyle w:val="FootnoteReference"/>
        </w:rPr>
        <w:footnoteRef/>
      </w:r>
      <w:r>
        <w:t xml:space="preserve"> Australian Government, </w:t>
      </w:r>
      <w:r w:rsidRPr="006A4158">
        <w:rPr>
          <w:i/>
          <w:iCs/>
        </w:rPr>
        <w:t>Australia’s Human Rights Framework</w:t>
      </w:r>
      <w:r>
        <w:t xml:space="preserve"> (Commonwealth of Australia, April 2010)</w:t>
      </w:r>
      <w:r w:rsidR="00BD7223">
        <w:t xml:space="preserve">; </w:t>
      </w:r>
      <w:r w:rsidR="00B11454">
        <w:t xml:space="preserve">‘Inquiry into Australia’s Human Rights Framework’, </w:t>
      </w:r>
      <w:r w:rsidR="00BD7223" w:rsidRPr="003D451B">
        <w:rPr>
          <w:i/>
          <w:iCs/>
        </w:rPr>
        <w:t>Parliament of Australia</w:t>
      </w:r>
      <w:r w:rsidR="00B11454">
        <w:t xml:space="preserve"> </w:t>
      </w:r>
      <w:r w:rsidR="00FE39DF">
        <w:t>(</w:t>
      </w:r>
      <w:r w:rsidR="00B11454">
        <w:t>Web Page,</w:t>
      </w:r>
      <w:r w:rsidR="00FE39DF">
        <w:t xml:space="preserve"> 2025)</w:t>
      </w:r>
      <w:r w:rsidR="00B11454">
        <w:t xml:space="preserve"> &lt;</w:t>
      </w:r>
      <w:hyperlink r:id="rId80" w:history="1">
        <w:r w:rsidR="00FE39DF" w:rsidRPr="00752F60">
          <w:rPr>
            <w:rStyle w:val="Hyperlink"/>
          </w:rPr>
          <w:t>https://www.aph.gov.au/Parliamentary_Business/Committees/Joint/Human_Rights/HumanRightsFramework</w:t>
        </w:r>
      </w:hyperlink>
      <w:r w:rsidR="00FE39DF">
        <w:t>&gt;.</w:t>
      </w:r>
    </w:p>
  </w:footnote>
  <w:footnote w:id="357">
    <w:p w14:paraId="37E205D1" w14:textId="23648982" w:rsidR="00D411C5" w:rsidRDefault="00D411C5">
      <w:pPr>
        <w:pStyle w:val="FootnoteText"/>
      </w:pPr>
      <w:r>
        <w:rPr>
          <w:rStyle w:val="FootnoteReference"/>
        </w:rPr>
        <w:footnoteRef/>
      </w:r>
      <w:r>
        <w:t xml:space="preserve"> </w:t>
      </w:r>
      <w:r w:rsidRPr="003C4B61">
        <w:t>The</w:t>
      </w:r>
      <w:r>
        <w:t xml:space="preserve"> TLRI’s review of the</w:t>
      </w:r>
      <w:r w:rsidRPr="003C4B61">
        <w:t xml:space="preserve"> current legal framework is </w:t>
      </w:r>
      <w:r>
        <w:t>discussed i</w:t>
      </w:r>
      <w:r w:rsidRPr="003C4B61">
        <w:t xml:space="preserve">n </w:t>
      </w:r>
      <w:r w:rsidRPr="00412026">
        <w:rPr>
          <w:b/>
          <w:bCs/>
        </w:rPr>
        <w:t>Part 4</w:t>
      </w:r>
      <w:r>
        <w:t xml:space="preserve"> and </w:t>
      </w:r>
      <w:r w:rsidRPr="009A78EE">
        <w:rPr>
          <w:b/>
          <w:bCs/>
        </w:rPr>
        <w:t>Part 5</w:t>
      </w:r>
      <w:r>
        <w:t>.</w:t>
      </w:r>
    </w:p>
  </w:footnote>
  <w:footnote w:id="358">
    <w:p w14:paraId="43B5E7E2" w14:textId="587E0E28" w:rsidR="00D411C5" w:rsidRDefault="00D411C5">
      <w:pPr>
        <w:pStyle w:val="FootnoteText"/>
      </w:pPr>
      <w:r>
        <w:rPr>
          <w:rStyle w:val="FootnoteReference"/>
        </w:rPr>
        <w:footnoteRef/>
      </w:r>
      <w:r>
        <w:t xml:space="preserve"> </w:t>
      </w:r>
      <w:r w:rsidRPr="003C4B61">
        <w:t xml:space="preserve">See </w:t>
      </w:r>
      <w:r w:rsidR="00020398">
        <w:t>further [3.</w:t>
      </w:r>
      <w:r w:rsidR="009804D3">
        <w:t>2], [3.3] and [</w:t>
      </w:r>
      <w:r w:rsidR="00791CF8">
        <w:t>3.4.5]–[3.5.3].</w:t>
      </w:r>
    </w:p>
  </w:footnote>
  <w:footnote w:id="359">
    <w:p w14:paraId="52BC7BDA" w14:textId="5EB87244" w:rsidR="00D411C5" w:rsidRDefault="00D411C5">
      <w:pPr>
        <w:pStyle w:val="FootnoteText"/>
      </w:pPr>
      <w:r>
        <w:rPr>
          <w:rStyle w:val="FootnoteReference"/>
        </w:rPr>
        <w:footnoteRef/>
      </w:r>
      <w:r>
        <w:t xml:space="preserve"> </w:t>
      </w:r>
      <w:r w:rsidRPr="003C4B61">
        <w:t>Relationships Australia Tas</w:t>
      </w:r>
      <w:r w:rsidR="00905E9B">
        <w:t>mania,</w:t>
      </w:r>
      <w:r w:rsidRPr="003C4B61">
        <w:t xml:space="preserve"> </w:t>
      </w:r>
      <w:r w:rsidRPr="00905E9B">
        <w:rPr>
          <w:i/>
          <w:iCs/>
        </w:rPr>
        <w:t>Elder Relationship Service</w:t>
      </w:r>
      <w:r w:rsidRPr="003C4B61">
        <w:t xml:space="preserve"> </w:t>
      </w:r>
      <w:r w:rsidR="00905E9B">
        <w:t>(</w:t>
      </w:r>
      <w:r w:rsidR="00B9472A">
        <w:t>Information Sheet</w:t>
      </w:r>
      <w:r w:rsidR="00905E9B">
        <w:t>)</w:t>
      </w:r>
      <w:r w:rsidRPr="003C4B61">
        <w:t xml:space="preserve"> </w:t>
      </w:r>
      <w:r w:rsidR="00D63158">
        <w:t>&lt;</w:t>
      </w:r>
      <w:hyperlink r:id="rId81" w:history="1">
        <w:r w:rsidR="00D63158" w:rsidRPr="00574462">
          <w:rPr>
            <w:rStyle w:val="Hyperlink"/>
          </w:rPr>
          <w:t>https://tas.relationships.org.au/elder-relationships-services/</w:t>
        </w:r>
      </w:hyperlink>
      <w:r w:rsidR="00D63158">
        <w:t xml:space="preserve">&gt; </w:t>
      </w:r>
      <w:r w:rsidRPr="003C4B61">
        <w:t>1</w:t>
      </w:r>
      <w:r w:rsidR="00B9472A">
        <w:t>.</w:t>
      </w:r>
    </w:p>
  </w:footnote>
  <w:footnote w:id="360">
    <w:p w14:paraId="02B61B6F" w14:textId="6616AEFA" w:rsidR="00D411C5" w:rsidRDefault="00D411C5">
      <w:pPr>
        <w:pStyle w:val="FootnoteText"/>
      </w:pPr>
      <w:r>
        <w:rPr>
          <w:rStyle w:val="FootnoteReference"/>
        </w:rPr>
        <w:footnoteRef/>
      </w:r>
      <w:r>
        <w:t xml:space="preserve"> Ibid.</w:t>
      </w:r>
    </w:p>
  </w:footnote>
  <w:footnote w:id="361">
    <w:p w14:paraId="58E8F162" w14:textId="35B7AA56" w:rsidR="00D411C5" w:rsidRDefault="00D411C5">
      <w:pPr>
        <w:pStyle w:val="FootnoteText"/>
      </w:pPr>
      <w:r>
        <w:rPr>
          <w:rStyle w:val="FootnoteReference"/>
        </w:rPr>
        <w:footnoteRef/>
      </w:r>
      <w:r>
        <w:t xml:space="preserve"> Ibid.</w:t>
      </w:r>
    </w:p>
  </w:footnote>
  <w:footnote w:id="362">
    <w:p w14:paraId="518044BF" w14:textId="56D4F896" w:rsidR="00D411C5" w:rsidRDefault="00D411C5">
      <w:pPr>
        <w:pStyle w:val="FootnoteText"/>
      </w:pPr>
      <w:r>
        <w:rPr>
          <w:rStyle w:val="FootnoteReference"/>
        </w:rPr>
        <w:footnoteRef/>
      </w:r>
      <w:r>
        <w:t xml:space="preserve"> </w:t>
      </w:r>
      <w:r w:rsidR="00E63BF2">
        <w:t xml:space="preserve">‘Who We Are’, </w:t>
      </w:r>
      <w:r w:rsidR="00E63BF2" w:rsidRPr="004E57C4">
        <w:rPr>
          <w:i/>
          <w:iCs/>
        </w:rPr>
        <w:t>COTA Tasmania</w:t>
      </w:r>
      <w:r w:rsidR="00E63BF2">
        <w:t xml:space="preserve"> (Web Page, 2025) &lt;</w:t>
      </w:r>
      <w:hyperlink r:id="rId82" w:history="1">
        <w:r w:rsidR="00E63BF2" w:rsidRPr="00574462">
          <w:rPr>
            <w:rStyle w:val="Hyperlink"/>
          </w:rPr>
          <w:t>https://cotatas.org.au/about-us/</w:t>
        </w:r>
      </w:hyperlink>
      <w:r w:rsidR="004E57C4">
        <w:t>&gt;.</w:t>
      </w:r>
    </w:p>
  </w:footnote>
  <w:footnote w:id="363">
    <w:p w14:paraId="16E69523" w14:textId="198DD08D" w:rsidR="008B536D" w:rsidRDefault="008B536D">
      <w:pPr>
        <w:pStyle w:val="FootnoteText"/>
      </w:pPr>
      <w:r>
        <w:rPr>
          <w:rStyle w:val="FootnoteReference"/>
        </w:rPr>
        <w:footnoteRef/>
      </w:r>
      <w:r>
        <w:t xml:space="preserve"> </w:t>
      </w:r>
      <w:r w:rsidRPr="003C4B61">
        <w:t>COTA Tasmania has also undertaken and published research seeking views from older Tasmanians on various issues such a</w:t>
      </w:r>
      <w:r w:rsidR="009E0EAB">
        <w:t>s a</w:t>
      </w:r>
      <w:r>
        <w:t xml:space="preserve"> 2015 project on </w:t>
      </w:r>
      <w:r w:rsidRPr="003C4B61">
        <w:t xml:space="preserve">information needs of older Tasmanians: </w:t>
      </w:r>
      <w:r>
        <w:t xml:space="preserve">COTA Tasmania, Finding Out: </w:t>
      </w:r>
      <w:r w:rsidRPr="007323C7">
        <w:rPr>
          <w:i/>
          <w:iCs/>
        </w:rPr>
        <w:t>Supporting Older People to Access the Right Information at the Right Time</w:t>
      </w:r>
      <w:r w:rsidRPr="00C06B16">
        <w:t xml:space="preserve"> </w:t>
      </w:r>
      <w:r>
        <w:t>(COTA Tasmania, Tasmanian Government, April 2015) &lt;</w:t>
      </w:r>
      <w:hyperlink r:id="rId83" w:history="1">
        <w:r w:rsidRPr="00574462">
          <w:rPr>
            <w:rStyle w:val="Hyperlink"/>
          </w:rPr>
          <w:t>https://cotatas.org.au/information/resources/publication/finding-out-information-needs-of-older-tasmanians/</w:t>
        </w:r>
      </w:hyperlink>
      <w:r>
        <w:t xml:space="preserve">&gt; , </w:t>
      </w:r>
      <w:r w:rsidRPr="003C4B61">
        <w:t xml:space="preserve">and </w:t>
      </w:r>
      <w:r>
        <w:t xml:space="preserve">a 2019 project on </w:t>
      </w:r>
      <w:r w:rsidRPr="003C4B61">
        <w:t>older people</w:t>
      </w:r>
      <w:r>
        <w:t xml:space="preserve">’s </w:t>
      </w:r>
      <w:r w:rsidRPr="003C4B61">
        <w:t>preferences for the years ahead:</w:t>
      </w:r>
      <w:r>
        <w:t xml:space="preserve"> COTA Tasmania, Ageing My Way (Web Page, 2015) &lt; </w:t>
      </w:r>
      <w:hyperlink r:id="rId84" w:history="1">
        <w:r w:rsidRPr="00574462">
          <w:rPr>
            <w:rStyle w:val="Hyperlink"/>
          </w:rPr>
          <w:t>https://cotatas.org.au/ourwork-2/elder-abuse-prevention/ageingmyway/</w:t>
        </w:r>
      </w:hyperlink>
      <w:r>
        <w:t>&gt;.</w:t>
      </w:r>
      <w:r w:rsidRPr="003C4B61">
        <w:t xml:space="preserve"> </w:t>
      </w:r>
      <w:r w:rsidR="00151617">
        <w:t>A</w:t>
      </w:r>
      <w:r w:rsidR="00835F79">
        <w:t xml:space="preserve">n example of awareness raising </w:t>
      </w:r>
      <w:r w:rsidR="00CB3482">
        <w:t>activities i</w:t>
      </w:r>
      <w:r w:rsidR="00151617">
        <w:t xml:space="preserve">s a </w:t>
      </w:r>
      <w:r w:rsidR="00A912EC">
        <w:t xml:space="preserve">joint initiative </w:t>
      </w:r>
      <w:r w:rsidR="00B37EE0">
        <w:t xml:space="preserve">between </w:t>
      </w:r>
      <w:r w:rsidR="00CB3482">
        <w:t xml:space="preserve">COTA Tasmania and </w:t>
      </w:r>
      <w:r w:rsidR="0053176C">
        <w:t xml:space="preserve">Working it Out </w:t>
      </w:r>
      <w:r w:rsidR="00A912EC">
        <w:t>(‘WIO’)</w:t>
      </w:r>
      <w:r w:rsidR="00CB3482">
        <w:t xml:space="preserve"> to make </w:t>
      </w:r>
      <w:r w:rsidR="001B35FA">
        <w:t xml:space="preserve">available ‘LGBTIQ+ </w:t>
      </w:r>
      <w:r w:rsidR="00C10D88">
        <w:t xml:space="preserve">friendly resources designed to raise awareness’ around the abuse of older people in the community’: </w:t>
      </w:r>
      <w:r w:rsidR="00E0680E">
        <w:t>‘Elder Abuse Help and Resources</w:t>
      </w:r>
      <w:r w:rsidR="00F67264">
        <w:t xml:space="preserve">’, </w:t>
      </w:r>
      <w:r w:rsidR="00C10D88" w:rsidRPr="00F67264">
        <w:rPr>
          <w:i/>
          <w:iCs/>
        </w:rPr>
        <w:t>COTA Tasmania</w:t>
      </w:r>
      <w:r w:rsidR="00F67264">
        <w:t xml:space="preserve"> (Web Page, 2025) &lt;</w:t>
      </w:r>
      <w:hyperlink r:id="rId85" w:history="1">
        <w:r w:rsidR="00835F79" w:rsidRPr="00873F7A">
          <w:rPr>
            <w:rStyle w:val="Hyperlink"/>
          </w:rPr>
          <w:t>https://cotatas.org.au/ourwork-2/elder-abuse-prevention/elder-abuse-helpline/</w:t>
        </w:r>
      </w:hyperlink>
      <w:r w:rsidR="00126E16">
        <w:t>&gt;.</w:t>
      </w:r>
    </w:p>
  </w:footnote>
  <w:footnote w:id="364">
    <w:p w14:paraId="5E6BB80E" w14:textId="3127DE1D" w:rsidR="002C6A94" w:rsidRDefault="002C6A94">
      <w:pPr>
        <w:pStyle w:val="FootnoteText"/>
      </w:pPr>
      <w:r>
        <w:rPr>
          <w:rStyle w:val="FootnoteReference"/>
        </w:rPr>
        <w:footnoteRef/>
      </w:r>
      <w:r>
        <w:t xml:space="preserve"> ‘Older Voices for Change’, COTA Tasmania (Web Page, 2015) &lt;</w:t>
      </w:r>
      <w:hyperlink r:id="rId86" w:history="1">
        <w:r w:rsidRPr="00574462">
          <w:rPr>
            <w:rStyle w:val="Hyperlink"/>
          </w:rPr>
          <w:t>https://cotatas.org.au/ourwork-2/elder-abuse-prevention/older-voices-for-change/</w:t>
        </w:r>
      </w:hyperlink>
      <w:r>
        <w:t>&gt;</w:t>
      </w:r>
      <w:r w:rsidR="00386678">
        <w:t xml:space="preserve">; Anthony Caggiano, </w:t>
      </w:r>
      <w:r w:rsidR="00386678" w:rsidRPr="00880104">
        <w:t>‘“</w:t>
      </w:r>
      <w:r w:rsidR="00386678">
        <w:t>I Had No Control Over Anything that I did</w:t>
      </w:r>
      <w:r w:rsidR="00B71AA1">
        <w:t>”</w:t>
      </w:r>
      <w:r w:rsidR="00386678">
        <w:t>: Survivors Speak Their Truth’</w:t>
      </w:r>
      <w:r w:rsidR="00450205">
        <w:t>,</w:t>
      </w:r>
      <w:r w:rsidRPr="0042481B">
        <w:t xml:space="preserve"> </w:t>
      </w:r>
      <w:r w:rsidRPr="00B603AC">
        <w:rPr>
          <w:i/>
          <w:iCs/>
        </w:rPr>
        <w:t>The Senior</w:t>
      </w:r>
      <w:r w:rsidR="00450205">
        <w:t xml:space="preserve"> (online, 1 August 2024, updated 2 September 2024) &lt;</w:t>
      </w:r>
      <w:r w:rsidR="00B603AC">
        <w:t xml:space="preserve">  </w:t>
      </w:r>
      <w:hyperlink r:id="rId87" w:history="1">
        <w:r w:rsidR="00B603AC" w:rsidRPr="00574462">
          <w:rPr>
            <w:rStyle w:val="Hyperlink"/>
          </w:rPr>
          <w:t>https://www.thesenior.com.au/story/8698038/coercive-control-family-abuse-older-victim-survivors-speak-out/</w:t>
        </w:r>
      </w:hyperlink>
      <w:r w:rsidR="00B603AC">
        <w:t xml:space="preserve">&gt;;  </w:t>
      </w:r>
      <w:r w:rsidRPr="0042481B">
        <w:t xml:space="preserve"> A significant national study – ‘The State of the Older Nation’ (SOTON) – was undertaken and published in 2021: </w:t>
      </w:r>
      <w:r w:rsidR="004B79A9">
        <w:t>C</w:t>
      </w:r>
      <w:r w:rsidR="00B040B7">
        <w:t xml:space="preserve">ouncil on the Ageing (‘COTA’), </w:t>
      </w:r>
      <w:r w:rsidR="00B040B7" w:rsidRPr="00B040B7">
        <w:rPr>
          <w:i/>
          <w:iCs/>
        </w:rPr>
        <w:t>State of the (Older) National 2021: A Nationally Representative Survey Prepared by the Council on the Ageing</w:t>
      </w:r>
      <w:r w:rsidR="00B040B7">
        <w:t xml:space="preserve"> (The </w:t>
      </w:r>
      <w:r w:rsidR="00B040B7" w:rsidRPr="0042481B">
        <w:t xml:space="preserve">Federation of nine Councils on the Ageing across </w:t>
      </w:r>
      <w:r w:rsidR="00B040B7">
        <w:t xml:space="preserve">Australia, June 2021). </w:t>
      </w:r>
      <w:r w:rsidRPr="0042481B">
        <w:t>This study</w:t>
      </w:r>
      <w:r w:rsidR="00B040B7">
        <w:t xml:space="preserve"> </w:t>
      </w:r>
      <w:r w:rsidRPr="0042481B">
        <w:t>was the second SOTON report, which are conducted to explore the views, life experiences and needs of Australians aged 50+. The 2021 study ‘tells a story of an older generation often experiencing ageism, who less often perceive themselves as happy, healthy, financially secure or connected to community than the previous report’</w:t>
      </w:r>
      <w:r w:rsidR="00B040B7">
        <w:rPr>
          <w:rFonts w:cs="Times New Roman"/>
          <w:sz w:val="18"/>
          <w:szCs w:val="18"/>
        </w:rPr>
        <w:t xml:space="preserve">: </w:t>
      </w:r>
      <w:r w:rsidR="00B040B7" w:rsidRPr="00B040B7">
        <w:t>at 2.</w:t>
      </w:r>
    </w:p>
  </w:footnote>
  <w:footnote w:id="365">
    <w:p w14:paraId="2D536D42" w14:textId="2715D87D" w:rsidR="00EF3D42" w:rsidRDefault="00EF3D42">
      <w:pPr>
        <w:pStyle w:val="FootnoteText"/>
      </w:pPr>
      <w:r>
        <w:rPr>
          <w:rStyle w:val="FootnoteReference"/>
        </w:rPr>
        <w:footnoteRef/>
      </w:r>
      <w:r>
        <w:t xml:space="preserve"> </w:t>
      </w:r>
      <w:r w:rsidR="008602B8">
        <w:t xml:space="preserve">‘About Us’, </w:t>
      </w:r>
      <w:r w:rsidR="008602B8" w:rsidRPr="00541EB6">
        <w:rPr>
          <w:i/>
          <w:iCs/>
        </w:rPr>
        <w:t>Advocacy Tasmania</w:t>
      </w:r>
      <w:r w:rsidR="008602B8">
        <w:t xml:space="preserve"> (Web Page) &lt;</w:t>
      </w:r>
      <w:hyperlink r:id="rId88" w:history="1">
        <w:r w:rsidR="008602B8" w:rsidRPr="00574462">
          <w:rPr>
            <w:rStyle w:val="Hyperlink"/>
          </w:rPr>
          <w:t>https://advocacytasmania.org.au/what-we-do/about-us/</w:t>
        </w:r>
      </w:hyperlink>
      <w:r w:rsidR="008602B8">
        <w:t xml:space="preserve">&gt; (‘About Us, </w:t>
      </w:r>
      <w:r w:rsidR="008602B8" w:rsidRPr="00541EB6">
        <w:rPr>
          <w:i/>
          <w:iCs/>
        </w:rPr>
        <w:t>Advocacy Tasmania</w:t>
      </w:r>
      <w:r w:rsidR="008602B8">
        <w:t xml:space="preserve">’). Advocacy Tasmania is part of the </w:t>
      </w:r>
      <w:r w:rsidR="008602B8" w:rsidRPr="009830EE">
        <w:t>Older Person’s Advocacy Network</w:t>
      </w:r>
      <w:r w:rsidR="008602B8">
        <w:t xml:space="preserve"> (‘OPAN’)</w:t>
      </w:r>
      <w:r w:rsidR="008602B8" w:rsidRPr="009830EE">
        <w:t>, a national network of nine state and territory organisations that delivers advocacy and education services, as well as free, independent and confidential support for ol</w:t>
      </w:r>
      <w:r w:rsidR="008602B8">
        <w:t>d</w:t>
      </w:r>
      <w:r w:rsidR="008602B8" w:rsidRPr="009830EE">
        <w:t>er people receiving government-funded aged care:</w:t>
      </w:r>
      <w:r w:rsidR="008602B8">
        <w:t xml:space="preserve"> Department of Health, Ageing and Disability, Australian Government, ‘Advocacy for Older People’, </w:t>
      </w:r>
      <w:r w:rsidR="008602B8" w:rsidRPr="00F479C4">
        <w:rPr>
          <w:i/>
          <w:iCs/>
        </w:rPr>
        <w:t>OPAN Older Person’s Advocacy Network</w:t>
      </w:r>
      <w:r w:rsidR="008602B8">
        <w:t xml:space="preserve"> (Web Page &lt;</w:t>
      </w:r>
      <w:hyperlink r:id="rId89" w:history="1">
        <w:r w:rsidR="00D64C95" w:rsidRPr="00752F60">
          <w:rPr>
            <w:rStyle w:val="Hyperlink"/>
          </w:rPr>
          <w:t>https://opan.org.au/</w:t>
        </w:r>
      </w:hyperlink>
      <w:r w:rsidR="008602B8">
        <w:t>&gt;.</w:t>
      </w:r>
      <w:r w:rsidR="008602B8" w:rsidRPr="009830EE">
        <w:t xml:space="preserve"> </w:t>
      </w:r>
    </w:p>
  </w:footnote>
  <w:footnote w:id="366">
    <w:p w14:paraId="1B0F6207" w14:textId="50588DEB" w:rsidR="008602B8" w:rsidRDefault="008602B8">
      <w:pPr>
        <w:pStyle w:val="FootnoteText"/>
      </w:pPr>
      <w:r>
        <w:rPr>
          <w:rStyle w:val="FootnoteReference"/>
        </w:rPr>
        <w:footnoteRef/>
      </w:r>
      <w:r>
        <w:t xml:space="preserve"> About Us, </w:t>
      </w:r>
      <w:r w:rsidRPr="00541EB6">
        <w:rPr>
          <w:i/>
          <w:iCs/>
        </w:rPr>
        <w:t>Advocacy Tasmania</w:t>
      </w:r>
      <w:r>
        <w:t xml:space="preserve"> (n 364).</w:t>
      </w:r>
    </w:p>
  </w:footnote>
  <w:footnote w:id="367">
    <w:p w14:paraId="3FC5F701" w14:textId="2CEE4FAD" w:rsidR="008602B8" w:rsidRDefault="008602B8">
      <w:pPr>
        <w:pStyle w:val="FootnoteText"/>
      </w:pPr>
      <w:r>
        <w:rPr>
          <w:rStyle w:val="FootnoteReference"/>
        </w:rPr>
        <w:footnoteRef/>
      </w:r>
      <w:r>
        <w:t xml:space="preserve"> ‘Changing Systems’, </w:t>
      </w:r>
      <w:r w:rsidRPr="00541EB6">
        <w:rPr>
          <w:i/>
          <w:iCs/>
        </w:rPr>
        <w:t>Advocacy Tasmania</w:t>
      </w:r>
      <w:r>
        <w:t xml:space="preserve"> (Web Page) &lt;</w:t>
      </w:r>
      <w:hyperlink r:id="rId90" w:history="1">
        <w:r w:rsidRPr="00574462">
          <w:rPr>
            <w:rStyle w:val="Hyperlink"/>
          </w:rPr>
          <w:t>https://advocacytasmania.org.au/what-we-do/changing-the-system/</w:t>
        </w:r>
      </w:hyperlink>
      <w:r>
        <w:t>&gt;.</w:t>
      </w:r>
    </w:p>
  </w:footnote>
  <w:footnote w:id="368">
    <w:p w14:paraId="04D910CB" w14:textId="1870438F" w:rsidR="008602B8" w:rsidRDefault="008602B8">
      <w:pPr>
        <w:pStyle w:val="FootnoteText"/>
      </w:pPr>
      <w:r>
        <w:rPr>
          <w:rStyle w:val="FootnoteReference"/>
        </w:rPr>
        <w:footnoteRef/>
      </w:r>
      <w:r>
        <w:t xml:space="preserve"> </w:t>
      </w:r>
      <w:r w:rsidRPr="0042481B">
        <w:t>Migrant Resource Centre</w:t>
      </w:r>
      <w:r>
        <w:t xml:space="preserve"> Tasmania, </w:t>
      </w:r>
      <w:r w:rsidRPr="008602B8">
        <w:rPr>
          <w:i/>
          <w:iCs/>
        </w:rPr>
        <w:t>Annual Report 2023–24</w:t>
      </w:r>
      <w:r w:rsidRPr="0042481B">
        <w:t xml:space="preserve"> </w:t>
      </w:r>
      <w:r>
        <w:t>(Report, 2024) &lt;</w:t>
      </w:r>
      <w:hyperlink r:id="rId91" w:anchor="annual" w:history="1">
        <w:r w:rsidRPr="00574462">
          <w:rPr>
            <w:rStyle w:val="Hyperlink"/>
          </w:rPr>
          <w:t>https://mrctas.org.au/publications/#annual</w:t>
        </w:r>
      </w:hyperlink>
      <w:r>
        <w:t>&gt;</w:t>
      </w:r>
      <w:r w:rsidRPr="0042481B">
        <w:t xml:space="preserve"> 28.</w:t>
      </w:r>
    </w:p>
  </w:footnote>
  <w:footnote w:id="369">
    <w:p w14:paraId="296D5703" w14:textId="2AADED6F" w:rsidR="008602B8" w:rsidRDefault="008602B8">
      <w:pPr>
        <w:pStyle w:val="FootnoteText"/>
      </w:pPr>
      <w:r>
        <w:rPr>
          <w:rStyle w:val="FootnoteReference"/>
        </w:rPr>
        <w:footnoteRef/>
      </w:r>
      <w:r>
        <w:t xml:space="preserve"> </w:t>
      </w:r>
      <w:r w:rsidRPr="003C4B61">
        <w:t xml:space="preserve">The relevant laws under the current </w:t>
      </w:r>
      <w:r w:rsidRPr="0042481B">
        <w:t>legal</w:t>
      </w:r>
      <w:r w:rsidRPr="003C4B61">
        <w:t xml:space="preserve"> framework in Tasmania and current safeguards aimed at preventing and responding to abuse regarding these matters are summarised at </w:t>
      </w:r>
      <w:r w:rsidR="00AD17E9">
        <w:t>[3.3]</w:t>
      </w:r>
      <w:r w:rsidRPr="003C4B61">
        <w:t>.</w:t>
      </w:r>
    </w:p>
  </w:footnote>
  <w:footnote w:id="370">
    <w:p w14:paraId="1AC6FD89" w14:textId="3089CB1C" w:rsidR="00AD17E9" w:rsidRPr="00540127" w:rsidRDefault="00AD17E9">
      <w:pPr>
        <w:pStyle w:val="FootnoteText"/>
      </w:pPr>
      <w:r>
        <w:rPr>
          <w:rStyle w:val="FootnoteReference"/>
        </w:rPr>
        <w:footnoteRef/>
      </w:r>
      <w:r>
        <w:t xml:space="preserve"> ‘Senior Assist’, </w:t>
      </w:r>
      <w:r w:rsidRPr="002F1BB4">
        <w:rPr>
          <w:i/>
          <w:iCs/>
        </w:rPr>
        <w:t>Tasmania Legal Aid</w:t>
      </w:r>
      <w:r>
        <w:t xml:space="preserve"> (Web Page) &lt;</w:t>
      </w:r>
      <w:hyperlink r:id="rId92" w:history="1">
        <w:r w:rsidR="002F1BB4" w:rsidRPr="00574462">
          <w:rPr>
            <w:rStyle w:val="Hyperlink"/>
          </w:rPr>
          <w:t>https://www.legalaid.tas.gov.au/senior-assist/</w:t>
        </w:r>
      </w:hyperlink>
      <w:r w:rsidR="002F1BB4">
        <w:t>&gt;</w:t>
      </w:r>
      <w:r w:rsidR="00540127">
        <w:t xml:space="preserve"> (‘Senior Assist’, </w:t>
      </w:r>
      <w:r w:rsidR="00540127" w:rsidRPr="002F1BB4">
        <w:rPr>
          <w:i/>
          <w:iCs/>
        </w:rPr>
        <w:t>Tasmania Legal Aid</w:t>
      </w:r>
      <w:r w:rsidR="00540127">
        <w:rPr>
          <w:i/>
          <w:iCs/>
        </w:rPr>
        <w:t>’</w:t>
      </w:r>
      <w:r w:rsidR="00540127">
        <w:t>)</w:t>
      </w:r>
      <w:r w:rsidR="00AF0684">
        <w:t>.</w:t>
      </w:r>
    </w:p>
  </w:footnote>
  <w:footnote w:id="371">
    <w:p w14:paraId="2ECAA939" w14:textId="61F05D61" w:rsidR="00A902CC" w:rsidRDefault="00A902CC">
      <w:pPr>
        <w:pStyle w:val="FootnoteText"/>
      </w:pPr>
      <w:r>
        <w:rPr>
          <w:rStyle w:val="FootnoteReference"/>
        </w:rPr>
        <w:footnoteRef/>
      </w:r>
      <w:r>
        <w:t xml:space="preserve"> </w:t>
      </w:r>
      <w:r w:rsidRPr="003C4B61">
        <w:t xml:space="preserve">Tasmania Legal Aid, </w:t>
      </w:r>
      <w:r w:rsidRPr="00FD5A7B">
        <w:rPr>
          <w:i/>
          <w:iCs/>
        </w:rPr>
        <w:t>Everyone Deserves Respect</w:t>
      </w:r>
      <w:r>
        <w:t xml:space="preserve"> (</w:t>
      </w:r>
      <w:r w:rsidRPr="003C4B61">
        <w:t xml:space="preserve">A </w:t>
      </w:r>
      <w:r>
        <w:t>Guide for Seniors by the Senior Assist Elder Abuse Prevention Unit) &lt;</w:t>
      </w:r>
      <w:hyperlink r:id="rId93" w:history="1">
        <w:r w:rsidRPr="00574462">
          <w:rPr>
            <w:rStyle w:val="Hyperlink"/>
          </w:rPr>
          <w:t>https://www.legalaid.tas.gov.au/senior-assist/</w:t>
        </w:r>
      </w:hyperlink>
      <w:r>
        <w:t xml:space="preserve">&gt; </w:t>
      </w:r>
      <w:r w:rsidRPr="003C4B61">
        <w:t>5</w:t>
      </w:r>
      <w:r>
        <w:t>–</w:t>
      </w:r>
      <w:r w:rsidRPr="003C4B61">
        <w:t>7.</w:t>
      </w:r>
    </w:p>
  </w:footnote>
  <w:footnote w:id="372">
    <w:p w14:paraId="7E689710" w14:textId="35A73796" w:rsidR="00B62FCB" w:rsidRDefault="00B62FCB">
      <w:pPr>
        <w:pStyle w:val="FootnoteText"/>
      </w:pPr>
      <w:r>
        <w:rPr>
          <w:rStyle w:val="FootnoteReference"/>
        </w:rPr>
        <w:footnoteRef/>
      </w:r>
      <w:r>
        <w:t xml:space="preserve"> Senior Assist, </w:t>
      </w:r>
      <w:r w:rsidRPr="002F1BB4">
        <w:rPr>
          <w:i/>
          <w:iCs/>
        </w:rPr>
        <w:t>Tasmania Legal Aid</w:t>
      </w:r>
      <w:r w:rsidRPr="002F1BB4">
        <w:t xml:space="preserve"> (n 369).</w:t>
      </w:r>
    </w:p>
  </w:footnote>
  <w:footnote w:id="373">
    <w:p w14:paraId="3324B655" w14:textId="03AE65E1" w:rsidR="00B62FCB" w:rsidRPr="00B62FCB" w:rsidRDefault="00B62FCB">
      <w:pPr>
        <w:pStyle w:val="FootnoteText"/>
        <w:rPr>
          <w:rFonts w:cs="Times New Roman"/>
          <w:sz w:val="18"/>
          <w:szCs w:val="18"/>
        </w:rPr>
      </w:pPr>
      <w:r>
        <w:rPr>
          <w:rStyle w:val="FootnoteReference"/>
        </w:rPr>
        <w:footnoteRef/>
      </w:r>
      <w:r>
        <w:t xml:space="preserve"> T</w:t>
      </w:r>
      <w:r w:rsidRPr="006F2DE6">
        <w:t xml:space="preserve">he </w:t>
      </w:r>
      <w:r>
        <w:t xml:space="preserve">clinic runs in Hobart on the </w:t>
      </w:r>
      <w:r w:rsidRPr="006F2DE6">
        <w:t>first Wednesday of every month (except January) and in Launceston on the first Thursday of every month (except January</w:t>
      </w:r>
      <w:r>
        <w:t xml:space="preserve">): ‘Legal Aid Clinics at COTA Tasmania’, </w:t>
      </w:r>
      <w:r w:rsidRPr="00D96AF2">
        <w:rPr>
          <w:i/>
          <w:iCs/>
        </w:rPr>
        <w:t>COTA Tasmania</w:t>
      </w:r>
      <w:r>
        <w:t xml:space="preserve">  (Web Page, 2025) &lt;</w:t>
      </w:r>
      <w:hyperlink r:id="rId94" w:history="1">
        <w:r w:rsidRPr="00574462">
          <w:rPr>
            <w:rStyle w:val="Hyperlink"/>
          </w:rPr>
          <w:t>https://cotatas.org.au/information/getting-help/free-legal-advice-for-older-tasmanians/</w:t>
        </w:r>
      </w:hyperlink>
      <w:r>
        <w:t>&gt;.</w:t>
      </w:r>
    </w:p>
  </w:footnote>
  <w:footnote w:id="374">
    <w:p w14:paraId="611D12EE" w14:textId="5475023F" w:rsidR="002F128F" w:rsidRDefault="002F128F">
      <w:pPr>
        <w:pStyle w:val="FootnoteText"/>
      </w:pPr>
      <w:r>
        <w:rPr>
          <w:rStyle w:val="FootnoteReference"/>
        </w:rPr>
        <w:footnoteRef/>
      </w:r>
      <w:r>
        <w:t xml:space="preserve"> </w:t>
      </w:r>
      <w:r w:rsidR="00556DAA" w:rsidRPr="00556DAA">
        <w:t xml:space="preserve">‘Programs’, </w:t>
      </w:r>
      <w:r w:rsidR="00556DAA" w:rsidRPr="0083607B">
        <w:rPr>
          <w:i/>
          <w:iCs/>
        </w:rPr>
        <w:t>Karadi Aboriginal Corporation Tasmania</w:t>
      </w:r>
      <w:r w:rsidR="00556DAA" w:rsidRPr="00556DAA">
        <w:t xml:space="preserve"> (Web Page) &lt;</w:t>
      </w:r>
      <w:hyperlink r:id="rId95" w:history="1">
        <w:r w:rsidR="00556DAA" w:rsidRPr="00574462">
          <w:rPr>
            <w:rStyle w:val="Hyperlink"/>
          </w:rPr>
          <w:t>http://www.karadi.org.au/programs/</w:t>
        </w:r>
      </w:hyperlink>
      <w:r w:rsidR="00556DAA" w:rsidRPr="00556DAA">
        <w:t xml:space="preserve">&gt;; ‘About Us’, </w:t>
      </w:r>
      <w:r w:rsidR="00556DAA" w:rsidRPr="0083607B">
        <w:rPr>
          <w:i/>
          <w:iCs/>
        </w:rPr>
        <w:t>WIO Working It Out</w:t>
      </w:r>
      <w:r w:rsidR="00556DAA" w:rsidRPr="00556DAA">
        <w:t xml:space="preserve"> (Web Page) &lt;</w:t>
      </w:r>
      <w:hyperlink r:id="rId96" w:history="1">
        <w:r w:rsidR="00556DAA" w:rsidRPr="00574462">
          <w:rPr>
            <w:rStyle w:val="Hyperlink"/>
          </w:rPr>
          <w:t>https://www.workingitout.org.au/about-us/</w:t>
        </w:r>
      </w:hyperlink>
      <w:r w:rsidR="00556DAA" w:rsidRPr="00556DAA">
        <w:t xml:space="preserve">&gt;. </w:t>
      </w:r>
      <w:r w:rsidR="003C14C1" w:rsidRPr="00BE543E">
        <w:t>LGBTIQA+</w:t>
      </w:r>
      <w:r w:rsidR="003C14C1">
        <w:t xml:space="preserve"> </w:t>
      </w:r>
      <w:r w:rsidR="003C14C1" w:rsidRPr="003C4B61">
        <w:t xml:space="preserve">is </w:t>
      </w:r>
      <w:r w:rsidR="003C14C1" w:rsidRPr="00986B00">
        <w:t>an</w:t>
      </w:r>
      <w:r w:rsidR="003C14C1" w:rsidRPr="003C4B61">
        <w:t xml:space="preserve"> acronym for lesbian, gay, bisexual, transgender, </w:t>
      </w:r>
      <w:r w:rsidR="003C14C1">
        <w:t xml:space="preserve">intersex, </w:t>
      </w:r>
      <w:r w:rsidR="003C14C1" w:rsidRPr="003C4B61">
        <w:t>queer</w:t>
      </w:r>
      <w:r w:rsidR="003C14C1">
        <w:t>/questioning</w:t>
      </w:r>
      <w:r w:rsidR="003C14C1" w:rsidRPr="003C4B61">
        <w:t xml:space="preserve">, intersex, asexual, </w:t>
      </w:r>
      <w:r w:rsidR="003C14C1">
        <w:t xml:space="preserve">or people otherwise diverse in gender, sexual orientation and/or innate variations of sex characteristics, </w:t>
      </w:r>
      <w:r w:rsidR="003C14C1" w:rsidRPr="003C4B61">
        <w:t>with the + signifying anyone who is not listed in the acronym but still identifies as part of this community</w:t>
      </w:r>
      <w:r w:rsidR="003C14C1">
        <w:t>: see further n 46.</w:t>
      </w:r>
    </w:p>
  </w:footnote>
  <w:footnote w:id="375">
    <w:p w14:paraId="5072E309" w14:textId="1A47EB97" w:rsidR="00CC4ACE" w:rsidRDefault="00CC4ACE">
      <w:pPr>
        <w:pStyle w:val="FootnoteText"/>
      </w:pPr>
      <w:r>
        <w:rPr>
          <w:rStyle w:val="FootnoteReference"/>
        </w:rPr>
        <w:footnoteRef/>
      </w:r>
      <w:r>
        <w:t xml:space="preserve"> See further </w:t>
      </w:r>
      <w:r w:rsidR="00D716D2" w:rsidRPr="00C36293">
        <w:rPr>
          <w:b/>
          <w:bCs/>
        </w:rPr>
        <w:t>Part 3</w:t>
      </w:r>
      <w:r w:rsidR="00D716D2">
        <w:t xml:space="preserve"> (</w:t>
      </w:r>
      <w:r w:rsidR="00355123">
        <w:t>Table 3</w:t>
      </w:r>
      <w:r w:rsidR="003200B1">
        <w:t>.</w:t>
      </w:r>
      <w:r w:rsidR="00355123">
        <w:t>1</w:t>
      </w:r>
      <w:r w:rsidR="00556DAA">
        <w:t xml:space="preserve">) </w:t>
      </w:r>
      <w:r w:rsidR="00D716D2">
        <w:t>and [3.3.8]–[</w:t>
      </w:r>
      <w:r w:rsidR="003200B1">
        <w:t>3.3.10].</w:t>
      </w:r>
      <w:r w:rsidR="00355123">
        <w:t xml:space="preserve"> </w:t>
      </w:r>
    </w:p>
  </w:footnote>
  <w:footnote w:id="376">
    <w:p w14:paraId="76E0982F" w14:textId="26D4452E" w:rsidR="00D64C95" w:rsidRDefault="00D64C95">
      <w:pPr>
        <w:pStyle w:val="FootnoteText"/>
      </w:pPr>
      <w:r>
        <w:rPr>
          <w:rStyle w:val="FootnoteReference"/>
        </w:rPr>
        <w:footnoteRef/>
      </w:r>
      <w:r>
        <w:t xml:space="preserve"> </w:t>
      </w:r>
      <w:r w:rsidRPr="003C4B61">
        <w:t>Interview</w:t>
      </w:r>
      <w:r>
        <w:t>s</w:t>
      </w:r>
      <w:r w:rsidRPr="003C4B61">
        <w:t xml:space="preserve"> 21</w:t>
      </w:r>
      <w:r>
        <w:t>, 9, 18, 10, 19, 14, 17, 6, 22, 23</w:t>
      </w:r>
      <w:r w:rsidR="002F0BE0">
        <w:t>, 4</w:t>
      </w:r>
      <w:r w:rsidR="003A7BB8">
        <w:t>, 5</w:t>
      </w:r>
      <w:r>
        <w:t>.</w:t>
      </w:r>
    </w:p>
  </w:footnote>
  <w:footnote w:id="377">
    <w:p w14:paraId="2C9EACCD" w14:textId="0275E8D9" w:rsidR="0099409E" w:rsidRDefault="0099409E">
      <w:pPr>
        <w:pStyle w:val="FootnoteText"/>
      </w:pPr>
      <w:r>
        <w:rPr>
          <w:rStyle w:val="FootnoteReference"/>
        </w:rPr>
        <w:footnoteRef/>
      </w:r>
      <w:r>
        <w:t xml:space="preserve"> See discussion </w:t>
      </w:r>
      <w:r w:rsidRPr="0042481B">
        <w:t>at</w:t>
      </w:r>
      <w:r>
        <w:t xml:space="preserve"> </w:t>
      </w:r>
      <w:r w:rsidR="00157ED2">
        <w:t>[4.2], [4.3] and [4.5.1] – [4.5.7]</w:t>
      </w:r>
      <w:r>
        <w:t>.</w:t>
      </w:r>
    </w:p>
  </w:footnote>
  <w:footnote w:id="378">
    <w:p w14:paraId="39A2BB6D" w14:textId="4ACA1E9F" w:rsidR="0099409E" w:rsidRDefault="0099409E">
      <w:pPr>
        <w:pStyle w:val="FootnoteText"/>
      </w:pPr>
      <w:r>
        <w:rPr>
          <w:rStyle w:val="FootnoteReference"/>
        </w:rPr>
        <w:footnoteRef/>
      </w:r>
      <w:r>
        <w:t xml:space="preserve"> </w:t>
      </w:r>
      <w:r w:rsidR="003210B3">
        <w:t xml:space="preserve">ALRC, </w:t>
      </w:r>
      <w:r w:rsidR="003210B3" w:rsidRPr="003210B3">
        <w:rPr>
          <w:i/>
          <w:iCs/>
        </w:rPr>
        <w:t>Elder Abuse</w:t>
      </w:r>
      <w:r w:rsidR="002630DF">
        <w:t xml:space="preserve"> (n 6)</w:t>
      </w:r>
      <w:r w:rsidR="00461A70">
        <w:t xml:space="preserve"> 375</w:t>
      </w:r>
      <w:r w:rsidR="00696847">
        <w:t xml:space="preserve">–417, Recommendations </w:t>
      </w:r>
      <w:r w:rsidR="003E3D02">
        <w:t>14-1</w:t>
      </w:r>
      <w:r w:rsidR="006C1F0E">
        <w:t>–1</w:t>
      </w:r>
      <w:r w:rsidR="003E3D02">
        <w:t>4-8</w:t>
      </w:r>
      <w:r w:rsidRPr="003C4B61">
        <w:t>.</w:t>
      </w:r>
    </w:p>
  </w:footnote>
  <w:footnote w:id="379">
    <w:p w14:paraId="240B5C74" w14:textId="7E69F7D1" w:rsidR="001800EF" w:rsidRDefault="001800EF">
      <w:pPr>
        <w:pStyle w:val="FootnoteText"/>
      </w:pPr>
      <w:r>
        <w:rPr>
          <w:rStyle w:val="FootnoteReference"/>
        </w:rPr>
        <w:footnoteRef/>
      </w:r>
      <w:r>
        <w:t xml:space="preserve"> </w:t>
      </w:r>
      <w:r w:rsidRPr="00440E05">
        <w:t>Separate reports focusing on the north and south of Tasmania, as well as a summary report of findings across both</w:t>
      </w:r>
      <w:r>
        <w:t xml:space="preserve">: </w:t>
      </w:r>
      <w:r w:rsidRPr="00D715B3">
        <w:rPr>
          <w:rFonts w:cs="Times New Roman"/>
        </w:rPr>
        <w:t xml:space="preserve">Lawrence, Banks and Henning, </w:t>
      </w:r>
      <w:r w:rsidRPr="00D715B3">
        <w:rPr>
          <w:rFonts w:cs="Times New Roman"/>
          <w:i/>
          <w:iCs/>
        </w:rPr>
        <w:t>SAPEA: Summary</w:t>
      </w:r>
      <w:r w:rsidRPr="00D715B3">
        <w:rPr>
          <w:rFonts w:cs="Times New Roman"/>
        </w:rPr>
        <w:t xml:space="preserve"> (n 4)</w:t>
      </w:r>
      <w:r>
        <w:t xml:space="preserve">; </w:t>
      </w:r>
      <w:r w:rsidRPr="00D715B3">
        <w:rPr>
          <w:rFonts w:cs="Times New Roman"/>
        </w:rPr>
        <w:t xml:space="preserve">Lawrence, Banks, Mosenthal and Henning, </w:t>
      </w:r>
      <w:r w:rsidRPr="00D715B3">
        <w:rPr>
          <w:rFonts w:cs="Times New Roman"/>
          <w:i/>
          <w:iCs/>
        </w:rPr>
        <w:t xml:space="preserve">SAPEA_North </w:t>
      </w:r>
      <w:r w:rsidRPr="00D715B3">
        <w:rPr>
          <w:rFonts w:cs="Times New Roman"/>
        </w:rPr>
        <w:t>(n 4)</w:t>
      </w:r>
      <w:r>
        <w:rPr>
          <w:rFonts w:cs="Times New Roman"/>
        </w:rPr>
        <w:t xml:space="preserve">; </w:t>
      </w:r>
      <w:r w:rsidRPr="00D715B3">
        <w:rPr>
          <w:rFonts w:cs="Times New Roman"/>
        </w:rPr>
        <w:t xml:space="preserve">Lawrence, Banks, Mosenthal and Henning, </w:t>
      </w:r>
      <w:r w:rsidRPr="00D715B3">
        <w:rPr>
          <w:rFonts w:cs="Times New Roman"/>
          <w:i/>
          <w:iCs/>
        </w:rPr>
        <w:t xml:space="preserve">SAPEA_South </w:t>
      </w:r>
      <w:r w:rsidRPr="00D715B3">
        <w:rPr>
          <w:rFonts w:cs="Times New Roman"/>
        </w:rPr>
        <w:t>(n 4)</w:t>
      </w:r>
      <w:r>
        <w:rPr>
          <w:rFonts w:cs="Times New Roman"/>
        </w:rPr>
        <w:t>.</w:t>
      </w:r>
    </w:p>
  </w:footnote>
  <w:footnote w:id="380">
    <w:p w14:paraId="7F9AA6BE" w14:textId="71FCDE8C" w:rsidR="006C487B" w:rsidRDefault="006C487B">
      <w:pPr>
        <w:pStyle w:val="FootnoteText"/>
      </w:pPr>
      <w:r>
        <w:rPr>
          <w:rStyle w:val="FootnoteReference"/>
        </w:rPr>
        <w:footnoteRef/>
      </w:r>
      <w:r>
        <w:t xml:space="preserve"> </w:t>
      </w:r>
      <w:r w:rsidRPr="00D715B3">
        <w:rPr>
          <w:rFonts w:eastAsia="Aptos" w:cs="Times New Roman"/>
        </w:rPr>
        <w:t>Symposium on Elder Abuse and Neglect (n 4)</w:t>
      </w:r>
      <w:r>
        <w:rPr>
          <w:rFonts w:eastAsia="Aptos" w:cs="Times New Roman"/>
        </w:rPr>
        <w:t xml:space="preserve"> </w:t>
      </w:r>
      <w:r w:rsidRPr="0042481B">
        <w:t>Recommendation</w:t>
      </w:r>
      <w:r w:rsidRPr="003C4B61">
        <w:t xml:space="preserve"> 5</w:t>
      </w:r>
      <w:r>
        <w:t>.</w:t>
      </w:r>
    </w:p>
  </w:footnote>
  <w:footnote w:id="381">
    <w:p w14:paraId="5A9DB356" w14:textId="2BE3CA12" w:rsidR="006C487B" w:rsidRDefault="006C487B">
      <w:pPr>
        <w:pStyle w:val="FootnoteText"/>
      </w:pPr>
      <w:r>
        <w:rPr>
          <w:rStyle w:val="FootnoteReference"/>
        </w:rPr>
        <w:footnoteRef/>
      </w:r>
      <w:r>
        <w:t xml:space="preserve"> </w:t>
      </w:r>
      <w:r w:rsidRPr="003C4B61">
        <w:t>T</w:t>
      </w:r>
      <w:r>
        <w:t>asmania Law Reform Institute</w:t>
      </w:r>
      <w:r w:rsidR="00DA42D4">
        <w:t xml:space="preserve"> (‘TLRI’)</w:t>
      </w:r>
      <w:r>
        <w:t>,</w:t>
      </w:r>
      <w:r w:rsidRPr="006C487B">
        <w:t xml:space="preserve"> </w:t>
      </w:r>
      <w:r w:rsidRPr="006C487B">
        <w:rPr>
          <w:i/>
          <w:iCs/>
        </w:rPr>
        <w:t>Review of the Guardianship and Administration Act 1995 (Tas)</w:t>
      </w:r>
      <w:r>
        <w:t xml:space="preserve"> (Final Report No 26, December 2018) </w:t>
      </w:r>
      <w:r w:rsidR="00DA42D4">
        <w:t xml:space="preserve">(‘TLRI, </w:t>
      </w:r>
      <w:r w:rsidR="00DA42D4" w:rsidRPr="006C487B">
        <w:rPr>
          <w:i/>
          <w:iCs/>
        </w:rPr>
        <w:t xml:space="preserve">Review of the Guardianship and Administration </w:t>
      </w:r>
      <w:r w:rsidR="00DA42D4" w:rsidRPr="00DA42D4">
        <w:t>Act</w:t>
      </w:r>
      <w:r w:rsidR="00DA42D4">
        <w:t xml:space="preserve">’) </w:t>
      </w:r>
      <w:r w:rsidRPr="00DA42D4">
        <w:t>259</w:t>
      </w:r>
      <w:r w:rsidRPr="003C4B61">
        <w:t xml:space="preserve"> </w:t>
      </w:r>
      <w:r>
        <w:t>R</w:t>
      </w:r>
      <w:r w:rsidRPr="0042481B">
        <w:t>ecommendation</w:t>
      </w:r>
      <w:r w:rsidRPr="003C4B61">
        <w:t xml:space="preserve"> 12.28.</w:t>
      </w:r>
    </w:p>
  </w:footnote>
  <w:footnote w:id="382">
    <w:p w14:paraId="76C6C3D5" w14:textId="277A241C" w:rsidR="006C487B" w:rsidRDefault="006C487B">
      <w:pPr>
        <w:pStyle w:val="FootnoteText"/>
      </w:pPr>
      <w:r>
        <w:rPr>
          <w:rStyle w:val="FootnoteReference"/>
        </w:rPr>
        <w:footnoteRef/>
      </w:r>
      <w:r>
        <w:t xml:space="preserve"> </w:t>
      </w:r>
      <w:r w:rsidRPr="003C4B61">
        <w:t>Interview</w:t>
      </w:r>
      <w:r>
        <w:t>s</w:t>
      </w:r>
      <w:r w:rsidRPr="003C4B61">
        <w:t xml:space="preserve"> 10</w:t>
      </w:r>
      <w:r>
        <w:t>,</w:t>
      </w:r>
      <w:r w:rsidRPr="003C4B61">
        <w:t xml:space="preserve"> 6. See </w:t>
      </w:r>
      <w:r w:rsidR="00383DB9">
        <w:t>[4.3.6]</w:t>
      </w:r>
      <w:r w:rsidRPr="003C4B61">
        <w:t>.</w:t>
      </w:r>
    </w:p>
  </w:footnote>
  <w:footnote w:id="383">
    <w:p w14:paraId="1903ADAD" w14:textId="49394A11" w:rsidR="006C487B" w:rsidRDefault="006C487B">
      <w:pPr>
        <w:pStyle w:val="FootnoteText"/>
      </w:pPr>
      <w:r>
        <w:rPr>
          <w:rStyle w:val="FootnoteReference"/>
        </w:rPr>
        <w:footnoteRef/>
      </w:r>
      <w:r>
        <w:t xml:space="preserve"> </w:t>
      </w:r>
      <w:r w:rsidR="003210B3">
        <w:t xml:space="preserve">ALRC, </w:t>
      </w:r>
      <w:r w:rsidR="003210B3" w:rsidRPr="003210B3">
        <w:rPr>
          <w:i/>
          <w:iCs/>
        </w:rPr>
        <w:t>Elder Abuse</w:t>
      </w:r>
      <w:r>
        <w:t xml:space="preserve"> (n 6)</w:t>
      </w:r>
      <w:r w:rsidR="001538F4">
        <w:t xml:space="preserve"> 382–4 [13.33]–[14.40</w:t>
      </w:r>
      <w:r w:rsidR="001538F4" w:rsidRPr="001538F4">
        <w:t>], citing other reviews and reports in Australian states and territories.</w:t>
      </w:r>
    </w:p>
  </w:footnote>
  <w:footnote w:id="384">
    <w:p w14:paraId="29612569" w14:textId="2C333437" w:rsidR="00A47FC2" w:rsidRPr="009E407A" w:rsidRDefault="00A47FC2" w:rsidP="0042481B">
      <w:pPr>
        <w:pStyle w:val="FootnoteText"/>
      </w:pPr>
      <w:r w:rsidRPr="00BA7DB8">
        <w:rPr>
          <w:rStyle w:val="FootnoteReference"/>
        </w:rPr>
        <w:footnoteRef/>
      </w:r>
      <w:r w:rsidRPr="00BA7DB8">
        <w:t xml:space="preserve"> </w:t>
      </w:r>
      <w:r w:rsidR="00C91F4B" w:rsidRPr="00BA7DB8">
        <w:t xml:space="preserve">This was also </w:t>
      </w:r>
      <w:r w:rsidR="00C91F4B" w:rsidRPr="0042481B">
        <w:t>recommended</w:t>
      </w:r>
      <w:r w:rsidR="00C91F4B" w:rsidRPr="00BA7DB8">
        <w:t xml:space="preserve"> by the </w:t>
      </w:r>
      <w:r w:rsidR="00E1786E" w:rsidRPr="00885C68">
        <w:rPr>
          <w:i/>
          <w:iCs/>
        </w:rPr>
        <w:t>Royal Commission into</w:t>
      </w:r>
      <w:r w:rsidR="00E1786E" w:rsidRPr="00BA7DB8">
        <w:t xml:space="preserve"> </w:t>
      </w:r>
      <w:r w:rsidR="00E1786E" w:rsidRPr="006211EA">
        <w:rPr>
          <w:i/>
          <w:iCs/>
        </w:rPr>
        <w:t>Violence, Abuse</w:t>
      </w:r>
      <w:r w:rsidR="006211EA" w:rsidRPr="006211EA">
        <w:rPr>
          <w:i/>
          <w:iCs/>
        </w:rPr>
        <w:t>,</w:t>
      </w:r>
      <w:r w:rsidR="00E1786E" w:rsidRPr="006211EA">
        <w:rPr>
          <w:i/>
          <w:iCs/>
        </w:rPr>
        <w:t xml:space="preserve"> Neglect and Exploitation of People with Disability</w:t>
      </w:r>
      <w:r w:rsidR="00885C68">
        <w:t xml:space="preserve">: see </w:t>
      </w:r>
      <w:r w:rsidR="00885C68" w:rsidRPr="00885C68">
        <w:rPr>
          <w:i/>
          <w:iCs/>
        </w:rPr>
        <w:t>Royal Commission into</w:t>
      </w:r>
      <w:r w:rsidR="00885C68" w:rsidRPr="00BA7DB8">
        <w:t xml:space="preserve"> </w:t>
      </w:r>
      <w:r w:rsidR="00885C68" w:rsidRPr="006211EA">
        <w:rPr>
          <w:i/>
          <w:iCs/>
        </w:rPr>
        <w:t>Violence, Abuse, Neglect and Exploitation of People with Disability</w:t>
      </w:r>
      <w:r w:rsidR="00885C68">
        <w:t xml:space="preserve"> (</w:t>
      </w:r>
      <w:r w:rsidR="00FB67E4">
        <w:t>n 296</w:t>
      </w:r>
      <w:r w:rsidR="00885C68">
        <w:t>)</w:t>
      </w:r>
      <w:r w:rsidR="00774C42" w:rsidRPr="00885C68">
        <w:t xml:space="preserve"> </w:t>
      </w:r>
      <w:r w:rsidR="00780930">
        <w:t>vol</w:t>
      </w:r>
      <w:r w:rsidR="00037C01">
        <w:t xml:space="preserve"> 11 </w:t>
      </w:r>
      <w:r w:rsidR="009E407A" w:rsidRPr="00885C68">
        <w:t>[1</w:t>
      </w:r>
      <w:r w:rsidR="00B1723D" w:rsidRPr="00885C68">
        <w:t>.5</w:t>
      </w:r>
      <w:r w:rsidR="00B1723D" w:rsidRPr="00BA7DB8">
        <w:t>] Recommendation 11.1.</w:t>
      </w:r>
    </w:p>
  </w:footnote>
  <w:footnote w:id="385">
    <w:p w14:paraId="064D5BD7" w14:textId="25D4E7FD" w:rsidR="00885C68" w:rsidRDefault="00885C68">
      <w:pPr>
        <w:pStyle w:val="FootnoteText"/>
      </w:pPr>
      <w:r>
        <w:rPr>
          <w:rStyle w:val="FootnoteReference"/>
        </w:rPr>
        <w:footnoteRef/>
      </w:r>
      <w:r>
        <w:t xml:space="preserve"> </w:t>
      </w:r>
      <w:r w:rsidR="003210B3">
        <w:t xml:space="preserve">ALRC, </w:t>
      </w:r>
      <w:r w:rsidR="003210B3" w:rsidRPr="003210B3">
        <w:rPr>
          <w:i/>
          <w:iCs/>
        </w:rPr>
        <w:t>Elder Abuse</w:t>
      </w:r>
      <w:r>
        <w:t xml:space="preserve"> (n 6) </w:t>
      </w:r>
      <w:r w:rsidRPr="003C4B61">
        <w:t>377–86, Recommendation 14.1</w:t>
      </w:r>
    </w:p>
  </w:footnote>
  <w:footnote w:id="386">
    <w:p w14:paraId="7FC52CB8" w14:textId="05D6ABCB" w:rsidR="00885C68" w:rsidRDefault="00885C68">
      <w:pPr>
        <w:pStyle w:val="FootnoteText"/>
      </w:pPr>
      <w:r>
        <w:rPr>
          <w:rStyle w:val="FootnoteReference"/>
        </w:rPr>
        <w:footnoteRef/>
      </w:r>
      <w:r>
        <w:t xml:space="preserve"> Ibid </w:t>
      </w:r>
      <w:r w:rsidRPr="003C4B61">
        <w:t>386–7, Recommendation 14.2.</w:t>
      </w:r>
    </w:p>
  </w:footnote>
  <w:footnote w:id="387">
    <w:p w14:paraId="0B81D649" w14:textId="3E2F6A4B" w:rsidR="00383DB9" w:rsidRDefault="00383DB9">
      <w:pPr>
        <w:pStyle w:val="FootnoteText"/>
      </w:pPr>
      <w:r>
        <w:rPr>
          <w:rStyle w:val="FootnoteReference"/>
        </w:rPr>
        <w:footnoteRef/>
      </w:r>
      <w:r>
        <w:t xml:space="preserve"> Ibid</w:t>
      </w:r>
      <w:r w:rsidRPr="003C4B61">
        <w:t xml:space="preserve"> 387–92, Recommendation 14.3</w:t>
      </w:r>
    </w:p>
  </w:footnote>
  <w:footnote w:id="388">
    <w:p w14:paraId="33A33F5E" w14:textId="73245063" w:rsidR="00383DB9" w:rsidRDefault="00383DB9">
      <w:pPr>
        <w:pStyle w:val="FootnoteText"/>
      </w:pPr>
      <w:r>
        <w:rPr>
          <w:rStyle w:val="FootnoteReference"/>
        </w:rPr>
        <w:footnoteRef/>
      </w:r>
      <w:r>
        <w:t xml:space="preserve"> Ibid</w:t>
      </w:r>
      <w:r w:rsidRPr="003C4B61">
        <w:t xml:space="preserve"> 392–402, Recommendation 14.4.</w:t>
      </w:r>
    </w:p>
  </w:footnote>
  <w:footnote w:id="389">
    <w:p w14:paraId="0E70F7F3" w14:textId="08503986" w:rsidR="00383DB9" w:rsidRDefault="00383DB9">
      <w:pPr>
        <w:pStyle w:val="FootnoteText"/>
      </w:pPr>
      <w:r>
        <w:rPr>
          <w:rStyle w:val="FootnoteReference"/>
        </w:rPr>
        <w:footnoteRef/>
      </w:r>
      <w:r>
        <w:t xml:space="preserve"> </w:t>
      </w:r>
      <w:r w:rsidR="00511C52">
        <w:t xml:space="preserve">Ibid </w:t>
      </w:r>
      <w:r w:rsidRPr="003C4B61">
        <w:t>402–7, Recommendation 14.5.</w:t>
      </w:r>
    </w:p>
  </w:footnote>
  <w:footnote w:id="390">
    <w:p w14:paraId="58040A3A" w14:textId="4209027F" w:rsidR="00511C52" w:rsidRDefault="00511C52">
      <w:pPr>
        <w:pStyle w:val="FootnoteText"/>
      </w:pPr>
      <w:r>
        <w:rPr>
          <w:rStyle w:val="FootnoteReference"/>
        </w:rPr>
        <w:footnoteRef/>
      </w:r>
      <w:r>
        <w:t xml:space="preserve"> Ibid </w:t>
      </w:r>
      <w:r w:rsidRPr="003C4B61">
        <w:t>407–12, Recommendation 14.6.</w:t>
      </w:r>
    </w:p>
  </w:footnote>
  <w:footnote w:id="391">
    <w:p w14:paraId="6FFE9E0B" w14:textId="4D0A10BE" w:rsidR="00511C52" w:rsidRDefault="00511C52">
      <w:pPr>
        <w:pStyle w:val="FootnoteText"/>
      </w:pPr>
      <w:r>
        <w:rPr>
          <w:rStyle w:val="FootnoteReference"/>
        </w:rPr>
        <w:footnoteRef/>
      </w:r>
      <w:r>
        <w:t xml:space="preserve"> Ibid </w:t>
      </w:r>
      <w:r w:rsidRPr="003C4B61">
        <w:t>412–17, Recommendation 14.7.</w:t>
      </w:r>
    </w:p>
  </w:footnote>
  <w:footnote w:id="392">
    <w:p w14:paraId="78C0BA1C" w14:textId="7E500ABA" w:rsidR="00511C52" w:rsidRDefault="00511C52">
      <w:pPr>
        <w:pStyle w:val="FootnoteText"/>
      </w:pPr>
      <w:r>
        <w:rPr>
          <w:rStyle w:val="FootnoteReference"/>
        </w:rPr>
        <w:footnoteRef/>
      </w:r>
      <w:r>
        <w:t xml:space="preserve"> </w:t>
      </w:r>
      <w:r w:rsidR="00971E8D">
        <w:t xml:space="preserve">Ibid </w:t>
      </w:r>
      <w:r w:rsidR="00971E8D" w:rsidRPr="003C4B61">
        <w:t>413–17, Recommendation 14.8.</w:t>
      </w:r>
    </w:p>
  </w:footnote>
  <w:footnote w:id="393">
    <w:p w14:paraId="755E4C9B" w14:textId="64AD4C64" w:rsidR="00971E8D" w:rsidRDefault="00971E8D">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 </w:t>
      </w:r>
      <w:r w:rsidRPr="003C4B61">
        <w:t>37–8 [178]–[179].</w:t>
      </w:r>
    </w:p>
  </w:footnote>
  <w:footnote w:id="394">
    <w:p w14:paraId="02592888" w14:textId="3266F937" w:rsidR="00971E8D" w:rsidRPr="00971E8D" w:rsidRDefault="00971E8D">
      <w:pPr>
        <w:pStyle w:val="FootnoteText"/>
        <w:rPr>
          <w:iCs/>
        </w:rPr>
      </w:pPr>
      <w:r>
        <w:rPr>
          <w:rStyle w:val="FootnoteReference"/>
        </w:rPr>
        <w:footnoteRef/>
      </w:r>
      <w:r>
        <w:t xml:space="preserve"> </w:t>
      </w:r>
      <w:r w:rsidRPr="003C4B61">
        <w:t xml:space="preserve">These were informed by </w:t>
      </w:r>
      <w:r w:rsidRPr="0042481B">
        <w:t>evidence</w:t>
      </w:r>
      <w:r w:rsidRPr="003C4B61">
        <w:t xml:space="preserve"> contained in a report from PEAT (‘Preventing Elder Abuse Tasmania’), provided at the coroner’s request.</w:t>
      </w:r>
      <w:r>
        <w:t xml:space="preserve"> </w:t>
      </w:r>
      <w:r w:rsidRPr="00AE4ECB">
        <w:t xml:space="preserve">See also Suanne Lawrence et al, </w:t>
      </w:r>
      <w:r>
        <w:t>‘“</w:t>
      </w:r>
      <w:r w:rsidRPr="00AE4ECB">
        <w:t xml:space="preserve">Falling </w:t>
      </w:r>
      <w:r w:rsidR="000D4DC7">
        <w:t>T</w:t>
      </w:r>
      <w:r w:rsidRPr="00AE4ECB">
        <w:t xml:space="preserve">hrough the </w:t>
      </w:r>
      <w:r w:rsidR="000D4DC7">
        <w:t>C</w:t>
      </w:r>
      <w:r w:rsidRPr="00AE4ECB">
        <w:t xml:space="preserve">racks.” A Case Analysis for Financial Elder Abuse and Neglect Using Coronial Evidence’ (2022) 34 </w:t>
      </w:r>
      <w:r w:rsidRPr="00AE4ECB">
        <w:rPr>
          <w:i/>
        </w:rPr>
        <w:t xml:space="preserve">Journal of Elder Abuse and Neglect </w:t>
      </w:r>
      <w:r w:rsidRPr="00AE4ECB">
        <w:t>393</w:t>
      </w:r>
      <w:r w:rsidR="00BB69D0">
        <w:t xml:space="preserve"> </w:t>
      </w:r>
      <w:r w:rsidR="00BB69D0">
        <w:rPr>
          <w:iCs/>
        </w:rPr>
        <w:t xml:space="preserve">(‘Lawrence et al, </w:t>
      </w:r>
      <w:r w:rsidR="00BB69D0" w:rsidRPr="00AE4ECB">
        <w:t xml:space="preserve">Falling </w:t>
      </w:r>
      <w:r w:rsidR="000D4DC7">
        <w:t>T</w:t>
      </w:r>
      <w:r w:rsidR="00BB69D0" w:rsidRPr="00AE4ECB">
        <w:t xml:space="preserve">hrough the </w:t>
      </w:r>
      <w:r w:rsidR="000D4DC7">
        <w:t>C</w:t>
      </w:r>
      <w:r w:rsidR="00BB69D0" w:rsidRPr="00AE4ECB">
        <w:t>racks</w:t>
      </w:r>
      <w:r w:rsidR="00BB69D0">
        <w:t>’)</w:t>
      </w:r>
      <w:r w:rsidRPr="00AE4ECB">
        <w:rPr>
          <w:i/>
        </w:rPr>
        <w:t>.</w:t>
      </w:r>
    </w:p>
  </w:footnote>
  <w:footnote w:id="395">
    <w:p w14:paraId="54FCB958" w14:textId="764C27E2" w:rsidR="00365422" w:rsidRDefault="00365422">
      <w:pPr>
        <w:pStyle w:val="FootnoteText"/>
      </w:pPr>
      <w:r>
        <w:rPr>
          <w:rStyle w:val="FootnoteReference"/>
        </w:rPr>
        <w:footnoteRef/>
      </w:r>
      <w:r>
        <w:t xml:space="preserve"> </w:t>
      </w:r>
      <w:r w:rsidR="00982220">
        <w:t>‘Mini-Mental State Examination’: a standardised tool to assess cognitive impairment in patients.</w:t>
      </w:r>
    </w:p>
  </w:footnote>
  <w:footnote w:id="396">
    <w:p w14:paraId="48DACB23" w14:textId="05F8FE7E" w:rsidR="00726E33" w:rsidRDefault="00726E33">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 </w:t>
      </w:r>
      <w:r w:rsidRPr="003C4B61">
        <w:t>40 [186]</w:t>
      </w:r>
      <w:r>
        <w:t>,</w:t>
      </w:r>
      <w:r w:rsidRPr="003C4B61">
        <w:t xml:space="preserve"> [187].</w:t>
      </w:r>
    </w:p>
  </w:footnote>
  <w:footnote w:id="397">
    <w:p w14:paraId="4D79E357" w14:textId="03764AA4" w:rsidR="00A56D70" w:rsidRDefault="00A56D70">
      <w:pPr>
        <w:pStyle w:val="FootnoteText"/>
      </w:pPr>
      <w:r>
        <w:rPr>
          <w:rStyle w:val="FootnoteReference"/>
        </w:rPr>
        <w:footnoteRef/>
      </w:r>
      <w:r>
        <w:t xml:space="preserve"> Ibid</w:t>
      </w:r>
      <w:r w:rsidRPr="003C4B61">
        <w:t xml:space="preserve"> 42 [194].</w:t>
      </w:r>
    </w:p>
  </w:footnote>
  <w:footnote w:id="398">
    <w:p w14:paraId="46E1E30E" w14:textId="4A00197C" w:rsidR="00A56D70" w:rsidRDefault="00A56D70">
      <w:pPr>
        <w:pStyle w:val="FootnoteText"/>
      </w:pPr>
      <w:r>
        <w:rPr>
          <w:rStyle w:val="FootnoteReference"/>
        </w:rPr>
        <w:footnoteRef/>
      </w:r>
      <w:r>
        <w:t xml:space="preserve"> Ibid</w:t>
      </w:r>
      <w:r w:rsidRPr="003C4B61">
        <w:t>.</w:t>
      </w:r>
    </w:p>
  </w:footnote>
  <w:footnote w:id="399">
    <w:p w14:paraId="55712F5F" w14:textId="26EB32C1" w:rsidR="005F1106" w:rsidRDefault="005F1106">
      <w:pPr>
        <w:pStyle w:val="FootnoteText"/>
      </w:pPr>
      <w:r>
        <w:rPr>
          <w:rStyle w:val="FootnoteReference"/>
        </w:rPr>
        <w:footnoteRef/>
      </w:r>
      <w:r>
        <w:t xml:space="preserve"> Ibid</w:t>
      </w:r>
      <w:r w:rsidRPr="003C4B61">
        <w:t>.</w:t>
      </w:r>
    </w:p>
  </w:footnote>
  <w:footnote w:id="400">
    <w:p w14:paraId="689DF6EB" w14:textId="2576A98B" w:rsidR="005F1106" w:rsidRDefault="005F1106">
      <w:pPr>
        <w:pStyle w:val="FootnoteText"/>
      </w:pPr>
      <w:r>
        <w:rPr>
          <w:rStyle w:val="FootnoteReference"/>
        </w:rPr>
        <w:footnoteRef/>
      </w:r>
      <w:r>
        <w:t xml:space="preserve"> </w:t>
      </w:r>
      <w:r w:rsidRPr="00EC5712">
        <w:rPr>
          <w:i/>
          <w:iCs/>
        </w:rPr>
        <w:t>Findings and Recommendations of Coroner Olivia McTaggart Following the Holding of an Inquest under the Coroners Act 1995 into the Death of Janet Lois Mackozdi</w:t>
      </w:r>
      <w:r>
        <w:t xml:space="preserve">: </w:t>
      </w:r>
      <w:r w:rsidRPr="00EC5712">
        <w:rPr>
          <w:i/>
          <w:iCs/>
        </w:rPr>
        <w:t>Record of Investigation into Death (With Inquest)</w:t>
      </w:r>
      <w:r>
        <w:t xml:space="preserve"> (Magistrates Court of Tasmania, Coronial Division, 13 July 2018) </w:t>
      </w:r>
      <w:r w:rsidRPr="003C4B61">
        <w:t>43</w:t>
      </w:r>
      <w:r>
        <w:t>–</w:t>
      </w:r>
      <w:r w:rsidRPr="003C4B61">
        <w:t>4 [197]</w:t>
      </w:r>
      <w:r>
        <w:t>–</w:t>
      </w:r>
      <w:r w:rsidRPr="003C4B61">
        <w:t>[202].</w:t>
      </w:r>
    </w:p>
  </w:footnote>
  <w:footnote w:id="401">
    <w:p w14:paraId="529829D5" w14:textId="71662EE4" w:rsidR="005F1106" w:rsidRDefault="005F1106">
      <w:pPr>
        <w:pStyle w:val="FootnoteText"/>
      </w:pPr>
      <w:r>
        <w:rPr>
          <w:rStyle w:val="FootnoteReference"/>
        </w:rPr>
        <w:footnoteRef/>
      </w:r>
      <w:r>
        <w:t xml:space="preserve"> </w:t>
      </w:r>
      <w:r w:rsidRPr="00EC5712">
        <w:rPr>
          <w:i/>
          <w:iCs/>
        </w:rPr>
        <w:t xml:space="preserve">Findings and </w:t>
      </w:r>
      <w:r>
        <w:rPr>
          <w:i/>
          <w:iCs/>
        </w:rPr>
        <w:t>Comments</w:t>
      </w:r>
      <w:r w:rsidRPr="00EC5712">
        <w:rPr>
          <w:i/>
          <w:iCs/>
        </w:rPr>
        <w:t xml:space="preserve"> of Coroner </w:t>
      </w:r>
      <w:r>
        <w:rPr>
          <w:i/>
          <w:iCs/>
        </w:rPr>
        <w:t>Robert Webster</w:t>
      </w:r>
      <w:r w:rsidRPr="00EC5712">
        <w:rPr>
          <w:i/>
          <w:iCs/>
        </w:rPr>
        <w:t xml:space="preserve"> Following the Holding of an Inquest under the Coroners Act 1995 into the Death of </w:t>
      </w:r>
      <w:r>
        <w:rPr>
          <w:i/>
          <w:iCs/>
        </w:rPr>
        <w:t>Dorothy Jean Atkins</w:t>
      </w:r>
      <w:r w:rsidRPr="00C36293">
        <w:rPr>
          <w:i/>
          <w:iCs/>
        </w:rPr>
        <w:t>: Record of Investigation into Death (With Inquest)</w:t>
      </w:r>
      <w:r>
        <w:t xml:space="preserve"> (Magistrates Court of Tasmania, Coronial Division, 7 March 2024) 30–1 [109].</w:t>
      </w:r>
    </w:p>
  </w:footnote>
  <w:footnote w:id="402">
    <w:p w14:paraId="6163C6B8" w14:textId="0F8C8006" w:rsidR="005754F9" w:rsidRDefault="005754F9">
      <w:pPr>
        <w:pStyle w:val="FootnoteText"/>
      </w:pPr>
      <w:r>
        <w:rPr>
          <w:rStyle w:val="FootnoteReference"/>
        </w:rPr>
        <w:footnoteRef/>
      </w:r>
      <w:r>
        <w:t xml:space="preserve"> </w:t>
      </w:r>
      <w:r w:rsidRPr="00440E05">
        <w:t>Separate reports focusing on the north and south of Tasmania, as well as a summary report of findings across both</w:t>
      </w:r>
      <w:r>
        <w:t xml:space="preserve">: </w:t>
      </w:r>
      <w:r w:rsidRPr="00D715B3">
        <w:rPr>
          <w:rFonts w:cs="Times New Roman"/>
        </w:rPr>
        <w:t xml:space="preserve">Lawrence, Banks and Henning, </w:t>
      </w:r>
      <w:r w:rsidRPr="00D715B3">
        <w:rPr>
          <w:rFonts w:cs="Times New Roman"/>
          <w:i/>
          <w:iCs/>
        </w:rPr>
        <w:t>SAPEA: Summary</w:t>
      </w:r>
      <w:r w:rsidRPr="00D715B3">
        <w:rPr>
          <w:rFonts w:cs="Times New Roman"/>
        </w:rPr>
        <w:t xml:space="preserve"> (n 4)</w:t>
      </w:r>
      <w:r>
        <w:rPr>
          <w:rFonts w:cs="Times New Roman"/>
        </w:rPr>
        <w:t xml:space="preserve">; </w:t>
      </w:r>
      <w:r w:rsidRPr="00D715B3">
        <w:rPr>
          <w:rFonts w:cs="Times New Roman"/>
        </w:rPr>
        <w:t xml:space="preserve">Lawrence, Banks, Mosenthal and Henning, </w:t>
      </w:r>
      <w:r w:rsidRPr="00D715B3">
        <w:rPr>
          <w:rFonts w:cs="Times New Roman"/>
          <w:i/>
          <w:iCs/>
        </w:rPr>
        <w:t xml:space="preserve">SAPEA_North </w:t>
      </w:r>
      <w:r w:rsidRPr="00D715B3">
        <w:rPr>
          <w:rFonts w:cs="Times New Roman"/>
        </w:rPr>
        <w:t>(n 4)</w:t>
      </w:r>
      <w:r>
        <w:rPr>
          <w:rFonts w:cs="Times New Roman"/>
        </w:rPr>
        <w:t xml:space="preserve">; </w:t>
      </w:r>
      <w:r w:rsidRPr="00D715B3">
        <w:rPr>
          <w:rFonts w:cs="Times New Roman"/>
        </w:rPr>
        <w:t xml:space="preserve">Lawrence, Banks, Mosenthal and Henning, </w:t>
      </w:r>
      <w:r w:rsidRPr="00D715B3">
        <w:rPr>
          <w:rFonts w:cs="Times New Roman"/>
          <w:i/>
          <w:iCs/>
        </w:rPr>
        <w:t xml:space="preserve">SAPEA_South </w:t>
      </w:r>
      <w:r w:rsidRPr="00D715B3">
        <w:rPr>
          <w:rFonts w:cs="Times New Roman"/>
        </w:rPr>
        <w:t>(n 4)</w:t>
      </w:r>
      <w:r>
        <w:rPr>
          <w:rFonts w:cs="Times New Roman"/>
        </w:rPr>
        <w:t>.</w:t>
      </w:r>
    </w:p>
  </w:footnote>
  <w:footnote w:id="403">
    <w:p w14:paraId="38A633CB" w14:textId="38D70ADF" w:rsidR="005754F9" w:rsidRDefault="005754F9">
      <w:pPr>
        <w:pStyle w:val="FootnoteText"/>
      </w:pPr>
      <w:r>
        <w:rPr>
          <w:rStyle w:val="FootnoteReference"/>
        </w:rPr>
        <w:footnoteRef/>
      </w:r>
      <w:r>
        <w:t xml:space="preserve"> </w:t>
      </w:r>
      <w:r w:rsidRPr="00D715B3">
        <w:rPr>
          <w:rFonts w:cs="Times New Roman"/>
        </w:rPr>
        <w:t xml:space="preserve">Lawrence, Banks, Mosenthal and Henning, </w:t>
      </w:r>
      <w:r w:rsidRPr="00D715B3">
        <w:rPr>
          <w:rFonts w:cs="Times New Roman"/>
          <w:i/>
          <w:iCs/>
        </w:rPr>
        <w:t xml:space="preserve">SAPEA_North </w:t>
      </w:r>
      <w:r w:rsidRPr="00D715B3">
        <w:rPr>
          <w:rFonts w:cs="Times New Roman"/>
        </w:rPr>
        <w:t>(n 4)</w:t>
      </w:r>
      <w:r>
        <w:rPr>
          <w:rFonts w:cs="Times New Roman"/>
        </w:rPr>
        <w:t xml:space="preserve"> </w:t>
      </w:r>
      <w:r w:rsidRPr="00440E05">
        <w:t>95–6</w:t>
      </w:r>
      <w:r>
        <w:rPr>
          <w:rFonts w:cs="Times New Roman"/>
        </w:rPr>
        <w:t xml:space="preserve">; </w:t>
      </w:r>
      <w:r w:rsidRPr="00D715B3">
        <w:rPr>
          <w:rFonts w:cs="Times New Roman"/>
        </w:rPr>
        <w:t xml:space="preserve">Lawrence, Banks, Mosenthal and Henning, </w:t>
      </w:r>
      <w:r w:rsidRPr="00D715B3">
        <w:rPr>
          <w:rFonts w:cs="Times New Roman"/>
          <w:i/>
          <w:iCs/>
        </w:rPr>
        <w:t xml:space="preserve">SAPEA_South </w:t>
      </w:r>
      <w:r w:rsidRPr="00D715B3">
        <w:rPr>
          <w:rFonts w:cs="Times New Roman"/>
        </w:rPr>
        <w:t>(n 4)</w:t>
      </w:r>
      <w:r>
        <w:rPr>
          <w:rFonts w:cs="Times New Roman"/>
        </w:rPr>
        <w:t xml:space="preserve"> </w:t>
      </w:r>
      <w:r w:rsidRPr="00920B59">
        <w:t>49</w:t>
      </w:r>
      <w:r>
        <w:t>–</w:t>
      </w:r>
      <w:r w:rsidRPr="00920B59">
        <w:t>50</w:t>
      </w:r>
      <w:r>
        <w:t>.</w:t>
      </w:r>
    </w:p>
  </w:footnote>
  <w:footnote w:id="404">
    <w:p w14:paraId="278480D7" w14:textId="0F8D40C8" w:rsidR="00FF28E1" w:rsidRDefault="00FF28E1" w:rsidP="0042481B">
      <w:pPr>
        <w:pStyle w:val="FootnoteText"/>
      </w:pPr>
      <w:r w:rsidRPr="00920B59">
        <w:rPr>
          <w:rStyle w:val="FootnoteReference"/>
        </w:rPr>
        <w:footnoteRef/>
      </w:r>
      <w:r w:rsidRPr="00920B59">
        <w:t xml:space="preserve"> </w:t>
      </w:r>
      <w:r w:rsidR="00601B9F" w:rsidRPr="00D715B3">
        <w:rPr>
          <w:rFonts w:cs="Times New Roman"/>
        </w:rPr>
        <w:t xml:space="preserve">Lawrence, Banks, Mosenthal and Henning, </w:t>
      </w:r>
      <w:r w:rsidR="00601B9F" w:rsidRPr="00D715B3">
        <w:rPr>
          <w:rFonts w:cs="Times New Roman"/>
          <w:i/>
          <w:iCs/>
        </w:rPr>
        <w:t xml:space="preserve">SAPEA_North </w:t>
      </w:r>
      <w:r w:rsidR="00601B9F" w:rsidRPr="00D715B3">
        <w:rPr>
          <w:rFonts w:cs="Times New Roman"/>
        </w:rPr>
        <w:t>(n 4)</w:t>
      </w:r>
      <w:r w:rsidR="00601B9F">
        <w:rPr>
          <w:rFonts w:cs="Times New Roman"/>
        </w:rPr>
        <w:t xml:space="preserve"> </w:t>
      </w:r>
      <w:r w:rsidR="00920B59" w:rsidRPr="00920B59">
        <w:t xml:space="preserve">95;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265A31" w:rsidRPr="00920B59">
        <w:t>49</w:t>
      </w:r>
      <w:r w:rsidRPr="00920B59">
        <w:t>.</w:t>
      </w:r>
    </w:p>
  </w:footnote>
  <w:footnote w:id="405">
    <w:p w14:paraId="225C71FB" w14:textId="2331A9C4" w:rsidR="00FF28E1" w:rsidRDefault="00FF28E1" w:rsidP="0042481B">
      <w:pPr>
        <w:pStyle w:val="FootnoteText"/>
      </w:pPr>
      <w:r>
        <w:rPr>
          <w:rStyle w:val="FootnoteReference"/>
        </w:rPr>
        <w:footnoteRef/>
      </w:r>
      <w:r>
        <w:t xml:space="preserve"> </w:t>
      </w:r>
      <w:r w:rsidR="00601B9F" w:rsidRPr="00D715B3">
        <w:rPr>
          <w:rFonts w:cs="Times New Roman"/>
        </w:rPr>
        <w:t xml:space="preserve">Lawrence, Banks, Mosenthal and Henning, </w:t>
      </w:r>
      <w:r w:rsidR="00601B9F" w:rsidRPr="00D715B3">
        <w:rPr>
          <w:rFonts w:cs="Times New Roman"/>
          <w:i/>
          <w:iCs/>
        </w:rPr>
        <w:t xml:space="preserve">SAPEA_North </w:t>
      </w:r>
      <w:r w:rsidR="00601B9F" w:rsidRPr="00D715B3">
        <w:rPr>
          <w:rFonts w:cs="Times New Roman"/>
        </w:rPr>
        <w:t>(n 4)</w:t>
      </w:r>
      <w:r w:rsidR="00B276F0">
        <w:rPr>
          <w:rFonts w:cs="Times New Roman"/>
        </w:rPr>
        <w:t xml:space="preserve"> </w:t>
      </w:r>
      <w:r w:rsidR="004262B1" w:rsidRPr="00920B59">
        <w:t xml:space="preserve">95;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4262B1" w:rsidRPr="00920B59">
        <w:t>49.</w:t>
      </w:r>
    </w:p>
  </w:footnote>
  <w:footnote w:id="406">
    <w:p w14:paraId="1740281B" w14:textId="6E007912" w:rsidR="00FF28E1" w:rsidRDefault="00FF28E1">
      <w:pPr>
        <w:pStyle w:val="FootnoteText"/>
      </w:pPr>
      <w:r>
        <w:rPr>
          <w:rStyle w:val="FootnoteReference"/>
        </w:rPr>
        <w:footnoteRef/>
      </w:r>
      <w:r>
        <w:t xml:space="preserve"> </w:t>
      </w:r>
      <w:r w:rsidR="00C75D7E" w:rsidRPr="00D715B3">
        <w:rPr>
          <w:rFonts w:cs="Times New Roman"/>
        </w:rPr>
        <w:t xml:space="preserve">Lawrence, Banks, Mosenthal and Henning, </w:t>
      </w:r>
      <w:r w:rsidR="00C75D7E" w:rsidRPr="00D715B3">
        <w:rPr>
          <w:rFonts w:cs="Times New Roman"/>
          <w:i/>
          <w:iCs/>
        </w:rPr>
        <w:t xml:space="preserve">SAPEA_North </w:t>
      </w:r>
      <w:r w:rsidR="00C75D7E" w:rsidRPr="00D715B3">
        <w:rPr>
          <w:rFonts w:cs="Times New Roman"/>
        </w:rPr>
        <w:t>(n 4)</w:t>
      </w:r>
      <w:r w:rsidR="00B276F0">
        <w:rPr>
          <w:rFonts w:cs="Times New Roman"/>
        </w:rPr>
        <w:t xml:space="preserve"> </w:t>
      </w:r>
      <w:r w:rsidR="00725B03" w:rsidRPr="00920B59">
        <w:t xml:space="preserve">95;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725B03" w:rsidRPr="00920B59">
        <w:t>49.</w:t>
      </w:r>
    </w:p>
  </w:footnote>
  <w:footnote w:id="407">
    <w:p w14:paraId="6A769A57" w14:textId="6A3DDBB9" w:rsidR="006C68DF" w:rsidRDefault="006C68DF">
      <w:pPr>
        <w:pStyle w:val="FootnoteText"/>
      </w:pPr>
      <w:r>
        <w:rPr>
          <w:rStyle w:val="FootnoteReference"/>
        </w:rPr>
        <w:footnoteRef/>
      </w:r>
      <w:r>
        <w:t xml:space="preserve"> </w:t>
      </w:r>
      <w:r w:rsidR="00C75D7E" w:rsidRPr="00D715B3">
        <w:rPr>
          <w:rFonts w:cs="Times New Roman"/>
        </w:rPr>
        <w:t xml:space="preserve">Lawrence, Banks, Mosenthal and Henning, </w:t>
      </w:r>
      <w:r w:rsidR="00C75D7E" w:rsidRPr="00D715B3">
        <w:rPr>
          <w:rFonts w:cs="Times New Roman"/>
          <w:i/>
          <w:iCs/>
        </w:rPr>
        <w:t xml:space="preserve">SAPEA_North </w:t>
      </w:r>
      <w:r w:rsidR="00C75D7E" w:rsidRPr="00D715B3">
        <w:rPr>
          <w:rFonts w:cs="Times New Roman"/>
        </w:rPr>
        <w:t>(n 4)</w:t>
      </w:r>
      <w:r w:rsidR="00B276F0">
        <w:rPr>
          <w:rFonts w:cs="Times New Roman"/>
        </w:rPr>
        <w:t xml:space="preserve"> </w:t>
      </w:r>
      <w:r w:rsidR="00F97CE3" w:rsidRPr="00920B59">
        <w:t xml:space="preserve">95;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F97CE3" w:rsidRPr="00920B59">
        <w:t>49.</w:t>
      </w:r>
      <w:r w:rsidR="00F97CE3">
        <w:t xml:space="preserve"> </w:t>
      </w:r>
      <w:r w:rsidR="00023E24">
        <w:t xml:space="preserve">These </w:t>
      </w:r>
      <w:r w:rsidR="005B1A80">
        <w:t xml:space="preserve">professionals </w:t>
      </w:r>
      <w:r w:rsidR="00023E24">
        <w:t>were</w:t>
      </w:r>
      <w:r w:rsidR="00EB357F">
        <w:t>:</w:t>
      </w:r>
      <w:r w:rsidR="00C125F4">
        <w:t xml:space="preserve"> </w:t>
      </w:r>
      <w:r w:rsidR="005927C7">
        <w:t>‘</w:t>
      </w:r>
      <w:r w:rsidR="00C125F4">
        <w:t>(in order of highest to lowest ranking)</w:t>
      </w:r>
      <w:r w:rsidR="00023E24">
        <w:t xml:space="preserve">: </w:t>
      </w:r>
      <w:r w:rsidR="00EB357F" w:rsidRPr="00EB357F">
        <w:t>the public guardian and trustee, a geriatrician, a senior police officer, a GEM (geriatric emergency management) nurse, a GEM social worker, a community health worker, a social worker/counsellor, a family physician, a paramedic, a financial worker, a lawyer, a pharmacist, a hospital physician, a Crown prosecutor, a neuropsychologist, a bioethicist, a caregiver advocate, a victim support worker, and a respite care worker</w:t>
      </w:r>
      <w:r w:rsidR="00C47959">
        <w:t xml:space="preserve">’: </w:t>
      </w:r>
      <w:r w:rsidR="00C47959" w:rsidRPr="00D715B3">
        <w:rPr>
          <w:rFonts w:cs="Times New Roman"/>
        </w:rPr>
        <w:t xml:space="preserve">Lawrence, Banks, Mosenthal and Henning, </w:t>
      </w:r>
      <w:r w:rsidR="00C47959" w:rsidRPr="00D715B3">
        <w:rPr>
          <w:rFonts w:cs="Times New Roman"/>
          <w:i/>
          <w:iCs/>
        </w:rPr>
        <w:t xml:space="preserve">SAPEA_North </w:t>
      </w:r>
      <w:r w:rsidR="00C47959" w:rsidRPr="00D715B3">
        <w:rPr>
          <w:rFonts w:cs="Times New Roman"/>
        </w:rPr>
        <w:t>(n 4)</w:t>
      </w:r>
      <w:r w:rsidR="00C47959">
        <w:rPr>
          <w:rFonts w:cs="Times New Roman"/>
        </w:rPr>
        <w:t xml:space="preserve"> </w:t>
      </w:r>
      <w:r w:rsidR="00C47959" w:rsidRPr="00920B59">
        <w:t>95</w:t>
      </w:r>
      <w:r w:rsidR="00C47959">
        <w:t>.</w:t>
      </w:r>
    </w:p>
  </w:footnote>
  <w:footnote w:id="408">
    <w:p w14:paraId="25E90DAB" w14:textId="63763A29" w:rsidR="00545C98" w:rsidRDefault="00545C98">
      <w:pPr>
        <w:pStyle w:val="FootnoteText"/>
      </w:pPr>
      <w:r>
        <w:rPr>
          <w:rStyle w:val="FootnoteReference"/>
        </w:rPr>
        <w:footnoteRef/>
      </w:r>
      <w:r>
        <w:t xml:space="preserve"> </w:t>
      </w:r>
      <w:r w:rsidR="00C75D7E" w:rsidRPr="00D715B3">
        <w:rPr>
          <w:rFonts w:cs="Times New Roman"/>
        </w:rPr>
        <w:t xml:space="preserve">Lawrence, Banks, Mosenthal and Henning, </w:t>
      </w:r>
      <w:r w:rsidR="00C75D7E" w:rsidRPr="00D715B3">
        <w:rPr>
          <w:rFonts w:cs="Times New Roman"/>
          <w:i/>
          <w:iCs/>
        </w:rPr>
        <w:t xml:space="preserve">SAPEA_North </w:t>
      </w:r>
      <w:r w:rsidR="00C75D7E" w:rsidRPr="00D715B3">
        <w:rPr>
          <w:rFonts w:cs="Times New Roman"/>
        </w:rPr>
        <w:t>(n 4)</w:t>
      </w:r>
      <w:r w:rsidR="00B276F0">
        <w:rPr>
          <w:rFonts w:cs="Times New Roman"/>
        </w:rPr>
        <w:t xml:space="preserve"> </w:t>
      </w:r>
      <w:r w:rsidR="00400AEE" w:rsidRPr="00920B59">
        <w:t>9</w:t>
      </w:r>
      <w:r w:rsidR="00400AEE">
        <w:t>6</w:t>
      </w:r>
      <w:r w:rsidR="00400AEE" w:rsidRPr="00920B59">
        <w:t xml:space="preserve">;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400AEE">
        <w:t>50.</w:t>
      </w:r>
    </w:p>
  </w:footnote>
  <w:footnote w:id="409">
    <w:p w14:paraId="6FA63709" w14:textId="1EDD71D8" w:rsidR="006C68DF" w:rsidRDefault="006C68DF">
      <w:pPr>
        <w:pStyle w:val="FootnoteText"/>
      </w:pPr>
      <w:r>
        <w:rPr>
          <w:rStyle w:val="FootnoteReference"/>
        </w:rPr>
        <w:footnoteRef/>
      </w:r>
      <w:r>
        <w:t xml:space="preserve"> </w:t>
      </w:r>
      <w:r w:rsidR="00C75D7E" w:rsidRPr="00D715B3">
        <w:rPr>
          <w:rFonts w:cs="Times New Roman"/>
        </w:rPr>
        <w:t xml:space="preserve">Lawrence, Banks, Mosenthal and Henning, </w:t>
      </w:r>
      <w:r w:rsidR="00C75D7E" w:rsidRPr="00D715B3">
        <w:rPr>
          <w:rFonts w:cs="Times New Roman"/>
          <w:i/>
          <w:iCs/>
        </w:rPr>
        <w:t xml:space="preserve">SAPEA_North </w:t>
      </w:r>
      <w:r w:rsidR="00C75D7E" w:rsidRPr="00D715B3">
        <w:rPr>
          <w:rFonts w:cs="Times New Roman"/>
        </w:rPr>
        <w:t>(n 4)</w:t>
      </w:r>
      <w:r w:rsidR="00B276F0">
        <w:rPr>
          <w:rFonts w:cs="Times New Roman"/>
        </w:rPr>
        <w:t xml:space="preserve"> </w:t>
      </w:r>
      <w:r w:rsidR="00400AEE" w:rsidRPr="00920B59">
        <w:t>9</w:t>
      </w:r>
      <w:r w:rsidR="00400AEE">
        <w:t>6</w:t>
      </w:r>
      <w:r w:rsidR="00400AEE" w:rsidRPr="00920B59">
        <w:t xml:space="preserve">; </w:t>
      </w:r>
      <w:r w:rsidR="00B276F0" w:rsidRPr="00D715B3">
        <w:rPr>
          <w:rFonts w:cs="Times New Roman"/>
        </w:rPr>
        <w:t xml:space="preserve">Lawrence, Banks, Mosenthal and Henning, </w:t>
      </w:r>
      <w:r w:rsidR="00B276F0" w:rsidRPr="00D715B3">
        <w:rPr>
          <w:rFonts w:cs="Times New Roman"/>
          <w:i/>
          <w:iCs/>
        </w:rPr>
        <w:t xml:space="preserve">SAPEA_South </w:t>
      </w:r>
      <w:r w:rsidR="00B276F0" w:rsidRPr="00D715B3">
        <w:rPr>
          <w:rFonts w:cs="Times New Roman"/>
        </w:rPr>
        <w:t>(n 4)</w:t>
      </w:r>
      <w:r w:rsidR="00B276F0">
        <w:rPr>
          <w:rFonts w:cs="Times New Roman"/>
        </w:rPr>
        <w:t xml:space="preserve"> </w:t>
      </w:r>
      <w:r w:rsidR="00400AEE">
        <w:t>50.</w:t>
      </w:r>
    </w:p>
  </w:footnote>
  <w:footnote w:id="410">
    <w:p w14:paraId="05A2DB7C" w14:textId="0C629D36" w:rsidR="008A48CE" w:rsidRDefault="008A48CE">
      <w:pPr>
        <w:pStyle w:val="FootnoteText"/>
      </w:pPr>
      <w:r>
        <w:rPr>
          <w:rStyle w:val="FootnoteReference"/>
        </w:rPr>
        <w:footnoteRef/>
      </w:r>
      <w:r>
        <w:t xml:space="preserve"> </w:t>
      </w:r>
      <w:r w:rsidRPr="00D715B3">
        <w:rPr>
          <w:rFonts w:cs="Times New Roman"/>
        </w:rPr>
        <w:t xml:space="preserve">Lawrence, Banks and Henning, </w:t>
      </w:r>
      <w:r w:rsidRPr="00D715B3">
        <w:rPr>
          <w:rFonts w:cs="Times New Roman"/>
          <w:i/>
          <w:iCs/>
        </w:rPr>
        <w:t>SAPEA: Summary</w:t>
      </w:r>
      <w:r w:rsidRPr="00D715B3">
        <w:rPr>
          <w:rFonts w:cs="Times New Roman"/>
        </w:rPr>
        <w:t xml:space="preserve"> (n 4)</w:t>
      </w:r>
      <w:r>
        <w:t>.</w:t>
      </w:r>
    </w:p>
  </w:footnote>
  <w:footnote w:id="411">
    <w:p w14:paraId="0AE6E035" w14:textId="134CA66B" w:rsidR="00847FB1" w:rsidRDefault="00847FB1">
      <w:pPr>
        <w:pStyle w:val="FootnoteText"/>
      </w:pPr>
      <w:r>
        <w:rPr>
          <w:rStyle w:val="FootnoteReference"/>
        </w:rPr>
        <w:footnoteRef/>
      </w:r>
      <w:r>
        <w:t xml:space="preserve"> </w:t>
      </w:r>
      <w:r w:rsidR="002309B1">
        <w:t>These areas were: ‘</w:t>
      </w:r>
      <w:r w:rsidR="002309B1" w:rsidRPr="003C4B61">
        <w:t>Recognising and responding to elder abuse</w:t>
      </w:r>
      <w:r w:rsidR="002309B1">
        <w:t>’</w:t>
      </w:r>
      <w:r w:rsidR="002309B1" w:rsidRPr="003C4B61">
        <w:t xml:space="preserve">; </w:t>
      </w:r>
      <w:r w:rsidR="002309B1">
        <w:t>‘</w:t>
      </w:r>
      <w:r w:rsidR="002309B1" w:rsidRPr="003C4B61">
        <w:t>Strengthening existing Tasmanian services that have known response pathways for elder abuse</w:t>
      </w:r>
      <w:r w:rsidR="002309B1">
        <w:t>’</w:t>
      </w:r>
      <w:r w:rsidR="002309B1" w:rsidRPr="003C4B61">
        <w:t xml:space="preserve">; </w:t>
      </w:r>
      <w:r w:rsidR="002309B1">
        <w:t>‘</w:t>
      </w:r>
      <w:r w:rsidR="002309B1" w:rsidRPr="003C4B61">
        <w:t xml:space="preserve">Current barriers and enablers in recognising </w:t>
      </w:r>
      <w:r w:rsidR="002309B1" w:rsidRPr="0042481B">
        <w:t>and</w:t>
      </w:r>
      <w:r w:rsidR="002309B1" w:rsidRPr="003C4B61">
        <w:t xml:space="preserve"> responding to elder abuse in Tasmania</w:t>
      </w:r>
      <w:r w:rsidR="002309B1">
        <w:t>’</w:t>
      </w:r>
      <w:r w:rsidR="002309B1" w:rsidRPr="003C4B61">
        <w:t xml:space="preserve">; </w:t>
      </w:r>
      <w:r w:rsidR="002309B1">
        <w:t>‘</w:t>
      </w:r>
      <w:r w:rsidR="002309B1" w:rsidRPr="003C4B61">
        <w:t>Resourcing services that are at the forefront of preventing elder abuse in Tasmania</w:t>
      </w:r>
      <w:r w:rsidR="002309B1">
        <w:t>’</w:t>
      </w:r>
      <w:r w:rsidR="00CB65B7">
        <w:t xml:space="preserve">: </w:t>
      </w:r>
      <w:r w:rsidR="00EC0F04" w:rsidRPr="00D715B3">
        <w:rPr>
          <w:rFonts w:cs="Times New Roman"/>
        </w:rPr>
        <w:t xml:space="preserve">Lawrence, Banks and Henning, </w:t>
      </w:r>
      <w:r w:rsidR="00EC0F04" w:rsidRPr="00D715B3">
        <w:rPr>
          <w:rFonts w:cs="Times New Roman"/>
          <w:i/>
          <w:iCs/>
        </w:rPr>
        <w:t>SAPEA: Summary</w:t>
      </w:r>
      <w:r w:rsidR="00EC0F04" w:rsidRPr="00D715B3">
        <w:rPr>
          <w:rFonts w:cs="Times New Roman"/>
        </w:rPr>
        <w:t xml:space="preserve"> (n 4)</w:t>
      </w:r>
      <w:r w:rsidR="00EC0F04">
        <w:t>.</w:t>
      </w:r>
    </w:p>
  </w:footnote>
  <w:footnote w:id="412">
    <w:p w14:paraId="0AA4BDFE" w14:textId="63C4E4FC" w:rsidR="00900558" w:rsidRDefault="00900558">
      <w:pPr>
        <w:pStyle w:val="FootnoteText"/>
      </w:pPr>
      <w:r>
        <w:rPr>
          <w:rStyle w:val="FootnoteReference"/>
        </w:rPr>
        <w:footnoteRef/>
      </w:r>
      <w:r>
        <w:t xml:space="preserve"> </w:t>
      </w:r>
      <w:r w:rsidR="00AF3FD1" w:rsidRPr="00D715B3">
        <w:rPr>
          <w:rFonts w:cs="Times New Roman"/>
        </w:rPr>
        <w:t xml:space="preserve">Lawrence, Banks, Mosenthal and Henning, </w:t>
      </w:r>
      <w:r w:rsidR="00AF3FD1" w:rsidRPr="00D715B3">
        <w:rPr>
          <w:rFonts w:cs="Times New Roman"/>
          <w:i/>
          <w:iCs/>
        </w:rPr>
        <w:t xml:space="preserve">SAPEA_North </w:t>
      </w:r>
      <w:r w:rsidR="00AF3FD1" w:rsidRPr="00D715B3">
        <w:rPr>
          <w:rFonts w:cs="Times New Roman"/>
        </w:rPr>
        <w:t>(n 4)</w:t>
      </w:r>
      <w:r w:rsidR="00AF3FD1">
        <w:rPr>
          <w:rFonts w:cs="Times New Roman"/>
        </w:rPr>
        <w:t xml:space="preserve"> 4</w:t>
      </w:r>
      <w:r w:rsidR="00B27C5E">
        <w:rPr>
          <w:rFonts w:cs="Times New Roman"/>
        </w:rPr>
        <w:t>.</w:t>
      </w:r>
    </w:p>
  </w:footnote>
  <w:footnote w:id="413">
    <w:p w14:paraId="1D5AFE05" w14:textId="6A4D3DC6" w:rsidR="004C3A2A" w:rsidRDefault="004C3A2A">
      <w:pPr>
        <w:pStyle w:val="FootnoteText"/>
      </w:pPr>
      <w:r>
        <w:rPr>
          <w:rStyle w:val="FootnoteReference"/>
        </w:rPr>
        <w:footnoteRef/>
      </w:r>
      <w:r>
        <w:t xml:space="preserve"> </w:t>
      </w:r>
      <w:r w:rsidRPr="00D715B3">
        <w:rPr>
          <w:rFonts w:eastAsia="Aptos" w:cs="Times New Roman"/>
        </w:rPr>
        <w:t>Symposium on Elder Abuse and Neglect (n 4)</w:t>
      </w:r>
      <w:r w:rsidRPr="003C4B61">
        <w:t>.</w:t>
      </w:r>
    </w:p>
  </w:footnote>
  <w:footnote w:id="414">
    <w:p w14:paraId="02BC0CDC" w14:textId="16299F2C" w:rsidR="004C3A2A" w:rsidRDefault="004C3A2A">
      <w:pPr>
        <w:pStyle w:val="FootnoteText"/>
      </w:pPr>
      <w:r>
        <w:rPr>
          <w:rStyle w:val="FootnoteReference"/>
        </w:rPr>
        <w:footnoteRef/>
      </w:r>
      <w:r>
        <w:t xml:space="preserve"> </w:t>
      </w:r>
      <w:r w:rsidRPr="003C4B61">
        <w:t xml:space="preserve">See </w:t>
      </w:r>
      <w:r w:rsidRPr="00C36293">
        <w:rPr>
          <w:b/>
          <w:bCs/>
        </w:rPr>
        <w:t>Appendix A</w:t>
      </w:r>
      <w:r w:rsidRPr="003C4B61">
        <w:t>.</w:t>
      </w:r>
    </w:p>
  </w:footnote>
  <w:footnote w:id="415">
    <w:p w14:paraId="1A059417" w14:textId="10812453" w:rsidR="004C3A2A" w:rsidRDefault="004C3A2A">
      <w:pPr>
        <w:pStyle w:val="FootnoteText"/>
      </w:pPr>
      <w:r>
        <w:rPr>
          <w:rStyle w:val="FootnoteReference"/>
        </w:rPr>
        <w:footnoteRef/>
      </w:r>
      <w:r>
        <w:t xml:space="preserve"> </w:t>
      </w:r>
      <w:r w:rsidRPr="003C4B61">
        <w:t>Interview</w:t>
      </w:r>
      <w:r>
        <w:t>s</w:t>
      </w:r>
      <w:r w:rsidRPr="003C4B61">
        <w:t xml:space="preserve"> 2</w:t>
      </w:r>
      <w:r>
        <w:t>,</w:t>
      </w:r>
      <w:r w:rsidRPr="003C4B61">
        <w:t xml:space="preserve"> 3</w:t>
      </w:r>
      <w:r>
        <w:t>,</w:t>
      </w:r>
      <w:r w:rsidRPr="003C4B61">
        <w:t xml:space="preserve"> 4</w:t>
      </w:r>
      <w:r>
        <w:t>, 14, 1</w:t>
      </w:r>
      <w:r w:rsidRPr="003C4B61">
        <w:t xml:space="preserve"> 5</w:t>
      </w:r>
      <w:r>
        <w:t>,</w:t>
      </w:r>
      <w:r w:rsidRPr="003C4B61">
        <w:t xml:space="preserve"> 6</w:t>
      </w:r>
      <w:r>
        <w:t>, 23</w:t>
      </w:r>
      <w:r w:rsidR="00265461">
        <w:t>, 16, 22.</w:t>
      </w:r>
    </w:p>
  </w:footnote>
  <w:footnote w:id="416">
    <w:p w14:paraId="18773B59" w14:textId="3F347813" w:rsidR="004C3A2A" w:rsidRDefault="004C3A2A">
      <w:pPr>
        <w:pStyle w:val="FootnoteText"/>
      </w:pPr>
      <w:r>
        <w:rPr>
          <w:rStyle w:val="FootnoteReference"/>
        </w:rPr>
        <w:footnoteRef/>
      </w:r>
      <w:r>
        <w:t xml:space="preserve"> </w:t>
      </w:r>
      <w:r w:rsidRPr="003C4B61">
        <w:t>Interview 4.</w:t>
      </w:r>
    </w:p>
  </w:footnote>
  <w:footnote w:id="417">
    <w:p w14:paraId="67489F2D" w14:textId="1C5708C5" w:rsidR="004C3A2A" w:rsidRDefault="004C3A2A">
      <w:pPr>
        <w:pStyle w:val="FootnoteText"/>
      </w:pPr>
      <w:r>
        <w:rPr>
          <w:rStyle w:val="FootnoteReference"/>
        </w:rPr>
        <w:footnoteRef/>
      </w:r>
      <w:r>
        <w:t xml:space="preserve"> </w:t>
      </w:r>
      <w:r w:rsidR="00D06AF6">
        <w:t>G</w:t>
      </w:r>
      <w:r w:rsidRPr="003C4B61">
        <w:t xml:space="preserve">aps </w:t>
      </w:r>
      <w:r w:rsidR="00D06AF6">
        <w:t xml:space="preserve">were also discussed </w:t>
      </w:r>
      <w:r w:rsidR="003B4B18">
        <w:t>regarding</w:t>
      </w:r>
      <w:r w:rsidRPr="003C4B61">
        <w:t xml:space="preserve"> particular legal </w:t>
      </w:r>
      <w:r w:rsidRPr="0042481B">
        <w:t>definitions</w:t>
      </w:r>
      <w:r w:rsidR="00D06AF6">
        <w:t xml:space="preserve">: see, eg, </w:t>
      </w:r>
      <w:r w:rsidR="00B64D4E">
        <w:t xml:space="preserve">[5.2.]–[5.2.11] and </w:t>
      </w:r>
      <w:r w:rsidR="002B526F">
        <w:t>[5.3.4]–[5.3.11].</w:t>
      </w:r>
    </w:p>
  </w:footnote>
  <w:footnote w:id="418">
    <w:p w14:paraId="2632141E" w14:textId="1CAD437C" w:rsidR="004C3A2A" w:rsidRDefault="004C3A2A">
      <w:pPr>
        <w:pStyle w:val="FootnoteText"/>
      </w:pPr>
      <w:r>
        <w:rPr>
          <w:rStyle w:val="FootnoteReference"/>
        </w:rPr>
        <w:footnoteRef/>
      </w:r>
      <w:r>
        <w:t xml:space="preserve"> </w:t>
      </w:r>
      <w:r w:rsidRPr="0042481B">
        <w:t>Interviews</w:t>
      </w:r>
      <w:r w:rsidRPr="003C4B61">
        <w:t xml:space="preserve"> 6</w:t>
      </w:r>
      <w:r>
        <w:t>,</w:t>
      </w:r>
      <w:r w:rsidRPr="003C4B61">
        <w:t xml:space="preserve"> 8.</w:t>
      </w:r>
    </w:p>
  </w:footnote>
  <w:footnote w:id="419">
    <w:p w14:paraId="7C15B8E0" w14:textId="69121785" w:rsidR="004C3A2A" w:rsidRDefault="004C3A2A">
      <w:pPr>
        <w:pStyle w:val="FootnoteText"/>
      </w:pPr>
      <w:r>
        <w:rPr>
          <w:rStyle w:val="FootnoteReference"/>
        </w:rPr>
        <w:footnoteRef/>
      </w:r>
      <w:r>
        <w:t xml:space="preserve"> </w:t>
      </w:r>
      <w:r w:rsidRPr="003C4B61">
        <w:t xml:space="preserve">See </w:t>
      </w:r>
      <w:r w:rsidR="0083331C" w:rsidRPr="0083331C">
        <w:rPr>
          <w:b/>
          <w:bCs/>
        </w:rPr>
        <w:t>Part 2</w:t>
      </w:r>
      <w:r w:rsidR="0083331C">
        <w:t xml:space="preserve"> at [2.4.21]–[2.4.24] and Table 2.4</w:t>
      </w:r>
      <w:r w:rsidR="00A23028">
        <w:t>,</w:t>
      </w:r>
      <w:r w:rsidR="0083331C">
        <w:t xml:space="preserve"> </w:t>
      </w:r>
      <w:r w:rsidR="0083331C" w:rsidRPr="0083331C">
        <w:rPr>
          <w:b/>
          <w:bCs/>
        </w:rPr>
        <w:t>Part 4</w:t>
      </w:r>
      <w:r w:rsidR="0083331C">
        <w:t xml:space="preserve"> </w:t>
      </w:r>
      <w:r w:rsidR="000624C3">
        <w:t>[4.3.19</w:t>
      </w:r>
      <w:r w:rsidR="001F670F">
        <w:t>]</w:t>
      </w:r>
      <w:r w:rsidR="00744DF3">
        <w:t xml:space="preserve">, and </w:t>
      </w:r>
      <w:r w:rsidR="00744DF3" w:rsidRPr="00A23028">
        <w:rPr>
          <w:b/>
          <w:bCs/>
        </w:rPr>
        <w:t>Part 5</w:t>
      </w:r>
      <w:r w:rsidR="00744DF3">
        <w:t xml:space="preserve"> at </w:t>
      </w:r>
      <w:r w:rsidR="00A23028">
        <w:t xml:space="preserve">[5.2.11], </w:t>
      </w:r>
      <w:r w:rsidR="00744DF3">
        <w:t>[</w:t>
      </w:r>
      <w:r w:rsidR="0087682E">
        <w:t>5.3.7</w:t>
      </w:r>
      <w:r w:rsidR="004E37DD">
        <w:t>] and [5.6.2]</w:t>
      </w:r>
      <w:r w:rsidRPr="003C4B61">
        <w:t>.</w:t>
      </w:r>
    </w:p>
  </w:footnote>
  <w:footnote w:id="420">
    <w:p w14:paraId="3CAAC923" w14:textId="6E3C086D" w:rsidR="004C3A2A" w:rsidRDefault="004C3A2A">
      <w:pPr>
        <w:pStyle w:val="FootnoteText"/>
      </w:pPr>
      <w:r>
        <w:rPr>
          <w:rStyle w:val="FootnoteReference"/>
        </w:rPr>
        <w:footnoteRef/>
      </w:r>
      <w:r>
        <w:t xml:space="preserve"> </w:t>
      </w:r>
      <w:r w:rsidRPr="00507D5D">
        <w:t>Interview</w:t>
      </w:r>
      <w:r w:rsidRPr="003C4B61">
        <w:t xml:space="preserve"> 8.</w:t>
      </w:r>
    </w:p>
  </w:footnote>
  <w:footnote w:id="421">
    <w:p w14:paraId="0E937CB7" w14:textId="4FB9CE54" w:rsidR="004C3A2A" w:rsidRDefault="004C3A2A">
      <w:pPr>
        <w:pStyle w:val="FootnoteText"/>
      </w:pPr>
      <w:r>
        <w:rPr>
          <w:rStyle w:val="FootnoteReference"/>
        </w:rPr>
        <w:footnoteRef/>
      </w:r>
      <w:r>
        <w:t xml:space="preserve"> </w:t>
      </w:r>
      <w:r w:rsidRPr="00507D5D">
        <w:t>Interview</w:t>
      </w:r>
      <w:r w:rsidRPr="003C4B61">
        <w:t xml:space="preserve"> 3</w:t>
      </w:r>
      <w:r>
        <w:t>.</w:t>
      </w:r>
    </w:p>
  </w:footnote>
  <w:footnote w:id="422">
    <w:p w14:paraId="58B01554" w14:textId="7E68864B" w:rsidR="004C3A2A" w:rsidRDefault="004C3A2A">
      <w:pPr>
        <w:pStyle w:val="FootnoteText"/>
      </w:pPr>
      <w:r>
        <w:rPr>
          <w:rStyle w:val="FootnoteReference"/>
        </w:rPr>
        <w:footnoteRef/>
      </w:r>
      <w:r>
        <w:t xml:space="preserve"> </w:t>
      </w:r>
      <w:r w:rsidRPr="003C4B61">
        <w:t>Interview</w:t>
      </w:r>
      <w:r>
        <w:t>s</w:t>
      </w:r>
      <w:r w:rsidRPr="003C4B61">
        <w:t xml:space="preserve"> 7</w:t>
      </w:r>
      <w:r>
        <w:t>,</w:t>
      </w:r>
      <w:r w:rsidRPr="003C4B61">
        <w:t xml:space="preserve"> 10</w:t>
      </w:r>
      <w:r>
        <w:t>,</w:t>
      </w:r>
      <w:r w:rsidRPr="003C4B61">
        <w:t xml:space="preserve"> 9.</w:t>
      </w:r>
    </w:p>
  </w:footnote>
  <w:footnote w:id="423">
    <w:p w14:paraId="5A9246A0" w14:textId="450B3D43" w:rsidR="004C3A2A" w:rsidRDefault="004C3A2A">
      <w:pPr>
        <w:pStyle w:val="FootnoteText"/>
      </w:pPr>
      <w:r>
        <w:rPr>
          <w:rStyle w:val="FootnoteReference"/>
        </w:rPr>
        <w:footnoteRef/>
      </w:r>
      <w:r>
        <w:t xml:space="preserve"> </w:t>
      </w:r>
      <w:r w:rsidRPr="003C4B61">
        <w:t>Interview</w:t>
      </w:r>
      <w:r>
        <w:t>s</w:t>
      </w:r>
      <w:r w:rsidRPr="003C4B61">
        <w:t xml:space="preserve"> 4</w:t>
      </w:r>
      <w:r>
        <w:t>,</w:t>
      </w:r>
      <w:r w:rsidRPr="003C4B61">
        <w:t xml:space="preserve"> 5.</w:t>
      </w:r>
    </w:p>
  </w:footnote>
  <w:footnote w:id="424">
    <w:p w14:paraId="62E0E2B6" w14:textId="60B9EE58" w:rsidR="00D52FA0" w:rsidRPr="00072409" w:rsidRDefault="00D52FA0">
      <w:pPr>
        <w:pStyle w:val="FootnoteText"/>
      </w:pPr>
      <w:r>
        <w:rPr>
          <w:rStyle w:val="FootnoteReference"/>
        </w:rPr>
        <w:footnoteRef/>
      </w:r>
      <w:r>
        <w:t xml:space="preserve"> </w:t>
      </w:r>
      <w:r w:rsidR="00072409">
        <w:t xml:space="preserve">The current legal framework is summarised in </w:t>
      </w:r>
      <w:r w:rsidRPr="00D52FA0">
        <w:rPr>
          <w:b/>
          <w:bCs/>
        </w:rPr>
        <w:t xml:space="preserve">Part </w:t>
      </w:r>
      <w:r w:rsidR="00072409">
        <w:rPr>
          <w:b/>
          <w:bCs/>
        </w:rPr>
        <w:t>3</w:t>
      </w:r>
      <w:r w:rsidR="00072409">
        <w:t xml:space="preserve"> at [3.3].</w:t>
      </w:r>
    </w:p>
  </w:footnote>
  <w:footnote w:id="425">
    <w:p w14:paraId="7A1B1C10" w14:textId="027C7154" w:rsidR="00E44420" w:rsidRPr="00444C99" w:rsidRDefault="00E44420" w:rsidP="00E44420">
      <w:pPr>
        <w:pStyle w:val="FootnoteText"/>
      </w:pPr>
      <w:r w:rsidRPr="00444C99">
        <w:rPr>
          <w:rStyle w:val="FootnoteReference"/>
        </w:rPr>
        <w:footnoteRef/>
      </w:r>
      <w:r w:rsidRPr="00444C99">
        <w:t xml:space="preserve"> Interviews 7, 16, 22, 3, 4, 12, 15, 9, 8, 10, 13, 19, 2, 14, 17, 1, 6, 23</w:t>
      </w:r>
      <w:r w:rsidR="00515D03">
        <w:t>, 21</w:t>
      </w:r>
      <w:r w:rsidR="007D4F05">
        <w:t>, 5</w:t>
      </w:r>
      <w:r w:rsidR="00CF72F1">
        <w:t>.</w:t>
      </w:r>
      <w:r w:rsidRPr="00444C99">
        <w:t xml:space="preserve"> </w:t>
      </w:r>
    </w:p>
  </w:footnote>
  <w:footnote w:id="426">
    <w:p w14:paraId="7F63D55C" w14:textId="55403467" w:rsidR="00FA219D" w:rsidRDefault="00FA219D">
      <w:pPr>
        <w:pStyle w:val="FootnoteText"/>
      </w:pPr>
      <w:r>
        <w:rPr>
          <w:rStyle w:val="FootnoteReference"/>
        </w:rPr>
        <w:footnoteRef/>
      </w:r>
      <w:r>
        <w:t xml:space="preserve"> Interviews 10, </w:t>
      </w:r>
      <w:r w:rsidR="00110B3D">
        <w:t>8</w:t>
      </w:r>
      <w:r w:rsidR="006E262A">
        <w:t>, 6</w:t>
      </w:r>
      <w:r w:rsidR="00110B3D">
        <w:t>.</w:t>
      </w:r>
    </w:p>
  </w:footnote>
  <w:footnote w:id="427">
    <w:p w14:paraId="6C90AF4D" w14:textId="00CA1F56" w:rsidR="00D52FA0" w:rsidRPr="00444C99" w:rsidRDefault="00D52FA0">
      <w:pPr>
        <w:pStyle w:val="FootnoteText"/>
      </w:pPr>
      <w:r w:rsidRPr="00444C99">
        <w:rPr>
          <w:rStyle w:val="FootnoteReference"/>
        </w:rPr>
        <w:footnoteRef/>
      </w:r>
      <w:r w:rsidRPr="00444C99">
        <w:t xml:space="preserve"> Interviews 6, 7, 12, 14, 5, 10</w:t>
      </w:r>
      <w:r w:rsidR="00444C99" w:rsidRPr="00444C99">
        <w:t>.</w:t>
      </w:r>
    </w:p>
  </w:footnote>
  <w:footnote w:id="428">
    <w:p w14:paraId="61F9745F" w14:textId="200F717B" w:rsidR="00D52FA0" w:rsidRPr="00444C99" w:rsidRDefault="00D52FA0">
      <w:pPr>
        <w:pStyle w:val="FootnoteText"/>
      </w:pPr>
      <w:r w:rsidRPr="00444C99">
        <w:rPr>
          <w:rStyle w:val="FootnoteReference"/>
        </w:rPr>
        <w:footnoteRef/>
      </w:r>
      <w:r w:rsidRPr="00444C99">
        <w:t xml:space="preserve"> Interviews 18, 10.</w:t>
      </w:r>
    </w:p>
  </w:footnote>
  <w:footnote w:id="429">
    <w:p w14:paraId="6AAA2498" w14:textId="07564E8A" w:rsidR="00D52FA0" w:rsidRPr="00444C99" w:rsidRDefault="00D52FA0">
      <w:pPr>
        <w:pStyle w:val="FootnoteText"/>
      </w:pPr>
      <w:r w:rsidRPr="00444C99">
        <w:rPr>
          <w:rStyle w:val="FootnoteReference"/>
        </w:rPr>
        <w:footnoteRef/>
      </w:r>
      <w:r w:rsidRPr="00444C99">
        <w:t xml:space="preserve"> Interviews 4, 6, 12, 18.</w:t>
      </w:r>
    </w:p>
  </w:footnote>
  <w:footnote w:id="430">
    <w:p w14:paraId="54E4E762" w14:textId="65C618F0" w:rsidR="00D52FA0" w:rsidRDefault="00D52FA0">
      <w:pPr>
        <w:pStyle w:val="FootnoteText"/>
      </w:pPr>
      <w:r w:rsidRPr="00444C99">
        <w:rPr>
          <w:rStyle w:val="FootnoteReference"/>
        </w:rPr>
        <w:footnoteRef/>
      </w:r>
      <w:r w:rsidRPr="00444C99">
        <w:t xml:space="preserve"> Interviews 10, 8, 12, 9,</w:t>
      </w:r>
      <w:r w:rsidR="00CE6632">
        <w:t xml:space="preserve"> 3</w:t>
      </w:r>
      <w:r w:rsidR="00946EE0">
        <w:t>, 15</w:t>
      </w:r>
      <w:r w:rsidR="00EA171B">
        <w:t>, 13</w:t>
      </w:r>
      <w:r w:rsidR="0028685C">
        <w:t>, 17</w:t>
      </w:r>
      <w:r w:rsidR="00A00DAC">
        <w:t>, 16</w:t>
      </w:r>
      <w:r w:rsidR="00444C99" w:rsidRPr="00444C99">
        <w:t>.</w:t>
      </w:r>
    </w:p>
  </w:footnote>
  <w:footnote w:id="431">
    <w:p w14:paraId="2655089B" w14:textId="0FC894C4" w:rsidR="00D52FA0" w:rsidRDefault="00D52FA0">
      <w:pPr>
        <w:pStyle w:val="FootnoteText"/>
      </w:pPr>
      <w:r>
        <w:rPr>
          <w:rStyle w:val="FootnoteReference"/>
        </w:rPr>
        <w:footnoteRef/>
      </w:r>
      <w:r>
        <w:t xml:space="preserve"> </w:t>
      </w:r>
      <w:r w:rsidRPr="003C4B61">
        <w:t>Interview 15.</w:t>
      </w:r>
    </w:p>
  </w:footnote>
  <w:footnote w:id="432">
    <w:p w14:paraId="5B088775" w14:textId="78B002AD" w:rsidR="00072409" w:rsidRDefault="00072409">
      <w:pPr>
        <w:pStyle w:val="FootnoteText"/>
      </w:pPr>
      <w:r>
        <w:rPr>
          <w:rStyle w:val="FootnoteReference"/>
        </w:rPr>
        <w:footnoteRef/>
      </w:r>
      <w:r>
        <w:t xml:space="preserve"> </w:t>
      </w:r>
      <w:r w:rsidRPr="003C4B61">
        <w:t>Interview</w:t>
      </w:r>
      <w:r>
        <w:t>s</w:t>
      </w:r>
      <w:r w:rsidRPr="003C4B61">
        <w:t xml:space="preserve"> 4</w:t>
      </w:r>
      <w:r>
        <w:t>,</w:t>
      </w:r>
      <w:r w:rsidRPr="003C4B61">
        <w:t xml:space="preserve"> 10</w:t>
      </w:r>
      <w:r>
        <w:t>,</w:t>
      </w:r>
      <w:r w:rsidRPr="003C4B61">
        <w:t xml:space="preserve"> 9</w:t>
      </w:r>
      <w:r>
        <w:t>.</w:t>
      </w:r>
    </w:p>
  </w:footnote>
  <w:footnote w:id="433">
    <w:p w14:paraId="244756F4" w14:textId="2D6FCC0A" w:rsidR="00072409" w:rsidRDefault="00072409">
      <w:pPr>
        <w:pStyle w:val="FootnoteText"/>
      </w:pPr>
      <w:r>
        <w:rPr>
          <w:rStyle w:val="FootnoteReference"/>
        </w:rPr>
        <w:footnoteRef/>
      </w:r>
      <w:r>
        <w:t xml:space="preserve"> </w:t>
      </w:r>
      <w:r w:rsidRPr="003C4B61">
        <w:t>Interview</w:t>
      </w:r>
      <w:r>
        <w:t>s</w:t>
      </w:r>
      <w:r w:rsidRPr="003C4B61">
        <w:t xml:space="preserve"> </w:t>
      </w:r>
      <w:r w:rsidRPr="00385139">
        <w:t>16</w:t>
      </w:r>
      <w:r>
        <w:t>,</w:t>
      </w:r>
      <w:r w:rsidRPr="003C4B61">
        <w:t xml:space="preserve"> 22</w:t>
      </w:r>
      <w:r>
        <w:t>,</w:t>
      </w:r>
      <w:r w:rsidRPr="003C4B61">
        <w:t xml:space="preserve"> 7.</w:t>
      </w:r>
    </w:p>
  </w:footnote>
  <w:footnote w:id="434">
    <w:p w14:paraId="7D8FBD7D" w14:textId="7E4B233B" w:rsidR="008B6B9A" w:rsidRDefault="008B6B9A" w:rsidP="008B6B9A">
      <w:pPr>
        <w:pStyle w:val="FootnoteText"/>
      </w:pPr>
      <w:r>
        <w:rPr>
          <w:rStyle w:val="FootnoteReference"/>
        </w:rPr>
        <w:footnoteRef/>
      </w:r>
      <w:r>
        <w:t xml:space="preserve"> </w:t>
      </w:r>
      <w:r w:rsidRPr="00385139">
        <w:t>Interview</w:t>
      </w:r>
      <w:r w:rsidR="002B571B">
        <w:t>s</w:t>
      </w:r>
      <w:r w:rsidRPr="003C4B61">
        <w:t xml:space="preserve"> 7</w:t>
      </w:r>
      <w:r w:rsidR="002B571B">
        <w:t>, 16, 22.</w:t>
      </w:r>
    </w:p>
  </w:footnote>
  <w:footnote w:id="435">
    <w:p w14:paraId="739B2C96" w14:textId="0B8C395A" w:rsidR="00072409" w:rsidRDefault="00072409">
      <w:pPr>
        <w:pStyle w:val="FootnoteText"/>
      </w:pPr>
      <w:r>
        <w:rPr>
          <w:rStyle w:val="FootnoteReference"/>
        </w:rPr>
        <w:footnoteRef/>
      </w:r>
      <w:r>
        <w:t xml:space="preserve"> </w:t>
      </w:r>
      <w:r w:rsidRPr="003C4B61">
        <w:t>Interview 7.</w:t>
      </w:r>
    </w:p>
  </w:footnote>
  <w:footnote w:id="436">
    <w:p w14:paraId="5D94D088" w14:textId="4DF261A2" w:rsidR="00882EF6" w:rsidRDefault="00882EF6">
      <w:pPr>
        <w:pStyle w:val="FootnoteText"/>
      </w:pPr>
      <w:r>
        <w:rPr>
          <w:rStyle w:val="FootnoteReference"/>
        </w:rPr>
        <w:footnoteRef/>
      </w:r>
      <w:r>
        <w:t xml:space="preserve"> </w:t>
      </w:r>
      <w:r w:rsidRPr="003C4B61">
        <w:t>Interview</w:t>
      </w:r>
      <w:r>
        <w:t>s</w:t>
      </w:r>
      <w:r w:rsidRPr="003C4B61">
        <w:t xml:space="preserve"> 6, 10</w:t>
      </w:r>
      <w:r>
        <w:t>,</w:t>
      </w:r>
      <w:r w:rsidRPr="003C4B61">
        <w:t xml:space="preserve"> 12</w:t>
      </w:r>
      <w:r>
        <w:t>,</w:t>
      </w:r>
      <w:r w:rsidRPr="003C4B61">
        <w:t xml:space="preserve"> 19</w:t>
      </w:r>
      <w:r>
        <w:t>,</w:t>
      </w:r>
      <w:r w:rsidRPr="003C4B61">
        <w:t xml:space="preserve"> </w:t>
      </w:r>
      <w:r w:rsidRPr="00385139">
        <w:t>16</w:t>
      </w:r>
      <w:r>
        <w:t>,</w:t>
      </w:r>
      <w:r w:rsidRPr="003C4B61">
        <w:t xml:space="preserve"> 22</w:t>
      </w:r>
      <w:r w:rsidR="00D7415E">
        <w:t>, 14</w:t>
      </w:r>
      <w:r w:rsidRPr="003C4B61">
        <w:t>.</w:t>
      </w:r>
    </w:p>
  </w:footnote>
  <w:footnote w:id="437">
    <w:p w14:paraId="4D1DD394" w14:textId="7E883ABA" w:rsidR="003121CC" w:rsidRPr="00444C99" w:rsidRDefault="003121CC">
      <w:pPr>
        <w:pStyle w:val="FootnoteText"/>
      </w:pPr>
      <w:r>
        <w:rPr>
          <w:rStyle w:val="FootnoteReference"/>
        </w:rPr>
        <w:footnoteRef/>
      </w:r>
      <w:r>
        <w:t xml:space="preserve"> </w:t>
      </w:r>
      <w:r w:rsidRPr="00444C99">
        <w:t>Interviews 19, 14</w:t>
      </w:r>
      <w:r w:rsidR="006904BE">
        <w:t>, 16, 22</w:t>
      </w:r>
      <w:r w:rsidR="00444C99" w:rsidRPr="00444C99">
        <w:t>.</w:t>
      </w:r>
    </w:p>
  </w:footnote>
  <w:footnote w:id="438">
    <w:p w14:paraId="32CF9C06" w14:textId="6917F8E3" w:rsidR="003121CC" w:rsidRPr="00444C99" w:rsidRDefault="003121CC">
      <w:pPr>
        <w:pStyle w:val="FootnoteText"/>
      </w:pPr>
      <w:r w:rsidRPr="00444C99">
        <w:rPr>
          <w:rStyle w:val="FootnoteReference"/>
        </w:rPr>
        <w:footnoteRef/>
      </w:r>
      <w:r w:rsidRPr="00444C99">
        <w:t xml:space="preserve"> Interviews 9, 15.</w:t>
      </w:r>
    </w:p>
  </w:footnote>
  <w:footnote w:id="439">
    <w:p w14:paraId="10D43B68" w14:textId="6DED1987" w:rsidR="003121CC" w:rsidRPr="00444C99" w:rsidRDefault="003121CC">
      <w:pPr>
        <w:pStyle w:val="FootnoteText"/>
      </w:pPr>
      <w:r w:rsidRPr="00444C99">
        <w:rPr>
          <w:rStyle w:val="FootnoteReference"/>
        </w:rPr>
        <w:footnoteRef/>
      </w:r>
      <w:r w:rsidRPr="00444C99">
        <w:t xml:space="preserve"> Interviews 4, 12, 23, 19, 14</w:t>
      </w:r>
      <w:r w:rsidR="00B25FCD">
        <w:t>, 6</w:t>
      </w:r>
      <w:r w:rsidR="00227384">
        <w:t>, 10.</w:t>
      </w:r>
    </w:p>
  </w:footnote>
  <w:footnote w:id="440">
    <w:p w14:paraId="2826E6CD" w14:textId="7DE1DD5C" w:rsidR="003121CC" w:rsidRPr="00444C99" w:rsidRDefault="003121CC">
      <w:pPr>
        <w:pStyle w:val="FootnoteText"/>
      </w:pPr>
      <w:r w:rsidRPr="00444C99">
        <w:rPr>
          <w:rStyle w:val="FootnoteReference"/>
        </w:rPr>
        <w:footnoteRef/>
      </w:r>
      <w:r w:rsidRPr="00444C99">
        <w:t xml:space="preserve"> See further discussion at </w:t>
      </w:r>
      <w:r w:rsidR="00A17EDF">
        <w:t>[4.3.19]</w:t>
      </w:r>
      <w:r w:rsidR="00AE6F98">
        <w:t>–[4.3.20].</w:t>
      </w:r>
    </w:p>
  </w:footnote>
  <w:footnote w:id="441">
    <w:p w14:paraId="372C3CBF" w14:textId="70C29B22" w:rsidR="003121CC" w:rsidRPr="00444C99" w:rsidRDefault="003121CC">
      <w:pPr>
        <w:pStyle w:val="FootnoteText"/>
      </w:pPr>
      <w:r w:rsidRPr="00444C99">
        <w:rPr>
          <w:rStyle w:val="FootnoteReference"/>
        </w:rPr>
        <w:footnoteRef/>
      </w:r>
      <w:r w:rsidRPr="00444C99">
        <w:t xml:space="preserve"> Interviews 7, 8, 10, 14.</w:t>
      </w:r>
    </w:p>
  </w:footnote>
  <w:footnote w:id="442">
    <w:p w14:paraId="1FE413D0" w14:textId="2810C2C5" w:rsidR="003121CC" w:rsidRPr="00444C99" w:rsidRDefault="003121CC">
      <w:pPr>
        <w:pStyle w:val="FootnoteText"/>
      </w:pPr>
      <w:r w:rsidRPr="00444C99">
        <w:rPr>
          <w:rStyle w:val="FootnoteReference"/>
        </w:rPr>
        <w:footnoteRef/>
      </w:r>
      <w:r w:rsidRPr="00444C99">
        <w:t xml:space="preserve"> Interviews 8, 10.</w:t>
      </w:r>
    </w:p>
  </w:footnote>
  <w:footnote w:id="443">
    <w:p w14:paraId="51BBD1D2" w14:textId="7A56D7D9" w:rsidR="003121CC" w:rsidRPr="00444C99" w:rsidRDefault="003121CC">
      <w:pPr>
        <w:pStyle w:val="FootnoteText"/>
      </w:pPr>
      <w:r w:rsidRPr="00444C99">
        <w:rPr>
          <w:rStyle w:val="FootnoteReference"/>
        </w:rPr>
        <w:footnoteRef/>
      </w:r>
      <w:r w:rsidRPr="00444C99">
        <w:t xml:space="preserve"> Interview 18.</w:t>
      </w:r>
    </w:p>
  </w:footnote>
  <w:footnote w:id="444">
    <w:p w14:paraId="2A9976B3" w14:textId="542A1F7A" w:rsidR="003121CC" w:rsidRDefault="003121CC">
      <w:pPr>
        <w:pStyle w:val="FootnoteText"/>
      </w:pPr>
      <w:r w:rsidRPr="00444C99">
        <w:rPr>
          <w:rStyle w:val="FootnoteReference"/>
        </w:rPr>
        <w:footnoteRef/>
      </w:r>
      <w:r w:rsidRPr="00444C99">
        <w:t xml:space="preserve"> </w:t>
      </w:r>
      <w:r w:rsidR="007944E9" w:rsidRPr="00444C99">
        <w:t>Interviews 7, 12, 6, 14, 10</w:t>
      </w:r>
      <w:r w:rsidR="00422B80">
        <w:t>, 16, 22</w:t>
      </w:r>
      <w:r w:rsidR="007944E9" w:rsidRPr="00444C99">
        <w:t xml:space="preserve">. </w:t>
      </w:r>
    </w:p>
  </w:footnote>
  <w:footnote w:id="445">
    <w:p w14:paraId="64B387CF" w14:textId="692DC8D1" w:rsidR="00C95FA7" w:rsidRDefault="00C95FA7" w:rsidP="00385139">
      <w:pPr>
        <w:pStyle w:val="FootnoteText"/>
      </w:pPr>
      <w:r>
        <w:rPr>
          <w:rStyle w:val="FootnoteReference"/>
        </w:rPr>
        <w:footnoteRef/>
      </w:r>
      <w:r>
        <w:t xml:space="preserve"> </w:t>
      </w:r>
      <w:r w:rsidRPr="00385139">
        <w:t>Interview</w:t>
      </w:r>
      <w:r>
        <w:t xml:space="preserve"> 14.</w:t>
      </w:r>
    </w:p>
  </w:footnote>
  <w:footnote w:id="446">
    <w:p w14:paraId="619E9F18" w14:textId="4435C7A5" w:rsidR="007944E9" w:rsidRDefault="007944E9">
      <w:pPr>
        <w:pStyle w:val="FootnoteText"/>
      </w:pPr>
      <w:r>
        <w:rPr>
          <w:rStyle w:val="FootnoteReference"/>
        </w:rPr>
        <w:footnoteRef/>
      </w:r>
      <w:r>
        <w:t xml:space="preserve"> </w:t>
      </w:r>
      <w:r w:rsidRPr="00BA7DB8">
        <w:t xml:space="preserve">See </w:t>
      </w:r>
      <w:r w:rsidR="00FE6437" w:rsidRPr="00FE6437">
        <w:rPr>
          <w:b/>
          <w:bCs/>
        </w:rPr>
        <w:t>Part 3</w:t>
      </w:r>
      <w:r w:rsidR="00FE6437">
        <w:t xml:space="preserve"> at [3.3.5]</w:t>
      </w:r>
      <w:r w:rsidRPr="00BA7DB8">
        <w:t>.</w:t>
      </w:r>
    </w:p>
  </w:footnote>
  <w:footnote w:id="447">
    <w:p w14:paraId="5DB3F7EB" w14:textId="08582FF5" w:rsidR="007944E9" w:rsidRPr="00884695" w:rsidRDefault="007944E9">
      <w:pPr>
        <w:pStyle w:val="FootnoteText"/>
      </w:pPr>
      <w:r>
        <w:rPr>
          <w:rStyle w:val="FootnoteReference"/>
        </w:rPr>
        <w:footnoteRef/>
      </w:r>
      <w:r>
        <w:t xml:space="preserve"> </w:t>
      </w:r>
      <w:r w:rsidRPr="003C4B61">
        <w:t xml:space="preserve">See </w:t>
      </w:r>
      <w:r w:rsidR="00FE6437" w:rsidRPr="00124978">
        <w:rPr>
          <w:b/>
          <w:bCs/>
        </w:rPr>
        <w:t>Part 2</w:t>
      </w:r>
      <w:r w:rsidR="00152DFF">
        <w:t>, including [2.2]: ‘Definitions and types of abuse’</w:t>
      </w:r>
      <w:r w:rsidR="00B1662C">
        <w:t>;</w:t>
      </w:r>
      <w:r w:rsidR="00152DFF">
        <w:t xml:space="preserve"> [2.3]</w:t>
      </w:r>
      <w:r w:rsidR="00B1662C">
        <w:t>:</w:t>
      </w:r>
      <w:r w:rsidR="00152DFF">
        <w:t xml:space="preserve"> ‘Prevalence and dynamics of abuse’</w:t>
      </w:r>
      <w:r w:rsidR="00B1662C">
        <w:t xml:space="preserve">; and [2.4]: ‘Risk factors and help-seeking for abuse’. </w:t>
      </w:r>
    </w:p>
  </w:footnote>
  <w:footnote w:id="448">
    <w:p w14:paraId="4C28224A" w14:textId="6C9149B9" w:rsidR="0041478D" w:rsidRDefault="0041478D" w:rsidP="003A5DC0">
      <w:pPr>
        <w:pStyle w:val="FootnoteText"/>
      </w:pPr>
      <w:r>
        <w:rPr>
          <w:rStyle w:val="FootnoteReference"/>
        </w:rPr>
        <w:footnoteRef/>
      </w:r>
      <w:r>
        <w:t xml:space="preserve"> </w:t>
      </w:r>
      <w:r w:rsidRPr="003C4B61">
        <w:t xml:space="preserve">The same limitations discussed at </w:t>
      </w:r>
      <w:r>
        <w:t>[2.3.10] a</w:t>
      </w:r>
      <w:r w:rsidRPr="003C4B61">
        <w:t>pply to these data. It is also noted that more than one response was often provided, so these categories are not mutually exclusive. Further, the list of responses under ‘formal information or referral’ is not exhaustive but captures the main discussion points</w:t>
      </w:r>
      <w:r w:rsidR="00444C99">
        <w:t>.</w:t>
      </w:r>
      <w:r w:rsidR="00400EDC">
        <w:t xml:space="preserve"> Equivalent data on responses w</w:t>
      </w:r>
      <w:r w:rsidR="006A456E">
        <w:t>ere</w:t>
      </w:r>
      <w:r w:rsidR="00400EDC">
        <w:t xml:space="preserve"> not available in the sample of Senior Assist clients</w:t>
      </w:r>
      <w:r w:rsidR="00750F7C">
        <w:t xml:space="preserve">. See </w:t>
      </w:r>
      <w:r w:rsidR="00750F7C" w:rsidRPr="008036D8">
        <w:rPr>
          <w:b/>
          <w:bCs/>
        </w:rPr>
        <w:t>Appendix A</w:t>
      </w:r>
      <w:r w:rsidR="008036D8">
        <w:t xml:space="preserve"> n 894.</w:t>
      </w:r>
      <w:r w:rsidR="007C0425">
        <w:t xml:space="preserve"> It is noted than an evaluation of </w:t>
      </w:r>
      <w:r w:rsidR="0063238F">
        <w:t>‘Elder Abuse Service Trials</w:t>
      </w:r>
      <w:r w:rsidR="001474AD">
        <w:t>’</w:t>
      </w:r>
      <w:r w:rsidR="0063238F">
        <w:t xml:space="preserve">, </w:t>
      </w:r>
      <w:r w:rsidR="00723A95">
        <w:t xml:space="preserve">including </w:t>
      </w:r>
      <w:r w:rsidR="0063238F">
        <w:t xml:space="preserve">Tasmania Legal Aid’s </w:t>
      </w:r>
      <w:r w:rsidR="00723A95">
        <w:t xml:space="preserve">Senior Assist </w:t>
      </w:r>
      <w:r w:rsidR="0063238F">
        <w:t xml:space="preserve">Program, was </w:t>
      </w:r>
      <w:r w:rsidR="003A5DC0">
        <w:t xml:space="preserve">completed in 2021 </w:t>
      </w:r>
      <w:r w:rsidR="00EA7339">
        <w:t>and reported positive findings including that in summary</w:t>
      </w:r>
      <w:r w:rsidR="003A5DC0">
        <w:t>: ‘Older people feel supported, and services meet their needs. Older people are satisfied with the services they receive and that their issues are being resolved appropriately. Older people are offered and are pursuing remedies to enable them to achieve justice and legal restitution</w:t>
      </w:r>
      <w:r w:rsidR="00EA7339">
        <w:t xml:space="preserve">’: Inside Policy, prepared for the Attorney-General’s Department, </w:t>
      </w:r>
      <w:r w:rsidR="00EA7339" w:rsidRPr="00EA7339">
        <w:rPr>
          <w:i/>
          <w:iCs/>
        </w:rPr>
        <w:t>Final Evaluation of the Elder Abuse Service Trials</w:t>
      </w:r>
      <w:r w:rsidR="00EA7339">
        <w:t>, Final Report, August 2021).</w:t>
      </w:r>
    </w:p>
  </w:footnote>
  <w:footnote w:id="449">
    <w:p w14:paraId="4A63B7E0" w14:textId="77777777" w:rsidR="00963B5A" w:rsidRDefault="00963B5A" w:rsidP="00963B5A">
      <w:pPr>
        <w:pStyle w:val="FootnoteText"/>
      </w:pPr>
      <w:r>
        <w:rPr>
          <w:rStyle w:val="FootnoteReference"/>
        </w:rPr>
        <w:footnoteRef/>
      </w:r>
      <w:r>
        <w:t xml:space="preserve"> </w:t>
      </w:r>
      <w:r w:rsidRPr="003C4B61">
        <w:t xml:space="preserve">Other caller included: ‘family, </w:t>
      </w:r>
      <w:r w:rsidRPr="00385139">
        <w:t>friend</w:t>
      </w:r>
      <w:r w:rsidRPr="003C4B61">
        <w:t>, neighbour, service provider community group, Amb/Police’.</w:t>
      </w:r>
    </w:p>
  </w:footnote>
  <w:footnote w:id="450">
    <w:p w14:paraId="712FDA6E" w14:textId="1A2F44B2" w:rsidR="007E08B4" w:rsidRDefault="007E08B4">
      <w:pPr>
        <w:pStyle w:val="FootnoteText"/>
      </w:pPr>
      <w:r>
        <w:rPr>
          <w:rStyle w:val="FootnoteReference"/>
        </w:rPr>
        <w:footnoteRef/>
      </w:r>
      <w:r>
        <w:t xml:space="preserve"> </w:t>
      </w:r>
      <w:r w:rsidR="0041478D">
        <w:t xml:space="preserve">‘TASCAT’ refers to </w:t>
      </w:r>
      <w:r w:rsidR="007B7A0F">
        <w:t xml:space="preserve">Tasmanian Civil and Administrative Tribunal. </w:t>
      </w:r>
    </w:p>
  </w:footnote>
  <w:footnote w:id="451">
    <w:p w14:paraId="082A7E3A" w14:textId="17CACF23" w:rsidR="007E08B4" w:rsidRDefault="007E08B4">
      <w:pPr>
        <w:pStyle w:val="FootnoteText"/>
      </w:pPr>
      <w:r>
        <w:rPr>
          <w:rStyle w:val="FootnoteReference"/>
        </w:rPr>
        <w:footnoteRef/>
      </w:r>
      <w:r>
        <w:t xml:space="preserve"> </w:t>
      </w:r>
      <w:r w:rsidR="0041478D">
        <w:t xml:space="preserve">‘CHSP’ refers to </w:t>
      </w:r>
      <w:r>
        <w:t>Commonwealth Home Support Program.</w:t>
      </w:r>
    </w:p>
  </w:footnote>
  <w:footnote w:id="452">
    <w:p w14:paraId="56ADAAF7" w14:textId="77777777" w:rsidR="00446C75" w:rsidRDefault="00446C75" w:rsidP="00446C75">
      <w:pPr>
        <w:pStyle w:val="FootnoteText"/>
      </w:pPr>
      <w:r>
        <w:rPr>
          <w:rStyle w:val="FootnoteReference"/>
        </w:rPr>
        <w:footnoteRef/>
      </w:r>
      <w:r>
        <w:t xml:space="preserve"> </w:t>
      </w:r>
      <w:r w:rsidRPr="00385139">
        <w:t>Interview</w:t>
      </w:r>
      <w:r>
        <w:t>s</w:t>
      </w:r>
      <w:r w:rsidRPr="003C4B61">
        <w:t xml:space="preserve"> 4</w:t>
      </w:r>
      <w:r>
        <w:t>, 5, 9, 10, 8, 18.</w:t>
      </w:r>
    </w:p>
  </w:footnote>
  <w:footnote w:id="453">
    <w:p w14:paraId="68A99CA5" w14:textId="77777777" w:rsidR="00446C75" w:rsidRDefault="00446C75" w:rsidP="00446C75">
      <w:pPr>
        <w:pStyle w:val="FootnoteText"/>
      </w:pPr>
      <w:r>
        <w:rPr>
          <w:rStyle w:val="FootnoteReference"/>
        </w:rPr>
        <w:footnoteRef/>
      </w:r>
      <w:r>
        <w:t xml:space="preserve"> </w:t>
      </w:r>
      <w:r w:rsidRPr="003D3A01">
        <w:t>Interviews</w:t>
      </w:r>
      <w:r w:rsidRPr="003C4B61">
        <w:t xml:space="preserve"> 4</w:t>
      </w:r>
      <w:r>
        <w:t>,</w:t>
      </w:r>
      <w:r w:rsidRPr="003C4B61">
        <w:t xml:space="preserve"> 14</w:t>
      </w:r>
      <w:r>
        <w:t>,</w:t>
      </w:r>
      <w:r w:rsidRPr="003C4B61">
        <w:t xml:space="preserve"> 5</w:t>
      </w:r>
      <w:r>
        <w:t xml:space="preserve">, 10. </w:t>
      </w:r>
    </w:p>
  </w:footnote>
  <w:footnote w:id="454">
    <w:p w14:paraId="188804EE" w14:textId="0AB99CCC" w:rsidR="00807689" w:rsidRDefault="00807689">
      <w:pPr>
        <w:pStyle w:val="FootnoteText"/>
      </w:pPr>
      <w:r>
        <w:rPr>
          <w:rStyle w:val="FootnoteReference"/>
        </w:rPr>
        <w:footnoteRef/>
      </w:r>
      <w:r>
        <w:t xml:space="preserve"> </w:t>
      </w:r>
      <w:r w:rsidRPr="003D3A01">
        <w:t>Interview</w:t>
      </w:r>
      <w:r w:rsidRPr="003C4B61">
        <w:t xml:space="preserve"> 21.</w:t>
      </w:r>
    </w:p>
  </w:footnote>
  <w:footnote w:id="455">
    <w:p w14:paraId="28844A22" w14:textId="25FB58C8" w:rsidR="00E16952" w:rsidRDefault="00E16952" w:rsidP="00E16952">
      <w:pPr>
        <w:pStyle w:val="FootnoteText"/>
      </w:pPr>
      <w:r>
        <w:rPr>
          <w:rStyle w:val="FootnoteReference"/>
        </w:rPr>
        <w:footnoteRef/>
      </w:r>
      <w:r>
        <w:t xml:space="preserve"> </w:t>
      </w:r>
      <w:r w:rsidRPr="003D3A01">
        <w:t>Interview</w:t>
      </w:r>
      <w:r>
        <w:t>s</w:t>
      </w:r>
      <w:r w:rsidRPr="003C4B61">
        <w:t xml:space="preserve"> 4</w:t>
      </w:r>
      <w:r>
        <w:t xml:space="preserve">, 15, 9, 13, 8, 10, 13, </w:t>
      </w:r>
      <w:r w:rsidRPr="003C4B61">
        <w:t>21</w:t>
      </w:r>
      <w:r>
        <w:t>,</w:t>
      </w:r>
      <w:r w:rsidRPr="003C4B61">
        <w:t xml:space="preserve"> 6</w:t>
      </w:r>
      <w:r>
        <w:t>.</w:t>
      </w:r>
    </w:p>
  </w:footnote>
  <w:footnote w:id="456">
    <w:p w14:paraId="67377751" w14:textId="4125EAC1" w:rsidR="00807689" w:rsidRDefault="00807689">
      <w:pPr>
        <w:pStyle w:val="FootnoteText"/>
      </w:pPr>
      <w:r>
        <w:rPr>
          <w:rStyle w:val="FootnoteReference"/>
        </w:rPr>
        <w:footnoteRef/>
      </w:r>
      <w:r>
        <w:t xml:space="preserve"> </w:t>
      </w:r>
      <w:r w:rsidRPr="003D3A01">
        <w:t>Interview</w:t>
      </w:r>
      <w:r w:rsidRPr="003C4B61">
        <w:t xml:space="preserve"> 19.</w:t>
      </w:r>
    </w:p>
  </w:footnote>
  <w:footnote w:id="457">
    <w:p w14:paraId="0C05AB3E" w14:textId="32028886" w:rsidR="00807689" w:rsidRDefault="00807689">
      <w:pPr>
        <w:pStyle w:val="FootnoteText"/>
      </w:pPr>
      <w:r>
        <w:rPr>
          <w:rStyle w:val="FootnoteReference"/>
        </w:rPr>
        <w:footnoteRef/>
      </w:r>
      <w:r>
        <w:t xml:space="preserve"> </w:t>
      </w:r>
      <w:r w:rsidRPr="003C4B61">
        <w:t>Interview 19.</w:t>
      </w:r>
    </w:p>
  </w:footnote>
  <w:footnote w:id="458">
    <w:p w14:paraId="7CBDB9D5" w14:textId="6B323CE4" w:rsidR="00807689" w:rsidRDefault="00807689">
      <w:pPr>
        <w:pStyle w:val="FootnoteText"/>
      </w:pPr>
      <w:r>
        <w:rPr>
          <w:rStyle w:val="FootnoteReference"/>
        </w:rPr>
        <w:footnoteRef/>
      </w:r>
      <w:r>
        <w:t xml:space="preserve"> Interviews 20, 5, 8, 23, 9.</w:t>
      </w:r>
    </w:p>
  </w:footnote>
  <w:footnote w:id="459">
    <w:p w14:paraId="5652BE59" w14:textId="1D35F79D" w:rsidR="00CA6340" w:rsidRDefault="00CA6340">
      <w:pPr>
        <w:pStyle w:val="FootnoteText"/>
      </w:pPr>
      <w:r>
        <w:rPr>
          <w:rStyle w:val="FootnoteReference"/>
        </w:rPr>
        <w:footnoteRef/>
      </w:r>
      <w:r>
        <w:t xml:space="preserve"> </w:t>
      </w:r>
      <w:r w:rsidR="00401D36">
        <w:t xml:space="preserve">Tasmanian Government (Department of Premier and Cabinet), </w:t>
      </w:r>
      <w:r w:rsidR="00401D36">
        <w:rPr>
          <w:i/>
          <w:iCs/>
        </w:rPr>
        <w:t xml:space="preserve">Elder Abuse Tasmania: It’s OK to Ask the Question </w:t>
      </w:r>
      <w:r w:rsidR="00401D36">
        <w:t>(Web Page) &lt;</w:t>
      </w:r>
      <w:hyperlink r:id="rId97" w:history="1">
        <w:r w:rsidR="00D74A8C" w:rsidRPr="00574462">
          <w:rPr>
            <w:rStyle w:val="Hyperlink"/>
          </w:rPr>
          <w:t>https://www.elderabuse.tas.gov.au/home</w:t>
        </w:r>
      </w:hyperlink>
      <w:r w:rsidR="00401D36">
        <w:t>&gt;</w:t>
      </w:r>
      <w:r w:rsidR="00F103DB">
        <w:t xml:space="preserve"> (‘Department of Premier and Cabinet, </w:t>
      </w:r>
      <w:r w:rsidR="00F103DB">
        <w:rPr>
          <w:i/>
          <w:iCs/>
        </w:rPr>
        <w:t>Elder Abuse Tasmania: It’s OK to Ask the Question</w:t>
      </w:r>
      <w:r w:rsidR="00F103DB">
        <w:t>’)</w:t>
      </w:r>
      <w:r w:rsidRPr="003D3A01">
        <w:t xml:space="preserve">. See also </w:t>
      </w:r>
      <w:r w:rsidR="00C51D4B" w:rsidRPr="00C51D4B">
        <w:rPr>
          <w:b/>
          <w:bCs/>
        </w:rPr>
        <w:t>Appendix C</w:t>
      </w:r>
      <w:r w:rsidRPr="003D3A01">
        <w:t>.</w:t>
      </w:r>
    </w:p>
  </w:footnote>
  <w:footnote w:id="460">
    <w:p w14:paraId="4753A2D7" w14:textId="2E583CF8" w:rsidR="00FC6987" w:rsidRDefault="00FC6987">
      <w:pPr>
        <w:pStyle w:val="FootnoteText"/>
      </w:pPr>
      <w:r>
        <w:rPr>
          <w:rStyle w:val="FootnoteReference"/>
        </w:rPr>
        <w:footnoteRef/>
      </w:r>
      <w:r>
        <w:t xml:space="preserve"> </w:t>
      </w:r>
      <w:r w:rsidRPr="003C4B61">
        <w:t xml:space="preserve">There are three free Massive Online Courses (MOOCs) offered by </w:t>
      </w:r>
      <w:r w:rsidRPr="003D3A01">
        <w:t>the</w:t>
      </w:r>
      <w:r w:rsidRPr="003C4B61">
        <w:t xml:space="preserve"> Wicking Dementia Centre</w:t>
      </w:r>
      <w:r>
        <w:t>:</w:t>
      </w:r>
      <w:r w:rsidRPr="003C4B61">
        <w:t xml:space="preserve"> ‘</w:t>
      </w:r>
      <w:r w:rsidRPr="003D3A01">
        <w:t xml:space="preserve">Understanding Dementia MOOC’; Preventing Dementia MOOC; and Understanding Traumatic Brain Injury (TBI) MOOC: </w:t>
      </w:r>
      <w:r>
        <w:t>University of Tasmania,</w:t>
      </w:r>
      <w:r w:rsidRPr="00FB5FD6">
        <w:t xml:space="preserve"> </w:t>
      </w:r>
      <w:r w:rsidRPr="000A34ED">
        <w:rPr>
          <w:i/>
          <w:iCs/>
        </w:rPr>
        <w:t>Wicking Dementia Research and Education Centre</w:t>
      </w:r>
      <w:r>
        <w:t xml:space="preserve"> (Web Page)   &lt;</w:t>
      </w:r>
      <w:hyperlink r:id="rId98" w:history="1">
        <w:r w:rsidR="00E75746" w:rsidRPr="00574462">
          <w:rPr>
            <w:rStyle w:val="Hyperlink"/>
          </w:rPr>
          <w:t>https://www.utas.edu.au/wicking</w:t>
        </w:r>
      </w:hyperlink>
      <w:r>
        <w:t>&gt;.</w:t>
      </w:r>
    </w:p>
  </w:footnote>
  <w:footnote w:id="461">
    <w:p w14:paraId="7205272A" w14:textId="3BB62BA5" w:rsidR="00FC6987" w:rsidRDefault="00FC6987">
      <w:pPr>
        <w:pStyle w:val="FootnoteText"/>
      </w:pPr>
      <w:r>
        <w:rPr>
          <w:rStyle w:val="FootnoteReference"/>
        </w:rPr>
        <w:footnoteRef/>
      </w:r>
      <w:r>
        <w:t xml:space="preserve"> Australian Government, ‘Tailored Support Packages’, </w:t>
      </w:r>
      <w:r w:rsidRPr="00E8017F">
        <w:rPr>
          <w:i/>
          <w:iCs/>
        </w:rPr>
        <w:t>Carer Gateway</w:t>
      </w:r>
      <w:r>
        <w:t xml:space="preserve"> (Web Page) &lt;</w:t>
      </w:r>
      <w:hyperlink r:id="rId99" w:history="1">
        <w:r w:rsidRPr="00574462">
          <w:rPr>
            <w:rStyle w:val="Hyperlink"/>
          </w:rPr>
          <w:t>https://www.carergateway.gov.au/help-and-support/caring-me/available-support-carers/tailored-support-packages</w:t>
        </w:r>
      </w:hyperlink>
      <w:r>
        <w:t>&gt;.</w:t>
      </w:r>
    </w:p>
  </w:footnote>
  <w:footnote w:id="462">
    <w:p w14:paraId="02713423" w14:textId="79A49FCB" w:rsidR="000D3528" w:rsidRDefault="000D3528">
      <w:pPr>
        <w:pStyle w:val="FootnoteText"/>
      </w:pPr>
      <w:r>
        <w:rPr>
          <w:rStyle w:val="FootnoteReference"/>
        </w:rPr>
        <w:footnoteRef/>
      </w:r>
      <w:r>
        <w:t xml:space="preserve"> </w:t>
      </w:r>
      <w:r w:rsidRPr="003D3A01">
        <w:t>These</w:t>
      </w:r>
      <w:r>
        <w:t xml:space="preserve"> online modules</w:t>
      </w:r>
      <w:r w:rsidRPr="003D3A01">
        <w:t xml:space="preserve"> are: ‘Prepare to Care’; Physical and Mental Health’; ‘Staying at Home’; Respite and Residential Aged Care’; Planning for Life and Prepare for End of Life’; Caring for the Carer’:</w:t>
      </w:r>
      <w:r>
        <w:t xml:space="preserve"> Care2Serve (part of Carers Tasmania Group), ‘Caring for Older Tasmanians’, </w:t>
      </w:r>
      <w:r w:rsidRPr="0041336E">
        <w:rPr>
          <w:i/>
          <w:iCs/>
        </w:rPr>
        <w:t>Carer Gateway</w:t>
      </w:r>
      <w:r>
        <w:t xml:space="preserve"> (</w:t>
      </w:r>
      <w:r w:rsidR="0041336E">
        <w:t>Online Modules</w:t>
      </w:r>
      <w:r>
        <w:t>, 2025) &lt;</w:t>
      </w:r>
      <w:hyperlink r:id="rId100" w:history="1">
        <w:r w:rsidRPr="00574462">
          <w:rPr>
            <w:rStyle w:val="Hyperlink"/>
          </w:rPr>
          <w:t>https://caringforoldertasmanians.care2serve.com.au/</w:t>
        </w:r>
      </w:hyperlink>
      <w:r>
        <w:t>&gt;.</w:t>
      </w:r>
    </w:p>
  </w:footnote>
  <w:footnote w:id="463">
    <w:p w14:paraId="3794C5A6" w14:textId="5B8968DB" w:rsidR="00922292" w:rsidRDefault="00922292">
      <w:pPr>
        <w:pStyle w:val="FootnoteText"/>
      </w:pPr>
      <w:r>
        <w:rPr>
          <w:rStyle w:val="FootnoteReference"/>
        </w:rPr>
        <w:footnoteRef/>
      </w:r>
      <w:r>
        <w:t xml:space="preserve"> </w:t>
      </w:r>
      <w:r w:rsidRPr="003C4B61">
        <w:t>Interview</w:t>
      </w:r>
      <w:r>
        <w:t>s</w:t>
      </w:r>
      <w:r w:rsidRPr="003C4B61">
        <w:t xml:space="preserve"> 7</w:t>
      </w:r>
      <w:r>
        <w:t>,</w:t>
      </w:r>
      <w:r w:rsidRPr="003C4B61">
        <w:t xml:space="preserve"> </w:t>
      </w:r>
      <w:r>
        <w:t xml:space="preserve">3, </w:t>
      </w:r>
      <w:r w:rsidRPr="003C4B61">
        <w:t>4</w:t>
      </w:r>
      <w:r>
        <w:t>,</w:t>
      </w:r>
      <w:r w:rsidRPr="003C4B61">
        <w:t xml:space="preserve"> 15</w:t>
      </w:r>
      <w:r>
        <w:t>,</w:t>
      </w:r>
      <w:r w:rsidRPr="003C4B61">
        <w:t xml:space="preserve"> 18</w:t>
      </w:r>
      <w:r>
        <w:t>,</w:t>
      </w:r>
      <w:r w:rsidRPr="003C4B61">
        <w:t xml:space="preserve"> 12</w:t>
      </w:r>
      <w:r>
        <w:t>,</w:t>
      </w:r>
      <w:r w:rsidRPr="003C4B61">
        <w:t xml:space="preserve"> 5</w:t>
      </w:r>
      <w:r>
        <w:t>,</w:t>
      </w:r>
      <w:r w:rsidRPr="003C4B61">
        <w:t xml:space="preserve"> 15</w:t>
      </w:r>
      <w:r>
        <w:t>,</w:t>
      </w:r>
      <w:r w:rsidRPr="003C4B61">
        <w:t xml:space="preserve"> 18</w:t>
      </w:r>
      <w:r>
        <w:t>, 9, 8, 10, 13, 19, 2, 14, 17, 1, 6, 23</w:t>
      </w:r>
      <w:r w:rsidR="00444C99">
        <w:t>.</w:t>
      </w:r>
    </w:p>
  </w:footnote>
  <w:footnote w:id="464">
    <w:p w14:paraId="59830346" w14:textId="1A1F8068" w:rsidR="00C51D4B" w:rsidRDefault="00C51D4B">
      <w:pPr>
        <w:pStyle w:val="FootnoteText"/>
      </w:pPr>
      <w:r>
        <w:rPr>
          <w:rStyle w:val="FootnoteReference"/>
        </w:rPr>
        <w:footnoteRef/>
      </w:r>
      <w:r>
        <w:t xml:space="preserve"> </w:t>
      </w:r>
      <w:r w:rsidRPr="003C4B61">
        <w:t>Interview</w:t>
      </w:r>
      <w:r>
        <w:t>s</w:t>
      </w:r>
      <w:r w:rsidRPr="003C4B61">
        <w:t xml:space="preserve"> 7</w:t>
      </w:r>
      <w:r>
        <w:t>,</w:t>
      </w:r>
      <w:r w:rsidRPr="003C4B61">
        <w:t xml:space="preserve"> </w:t>
      </w:r>
      <w:r>
        <w:t xml:space="preserve">3, </w:t>
      </w:r>
      <w:r w:rsidRPr="003C4B61">
        <w:t>4</w:t>
      </w:r>
      <w:r>
        <w:t>,</w:t>
      </w:r>
      <w:r w:rsidRPr="003C4B61">
        <w:t xml:space="preserve"> 15</w:t>
      </w:r>
      <w:r>
        <w:t>,</w:t>
      </w:r>
      <w:r w:rsidRPr="003C4B61">
        <w:t xml:space="preserve"> 18</w:t>
      </w:r>
      <w:r>
        <w:t>,</w:t>
      </w:r>
      <w:r w:rsidRPr="003C4B61">
        <w:t xml:space="preserve"> 12</w:t>
      </w:r>
      <w:r>
        <w:t>,</w:t>
      </w:r>
      <w:r w:rsidRPr="003C4B61">
        <w:t xml:space="preserve"> 5</w:t>
      </w:r>
      <w:r>
        <w:t>,</w:t>
      </w:r>
      <w:r w:rsidRPr="003C4B61">
        <w:t xml:space="preserve"> 15</w:t>
      </w:r>
      <w:r>
        <w:t>,</w:t>
      </w:r>
      <w:r w:rsidRPr="003C4B61">
        <w:t xml:space="preserve"> 18</w:t>
      </w:r>
      <w:r>
        <w:t>, 9, 8, 10, 19, 2, 14, 17, 1, 6, 23.</w:t>
      </w:r>
    </w:p>
  </w:footnote>
  <w:footnote w:id="465">
    <w:p w14:paraId="6DD4E327" w14:textId="369C265E" w:rsidR="00C51D4B" w:rsidRDefault="00C51D4B">
      <w:pPr>
        <w:pStyle w:val="FootnoteText"/>
      </w:pPr>
      <w:r>
        <w:rPr>
          <w:rStyle w:val="FootnoteReference"/>
        </w:rPr>
        <w:footnoteRef/>
      </w:r>
      <w:r>
        <w:t xml:space="preserve"> </w:t>
      </w:r>
      <w:r w:rsidRPr="003C4B61">
        <w:t>Interview 15.</w:t>
      </w:r>
    </w:p>
  </w:footnote>
  <w:footnote w:id="466">
    <w:p w14:paraId="23FE54F0" w14:textId="122F18D4" w:rsidR="00C51D4B" w:rsidRDefault="00C51D4B">
      <w:pPr>
        <w:pStyle w:val="FootnoteText"/>
      </w:pPr>
      <w:r>
        <w:rPr>
          <w:rStyle w:val="FootnoteReference"/>
        </w:rPr>
        <w:footnoteRef/>
      </w:r>
      <w:r>
        <w:t xml:space="preserve"> </w:t>
      </w:r>
      <w:r w:rsidRPr="003D3A01">
        <w:t>Interview</w:t>
      </w:r>
      <w:r w:rsidRPr="003C4B61">
        <w:t xml:space="preserve"> 14.</w:t>
      </w:r>
    </w:p>
  </w:footnote>
  <w:footnote w:id="467">
    <w:p w14:paraId="4BB72A43" w14:textId="6EE433B8" w:rsidR="00C51D4B" w:rsidRDefault="00C51D4B">
      <w:pPr>
        <w:pStyle w:val="FootnoteText"/>
      </w:pPr>
      <w:r>
        <w:rPr>
          <w:rStyle w:val="FootnoteReference"/>
        </w:rPr>
        <w:footnoteRef/>
      </w:r>
      <w:r>
        <w:t xml:space="preserve"> </w:t>
      </w:r>
      <w:r w:rsidRPr="003C4B61">
        <w:t>Interview 18.</w:t>
      </w:r>
    </w:p>
  </w:footnote>
  <w:footnote w:id="468">
    <w:p w14:paraId="6348574E" w14:textId="5F432CCC" w:rsidR="00C51D4B" w:rsidRDefault="00C51D4B">
      <w:pPr>
        <w:pStyle w:val="FootnoteText"/>
      </w:pPr>
      <w:r>
        <w:rPr>
          <w:rStyle w:val="FootnoteReference"/>
        </w:rPr>
        <w:footnoteRef/>
      </w:r>
      <w:r>
        <w:t xml:space="preserve"> </w:t>
      </w:r>
      <w:r w:rsidRPr="003D3A01">
        <w:t>Interviews</w:t>
      </w:r>
      <w:r w:rsidRPr="003C4B61">
        <w:t xml:space="preserve"> 4.</w:t>
      </w:r>
    </w:p>
  </w:footnote>
  <w:footnote w:id="469">
    <w:p w14:paraId="38F04C63" w14:textId="12D9322D" w:rsidR="00C51D4B" w:rsidRDefault="00C51D4B">
      <w:pPr>
        <w:pStyle w:val="FootnoteText"/>
      </w:pPr>
      <w:r>
        <w:rPr>
          <w:rStyle w:val="FootnoteReference"/>
        </w:rPr>
        <w:footnoteRef/>
      </w:r>
      <w:r>
        <w:t xml:space="preserve"> </w:t>
      </w:r>
      <w:r w:rsidRPr="003D3A01">
        <w:t>Interview</w:t>
      </w:r>
      <w:r w:rsidRPr="003C4B61">
        <w:t xml:space="preserve"> 4.</w:t>
      </w:r>
    </w:p>
  </w:footnote>
  <w:footnote w:id="470">
    <w:p w14:paraId="1D4FB898" w14:textId="21E4E494" w:rsidR="00C51D4B" w:rsidRDefault="00C51D4B">
      <w:pPr>
        <w:pStyle w:val="FootnoteText"/>
      </w:pPr>
      <w:r>
        <w:rPr>
          <w:rStyle w:val="FootnoteReference"/>
        </w:rPr>
        <w:footnoteRef/>
      </w:r>
      <w:r>
        <w:t xml:space="preserve"> </w:t>
      </w:r>
      <w:r w:rsidRPr="003D3A01">
        <w:t>Interviews</w:t>
      </w:r>
      <w:r w:rsidRPr="003C4B61">
        <w:t xml:space="preserve"> 14</w:t>
      </w:r>
      <w:r>
        <w:t>,</w:t>
      </w:r>
      <w:r w:rsidRPr="003C4B61">
        <w:t xml:space="preserve"> 7.</w:t>
      </w:r>
    </w:p>
  </w:footnote>
  <w:footnote w:id="471">
    <w:p w14:paraId="2EAF1E2E" w14:textId="401F7DCD" w:rsidR="00C51D4B" w:rsidRDefault="00C51D4B">
      <w:pPr>
        <w:pStyle w:val="FootnoteText"/>
      </w:pPr>
      <w:r>
        <w:rPr>
          <w:rStyle w:val="FootnoteReference"/>
        </w:rPr>
        <w:footnoteRef/>
      </w:r>
      <w:r>
        <w:t xml:space="preserve"> </w:t>
      </w:r>
      <w:r w:rsidRPr="003D3A01">
        <w:t>Interview</w:t>
      </w:r>
      <w:r w:rsidRPr="003C4B61">
        <w:t xml:space="preserve"> 14.</w:t>
      </w:r>
    </w:p>
  </w:footnote>
  <w:footnote w:id="472">
    <w:p w14:paraId="7D3DEAFF" w14:textId="455D384C" w:rsidR="00C51D4B" w:rsidRDefault="00C51D4B">
      <w:pPr>
        <w:pStyle w:val="FootnoteText"/>
      </w:pPr>
      <w:r>
        <w:rPr>
          <w:rStyle w:val="FootnoteReference"/>
        </w:rPr>
        <w:footnoteRef/>
      </w:r>
      <w:r>
        <w:t xml:space="preserve"> </w:t>
      </w:r>
      <w:r w:rsidRPr="003D3A01">
        <w:t>Interview</w:t>
      </w:r>
      <w:r w:rsidRPr="003C4B61">
        <w:t xml:space="preserve"> 3</w:t>
      </w:r>
    </w:p>
  </w:footnote>
  <w:footnote w:id="473">
    <w:p w14:paraId="16F672C7" w14:textId="27F6D430" w:rsidR="00C51D4B" w:rsidRDefault="00C51D4B">
      <w:pPr>
        <w:pStyle w:val="FootnoteText"/>
      </w:pPr>
      <w:r>
        <w:rPr>
          <w:rStyle w:val="FootnoteReference"/>
        </w:rPr>
        <w:footnoteRef/>
      </w:r>
      <w:r>
        <w:t xml:space="preserve"> </w:t>
      </w:r>
      <w:r w:rsidRPr="003C4B61">
        <w:t>Interview</w:t>
      </w:r>
      <w:r>
        <w:t>s</w:t>
      </w:r>
      <w:r w:rsidRPr="003C4B61">
        <w:t xml:space="preserve"> 4</w:t>
      </w:r>
      <w:r>
        <w:t>,</w:t>
      </w:r>
      <w:r w:rsidRPr="003C4B61">
        <w:t xml:space="preserve"> 12</w:t>
      </w:r>
      <w:r>
        <w:t>,</w:t>
      </w:r>
      <w:r w:rsidRPr="003C4B61">
        <w:t xml:space="preserve"> 14.</w:t>
      </w:r>
      <w:r>
        <w:t xml:space="preserve"> See </w:t>
      </w:r>
      <w:r w:rsidR="00C50CCA" w:rsidRPr="003D451B">
        <w:rPr>
          <w:b/>
          <w:bCs/>
        </w:rPr>
        <w:t>Part 5</w:t>
      </w:r>
      <w:r w:rsidR="00C50CCA">
        <w:t xml:space="preserve"> at </w:t>
      </w:r>
      <w:r w:rsidR="00D509A8">
        <w:t>[5.2.22]–[5.2.25].</w:t>
      </w:r>
    </w:p>
  </w:footnote>
  <w:footnote w:id="474">
    <w:p w14:paraId="17AD8E75" w14:textId="6AAB7EB1" w:rsidR="00457A87" w:rsidRDefault="00457A87">
      <w:pPr>
        <w:pStyle w:val="FootnoteText"/>
      </w:pPr>
      <w:r>
        <w:rPr>
          <w:rStyle w:val="FootnoteReference"/>
        </w:rPr>
        <w:footnoteRef/>
      </w:r>
      <w:r>
        <w:t xml:space="preserve"> </w:t>
      </w:r>
      <w:r w:rsidRPr="003D3A01">
        <w:t>Interview</w:t>
      </w:r>
      <w:r w:rsidRPr="003C4B61">
        <w:t xml:space="preserve"> 4.</w:t>
      </w:r>
    </w:p>
  </w:footnote>
  <w:footnote w:id="475">
    <w:p w14:paraId="5630D828" w14:textId="3A692530" w:rsidR="00457A87" w:rsidRDefault="00457A87">
      <w:pPr>
        <w:pStyle w:val="FootnoteText"/>
      </w:pPr>
      <w:r>
        <w:rPr>
          <w:rStyle w:val="FootnoteReference"/>
        </w:rPr>
        <w:footnoteRef/>
      </w:r>
      <w:r>
        <w:t xml:space="preserve"> </w:t>
      </w:r>
      <w:r w:rsidRPr="003D3A01">
        <w:t>Interview</w:t>
      </w:r>
      <w:r w:rsidRPr="003C4B61">
        <w:t xml:space="preserve"> 4.</w:t>
      </w:r>
    </w:p>
  </w:footnote>
  <w:footnote w:id="476">
    <w:p w14:paraId="7079058B" w14:textId="7F508AB1" w:rsidR="00457A87" w:rsidRDefault="00457A87">
      <w:pPr>
        <w:pStyle w:val="FootnoteText"/>
      </w:pPr>
      <w:r>
        <w:rPr>
          <w:rStyle w:val="FootnoteReference"/>
        </w:rPr>
        <w:footnoteRef/>
      </w:r>
      <w:r>
        <w:t xml:space="preserve"> </w:t>
      </w:r>
      <w:r w:rsidRPr="003D3A01">
        <w:t>Interview</w:t>
      </w:r>
      <w:r w:rsidRPr="003C4B61">
        <w:t xml:space="preserve"> 12.</w:t>
      </w:r>
    </w:p>
  </w:footnote>
  <w:footnote w:id="477">
    <w:p w14:paraId="78B8B3DC" w14:textId="468C046F" w:rsidR="00457A87" w:rsidRDefault="00457A87">
      <w:pPr>
        <w:pStyle w:val="FootnoteText"/>
      </w:pPr>
      <w:r>
        <w:rPr>
          <w:rStyle w:val="FootnoteReference"/>
        </w:rPr>
        <w:footnoteRef/>
      </w:r>
      <w:r>
        <w:t xml:space="preserve"> </w:t>
      </w:r>
      <w:r w:rsidRPr="003D3A01">
        <w:t>Interview</w:t>
      </w:r>
      <w:r w:rsidRPr="003C4B61">
        <w:t xml:space="preserve"> 4.</w:t>
      </w:r>
    </w:p>
  </w:footnote>
  <w:footnote w:id="478">
    <w:p w14:paraId="5BE37F4F" w14:textId="4337023D" w:rsidR="00457A87" w:rsidRDefault="00457A87">
      <w:pPr>
        <w:pStyle w:val="FootnoteText"/>
      </w:pPr>
      <w:r>
        <w:rPr>
          <w:rStyle w:val="FootnoteReference"/>
        </w:rPr>
        <w:footnoteRef/>
      </w:r>
      <w:r>
        <w:t xml:space="preserve"> </w:t>
      </w:r>
      <w:r w:rsidRPr="003C4B61">
        <w:t>Interview</w:t>
      </w:r>
      <w:r>
        <w:t>s</w:t>
      </w:r>
      <w:r w:rsidRPr="003C4B61">
        <w:t xml:space="preserve"> 2</w:t>
      </w:r>
      <w:r>
        <w:t>,</w:t>
      </w:r>
      <w:r w:rsidRPr="003C4B61">
        <w:t xml:space="preserve"> 14. See </w:t>
      </w:r>
      <w:r w:rsidR="00C50CCA" w:rsidRPr="00575B7D">
        <w:rPr>
          <w:b/>
          <w:bCs/>
        </w:rPr>
        <w:t>Part 2</w:t>
      </w:r>
      <w:r w:rsidR="00C50CCA">
        <w:t xml:space="preserve"> at [2.3.26].</w:t>
      </w:r>
    </w:p>
  </w:footnote>
  <w:footnote w:id="479">
    <w:p w14:paraId="5D980C6C" w14:textId="4BE9DAC6" w:rsidR="00457A87" w:rsidRDefault="00457A87">
      <w:pPr>
        <w:pStyle w:val="FootnoteText"/>
      </w:pPr>
      <w:r>
        <w:rPr>
          <w:rStyle w:val="FootnoteReference"/>
        </w:rPr>
        <w:footnoteRef/>
      </w:r>
      <w:r>
        <w:t xml:space="preserve"> </w:t>
      </w:r>
      <w:r w:rsidRPr="003D3A01">
        <w:t>Interview</w:t>
      </w:r>
      <w:r w:rsidRPr="003C4B61">
        <w:t xml:space="preserve"> 12.</w:t>
      </w:r>
    </w:p>
  </w:footnote>
  <w:footnote w:id="480">
    <w:p w14:paraId="34E0EEAF" w14:textId="6618AC2F" w:rsidR="00457A87" w:rsidRDefault="00457A87">
      <w:pPr>
        <w:pStyle w:val="FootnoteText"/>
      </w:pPr>
      <w:r>
        <w:rPr>
          <w:rStyle w:val="FootnoteReference"/>
        </w:rPr>
        <w:footnoteRef/>
      </w:r>
      <w:r>
        <w:t xml:space="preserve"> </w:t>
      </w:r>
      <w:r w:rsidRPr="003D3A01">
        <w:t>Interview</w:t>
      </w:r>
      <w:r w:rsidRPr="003C4B61">
        <w:t xml:space="preserve"> 21.</w:t>
      </w:r>
    </w:p>
  </w:footnote>
  <w:footnote w:id="481">
    <w:p w14:paraId="6296A6B7" w14:textId="6EAC42B7" w:rsidR="00457A87" w:rsidRDefault="00457A87">
      <w:pPr>
        <w:pStyle w:val="FootnoteText"/>
      </w:pPr>
      <w:r>
        <w:rPr>
          <w:rStyle w:val="FootnoteReference"/>
        </w:rPr>
        <w:footnoteRef/>
      </w:r>
      <w:r>
        <w:t xml:space="preserve"> </w:t>
      </w:r>
      <w:r w:rsidRPr="00C47858">
        <w:t>Interviews 10, 14, 1, 6.</w:t>
      </w:r>
    </w:p>
  </w:footnote>
  <w:footnote w:id="482">
    <w:p w14:paraId="3925E5DA" w14:textId="74FC7CC8" w:rsidR="00457A87" w:rsidRDefault="00457A87">
      <w:pPr>
        <w:pStyle w:val="FootnoteText"/>
      </w:pPr>
      <w:r>
        <w:rPr>
          <w:rStyle w:val="FootnoteReference"/>
        </w:rPr>
        <w:footnoteRef/>
      </w:r>
      <w:r>
        <w:t xml:space="preserve"> </w:t>
      </w:r>
      <w:r w:rsidRPr="003D3A01">
        <w:t>Interview</w:t>
      </w:r>
      <w:r w:rsidRPr="003C4B61">
        <w:t xml:space="preserve"> 1.</w:t>
      </w:r>
    </w:p>
  </w:footnote>
  <w:footnote w:id="483">
    <w:p w14:paraId="0E5B6535" w14:textId="1615991E" w:rsidR="00457A87" w:rsidRDefault="00457A87">
      <w:pPr>
        <w:pStyle w:val="FootnoteText"/>
      </w:pPr>
      <w:r>
        <w:rPr>
          <w:rStyle w:val="FootnoteReference"/>
        </w:rPr>
        <w:footnoteRef/>
      </w:r>
      <w:r>
        <w:t xml:space="preserve"> </w:t>
      </w:r>
      <w:r w:rsidRPr="003C4B61">
        <w:t>Interview 5.</w:t>
      </w:r>
    </w:p>
  </w:footnote>
  <w:footnote w:id="484">
    <w:p w14:paraId="4BE2EA27" w14:textId="590FB1F7" w:rsidR="00457A87" w:rsidRDefault="00457A87">
      <w:pPr>
        <w:pStyle w:val="FootnoteText"/>
      </w:pPr>
      <w:r>
        <w:rPr>
          <w:rStyle w:val="FootnoteReference"/>
        </w:rPr>
        <w:footnoteRef/>
      </w:r>
      <w:r>
        <w:t xml:space="preserve"> </w:t>
      </w:r>
      <w:r w:rsidRPr="004170D5">
        <w:t>Interviews 5, 7, 12.</w:t>
      </w:r>
      <w:r w:rsidRPr="003C4B61">
        <w:t xml:space="preserve"> </w:t>
      </w:r>
    </w:p>
  </w:footnote>
  <w:footnote w:id="485">
    <w:p w14:paraId="38A2B15A" w14:textId="4B9DD4F8" w:rsidR="00457A87" w:rsidRDefault="00457A87">
      <w:pPr>
        <w:pStyle w:val="FootnoteText"/>
      </w:pPr>
      <w:r>
        <w:rPr>
          <w:rStyle w:val="FootnoteReference"/>
        </w:rPr>
        <w:footnoteRef/>
      </w:r>
      <w:r>
        <w:t xml:space="preserve"> </w:t>
      </w:r>
      <w:r w:rsidRPr="003D3A01">
        <w:t>Interview</w:t>
      </w:r>
      <w:r w:rsidRPr="003C4B61">
        <w:t xml:space="preserve"> 19.</w:t>
      </w:r>
    </w:p>
  </w:footnote>
  <w:footnote w:id="486">
    <w:p w14:paraId="6953F31C" w14:textId="0A72C86B" w:rsidR="00457A87" w:rsidRDefault="00457A87">
      <w:pPr>
        <w:pStyle w:val="FootnoteText"/>
      </w:pPr>
      <w:r>
        <w:rPr>
          <w:rStyle w:val="FootnoteReference"/>
        </w:rPr>
        <w:footnoteRef/>
      </w:r>
      <w:r>
        <w:t xml:space="preserve"> </w:t>
      </w:r>
      <w:r w:rsidRPr="003C4B61">
        <w:t>Interview 12.</w:t>
      </w:r>
    </w:p>
  </w:footnote>
  <w:footnote w:id="487">
    <w:p w14:paraId="29D2EED5" w14:textId="172D6712" w:rsidR="00457A87" w:rsidRDefault="00457A87">
      <w:pPr>
        <w:pStyle w:val="FootnoteText"/>
      </w:pPr>
      <w:r>
        <w:rPr>
          <w:rStyle w:val="FootnoteReference"/>
        </w:rPr>
        <w:footnoteRef/>
      </w:r>
      <w:r>
        <w:t xml:space="preserve"> </w:t>
      </w:r>
      <w:r w:rsidR="001F756C" w:rsidRPr="003C4B61">
        <w:t>Interview</w:t>
      </w:r>
      <w:r w:rsidR="001F756C">
        <w:t>s</w:t>
      </w:r>
      <w:r w:rsidR="001F756C" w:rsidRPr="003C4B61">
        <w:t xml:space="preserve"> 12</w:t>
      </w:r>
      <w:r w:rsidR="001F756C">
        <w:t>,</w:t>
      </w:r>
      <w:r w:rsidR="001F756C" w:rsidRPr="003C4B61">
        <w:t xml:space="preserve"> 19.</w:t>
      </w:r>
    </w:p>
  </w:footnote>
  <w:footnote w:id="488">
    <w:p w14:paraId="0CB5B6DC" w14:textId="619CB87C" w:rsidR="001F756C" w:rsidRDefault="001F756C">
      <w:pPr>
        <w:pStyle w:val="FootnoteText"/>
      </w:pPr>
      <w:r>
        <w:rPr>
          <w:rStyle w:val="FootnoteReference"/>
        </w:rPr>
        <w:footnoteRef/>
      </w:r>
      <w:r>
        <w:t xml:space="preserve"> </w:t>
      </w:r>
      <w:r w:rsidRPr="003D3A01">
        <w:t>Interview</w:t>
      </w:r>
      <w:r w:rsidRPr="003C4B61">
        <w:t xml:space="preserve"> 7.</w:t>
      </w:r>
    </w:p>
  </w:footnote>
  <w:footnote w:id="489">
    <w:p w14:paraId="0662EE7A" w14:textId="25150B55" w:rsidR="001F756C" w:rsidRDefault="001F756C">
      <w:pPr>
        <w:pStyle w:val="FootnoteText"/>
      </w:pPr>
      <w:r>
        <w:rPr>
          <w:rStyle w:val="FootnoteReference"/>
        </w:rPr>
        <w:footnoteRef/>
      </w:r>
      <w:r>
        <w:t xml:space="preserve"> </w:t>
      </w:r>
      <w:r w:rsidRPr="003D3A01">
        <w:t>Interview</w:t>
      </w:r>
      <w:r w:rsidRPr="003C4B61">
        <w:t xml:space="preserve"> 10.</w:t>
      </w:r>
    </w:p>
  </w:footnote>
  <w:footnote w:id="490">
    <w:p w14:paraId="79264BDF" w14:textId="031F2F3F" w:rsidR="001F756C" w:rsidRDefault="001F756C">
      <w:pPr>
        <w:pStyle w:val="FootnoteText"/>
      </w:pPr>
      <w:r>
        <w:rPr>
          <w:rStyle w:val="FootnoteReference"/>
        </w:rPr>
        <w:footnoteRef/>
      </w:r>
      <w:r>
        <w:t xml:space="preserve"> </w:t>
      </w:r>
      <w:r w:rsidRPr="003D3A01">
        <w:t>Interview</w:t>
      </w:r>
      <w:r w:rsidRPr="003C4B61">
        <w:t xml:space="preserve"> 7.</w:t>
      </w:r>
    </w:p>
  </w:footnote>
  <w:footnote w:id="491">
    <w:p w14:paraId="2CD8CE55" w14:textId="3BAF3562" w:rsidR="001F756C" w:rsidRDefault="001F756C">
      <w:pPr>
        <w:pStyle w:val="FootnoteText"/>
      </w:pPr>
      <w:r>
        <w:rPr>
          <w:rStyle w:val="FootnoteReference"/>
        </w:rPr>
        <w:footnoteRef/>
      </w:r>
      <w:r>
        <w:t xml:space="preserve"> </w:t>
      </w:r>
      <w:r w:rsidRPr="003C4B61">
        <w:t>Interview 7</w:t>
      </w:r>
      <w:r w:rsidR="007E73BC">
        <w:t>.</w:t>
      </w:r>
    </w:p>
  </w:footnote>
  <w:footnote w:id="492">
    <w:p w14:paraId="7A443F17" w14:textId="48BC4A0A" w:rsidR="00D44135" w:rsidRDefault="00D44135" w:rsidP="003D3A01">
      <w:pPr>
        <w:pStyle w:val="FootnoteText"/>
      </w:pPr>
      <w:r w:rsidRPr="009E409F">
        <w:rPr>
          <w:rStyle w:val="FootnoteReference"/>
        </w:rPr>
        <w:footnoteRef/>
      </w:r>
      <w:r w:rsidRPr="009E409F">
        <w:t xml:space="preserve"> </w:t>
      </w:r>
      <w:r w:rsidRPr="003D451B">
        <w:t xml:space="preserve">See </w:t>
      </w:r>
      <w:r w:rsidR="00BE73CD" w:rsidRPr="003D451B">
        <w:t>[4.5.37]–[</w:t>
      </w:r>
      <w:r w:rsidR="009E409F" w:rsidRPr="003D451B">
        <w:t>4.5.41]</w:t>
      </w:r>
      <w:r w:rsidR="009E409F" w:rsidRPr="009E409F">
        <w:t>.</w:t>
      </w:r>
    </w:p>
  </w:footnote>
  <w:footnote w:id="493">
    <w:p w14:paraId="219C1D28" w14:textId="1B866787" w:rsidR="00CE6203" w:rsidRDefault="00CE6203">
      <w:pPr>
        <w:pStyle w:val="FootnoteText"/>
      </w:pPr>
      <w:r>
        <w:rPr>
          <w:rStyle w:val="FootnoteReference"/>
        </w:rPr>
        <w:footnoteRef/>
      </w:r>
      <w:r>
        <w:t xml:space="preserve"> </w:t>
      </w:r>
      <w:r w:rsidRPr="00444C99">
        <w:t>Interview</w:t>
      </w:r>
      <w:r w:rsidR="00E93BB6" w:rsidRPr="00444C99">
        <w:t xml:space="preserve">s 14, </w:t>
      </w:r>
      <w:r w:rsidR="00F81303">
        <w:t>1</w:t>
      </w:r>
      <w:r w:rsidR="00047290">
        <w:t>, 16, 22</w:t>
      </w:r>
      <w:r w:rsidR="00E93BB6" w:rsidRPr="00444C99">
        <w:t>.</w:t>
      </w:r>
    </w:p>
  </w:footnote>
  <w:footnote w:id="494">
    <w:p w14:paraId="4AF019DD" w14:textId="11A9D5BA" w:rsidR="001A019C" w:rsidRDefault="001A019C">
      <w:pPr>
        <w:pStyle w:val="FootnoteText"/>
      </w:pPr>
      <w:r>
        <w:rPr>
          <w:rStyle w:val="FootnoteReference"/>
        </w:rPr>
        <w:footnoteRef/>
      </w:r>
      <w:r>
        <w:t xml:space="preserve"> </w:t>
      </w:r>
      <w:r w:rsidRPr="003D3A01">
        <w:t>Interview</w:t>
      </w:r>
      <w:r w:rsidRPr="003C4B61">
        <w:t xml:space="preserve"> 14.</w:t>
      </w:r>
    </w:p>
  </w:footnote>
  <w:footnote w:id="495">
    <w:p w14:paraId="3E20F06B" w14:textId="7533DD02" w:rsidR="001A019C" w:rsidRDefault="001A019C">
      <w:pPr>
        <w:pStyle w:val="FootnoteText"/>
      </w:pPr>
      <w:r>
        <w:rPr>
          <w:rStyle w:val="FootnoteReference"/>
        </w:rPr>
        <w:footnoteRef/>
      </w:r>
      <w:r>
        <w:t xml:space="preserve"> </w:t>
      </w:r>
      <w:r w:rsidRPr="003D3A01">
        <w:t>Interview</w:t>
      </w:r>
      <w:r w:rsidRPr="003C4B61">
        <w:t xml:space="preserve"> 14</w:t>
      </w:r>
    </w:p>
  </w:footnote>
  <w:footnote w:id="496">
    <w:p w14:paraId="0876B706" w14:textId="3145A796" w:rsidR="001A019C" w:rsidRDefault="001A019C">
      <w:pPr>
        <w:pStyle w:val="FootnoteText"/>
      </w:pPr>
      <w:r>
        <w:rPr>
          <w:rStyle w:val="FootnoteReference"/>
        </w:rPr>
        <w:footnoteRef/>
      </w:r>
      <w:r>
        <w:t xml:space="preserve"> </w:t>
      </w:r>
      <w:r w:rsidRPr="003D3A01">
        <w:t>Interviews</w:t>
      </w:r>
      <w:r w:rsidRPr="003C4B61">
        <w:t xml:space="preserve"> 1</w:t>
      </w:r>
      <w:r>
        <w:t>,</w:t>
      </w:r>
      <w:r w:rsidRPr="003C4B61">
        <w:t xml:space="preserve"> 12</w:t>
      </w:r>
      <w:r>
        <w:t>,</w:t>
      </w:r>
      <w:r w:rsidRPr="003C4B61">
        <w:t xml:space="preserve"> 14.</w:t>
      </w:r>
    </w:p>
  </w:footnote>
  <w:footnote w:id="497">
    <w:p w14:paraId="77DAC750" w14:textId="655BD534" w:rsidR="00A8562E" w:rsidRDefault="00A8562E" w:rsidP="003D3A01">
      <w:pPr>
        <w:pStyle w:val="FootnoteText"/>
      </w:pPr>
      <w:r>
        <w:rPr>
          <w:rStyle w:val="FootnoteReference"/>
        </w:rPr>
        <w:footnoteRef/>
      </w:r>
      <w:r>
        <w:t xml:space="preserve"> </w:t>
      </w:r>
      <w:r w:rsidR="008B6779" w:rsidRPr="003D3A01">
        <w:t>Interview</w:t>
      </w:r>
      <w:r w:rsidR="008B6779" w:rsidRPr="003C4B61">
        <w:t xml:space="preserve"> 1</w:t>
      </w:r>
      <w:r w:rsidR="008B6779">
        <w:t>9</w:t>
      </w:r>
      <w:r>
        <w:t>.</w:t>
      </w:r>
    </w:p>
  </w:footnote>
  <w:footnote w:id="498">
    <w:p w14:paraId="6458AC15" w14:textId="2DDC3B19" w:rsidR="00E72326" w:rsidRDefault="00E72326">
      <w:pPr>
        <w:pStyle w:val="FootnoteText"/>
      </w:pPr>
      <w:r>
        <w:rPr>
          <w:rStyle w:val="FootnoteReference"/>
        </w:rPr>
        <w:footnoteRef/>
      </w:r>
      <w:r>
        <w:t xml:space="preserve"> </w:t>
      </w:r>
      <w:r w:rsidR="00C9493B">
        <w:t>Interview</w:t>
      </w:r>
      <w:r w:rsidR="00530853">
        <w:t>s 12, 19</w:t>
      </w:r>
      <w:r w:rsidR="009B60D6">
        <w:t xml:space="preserve">, 6, </w:t>
      </w:r>
      <w:r w:rsidR="00C84EB0">
        <w:t>1, 14</w:t>
      </w:r>
      <w:r w:rsidR="00762C91">
        <w:t>, 18</w:t>
      </w:r>
      <w:r w:rsidR="002F6911">
        <w:t>, 16, 22.</w:t>
      </w:r>
    </w:p>
  </w:footnote>
  <w:footnote w:id="499">
    <w:p w14:paraId="4BAAE2DA" w14:textId="6BB97066" w:rsidR="001F6890" w:rsidRDefault="001F6890">
      <w:pPr>
        <w:pStyle w:val="FootnoteText"/>
      </w:pPr>
      <w:r>
        <w:rPr>
          <w:rStyle w:val="FootnoteReference"/>
        </w:rPr>
        <w:footnoteRef/>
      </w:r>
      <w:r>
        <w:t xml:space="preserve"> </w:t>
      </w:r>
      <w:r w:rsidR="008D040A">
        <w:t xml:space="preserve">For a discussion of these gaps, see further </w:t>
      </w:r>
      <w:r w:rsidR="008D040A" w:rsidRPr="008D040A">
        <w:t>[4.3.19]–[4.3.28]</w:t>
      </w:r>
      <w:r w:rsidR="008D040A">
        <w:t>.</w:t>
      </w:r>
    </w:p>
  </w:footnote>
  <w:footnote w:id="500">
    <w:p w14:paraId="12CE8804" w14:textId="12E042D9" w:rsidR="001F6890" w:rsidRDefault="001F6890">
      <w:pPr>
        <w:pStyle w:val="FootnoteText"/>
      </w:pPr>
      <w:r>
        <w:rPr>
          <w:rStyle w:val="FootnoteReference"/>
        </w:rPr>
        <w:footnoteRef/>
      </w:r>
      <w:r>
        <w:t xml:space="preserve"> </w:t>
      </w:r>
      <w:r w:rsidR="00E15503">
        <w:t>Interviews 7, 12</w:t>
      </w:r>
      <w:r w:rsidR="007A64F2">
        <w:t>, 3</w:t>
      </w:r>
      <w:r w:rsidR="000D3BBA">
        <w:t xml:space="preserve">, 6, </w:t>
      </w:r>
      <w:r w:rsidR="002F6911">
        <w:t xml:space="preserve">16, 22. </w:t>
      </w:r>
    </w:p>
  </w:footnote>
  <w:footnote w:id="501">
    <w:p w14:paraId="6FEEC8EF" w14:textId="72AB8954" w:rsidR="001A019C" w:rsidRDefault="001A019C">
      <w:pPr>
        <w:pStyle w:val="FootnoteText"/>
      </w:pPr>
      <w:r>
        <w:rPr>
          <w:rStyle w:val="FootnoteReference"/>
        </w:rPr>
        <w:footnoteRef/>
      </w:r>
      <w:r>
        <w:t xml:space="preserve"> </w:t>
      </w:r>
      <w:r w:rsidRPr="003D3A01">
        <w:t>Interview</w:t>
      </w:r>
      <w:r w:rsidRPr="003C4B61">
        <w:t xml:space="preserve"> 14.</w:t>
      </w:r>
    </w:p>
  </w:footnote>
  <w:footnote w:id="502">
    <w:p w14:paraId="1DAC8432" w14:textId="3E504812" w:rsidR="001A019C" w:rsidRDefault="001A019C">
      <w:pPr>
        <w:pStyle w:val="FootnoteText"/>
      </w:pPr>
      <w:r>
        <w:rPr>
          <w:rStyle w:val="FootnoteReference"/>
        </w:rPr>
        <w:footnoteRef/>
      </w:r>
      <w:r>
        <w:t xml:space="preserve"> </w:t>
      </w:r>
      <w:r w:rsidRPr="003C4B61">
        <w:t>Interview</w:t>
      </w:r>
      <w:r>
        <w:t>s</w:t>
      </w:r>
      <w:r w:rsidRPr="003C4B61">
        <w:t xml:space="preserve"> 12</w:t>
      </w:r>
      <w:r>
        <w:t>,</w:t>
      </w:r>
      <w:r w:rsidRPr="003C4B61">
        <w:t xml:space="preserve"> 18</w:t>
      </w:r>
      <w:r>
        <w:t>,</w:t>
      </w:r>
      <w:r w:rsidRPr="003C4B61">
        <w:t xml:space="preserve"> 10</w:t>
      </w:r>
      <w:r>
        <w:t>,</w:t>
      </w:r>
      <w:r w:rsidRPr="003C4B61">
        <w:t xml:space="preserve"> 1</w:t>
      </w:r>
      <w:r>
        <w:t>,</w:t>
      </w:r>
      <w:r w:rsidRPr="003C4B61">
        <w:t xml:space="preserve"> 19</w:t>
      </w:r>
      <w:r>
        <w:t>,</w:t>
      </w:r>
      <w:r w:rsidRPr="003C4B61">
        <w:t xml:space="preserve"> 5</w:t>
      </w:r>
      <w:r>
        <w:t>,</w:t>
      </w:r>
      <w:r w:rsidRPr="003C4B61">
        <w:t xml:space="preserve"> 14</w:t>
      </w:r>
      <w:r>
        <w:t>,</w:t>
      </w:r>
      <w:r w:rsidRPr="003C4B61">
        <w:t xml:space="preserve"> 21</w:t>
      </w:r>
      <w:r>
        <w:t xml:space="preserve">, </w:t>
      </w:r>
      <w:r w:rsidRPr="003B6293">
        <w:t>6</w:t>
      </w:r>
      <w:r>
        <w:t>, 13, 15, 9, 8, 2, 17, 23</w:t>
      </w:r>
      <w:r w:rsidR="00444C99">
        <w:t>.</w:t>
      </w:r>
    </w:p>
  </w:footnote>
  <w:footnote w:id="503">
    <w:p w14:paraId="07818B9E" w14:textId="2952180F" w:rsidR="001A019C" w:rsidRDefault="001A019C">
      <w:pPr>
        <w:pStyle w:val="FootnoteText"/>
      </w:pPr>
      <w:r>
        <w:rPr>
          <w:rStyle w:val="FootnoteReference"/>
        </w:rPr>
        <w:footnoteRef/>
      </w:r>
      <w:r>
        <w:t xml:space="preserve"> </w:t>
      </w:r>
      <w:r w:rsidRPr="00444C99">
        <w:t>Interviews 14, 10</w:t>
      </w:r>
      <w:r w:rsidR="00444C99" w:rsidRPr="00444C99">
        <w:t>,</w:t>
      </w:r>
      <w:r w:rsidRPr="00444C99">
        <w:t xml:space="preserve"> 1.</w:t>
      </w:r>
    </w:p>
  </w:footnote>
  <w:footnote w:id="504">
    <w:p w14:paraId="748A4D22" w14:textId="3E135206" w:rsidR="00C138B0" w:rsidRDefault="00C138B0" w:rsidP="003D3A01">
      <w:pPr>
        <w:pStyle w:val="FootnoteText"/>
      </w:pPr>
      <w:r>
        <w:rPr>
          <w:rStyle w:val="FootnoteReference"/>
        </w:rPr>
        <w:footnoteRef/>
      </w:r>
      <w:r>
        <w:t xml:space="preserve"> </w:t>
      </w:r>
      <w:r w:rsidR="003210B3">
        <w:t xml:space="preserve">ALRC, </w:t>
      </w:r>
      <w:r w:rsidR="003210B3" w:rsidRPr="003210B3">
        <w:rPr>
          <w:i/>
          <w:iCs/>
        </w:rPr>
        <w:t>Elder Abuse</w:t>
      </w:r>
      <w:r w:rsidR="00F24C77">
        <w:t xml:space="preserve"> (n 6) </w:t>
      </w:r>
      <w:r w:rsidRPr="009D2792">
        <w:t>[14.4</w:t>
      </w:r>
      <w:r w:rsidR="001C267D" w:rsidRPr="009D2792">
        <w:t>1</w:t>
      </w:r>
      <w:r w:rsidRPr="009D2792">
        <w:t xml:space="preserve">]. See Chapter 14 and </w:t>
      </w:r>
      <w:r w:rsidRPr="003D3A01">
        <w:t>Recommendations</w:t>
      </w:r>
      <w:r w:rsidRPr="009D2792">
        <w:t xml:space="preserve"> 14-1–</w:t>
      </w:r>
      <w:r w:rsidR="00F24C77">
        <w:t>1</w:t>
      </w:r>
      <w:r w:rsidRPr="009D2792">
        <w:t>4-8</w:t>
      </w:r>
      <w:r w:rsidR="00F24C77">
        <w:t>.</w:t>
      </w:r>
    </w:p>
  </w:footnote>
  <w:footnote w:id="505">
    <w:p w14:paraId="0AC06AD4" w14:textId="217DBD70" w:rsidR="000D62A0" w:rsidRDefault="000D62A0">
      <w:pPr>
        <w:pStyle w:val="FootnoteText"/>
      </w:pPr>
      <w:r>
        <w:rPr>
          <w:rStyle w:val="FootnoteReference"/>
        </w:rPr>
        <w:footnoteRef/>
      </w:r>
      <w:r>
        <w:t xml:space="preserve"> Ibid </w:t>
      </w:r>
      <w:r w:rsidRPr="003C4B61">
        <w:t xml:space="preserve">[14.40]. See Chapter 14 and </w:t>
      </w:r>
      <w:r w:rsidRPr="003D3A01">
        <w:t>Recommendations</w:t>
      </w:r>
      <w:r w:rsidRPr="003C4B61">
        <w:t xml:space="preserve"> 14-1–14-8.</w:t>
      </w:r>
    </w:p>
  </w:footnote>
  <w:footnote w:id="506">
    <w:p w14:paraId="655F5DBF" w14:textId="6B2B7670" w:rsidR="000D62A0" w:rsidRDefault="000D62A0">
      <w:pPr>
        <w:pStyle w:val="FootnoteText"/>
      </w:pPr>
      <w:r>
        <w:rPr>
          <w:rStyle w:val="FootnoteReference"/>
        </w:rPr>
        <w:footnoteRef/>
      </w:r>
      <w:r>
        <w:t xml:space="preserve"> </w:t>
      </w:r>
      <w:r w:rsidRPr="00D715B3">
        <w:rPr>
          <w:rFonts w:eastAsia="Aptos" w:cs="Times New Roman"/>
        </w:rPr>
        <w:t xml:space="preserve">Council of Attorneys-General, </w:t>
      </w:r>
      <w:r w:rsidRPr="00D715B3">
        <w:rPr>
          <w:rFonts w:eastAsia="Aptos" w:cs="Times New Roman"/>
          <w:i/>
          <w:iCs/>
        </w:rPr>
        <w:t>National Plan 2019–2023</w:t>
      </w:r>
      <w:r w:rsidRPr="00D715B3">
        <w:rPr>
          <w:rFonts w:eastAsia="Aptos" w:cs="Times New Roman"/>
        </w:rPr>
        <w:t xml:space="preserve"> </w:t>
      </w:r>
      <w:r w:rsidRPr="00D715B3">
        <w:rPr>
          <w:rFonts w:cs="Times New Roman"/>
        </w:rPr>
        <w:t>(n 1)</w:t>
      </w:r>
      <w:r>
        <w:rPr>
          <w:rFonts w:cs="Times New Roman"/>
        </w:rPr>
        <w:t>.</w:t>
      </w:r>
    </w:p>
  </w:footnote>
  <w:footnote w:id="507">
    <w:p w14:paraId="0808F8A1" w14:textId="1CDEDCAC" w:rsidR="00BB2A39" w:rsidRPr="00EB3108" w:rsidRDefault="00BB2A39">
      <w:pPr>
        <w:pStyle w:val="FootnoteText"/>
      </w:pPr>
      <w:r>
        <w:rPr>
          <w:rStyle w:val="FootnoteReference"/>
        </w:rPr>
        <w:footnoteRef/>
      </w:r>
      <w:r>
        <w:t xml:space="preserve"> </w:t>
      </w:r>
      <w:r w:rsidRPr="003C4B61">
        <w:t>The review drew on extensive consultation with stakeholders and recommended: ‘The introduction of an adult safeguarding agency in Queensland, led by an Adult Safeguarding Commissioner (Recommendation 1)</w:t>
      </w:r>
      <w:r w:rsidR="00851F11">
        <w:t>’</w:t>
      </w:r>
      <w:r w:rsidRPr="003C4B61">
        <w:t xml:space="preserve"> and ‘The development of </w:t>
      </w:r>
      <w:r w:rsidRPr="003D3A01">
        <w:t>regionally based adult safeguarding networks to encourage community ownership and action regarding local adult safeguarding concerns (Recommendation 10</w:t>
      </w:r>
      <w:r w:rsidR="00851F11">
        <w:t>)’</w:t>
      </w:r>
      <w:r w:rsidRPr="003D3A01">
        <w:t xml:space="preserve">: </w:t>
      </w:r>
      <w:r>
        <w:t>Public Advocate (Qld)</w:t>
      </w:r>
      <w:r w:rsidR="00A71340">
        <w:t xml:space="preserve"> </w:t>
      </w:r>
      <w:r w:rsidR="00D01B69" w:rsidRPr="00424546">
        <w:rPr>
          <w:i/>
          <w:iCs/>
        </w:rPr>
        <w:t xml:space="preserve">Adult Safeguarding in Queensland, Volume </w:t>
      </w:r>
      <w:r w:rsidR="00D01B69" w:rsidRPr="00EB6E18">
        <w:rPr>
          <w:i/>
          <w:iCs/>
        </w:rPr>
        <w:t>1</w:t>
      </w:r>
      <w:r>
        <w:t xml:space="preserve"> (n 61)</w:t>
      </w:r>
      <w:r w:rsidRPr="003D3A01">
        <w:t xml:space="preserve">; </w:t>
      </w:r>
      <w:r>
        <w:t xml:space="preserve">Public Advocate (Qld), </w:t>
      </w:r>
      <w:r w:rsidRPr="00424546">
        <w:rPr>
          <w:i/>
          <w:iCs/>
        </w:rPr>
        <w:t xml:space="preserve">Adult Safeguarding in Queensland, Volume </w:t>
      </w:r>
      <w:r>
        <w:rPr>
          <w:i/>
          <w:iCs/>
        </w:rPr>
        <w:t>2</w:t>
      </w:r>
      <w:r w:rsidRPr="00424546">
        <w:rPr>
          <w:i/>
          <w:iCs/>
        </w:rPr>
        <w:t xml:space="preserve">: </w:t>
      </w:r>
      <w:r>
        <w:rPr>
          <w:i/>
          <w:iCs/>
        </w:rPr>
        <w:t xml:space="preserve">Reform Recommendations </w:t>
      </w:r>
      <w:r>
        <w:t>(November 2022) &lt;</w:t>
      </w:r>
      <w:hyperlink r:id="rId101" w:history="1">
        <w:r w:rsidRPr="00574462">
          <w:rPr>
            <w:rStyle w:val="Hyperlink"/>
          </w:rPr>
          <w:t>https://www.justice.qld.gov.au/public-advocate/our-advocacy/justice-and-human-rights/adult-safeguarding-in-queensland2</w:t>
        </w:r>
      </w:hyperlink>
      <w:r>
        <w:t>&gt;</w:t>
      </w:r>
      <w:r w:rsidR="004D5429">
        <w:t xml:space="preserve"> (</w:t>
      </w:r>
      <w:r w:rsidR="00851F11">
        <w:t>‘</w:t>
      </w:r>
      <w:r w:rsidR="004D5429">
        <w:t>Publ</w:t>
      </w:r>
      <w:r w:rsidR="00851F11">
        <w:t xml:space="preserve">ic Advocate (Qld), </w:t>
      </w:r>
      <w:r w:rsidR="00EB3108" w:rsidRPr="00424546">
        <w:rPr>
          <w:i/>
          <w:iCs/>
        </w:rPr>
        <w:t xml:space="preserve">Adult Safeguarding in Queensland, Volume </w:t>
      </w:r>
      <w:r w:rsidR="00EB3108">
        <w:rPr>
          <w:i/>
          <w:iCs/>
        </w:rPr>
        <w:t>2</w:t>
      </w:r>
      <w:r w:rsidR="00EB3108">
        <w:t>’).</w:t>
      </w:r>
    </w:p>
  </w:footnote>
  <w:footnote w:id="508">
    <w:p w14:paraId="5FF1FDE8" w14:textId="3F12168B" w:rsidR="00BB2A39" w:rsidRDefault="00BB2A39">
      <w:pPr>
        <w:pStyle w:val="FootnoteText"/>
      </w:pPr>
      <w:r>
        <w:rPr>
          <w:rStyle w:val="FootnoteReference"/>
        </w:rPr>
        <w:footnoteRef/>
      </w:r>
      <w:r>
        <w:t xml:space="preserve"> </w:t>
      </w:r>
      <w:r w:rsidRPr="003C4B61">
        <w:t xml:space="preserve">The terms of reference for the inquiry require the Education, Arts and Communities Committee of the Legislative Assembly of the Queensland Parliament to consider the abuse of older people in Queensland including its ‘nature and extent, including for vulnerable cohorts … [and] effectiveness and cohesiveness of responses to elder abuse, including Queensland laws, policies, programs and services, in preventing, safeguarding, identifying and responding to elder abuse’. This includes: </w:t>
      </w:r>
      <w:r w:rsidR="00794E2F">
        <w:t>‘</w:t>
      </w:r>
      <w:r w:rsidRPr="003C4B61">
        <w:t>i. adult guardianship and violence protection services, other funded services, and community-based interventions; ii.</w:t>
      </w:r>
      <w:r>
        <w:t xml:space="preserve"> </w:t>
      </w:r>
      <w:r w:rsidRPr="003C4B61">
        <w:t>civil and criminal legal frameworks; iii.</w:t>
      </w:r>
      <w:r>
        <w:t xml:space="preserve"> </w:t>
      </w:r>
      <w:r w:rsidRPr="003C4B61">
        <w:t>community awareness, education and engagement initiatives; iv. monitoring, evaluation and reporting processes; v. human rights protections; opportunities to improve responses to elder abuse in Queensland, within the government, broader community, non-government, and private sectors, including ensuring responses are trauma informed and culturally appropriate.’ The inquiry is further required to consider voices of people with lived experience of abuse of older people, stakeholder views; and relevant findings, reports and prevalence studies</w:t>
      </w:r>
      <w:r>
        <w:t xml:space="preserve">: Queensland Parliament, ‘About the Inquiry’, </w:t>
      </w:r>
      <w:r w:rsidRPr="00A55AAF">
        <w:rPr>
          <w:i/>
          <w:iCs/>
        </w:rPr>
        <w:t>Inquiry into Elder Abuse in Queensland</w:t>
      </w:r>
      <w:r>
        <w:t xml:space="preserve"> (Web Page, 2025) &lt;</w:t>
      </w:r>
      <w:hyperlink r:id="rId102" w:history="1">
        <w:r w:rsidRPr="00574462">
          <w:rPr>
            <w:rStyle w:val="Hyperlink"/>
          </w:rPr>
          <w:t>https://www.parliament.qld.gov.au/Work-of-Committees/Inquiries/Inquiry-Details?id=4455</w:t>
        </w:r>
      </w:hyperlink>
      <w:r>
        <w:t>&gt;.</w:t>
      </w:r>
    </w:p>
  </w:footnote>
  <w:footnote w:id="509">
    <w:p w14:paraId="50AAF8A2" w14:textId="5A7AF675" w:rsidR="00FF12C4" w:rsidRPr="003C4B61" w:rsidRDefault="00FF12C4" w:rsidP="003D3A01">
      <w:pPr>
        <w:pStyle w:val="FootnoteText"/>
      </w:pPr>
      <w:r w:rsidRPr="003C4B61">
        <w:rPr>
          <w:rStyle w:val="FootnoteReference"/>
          <w:rFonts w:cs="Times New Roman"/>
          <w:sz w:val="18"/>
          <w:szCs w:val="18"/>
        </w:rPr>
        <w:footnoteRef/>
      </w:r>
      <w:r w:rsidRPr="003C4B61">
        <w:t xml:space="preserve"> See </w:t>
      </w:r>
      <w:r w:rsidR="00634907">
        <w:t xml:space="preserve">[4.4], including Table 4.4 and </w:t>
      </w:r>
      <w:r w:rsidR="00E82C66" w:rsidRPr="003D451B">
        <w:t xml:space="preserve">Table E.1 in </w:t>
      </w:r>
      <w:r w:rsidR="00E82C66" w:rsidRPr="003D451B">
        <w:rPr>
          <w:b/>
          <w:bCs/>
        </w:rPr>
        <w:t>Appendix E</w:t>
      </w:r>
      <w:r w:rsidRPr="003D451B">
        <w:t>.</w:t>
      </w:r>
    </w:p>
  </w:footnote>
  <w:footnote w:id="510">
    <w:p w14:paraId="26EC5384" w14:textId="220BF44C" w:rsidR="00863014" w:rsidRDefault="00863014">
      <w:pPr>
        <w:pStyle w:val="FootnoteText"/>
      </w:pPr>
      <w:r>
        <w:rPr>
          <w:rStyle w:val="FootnoteReference"/>
        </w:rPr>
        <w:footnoteRef/>
      </w:r>
      <w:r>
        <w:t xml:space="preserve"> </w:t>
      </w:r>
      <w:r w:rsidRPr="003D451B">
        <w:t>APEA: WA Alliance for the Prevention of Elder Abuse: Western Australia,</w:t>
      </w:r>
      <w:r w:rsidR="009A6D38" w:rsidRPr="003D451B">
        <w:t xml:space="preserve"> Advocare Inc and Barbara Blundell,</w:t>
      </w:r>
      <w:r w:rsidR="009945D6" w:rsidRPr="003D451B">
        <w:t xml:space="preserve"> Curtin University,</w:t>
      </w:r>
      <w:r w:rsidRPr="003D451B">
        <w:t xml:space="preserve"> </w:t>
      </w:r>
      <w:r w:rsidRPr="003D451B">
        <w:rPr>
          <w:i/>
          <w:iCs/>
        </w:rPr>
        <w:t xml:space="preserve">Elder Abuse Protocol: Guidelines for Action: Assisting </w:t>
      </w:r>
      <w:r w:rsidR="00476F13" w:rsidRPr="003D451B">
        <w:rPr>
          <w:i/>
          <w:iCs/>
        </w:rPr>
        <w:t>S</w:t>
      </w:r>
      <w:r w:rsidRPr="003D451B">
        <w:rPr>
          <w:i/>
          <w:iCs/>
        </w:rPr>
        <w:t xml:space="preserve">taff and </w:t>
      </w:r>
      <w:r w:rsidR="00476F13" w:rsidRPr="003D451B">
        <w:rPr>
          <w:i/>
          <w:iCs/>
        </w:rPr>
        <w:t>P</w:t>
      </w:r>
      <w:r w:rsidRPr="003D451B">
        <w:rPr>
          <w:i/>
          <w:iCs/>
        </w:rPr>
        <w:t xml:space="preserve">rofessionals </w:t>
      </w:r>
      <w:r w:rsidR="00476F13" w:rsidRPr="003D451B">
        <w:rPr>
          <w:i/>
          <w:iCs/>
        </w:rPr>
        <w:t>W</w:t>
      </w:r>
      <w:r w:rsidRPr="003D451B">
        <w:rPr>
          <w:i/>
          <w:iCs/>
        </w:rPr>
        <w:t xml:space="preserve">orking with </w:t>
      </w:r>
      <w:r w:rsidR="00476F13" w:rsidRPr="003D451B">
        <w:rPr>
          <w:i/>
          <w:iCs/>
        </w:rPr>
        <w:t>O</w:t>
      </w:r>
      <w:r w:rsidRPr="003D451B">
        <w:rPr>
          <w:i/>
          <w:iCs/>
        </w:rPr>
        <w:t xml:space="preserve">lder </w:t>
      </w:r>
      <w:r w:rsidR="00476F13" w:rsidRPr="003D451B">
        <w:rPr>
          <w:i/>
          <w:iCs/>
        </w:rPr>
        <w:t>P</w:t>
      </w:r>
      <w:r w:rsidRPr="003D451B">
        <w:rPr>
          <w:i/>
          <w:iCs/>
        </w:rPr>
        <w:t xml:space="preserve">eople to </w:t>
      </w:r>
      <w:r w:rsidR="00476F13" w:rsidRPr="003D451B">
        <w:rPr>
          <w:i/>
          <w:iCs/>
        </w:rPr>
        <w:t>I</w:t>
      </w:r>
      <w:r w:rsidRPr="003D451B">
        <w:rPr>
          <w:i/>
          <w:iCs/>
        </w:rPr>
        <w:t xml:space="preserve">dentify and </w:t>
      </w:r>
      <w:r w:rsidR="00476F13" w:rsidRPr="003D451B">
        <w:rPr>
          <w:i/>
          <w:iCs/>
        </w:rPr>
        <w:t>R</w:t>
      </w:r>
      <w:r w:rsidRPr="003D451B">
        <w:rPr>
          <w:i/>
          <w:iCs/>
        </w:rPr>
        <w:t>espond to Elder Abuse</w:t>
      </w:r>
      <w:r w:rsidRPr="003D451B">
        <w:t xml:space="preserve"> (</w:t>
      </w:r>
      <w:r w:rsidR="008A63A3" w:rsidRPr="003D451B">
        <w:t>Department of Communities, Government of Western Australia, Advocare</w:t>
      </w:r>
      <w:r w:rsidR="00491AE9" w:rsidRPr="003D451B">
        <w:t xml:space="preserve"> and Curtin University, </w:t>
      </w:r>
      <w:r w:rsidRPr="003D451B">
        <w:t>2017)</w:t>
      </w:r>
      <w:r w:rsidR="00B42DC8" w:rsidRPr="003D451B">
        <w:t xml:space="preserve"> &lt;</w:t>
      </w:r>
      <w:hyperlink r:id="rId103" w:history="1">
        <w:r w:rsidR="00B42DC8" w:rsidRPr="00B42DC8">
          <w:rPr>
            <w:rStyle w:val="Hyperlink"/>
          </w:rPr>
          <w:t>https://advocare.org.au/wp-content/uploads/2025/03/ST18246-AdvocareElderAbuseProtocol_Reprint_WEB.pdf</w:t>
        </w:r>
      </w:hyperlink>
      <w:r w:rsidR="00B42DC8" w:rsidRPr="00B42DC8">
        <w:t xml:space="preserve"> &gt;.</w:t>
      </w:r>
    </w:p>
  </w:footnote>
  <w:footnote w:id="511">
    <w:p w14:paraId="32717B8A" w14:textId="06889421" w:rsidR="00863014" w:rsidRDefault="00863014">
      <w:pPr>
        <w:pStyle w:val="FootnoteText"/>
      </w:pPr>
      <w:r>
        <w:rPr>
          <w:rStyle w:val="FootnoteReference"/>
        </w:rPr>
        <w:footnoteRef/>
      </w:r>
      <w:r>
        <w:t xml:space="preserve"> </w:t>
      </w:r>
      <w:r w:rsidR="002E36B9" w:rsidRPr="0092535E">
        <w:t xml:space="preserve">Stevens </w:t>
      </w:r>
      <w:r w:rsidRPr="003D451B">
        <w:t>et al., U</w:t>
      </w:r>
      <w:r w:rsidR="0092535E" w:rsidRPr="003D451B">
        <w:t>niversity of Western Australia, Edith Cowen University</w:t>
      </w:r>
      <w:r w:rsidRPr="003D451B">
        <w:t xml:space="preserve"> and Uni</w:t>
      </w:r>
      <w:r w:rsidR="0092535E" w:rsidRPr="003D451B">
        <w:t>versity of South Australia,</w:t>
      </w:r>
      <w:r w:rsidRPr="003D451B">
        <w:t xml:space="preserve"> </w:t>
      </w:r>
      <w:r w:rsidRPr="003D451B">
        <w:rPr>
          <w:i/>
          <w:iCs/>
        </w:rPr>
        <w:t xml:space="preserve">Everyone’s Business: Research into </w:t>
      </w:r>
      <w:r w:rsidR="0092535E" w:rsidRPr="003D451B">
        <w:rPr>
          <w:i/>
          <w:iCs/>
        </w:rPr>
        <w:t>R</w:t>
      </w:r>
      <w:r w:rsidRPr="003D451B">
        <w:rPr>
          <w:i/>
          <w:iCs/>
        </w:rPr>
        <w:t xml:space="preserve">esponses to the </w:t>
      </w:r>
      <w:r w:rsidR="0092535E" w:rsidRPr="003D451B">
        <w:rPr>
          <w:i/>
          <w:iCs/>
        </w:rPr>
        <w:t>A</w:t>
      </w:r>
      <w:r w:rsidRPr="003D451B">
        <w:rPr>
          <w:i/>
          <w:iCs/>
        </w:rPr>
        <w:t xml:space="preserve">buse of </w:t>
      </w:r>
      <w:r w:rsidR="0092535E" w:rsidRPr="003D451B">
        <w:rPr>
          <w:i/>
          <w:iCs/>
        </w:rPr>
        <w:t>O</w:t>
      </w:r>
      <w:r w:rsidRPr="003D451B">
        <w:rPr>
          <w:i/>
          <w:iCs/>
        </w:rPr>
        <w:t xml:space="preserve">lder </w:t>
      </w:r>
      <w:r w:rsidR="0092535E" w:rsidRPr="003D451B">
        <w:rPr>
          <w:i/>
          <w:iCs/>
        </w:rPr>
        <w:t>P</w:t>
      </w:r>
      <w:r w:rsidRPr="003D451B">
        <w:rPr>
          <w:i/>
          <w:iCs/>
        </w:rPr>
        <w:t>eople (</w:t>
      </w:r>
      <w:r w:rsidR="0092535E" w:rsidRPr="003D451B">
        <w:rPr>
          <w:i/>
          <w:iCs/>
        </w:rPr>
        <w:t>E</w:t>
      </w:r>
      <w:r w:rsidRPr="003D451B">
        <w:rPr>
          <w:i/>
          <w:iCs/>
        </w:rPr>
        <w:t xml:space="preserve">lder </w:t>
      </w:r>
      <w:r w:rsidR="0092535E" w:rsidRPr="003D451B">
        <w:rPr>
          <w:i/>
          <w:iCs/>
        </w:rPr>
        <w:t>A</w:t>
      </w:r>
      <w:r w:rsidRPr="003D451B">
        <w:rPr>
          <w:i/>
          <w:iCs/>
        </w:rPr>
        <w:t>buse) in Western Australia</w:t>
      </w:r>
      <w:r w:rsidRPr="003D451B">
        <w:t xml:space="preserve"> </w:t>
      </w:r>
      <w:r w:rsidR="001A0C50" w:rsidRPr="003D451B">
        <w:t xml:space="preserve">(May, 2023) </w:t>
      </w:r>
      <w:r w:rsidRPr="003D451B">
        <w:t>8</w:t>
      </w:r>
      <w:r w:rsidR="001A0C50" w:rsidRPr="0092535E">
        <w:t>.</w:t>
      </w:r>
    </w:p>
  </w:footnote>
  <w:footnote w:id="512">
    <w:p w14:paraId="585B4C3F" w14:textId="24C0DBD7" w:rsidR="00863014" w:rsidRDefault="00863014">
      <w:pPr>
        <w:pStyle w:val="FootnoteText"/>
      </w:pPr>
      <w:r>
        <w:rPr>
          <w:rStyle w:val="FootnoteReference"/>
        </w:rPr>
        <w:footnoteRef/>
      </w:r>
      <w:r>
        <w:t xml:space="preserve"> </w:t>
      </w:r>
      <w:r w:rsidR="003210B3">
        <w:t xml:space="preserve">ALRC, </w:t>
      </w:r>
      <w:r w:rsidR="003210B3" w:rsidRPr="003210B3">
        <w:rPr>
          <w:i/>
          <w:iCs/>
        </w:rPr>
        <w:t>Elder Abuse</w:t>
      </w:r>
      <w:r>
        <w:t xml:space="preserve"> (n 6) </w:t>
      </w:r>
      <w:r w:rsidRPr="003C4B61">
        <w:t>412–17, Recommendation 14.8.</w:t>
      </w:r>
    </w:p>
  </w:footnote>
  <w:footnote w:id="513">
    <w:p w14:paraId="6E8C7581" w14:textId="5612C1AA" w:rsidR="00B77314" w:rsidRPr="00BA7DB8" w:rsidRDefault="00B77314" w:rsidP="003D3A01">
      <w:pPr>
        <w:pStyle w:val="FootnoteText"/>
      </w:pPr>
      <w:r w:rsidRPr="00BA7DB8">
        <w:rPr>
          <w:rStyle w:val="FootnoteReference"/>
        </w:rPr>
        <w:footnoteRef/>
      </w:r>
      <w:r w:rsidRPr="00BA7DB8">
        <w:t xml:space="preserve"> </w:t>
      </w:r>
      <w:r w:rsidR="00780930" w:rsidRPr="00FA6E4C">
        <w:rPr>
          <w:i/>
          <w:iCs/>
        </w:rPr>
        <w:t>Royal Commission into Violence, Abuse and Neglect and Exploitation of People with Disability</w:t>
      </w:r>
      <w:r w:rsidR="00780930">
        <w:t xml:space="preserve"> (n 296) vol 11 </w:t>
      </w:r>
      <w:r w:rsidR="000E1F33" w:rsidRPr="00BA7DB8">
        <w:t>[1.5]</w:t>
      </w:r>
      <w:r w:rsidR="00780930">
        <w:t>–</w:t>
      </w:r>
      <w:r w:rsidR="008450B4" w:rsidRPr="00BA7DB8">
        <w:t>[1.6]</w:t>
      </w:r>
      <w:r w:rsidR="000E1F33" w:rsidRPr="00BA7DB8">
        <w:t xml:space="preserve"> </w:t>
      </w:r>
      <w:r w:rsidR="008450B4" w:rsidRPr="003D3A01">
        <w:t>Recommendation</w:t>
      </w:r>
      <w:r w:rsidR="000E1F33" w:rsidRPr="00BA7DB8">
        <w:t xml:space="preserve"> 11-1</w:t>
      </w:r>
      <w:r w:rsidR="005D791C" w:rsidRPr="00BA7DB8">
        <w:t>.</w:t>
      </w:r>
    </w:p>
  </w:footnote>
  <w:footnote w:id="514">
    <w:p w14:paraId="2F68DAE1" w14:textId="6B5CDB6D" w:rsidR="00D85758" w:rsidRDefault="00D85758" w:rsidP="003D3A01">
      <w:pPr>
        <w:pStyle w:val="FootnoteText"/>
      </w:pPr>
      <w:r w:rsidRPr="00BA7DB8">
        <w:rPr>
          <w:rStyle w:val="FootnoteReference"/>
        </w:rPr>
        <w:footnoteRef/>
      </w:r>
      <w:r w:rsidRPr="00BA7DB8">
        <w:t xml:space="preserve"> </w:t>
      </w:r>
      <w:r w:rsidR="00780930">
        <w:t xml:space="preserve">Ibid </w:t>
      </w:r>
      <w:r w:rsidR="007976F8" w:rsidRPr="00BA7DB8">
        <w:t>[1.5].</w:t>
      </w:r>
    </w:p>
  </w:footnote>
  <w:footnote w:id="515">
    <w:p w14:paraId="10E5D695" w14:textId="528787C0" w:rsidR="00AB4749" w:rsidRDefault="00AB4749">
      <w:pPr>
        <w:pStyle w:val="FootnoteText"/>
      </w:pPr>
      <w:r>
        <w:rPr>
          <w:rStyle w:val="FootnoteReference"/>
        </w:rPr>
        <w:footnoteRef/>
      </w:r>
      <w:r>
        <w:t xml:space="preserve"> </w:t>
      </w:r>
      <w:r w:rsidRPr="00D73F5B">
        <w:t>South Australian Safeguarding Unit</w:t>
      </w:r>
      <w:r w:rsidR="00D73F5B">
        <w:t>,</w:t>
      </w:r>
      <w:r w:rsidRPr="00D11669">
        <w:rPr>
          <w:i/>
          <w:iCs/>
        </w:rPr>
        <w:t xml:space="preserve"> Code of Practice</w:t>
      </w:r>
      <w:r>
        <w:t xml:space="preserve"> (</w:t>
      </w:r>
      <w:r w:rsidR="00434EF9">
        <w:t xml:space="preserve">SA Health, Government of South Australia </w:t>
      </w:r>
      <w:r>
        <w:t>June 2023) &lt;</w:t>
      </w:r>
      <w:hyperlink r:id="rId104" w:history="1">
        <w:r w:rsidRPr="00574462">
          <w:rPr>
            <w:rStyle w:val="Hyperlink"/>
          </w:rPr>
          <w:t>https://dhs.sa.gov.au/how-we-help/ageing-well/support-for-adult-safety-and-wellbeing/about-the-adult-safeguarding-unit</w:t>
        </w:r>
      </w:hyperlink>
      <w:r>
        <w:t>&gt;.</w:t>
      </w:r>
    </w:p>
  </w:footnote>
  <w:footnote w:id="516">
    <w:p w14:paraId="0520A3FC" w14:textId="20508773" w:rsidR="00AB4749" w:rsidRDefault="00AB4749">
      <w:pPr>
        <w:pStyle w:val="FootnoteText"/>
      </w:pPr>
      <w:r>
        <w:rPr>
          <w:rStyle w:val="FootnoteReference"/>
        </w:rPr>
        <w:footnoteRef/>
      </w:r>
      <w:r>
        <w:t xml:space="preserve"> Adult Safeguarding Unit, </w:t>
      </w:r>
      <w:r w:rsidRPr="00AE09FC">
        <w:rPr>
          <w:i/>
          <w:iCs/>
        </w:rPr>
        <w:t xml:space="preserve">South Australian </w:t>
      </w:r>
      <w:r>
        <w:rPr>
          <w:i/>
          <w:iCs/>
        </w:rPr>
        <w:t>Charter</w:t>
      </w:r>
      <w:r>
        <w:t xml:space="preserve"> (n 231).</w:t>
      </w:r>
    </w:p>
  </w:footnote>
  <w:footnote w:id="517">
    <w:p w14:paraId="5443EA55" w14:textId="6A17F8B0" w:rsidR="00AB4749" w:rsidRDefault="00AB4749">
      <w:pPr>
        <w:pStyle w:val="FootnoteText"/>
      </w:pPr>
      <w:r>
        <w:rPr>
          <w:rStyle w:val="FootnoteReference"/>
        </w:rPr>
        <w:footnoteRef/>
      </w:r>
      <w:r>
        <w:t xml:space="preserve"> </w:t>
      </w:r>
      <w:r w:rsidRPr="003C4B61">
        <w:t xml:space="preserve">Decisions </w:t>
      </w:r>
      <w:r w:rsidRPr="003D3A01">
        <w:t>may</w:t>
      </w:r>
      <w:r w:rsidRPr="003C4B61">
        <w:t xml:space="preserve"> be reviewed internally or externally by the </w:t>
      </w:r>
      <w:r w:rsidR="00536D67">
        <w:t xml:space="preserve">SA </w:t>
      </w:r>
      <w:r w:rsidRPr="003C4B61">
        <w:t xml:space="preserve">Ombudsman: </w:t>
      </w:r>
      <w:r w:rsidRPr="003C4B61">
        <w:rPr>
          <w:i/>
          <w:iCs/>
        </w:rPr>
        <w:t>Ageing and Adult Safeguarding Act 1995</w:t>
      </w:r>
      <w:r w:rsidRPr="003C4B61">
        <w:t xml:space="preserve"> (SA) </w:t>
      </w:r>
      <w:r w:rsidR="00536D67">
        <w:t xml:space="preserve">pt 5 </w:t>
      </w:r>
      <w:r w:rsidRPr="003C4B61">
        <w:t>divs 1, 2.</w:t>
      </w:r>
    </w:p>
  </w:footnote>
  <w:footnote w:id="518">
    <w:p w14:paraId="0F8912E4" w14:textId="3FAF4E6B" w:rsidR="00B60D2C" w:rsidRDefault="00B60D2C">
      <w:pPr>
        <w:pStyle w:val="FootnoteText"/>
      </w:pPr>
      <w:r>
        <w:rPr>
          <w:rStyle w:val="FootnoteReference"/>
        </w:rPr>
        <w:footnoteRef/>
      </w:r>
      <w:r>
        <w:t xml:space="preserve"> </w:t>
      </w:r>
      <w:r w:rsidR="00F6697B" w:rsidRPr="003C4B61">
        <w:rPr>
          <w:i/>
          <w:iCs/>
        </w:rPr>
        <w:t>Ageing and Adult Safeguarding Act 1995</w:t>
      </w:r>
      <w:r w:rsidR="00F6697B" w:rsidRPr="003C4B61">
        <w:t xml:space="preserve"> (SA</w:t>
      </w:r>
      <w:r w:rsidR="00B45ABC">
        <w:t>)</w:t>
      </w:r>
      <w:r w:rsidR="00F6697B">
        <w:t>.</w:t>
      </w:r>
    </w:p>
  </w:footnote>
  <w:footnote w:id="519">
    <w:p w14:paraId="422B04AE" w14:textId="5CBB7139" w:rsidR="00BA6C75" w:rsidRDefault="00BA6C75">
      <w:pPr>
        <w:pStyle w:val="FootnoteText"/>
      </w:pPr>
      <w:r>
        <w:rPr>
          <w:rStyle w:val="FootnoteReference"/>
        </w:rPr>
        <w:footnoteRef/>
      </w:r>
      <w:r>
        <w:t xml:space="preserve"> </w:t>
      </w:r>
      <w:r w:rsidR="00915080" w:rsidRPr="00D715B3">
        <w:rPr>
          <w:rFonts w:cs="Times New Roman"/>
        </w:rPr>
        <w:t>SALRI (n 11)</w:t>
      </w:r>
      <w:r w:rsidR="00915080">
        <w:rPr>
          <w:rFonts w:cs="Times New Roman"/>
        </w:rPr>
        <w:t>.</w:t>
      </w:r>
      <w:r w:rsidR="00915080" w:rsidRPr="00D715B3">
        <w:rPr>
          <w:rFonts w:cs="Times New Roman"/>
        </w:rPr>
        <w:t xml:space="preserve">  </w:t>
      </w:r>
    </w:p>
  </w:footnote>
  <w:footnote w:id="520">
    <w:p w14:paraId="4BEE367E" w14:textId="70D673CA" w:rsidR="004C5221" w:rsidRDefault="004C5221">
      <w:pPr>
        <w:pStyle w:val="FootnoteText"/>
      </w:pPr>
      <w:r>
        <w:rPr>
          <w:rStyle w:val="FootnoteReference"/>
        </w:rPr>
        <w:footnoteRef/>
      </w:r>
      <w:r>
        <w:t xml:space="preserve"> </w:t>
      </w:r>
      <w:r w:rsidR="003B649A">
        <w:rPr>
          <w:rFonts w:cs="Times New Roman"/>
        </w:rPr>
        <w:t>Ibid</w:t>
      </w:r>
      <w:r>
        <w:rPr>
          <w:rFonts w:cs="Times New Roman"/>
        </w:rPr>
        <w:t xml:space="preserve"> </w:t>
      </w:r>
      <w:r w:rsidRPr="003C4B61">
        <w:t>xi.</w:t>
      </w:r>
    </w:p>
  </w:footnote>
  <w:footnote w:id="521">
    <w:p w14:paraId="650326F9" w14:textId="6E24FAF9" w:rsidR="004C5221" w:rsidRDefault="004C5221">
      <w:pPr>
        <w:pStyle w:val="FootnoteText"/>
      </w:pPr>
      <w:r>
        <w:rPr>
          <w:rStyle w:val="FootnoteReference"/>
        </w:rPr>
        <w:footnoteRef/>
      </w:r>
      <w:r>
        <w:t xml:space="preserve"> </w:t>
      </w:r>
      <w:r w:rsidR="003B649A">
        <w:rPr>
          <w:rFonts w:cs="Times New Roman"/>
        </w:rPr>
        <w:t>Ibid</w:t>
      </w:r>
      <w:r>
        <w:rPr>
          <w:rFonts w:cs="Times New Roman"/>
        </w:rPr>
        <w:t xml:space="preserve"> </w:t>
      </w:r>
      <w:r w:rsidRPr="003C4B61">
        <w:t>xii.</w:t>
      </w:r>
    </w:p>
  </w:footnote>
  <w:footnote w:id="522">
    <w:p w14:paraId="1ADADAA7" w14:textId="15BF3410" w:rsidR="004C5221" w:rsidRDefault="004C5221">
      <w:pPr>
        <w:pStyle w:val="FootnoteText"/>
      </w:pPr>
      <w:r>
        <w:rPr>
          <w:rStyle w:val="FootnoteReference"/>
        </w:rPr>
        <w:footnoteRef/>
      </w:r>
      <w:r>
        <w:t xml:space="preserve"> </w:t>
      </w:r>
      <w:r w:rsidR="009306E5">
        <w:t xml:space="preserve">Ibid </w:t>
      </w:r>
      <w:r w:rsidR="00814DC7" w:rsidRPr="003C4B61">
        <w:t>Recommendations 1, 5, 8.</w:t>
      </w:r>
    </w:p>
  </w:footnote>
  <w:footnote w:id="523">
    <w:p w14:paraId="576AC41D" w14:textId="38C49B02" w:rsidR="00574220" w:rsidRDefault="00574220">
      <w:pPr>
        <w:pStyle w:val="FootnoteText"/>
      </w:pPr>
      <w:r>
        <w:rPr>
          <w:rStyle w:val="FootnoteReference"/>
        </w:rPr>
        <w:footnoteRef/>
      </w:r>
      <w:r>
        <w:t xml:space="preserve"> </w:t>
      </w:r>
      <w:r w:rsidRPr="003C4B61">
        <w:t xml:space="preserve">Other international jurisdictions which have </w:t>
      </w:r>
      <w:r w:rsidRPr="00E87961">
        <w:t>adult</w:t>
      </w:r>
      <w:r w:rsidRPr="003C4B61">
        <w:t xml:space="preserve"> safeguarding models are Scotland</w:t>
      </w:r>
      <w:r>
        <w:t xml:space="preserve">: </w:t>
      </w:r>
      <w:r w:rsidRPr="003C4B61">
        <w:rPr>
          <w:i/>
          <w:iCs/>
        </w:rPr>
        <w:t xml:space="preserve">Adult Support and Protection Act </w:t>
      </w:r>
      <w:r>
        <w:rPr>
          <w:i/>
          <w:iCs/>
        </w:rPr>
        <w:t xml:space="preserve">(Scotland) </w:t>
      </w:r>
      <w:r w:rsidRPr="003C4B61">
        <w:rPr>
          <w:i/>
          <w:iCs/>
        </w:rPr>
        <w:t>2017</w:t>
      </w:r>
      <w:r>
        <w:t xml:space="preserve"> (Scot</w:t>
      </w:r>
      <w:r w:rsidRPr="003C4B61">
        <w:t>); Canada, British Columbia</w:t>
      </w:r>
      <w:r>
        <w:t xml:space="preserve">: </w:t>
      </w:r>
      <w:r w:rsidRPr="003C4B61">
        <w:t xml:space="preserve">safeguarding provisions in </w:t>
      </w:r>
      <w:r w:rsidRPr="003C4B61">
        <w:rPr>
          <w:i/>
          <w:iCs/>
        </w:rPr>
        <w:t xml:space="preserve">Adult Guardianship Act </w:t>
      </w:r>
      <w:r>
        <w:t>RSBC</w:t>
      </w:r>
      <w:r w:rsidRPr="003C4B61">
        <w:rPr>
          <w:i/>
          <w:iCs/>
        </w:rPr>
        <w:t xml:space="preserve"> 1996</w:t>
      </w:r>
      <w:r>
        <w:t xml:space="preserve"> c 6</w:t>
      </w:r>
      <w:r w:rsidRPr="003C4B61">
        <w:t>; and California</w:t>
      </w:r>
      <w:r w:rsidRPr="003B649A">
        <w:t xml:space="preserve">: </w:t>
      </w:r>
      <w:r w:rsidRPr="003D451B">
        <w:rPr>
          <w:i/>
          <w:iCs/>
        </w:rPr>
        <w:t>Elder Abuse and Dependent Adult Civil Protection Act</w:t>
      </w:r>
      <w:r w:rsidRPr="003D451B">
        <w:t xml:space="preserve"> 11 Cal WIC Code (2023).</w:t>
      </w:r>
    </w:p>
  </w:footnote>
  <w:footnote w:id="524">
    <w:p w14:paraId="45B8261D" w14:textId="373603FE" w:rsidR="00CF282D" w:rsidRPr="003C4B61" w:rsidRDefault="00CF282D" w:rsidP="00E87961">
      <w:pPr>
        <w:pStyle w:val="FootnoteText"/>
      </w:pPr>
      <w:r w:rsidRPr="003C4B61">
        <w:rPr>
          <w:rStyle w:val="FootnoteReference"/>
          <w:rFonts w:cs="Times New Roman"/>
          <w:sz w:val="18"/>
          <w:szCs w:val="18"/>
        </w:rPr>
        <w:footnoteRef/>
      </w:r>
      <w:r w:rsidRPr="003C4B61">
        <w:t xml:space="preserve"> SALRI </w:t>
      </w:r>
      <w:r w:rsidR="00811698">
        <w:t xml:space="preserve">(n 11) </w:t>
      </w:r>
      <w:r w:rsidRPr="00E87961">
        <w:t>Recommendations</w:t>
      </w:r>
      <w:r w:rsidRPr="003C4B61">
        <w:t xml:space="preserve"> 9, 10. </w:t>
      </w:r>
    </w:p>
  </w:footnote>
  <w:footnote w:id="525">
    <w:p w14:paraId="28CF8A6B" w14:textId="122CBC1B" w:rsidR="00811698" w:rsidRDefault="00811698">
      <w:pPr>
        <w:pStyle w:val="FootnoteText"/>
      </w:pPr>
      <w:r>
        <w:rPr>
          <w:rStyle w:val="FootnoteReference"/>
        </w:rPr>
        <w:footnoteRef/>
      </w:r>
      <w:r>
        <w:t xml:space="preserve"> </w:t>
      </w:r>
      <w:r w:rsidRPr="003C4B61">
        <w:t xml:space="preserve">SALRI </w:t>
      </w:r>
      <w:r>
        <w:t xml:space="preserve">(n 11) </w:t>
      </w:r>
      <w:r w:rsidRPr="00E87961">
        <w:t>Recommendation</w:t>
      </w:r>
      <w:r w:rsidRPr="003C4B61">
        <w:t xml:space="preserve"> 11.</w:t>
      </w:r>
    </w:p>
  </w:footnote>
  <w:footnote w:id="526">
    <w:p w14:paraId="3D28AC8D" w14:textId="5939238F" w:rsidR="0061227A" w:rsidRDefault="0061227A">
      <w:pPr>
        <w:pStyle w:val="FootnoteText"/>
      </w:pPr>
      <w:r>
        <w:rPr>
          <w:rStyle w:val="FootnoteReference"/>
        </w:rPr>
        <w:footnoteRef/>
      </w:r>
      <w:r>
        <w:t xml:space="preserve"> </w:t>
      </w:r>
      <w:r w:rsidR="00811698" w:rsidRPr="003C4B61">
        <w:t xml:space="preserve">SALRI </w:t>
      </w:r>
      <w:r w:rsidR="00811698">
        <w:t xml:space="preserve">(n 11) </w:t>
      </w:r>
      <w:r>
        <w:t>xxii.</w:t>
      </w:r>
    </w:p>
  </w:footnote>
  <w:footnote w:id="527">
    <w:p w14:paraId="069B91EB" w14:textId="52694EBF" w:rsidR="00E859DC" w:rsidRDefault="00E859DC">
      <w:pPr>
        <w:pStyle w:val="FootnoteText"/>
      </w:pPr>
      <w:r>
        <w:rPr>
          <w:rStyle w:val="FootnoteReference"/>
        </w:rPr>
        <w:footnoteRef/>
      </w:r>
      <w:r>
        <w:t xml:space="preserve"> Department for Health and Wellbeing, </w:t>
      </w:r>
      <w:r w:rsidRPr="009914F3">
        <w:rPr>
          <w:i/>
          <w:iCs/>
        </w:rPr>
        <w:t>2023–24 Annual Report</w:t>
      </w:r>
      <w:r>
        <w:t xml:space="preserve"> (Government of South Australia, Report, 2024) (</w:t>
      </w:r>
      <w:r w:rsidR="002B6F5C">
        <w:t xml:space="preserve">‘Department of Health for Health and Wellbeing, </w:t>
      </w:r>
      <w:r w:rsidR="002B6F5C" w:rsidRPr="009914F3">
        <w:rPr>
          <w:i/>
          <w:iCs/>
        </w:rPr>
        <w:t>2023–24 Annual Report</w:t>
      </w:r>
      <w:r w:rsidR="002B6F5C">
        <w:t>’</w:t>
      </w:r>
      <w:r>
        <w:t>). U</w:t>
      </w:r>
      <w:r w:rsidRPr="00E422D1">
        <w:t>ntil 30 June 2024, the Office for Ageing Well (in which the ASU sits) was situated in the Department for Health and Wellbeing (</w:t>
      </w:r>
      <w:r>
        <w:t>‘</w:t>
      </w:r>
      <w:r w:rsidRPr="00E422D1">
        <w:t>DHW</w:t>
      </w:r>
      <w:r>
        <w:t>’</w:t>
      </w:r>
      <w:r w:rsidRPr="00E422D1">
        <w:t>). As a result of Machinery of Government change, from 1 July 2024, the Office for Ageing Well forms parts of Department for Human Services (</w:t>
      </w:r>
      <w:r>
        <w:t>‘</w:t>
      </w:r>
      <w:r w:rsidRPr="00E422D1">
        <w:t>DHS</w:t>
      </w:r>
      <w:r>
        <w:t>’</w:t>
      </w:r>
      <w:r w:rsidRPr="00E422D1">
        <w:t>). Annual reports from 2023–24 and earlier are from DHW, with the ASU having its own annual report for the years 2019–20, 2020–21 and 2021–22</w:t>
      </w:r>
      <w:r>
        <w:t>, which provide more detail than is included in the DHW annual reports.</w:t>
      </w:r>
    </w:p>
  </w:footnote>
  <w:footnote w:id="528">
    <w:p w14:paraId="54B678FA" w14:textId="4C2224F3" w:rsidR="00E859DC" w:rsidRDefault="00E859DC">
      <w:pPr>
        <w:pStyle w:val="FootnoteText"/>
      </w:pPr>
      <w:r>
        <w:rPr>
          <w:rStyle w:val="FootnoteReference"/>
        </w:rPr>
        <w:footnoteRef/>
      </w:r>
      <w:r>
        <w:t xml:space="preserve"> </w:t>
      </w:r>
      <w:r w:rsidRPr="003C4B61">
        <w:t xml:space="preserve">With an enquiry, the </w:t>
      </w:r>
      <w:r>
        <w:t>ASU</w:t>
      </w:r>
      <w:r w:rsidRPr="003C4B61">
        <w:t xml:space="preserve"> provides advice, </w:t>
      </w:r>
      <w:r w:rsidRPr="00E87961">
        <w:t>information</w:t>
      </w:r>
      <w:r w:rsidRPr="003C4B61">
        <w:t xml:space="preserve"> and support to the person contacting the Unit based on individual circumstances of the case.</w:t>
      </w:r>
    </w:p>
  </w:footnote>
  <w:footnote w:id="529">
    <w:p w14:paraId="4310E4B1" w14:textId="4EE57E7D" w:rsidR="00E859DC" w:rsidRDefault="00E859DC">
      <w:pPr>
        <w:pStyle w:val="FootnoteText"/>
      </w:pPr>
      <w:r>
        <w:rPr>
          <w:rStyle w:val="FootnoteReference"/>
        </w:rPr>
        <w:footnoteRef/>
      </w:r>
      <w:r>
        <w:t xml:space="preserve"> </w:t>
      </w:r>
      <w:r w:rsidRPr="003C4B61">
        <w:t xml:space="preserve">With reports, these must be assessed, and the Director must </w:t>
      </w:r>
      <w:r w:rsidRPr="00E87961">
        <w:t>approve</w:t>
      </w:r>
      <w:r w:rsidRPr="003C4B61">
        <w:t xml:space="preserve"> one or the following three actions under s 23 of the Act to be taken: investigate, refer the matter to a more appropriate organisation or body, or take no further action.</w:t>
      </w:r>
    </w:p>
  </w:footnote>
  <w:footnote w:id="530">
    <w:p w14:paraId="22B45993" w14:textId="4A7E237B" w:rsidR="004D2845" w:rsidRDefault="004D2845">
      <w:pPr>
        <w:pStyle w:val="FootnoteText"/>
      </w:pPr>
      <w:r>
        <w:rPr>
          <w:rStyle w:val="FootnoteReference"/>
        </w:rPr>
        <w:footnoteRef/>
      </w:r>
      <w:r>
        <w:t xml:space="preserve"> It is noted that </w:t>
      </w:r>
      <w:r w:rsidRPr="003C4B61">
        <w:t>the scope of the Unit expanded in October 2020 to take reports of abuse regarding a person with disability and increased community awareness through public campaigns</w:t>
      </w:r>
      <w:r>
        <w:t xml:space="preserve">: South Australian Adult Safeguarding Unit, </w:t>
      </w:r>
      <w:r w:rsidRPr="006302D0">
        <w:rPr>
          <w:i/>
          <w:iCs/>
        </w:rPr>
        <w:t>Annual Report 2021–2022</w:t>
      </w:r>
      <w:r>
        <w:t xml:space="preserve"> (SA Health, Government of South Australia, Report, 2022) 3</w:t>
      </w:r>
      <w:r w:rsidR="00AD03FE">
        <w:t xml:space="preserve"> (‘South Australian Adult Safeguarding Unit</w:t>
      </w:r>
      <w:r w:rsidR="00681BB6">
        <w:t xml:space="preserve">, </w:t>
      </w:r>
      <w:r w:rsidR="00681BB6" w:rsidRPr="006302D0">
        <w:rPr>
          <w:i/>
          <w:iCs/>
        </w:rPr>
        <w:t>Annual Report 2021–2022</w:t>
      </w:r>
      <w:r w:rsidR="00681BB6">
        <w:t>’</w:t>
      </w:r>
      <w:r w:rsidR="00AD03FE">
        <w:t>)</w:t>
      </w:r>
      <w:r>
        <w:t>.</w:t>
      </w:r>
    </w:p>
  </w:footnote>
  <w:footnote w:id="531">
    <w:p w14:paraId="707B52E8" w14:textId="59CB17BA" w:rsidR="00207499" w:rsidRDefault="00207499">
      <w:pPr>
        <w:pStyle w:val="FootnoteText"/>
      </w:pPr>
      <w:r>
        <w:rPr>
          <w:rStyle w:val="FootnoteReference"/>
        </w:rPr>
        <w:footnoteRef/>
      </w:r>
      <w:r>
        <w:t xml:space="preserve"> </w:t>
      </w:r>
      <w:r w:rsidRPr="00207499">
        <w:t xml:space="preserve">More detailed data on the outcomes at the ‘enquiry stage’ available in earlier reporting periods </w:t>
      </w:r>
      <w:r w:rsidR="00F34705">
        <w:t>(</w:t>
      </w:r>
      <w:r w:rsidRPr="00207499">
        <w:t>2021–22</w:t>
      </w:r>
      <w:r w:rsidR="00F34705">
        <w:t xml:space="preserve">) </w:t>
      </w:r>
      <w:r w:rsidRPr="00207499">
        <w:t xml:space="preserve">is detailed in Table F.1 in </w:t>
      </w:r>
      <w:r w:rsidRPr="00207499">
        <w:rPr>
          <w:b/>
          <w:bCs/>
        </w:rPr>
        <w:t>Appendix F</w:t>
      </w:r>
      <w:r w:rsidRPr="00207499">
        <w:t>.</w:t>
      </w:r>
    </w:p>
  </w:footnote>
  <w:footnote w:id="532">
    <w:p w14:paraId="044064BA" w14:textId="5E2FDC36" w:rsidR="00F34705" w:rsidRDefault="00F34705">
      <w:pPr>
        <w:pStyle w:val="FootnoteText"/>
      </w:pPr>
      <w:r>
        <w:rPr>
          <w:rStyle w:val="FootnoteReference"/>
        </w:rPr>
        <w:footnoteRef/>
      </w:r>
      <w:r>
        <w:t xml:space="preserve"> </w:t>
      </w:r>
      <w:r w:rsidRPr="00F34705">
        <w:t>Of the 3,356 contacts in 2023–24, 27.4 % (920 contacts) were related to adults living with disability; 4.0 % (133 contacts) concerned adults with other vulnerabilities. Insufficient information was provided for the remaining 9.7 % (327 enquiries) to determine a category.</w:t>
      </w:r>
    </w:p>
  </w:footnote>
  <w:footnote w:id="533">
    <w:p w14:paraId="4F9583D2" w14:textId="4A5D3638" w:rsidR="00A5077C" w:rsidRDefault="00A5077C">
      <w:pPr>
        <w:pStyle w:val="FootnoteText"/>
      </w:pPr>
      <w:r>
        <w:rPr>
          <w:rStyle w:val="FootnoteReference"/>
        </w:rPr>
        <w:footnoteRef/>
      </w:r>
      <w:r>
        <w:t xml:space="preserve"> </w:t>
      </w:r>
      <w:r w:rsidR="002B6F5C">
        <w:t xml:space="preserve">Department of Health for Health and Wellbeing, </w:t>
      </w:r>
      <w:r w:rsidR="002B6F5C" w:rsidRPr="009914F3">
        <w:rPr>
          <w:i/>
          <w:iCs/>
        </w:rPr>
        <w:t>2023–24 Annual Report</w:t>
      </w:r>
      <w:r w:rsidR="002B6F5C">
        <w:t xml:space="preserve"> </w:t>
      </w:r>
      <w:r w:rsidR="00494EE7">
        <w:t>(n 526) 34–5.</w:t>
      </w:r>
    </w:p>
  </w:footnote>
  <w:footnote w:id="534">
    <w:p w14:paraId="0ACDC7B0" w14:textId="18B50D5A" w:rsidR="00B34F34" w:rsidRDefault="00B34F34">
      <w:pPr>
        <w:pStyle w:val="FootnoteText"/>
      </w:pPr>
      <w:r>
        <w:rPr>
          <w:rStyle w:val="FootnoteReference"/>
        </w:rPr>
        <w:footnoteRef/>
      </w:r>
      <w:r>
        <w:t xml:space="preserve"> </w:t>
      </w:r>
      <w:r w:rsidRPr="00B34F34">
        <w:t xml:space="preserve">For example, in 2021–22, of 2,269 contacts made, of which half were dealt with as ‘enquiries’ (1.156) and half were treated as ‘reports’ (1,113). Of the calls made, a higher proportion related to older people (64.5%, 1.463); 69.4% of 2,269 contacts were about women; 24.1% were about people aged 75–84 years, followed by 85 years or older (21.3%) and 65–74 years (17.0%): </w:t>
      </w:r>
      <w:r w:rsidR="006253C9">
        <w:t>South Australian Adult Safeguarding Unit</w:t>
      </w:r>
      <w:r w:rsidR="00681BB6">
        <w:t xml:space="preserve">, </w:t>
      </w:r>
      <w:r w:rsidR="00681BB6" w:rsidRPr="006302D0">
        <w:rPr>
          <w:i/>
          <w:iCs/>
        </w:rPr>
        <w:t>Annual Report 2021–2022</w:t>
      </w:r>
      <w:r w:rsidR="00681BB6">
        <w:t xml:space="preserve"> </w:t>
      </w:r>
      <w:r w:rsidR="006253C9">
        <w:t xml:space="preserve">(n 529) </w:t>
      </w:r>
      <w:r w:rsidR="00017A00">
        <w:t>13</w:t>
      </w:r>
      <w:r w:rsidRPr="00B34F34">
        <w:t>.</w:t>
      </w:r>
    </w:p>
  </w:footnote>
  <w:footnote w:id="535">
    <w:p w14:paraId="7BF66E31" w14:textId="762088F0" w:rsidR="00765CD5" w:rsidRDefault="00765CD5">
      <w:pPr>
        <w:pStyle w:val="FootnoteText"/>
      </w:pPr>
      <w:r>
        <w:rPr>
          <w:rStyle w:val="FootnoteReference"/>
        </w:rPr>
        <w:footnoteRef/>
      </w:r>
      <w:r>
        <w:t xml:space="preserve"> </w:t>
      </w:r>
      <w:r w:rsidR="002B6F5C">
        <w:t xml:space="preserve">Department of Health for Health and Wellbeing, </w:t>
      </w:r>
      <w:r w:rsidR="002B6F5C" w:rsidRPr="009914F3">
        <w:rPr>
          <w:i/>
          <w:iCs/>
        </w:rPr>
        <w:t>2023–24 Annual Report</w:t>
      </w:r>
      <w:r w:rsidR="002B6F5C">
        <w:t xml:space="preserve"> </w:t>
      </w:r>
      <w:r w:rsidR="00620D81">
        <w:t>(n 526) 35.</w:t>
      </w:r>
    </w:p>
  </w:footnote>
  <w:footnote w:id="536">
    <w:p w14:paraId="231F2F12" w14:textId="688675D8" w:rsidR="00063738" w:rsidRDefault="00063738" w:rsidP="00E87961">
      <w:pPr>
        <w:pStyle w:val="FootnoteText"/>
      </w:pPr>
      <w:r>
        <w:rPr>
          <w:rStyle w:val="FootnoteReference"/>
        </w:rPr>
        <w:footnoteRef/>
      </w:r>
      <w:r>
        <w:t xml:space="preserve"> </w:t>
      </w:r>
      <w:r w:rsidR="00017A00">
        <w:t>Ibid.</w:t>
      </w:r>
    </w:p>
  </w:footnote>
  <w:footnote w:id="537">
    <w:p w14:paraId="347CA32E" w14:textId="580275F4" w:rsidR="00B34F34" w:rsidRDefault="00B34F34">
      <w:pPr>
        <w:pStyle w:val="FootnoteText"/>
      </w:pPr>
      <w:r>
        <w:rPr>
          <w:rStyle w:val="FootnoteReference"/>
        </w:rPr>
        <w:footnoteRef/>
      </w:r>
      <w:r>
        <w:t xml:space="preserve"> More detailed data </w:t>
      </w:r>
      <w:r w:rsidRPr="00E87961">
        <w:t>reported</w:t>
      </w:r>
      <w:r>
        <w:t xml:space="preserve"> from earlier years showed that t</w:t>
      </w:r>
      <w:r w:rsidRPr="00E422D1">
        <w:t xml:space="preserve">he most common concerns of abuse </w:t>
      </w:r>
      <w:r>
        <w:t xml:space="preserve">of the </w:t>
      </w:r>
      <w:r w:rsidRPr="00FC7450">
        <w:rPr>
          <w:rStyle w:val="FootnoteTextTLRIChar"/>
          <w:rFonts w:eastAsia="Times"/>
        </w:rPr>
        <w:t xml:space="preserve">2,269 </w:t>
      </w:r>
      <w:r>
        <w:t xml:space="preserve">contacts </w:t>
      </w:r>
      <w:r w:rsidRPr="00E422D1">
        <w:t>were about psychological/emotional abuse (45.5%), financial abuse (38.6%), neglect (21.4%) and physical abuse (16.8%), with the person responsible for alleged abuse of older people most commonly sons (28.2%), followed by daughters (18.1%)</w:t>
      </w:r>
      <w:r>
        <w:t xml:space="preserve">: </w:t>
      </w:r>
      <w:r w:rsidR="00912BD1">
        <w:t xml:space="preserve">South Australian Adult Safeguarding Unit, </w:t>
      </w:r>
      <w:r w:rsidR="00912BD1" w:rsidRPr="006302D0">
        <w:rPr>
          <w:i/>
          <w:iCs/>
        </w:rPr>
        <w:t>Annual Report 2021–2022</w:t>
      </w:r>
      <w:r w:rsidR="00912BD1">
        <w:t xml:space="preserve"> </w:t>
      </w:r>
      <w:r w:rsidR="00017A00">
        <w:t xml:space="preserve">(n 529) </w:t>
      </w:r>
      <w:r w:rsidR="006F49EA">
        <w:t>14</w:t>
      </w:r>
      <w:r>
        <w:t>.</w:t>
      </w:r>
    </w:p>
  </w:footnote>
  <w:footnote w:id="538">
    <w:p w14:paraId="28292988" w14:textId="0023F23E" w:rsidR="00B34F34" w:rsidRDefault="00B34F34">
      <w:pPr>
        <w:pStyle w:val="FootnoteText"/>
      </w:pPr>
      <w:r>
        <w:rPr>
          <w:rStyle w:val="FootnoteReference"/>
        </w:rPr>
        <w:footnoteRef/>
      </w:r>
      <w:r>
        <w:t xml:space="preserve"> </w:t>
      </w:r>
      <w:r w:rsidR="002B6F5C">
        <w:t xml:space="preserve">Department of Health for Health and Wellbeing, </w:t>
      </w:r>
      <w:r w:rsidR="002B6F5C" w:rsidRPr="009914F3">
        <w:rPr>
          <w:i/>
          <w:iCs/>
        </w:rPr>
        <w:t>2023–24 Annual Report</w:t>
      </w:r>
      <w:r w:rsidR="002B6F5C">
        <w:t xml:space="preserve"> </w:t>
      </w:r>
      <w:r w:rsidR="00620D81">
        <w:t xml:space="preserve">(n 526) </w:t>
      </w:r>
      <w:r>
        <w:t xml:space="preserve">35. More </w:t>
      </w:r>
      <w:r w:rsidRPr="00E87961">
        <w:t>detailed</w:t>
      </w:r>
      <w:r>
        <w:t xml:space="preserve"> data on outcomes is provided in earlier reporting periods, the most recent of which is 2021–22 and is detailed in Table F.1 in </w:t>
      </w:r>
      <w:r w:rsidRPr="00C36293">
        <w:rPr>
          <w:b/>
          <w:bCs/>
        </w:rPr>
        <w:t>Appendix F</w:t>
      </w:r>
      <w:r w:rsidRPr="003C4B61">
        <w:t>.</w:t>
      </w:r>
    </w:p>
  </w:footnote>
  <w:footnote w:id="539">
    <w:p w14:paraId="654277E9" w14:textId="18D7C2F8" w:rsidR="007B4365" w:rsidRPr="007B4365" w:rsidRDefault="007B4365" w:rsidP="00E87961">
      <w:pPr>
        <w:pStyle w:val="FootnoteText"/>
      </w:pPr>
      <w:r>
        <w:rPr>
          <w:rStyle w:val="FootnoteReference"/>
        </w:rPr>
        <w:footnoteRef/>
      </w:r>
      <w:r>
        <w:t xml:space="preserve"> </w:t>
      </w:r>
      <w:r w:rsidR="005E666E">
        <w:t xml:space="preserve">South Australian Adult Safeguarding Unit, </w:t>
      </w:r>
      <w:r w:rsidR="005E666E" w:rsidRPr="006302D0">
        <w:rPr>
          <w:i/>
          <w:iCs/>
        </w:rPr>
        <w:t>Annual Report 2021–2022</w:t>
      </w:r>
      <w:r w:rsidR="005E666E">
        <w:t xml:space="preserve"> </w:t>
      </w:r>
      <w:r w:rsidR="00CC65C6">
        <w:t xml:space="preserve">(n 529) </w:t>
      </w:r>
      <w:r w:rsidRPr="003C4B61">
        <w:t>10</w:t>
      </w:r>
      <w:r w:rsidR="00CC65C6">
        <w:t>–</w:t>
      </w:r>
      <w:r w:rsidRPr="003C4B61">
        <w:t>14</w:t>
      </w:r>
      <w:r w:rsidR="00CC65C6">
        <w:t>,</w:t>
      </w:r>
      <w:r>
        <w:t xml:space="preserve"> </w:t>
      </w:r>
      <w:r w:rsidR="000802AF" w:rsidRPr="003C4B61">
        <w:t>16</w:t>
      </w:r>
      <w:r w:rsidR="000802AF">
        <w:t>.</w:t>
      </w:r>
    </w:p>
  </w:footnote>
  <w:footnote w:id="540">
    <w:p w14:paraId="17230ECB" w14:textId="2B9B279C" w:rsidR="00B34F34" w:rsidRDefault="00B34F34">
      <w:pPr>
        <w:pStyle w:val="FootnoteText"/>
      </w:pPr>
      <w:r>
        <w:rPr>
          <w:rStyle w:val="FootnoteReference"/>
        </w:rPr>
        <w:footnoteRef/>
      </w:r>
      <w:r>
        <w:t xml:space="preserve"> </w:t>
      </w:r>
      <w:r w:rsidR="002B162D">
        <w:t>Ibid</w:t>
      </w:r>
      <w:r w:rsidRPr="00B34F34">
        <w:t xml:space="preserve"> 16.</w:t>
      </w:r>
    </w:p>
  </w:footnote>
  <w:footnote w:id="541">
    <w:p w14:paraId="1F2EABA5" w14:textId="667D360E" w:rsidR="00F16CF4" w:rsidRDefault="00F16CF4" w:rsidP="00E87961">
      <w:pPr>
        <w:pStyle w:val="FootnoteText"/>
      </w:pPr>
      <w:r>
        <w:rPr>
          <w:rStyle w:val="FootnoteReference"/>
        </w:rPr>
        <w:footnoteRef/>
      </w:r>
      <w:r>
        <w:t xml:space="preserve"> </w:t>
      </w:r>
      <w:r w:rsidR="008D02AF">
        <w:t xml:space="preserve">Department of Health for Health and Wellbeing, </w:t>
      </w:r>
      <w:r w:rsidR="008D02AF" w:rsidRPr="009914F3">
        <w:rPr>
          <w:i/>
          <w:iCs/>
        </w:rPr>
        <w:t>2023–24 Annual Report</w:t>
      </w:r>
      <w:r w:rsidR="008D02AF">
        <w:t xml:space="preserve"> </w:t>
      </w:r>
      <w:r w:rsidR="00F81AAF">
        <w:t>(n 526)</w:t>
      </w:r>
      <w:r w:rsidR="008179B9">
        <w:t xml:space="preserve"> </w:t>
      </w:r>
      <w:r>
        <w:t>35.</w:t>
      </w:r>
    </w:p>
  </w:footnote>
  <w:footnote w:id="542">
    <w:p w14:paraId="272C6753" w14:textId="03D76662" w:rsidR="00B34F34" w:rsidRDefault="00B34F34">
      <w:pPr>
        <w:pStyle w:val="FootnoteText"/>
      </w:pPr>
      <w:r>
        <w:rPr>
          <w:rStyle w:val="FootnoteReference"/>
        </w:rPr>
        <w:footnoteRef/>
      </w:r>
      <w:r>
        <w:t xml:space="preserve"> </w:t>
      </w:r>
      <w:r w:rsidRPr="003C4B61">
        <w:t xml:space="preserve">The outcomes of investigations and </w:t>
      </w:r>
      <w:r w:rsidRPr="00E87961">
        <w:t>safeguarding</w:t>
      </w:r>
      <w:r w:rsidRPr="003C4B61">
        <w:t xml:space="preserve"> in the 76 cases are shown in Table </w:t>
      </w:r>
      <w:r>
        <w:t>F</w:t>
      </w:r>
      <w:r w:rsidRPr="003C4B61">
        <w:t>.</w:t>
      </w:r>
      <w:r>
        <w:t>2</w:t>
      </w:r>
      <w:r w:rsidRPr="003C4B61">
        <w:t xml:space="preserve"> in </w:t>
      </w:r>
      <w:r w:rsidRPr="00C36293">
        <w:rPr>
          <w:b/>
          <w:bCs/>
        </w:rPr>
        <w:t>Appendix F</w:t>
      </w:r>
      <w:r w:rsidRPr="003C4B61">
        <w:t xml:space="preserve"> (in order of prevalence) (noting there can be multiple outcomes identified).</w:t>
      </w:r>
    </w:p>
  </w:footnote>
  <w:footnote w:id="543">
    <w:p w14:paraId="6F9371FB" w14:textId="77464597" w:rsidR="00E03E09" w:rsidRDefault="00E03E09" w:rsidP="00E87961">
      <w:pPr>
        <w:pStyle w:val="FootnoteText"/>
      </w:pPr>
      <w:r>
        <w:rPr>
          <w:rStyle w:val="FootnoteReference"/>
        </w:rPr>
        <w:footnoteRef/>
      </w:r>
      <w:r>
        <w:t xml:space="preserve"> </w:t>
      </w:r>
      <w:r w:rsidR="005E666E">
        <w:t xml:space="preserve">South Australian Adult Safeguarding Unit, </w:t>
      </w:r>
      <w:r w:rsidR="005E666E" w:rsidRPr="006302D0">
        <w:rPr>
          <w:i/>
          <w:iCs/>
        </w:rPr>
        <w:t>Annual Report 2021–2022</w:t>
      </w:r>
      <w:r w:rsidR="005E666E">
        <w:t xml:space="preserve"> </w:t>
      </w:r>
      <w:r w:rsidR="0064169C">
        <w:t xml:space="preserve">(n 529) </w:t>
      </w:r>
      <w:r w:rsidR="00CF459B">
        <w:t>18–19</w:t>
      </w:r>
      <w:r>
        <w:t>.</w:t>
      </w:r>
    </w:p>
  </w:footnote>
  <w:footnote w:id="544">
    <w:p w14:paraId="3CD67B18" w14:textId="341C97DF" w:rsidR="00B34F34" w:rsidRDefault="00B34F34">
      <w:pPr>
        <w:pStyle w:val="FootnoteText"/>
      </w:pPr>
      <w:r>
        <w:rPr>
          <w:rStyle w:val="FootnoteReference"/>
        </w:rPr>
        <w:footnoteRef/>
      </w:r>
      <w:r>
        <w:t xml:space="preserve"> </w:t>
      </w:r>
      <w:r w:rsidR="00CB41C5" w:rsidRPr="00D73F5B">
        <w:t>South Australian Safeguarding Unit</w:t>
      </w:r>
      <w:r w:rsidR="00CB41C5">
        <w:t>,</w:t>
      </w:r>
      <w:r w:rsidR="00CB41C5" w:rsidRPr="00D11669">
        <w:rPr>
          <w:i/>
          <w:iCs/>
        </w:rPr>
        <w:t xml:space="preserve"> Code of Practice</w:t>
      </w:r>
      <w:r w:rsidR="00CB41C5">
        <w:t xml:space="preserve"> (n 514)</w:t>
      </w:r>
      <w:r w:rsidR="00FA2662">
        <w:t>.</w:t>
      </w:r>
    </w:p>
  </w:footnote>
  <w:footnote w:id="545">
    <w:p w14:paraId="2EDFAF52" w14:textId="077D0927" w:rsidR="00B34F34" w:rsidRDefault="00B34F34">
      <w:pPr>
        <w:pStyle w:val="FootnoteText"/>
      </w:pPr>
      <w:r>
        <w:rPr>
          <w:rStyle w:val="FootnoteReference"/>
        </w:rPr>
        <w:footnoteRef/>
      </w:r>
      <w:r>
        <w:t xml:space="preserve"> </w:t>
      </w:r>
      <w:r w:rsidR="005E666E">
        <w:t xml:space="preserve">Government of South Australia, ‘Adult Safeguarding Unit Information Sessions’, </w:t>
      </w:r>
      <w:r w:rsidR="000F41EC">
        <w:t>Department of Human Services (Web Page, June 2025) &lt;</w:t>
      </w:r>
      <w:hyperlink r:id="rId105" w:history="1">
        <w:r w:rsidR="00DD0E16" w:rsidRPr="00574462">
          <w:rPr>
            <w:rStyle w:val="Hyperlink"/>
          </w:rPr>
          <w:t>https://dhs.sa.gov.au/how-we-help/ageing-well/support-for-adult-safety-and-wellbeing/information-about-adult-safeguarding</w:t>
        </w:r>
      </w:hyperlink>
      <w:r w:rsidR="00DD0E16">
        <w:t xml:space="preserve">&gt;. </w:t>
      </w:r>
    </w:p>
  </w:footnote>
  <w:footnote w:id="546">
    <w:p w14:paraId="55DA3777" w14:textId="1A0363A2" w:rsidR="00B34F34" w:rsidRDefault="00B34F34">
      <w:pPr>
        <w:pStyle w:val="FootnoteText"/>
      </w:pPr>
      <w:r>
        <w:rPr>
          <w:rStyle w:val="FootnoteReference"/>
        </w:rPr>
        <w:footnoteRef/>
      </w:r>
      <w:r>
        <w:t xml:space="preserve"> </w:t>
      </w:r>
      <w:r w:rsidRPr="00C36293">
        <w:rPr>
          <w:i/>
          <w:iCs/>
        </w:rPr>
        <w:t>Ageing and Disability Commissioner Act 2019</w:t>
      </w:r>
      <w:r w:rsidRPr="003C4B61">
        <w:t xml:space="preserve"> (NSW) s </w:t>
      </w:r>
      <w:r>
        <w:t>12.</w:t>
      </w:r>
    </w:p>
  </w:footnote>
  <w:footnote w:id="547">
    <w:p w14:paraId="5F4989A7" w14:textId="64AFE5D7" w:rsidR="001C4420" w:rsidRDefault="001C4420">
      <w:pPr>
        <w:pStyle w:val="FootnoteText"/>
      </w:pPr>
      <w:r>
        <w:rPr>
          <w:rStyle w:val="FootnoteReference"/>
        </w:rPr>
        <w:footnoteRef/>
      </w:r>
      <w:r>
        <w:t xml:space="preserve"> </w:t>
      </w:r>
      <w:r w:rsidRPr="001C4420">
        <w:t>Decisions may be reviewed internally</w:t>
      </w:r>
      <w:r w:rsidR="00682CC5">
        <w:t xml:space="preserve">, and if a person is not satisfied with the review decision, </w:t>
      </w:r>
      <w:r w:rsidR="00CD3E77">
        <w:t xml:space="preserve">the person can make a complaint to the NSW </w:t>
      </w:r>
      <w:r w:rsidRPr="001C4420">
        <w:t xml:space="preserve">Ombudsman: </w:t>
      </w:r>
      <w:r w:rsidR="00EE4A2E">
        <w:t xml:space="preserve">NSW </w:t>
      </w:r>
      <w:r w:rsidR="001A1E6E">
        <w:t xml:space="preserve">Ageing and Disability Commission, </w:t>
      </w:r>
      <w:r w:rsidR="00D82AFE">
        <w:t xml:space="preserve">ADC </w:t>
      </w:r>
      <w:r w:rsidR="006834ED" w:rsidRPr="006834ED">
        <w:rPr>
          <w:i/>
          <w:iCs/>
        </w:rPr>
        <w:t>Review of a Decision Policy</w:t>
      </w:r>
      <w:r w:rsidR="006834ED">
        <w:t xml:space="preserve"> </w:t>
      </w:r>
      <w:r w:rsidR="00657417">
        <w:t>(</w:t>
      </w:r>
      <w:r w:rsidR="00D82AFE">
        <w:t xml:space="preserve">NSW Government, </w:t>
      </w:r>
      <w:r w:rsidR="00657417">
        <w:t xml:space="preserve"> </w:t>
      </w:r>
      <w:r w:rsidR="00336081">
        <w:t>2023) &lt;</w:t>
      </w:r>
      <w:hyperlink r:id="rId106" w:history="1">
        <w:r w:rsidR="002A5446" w:rsidRPr="00574462">
          <w:rPr>
            <w:rStyle w:val="Hyperlink"/>
          </w:rPr>
          <w:t>https://ageingdisabilitycommission.nsw.gov.au/about-us/policies/request-a-review-of-a-decision.html</w:t>
        </w:r>
      </w:hyperlink>
      <w:r w:rsidR="002B6E3B">
        <w:t>&gt;</w:t>
      </w:r>
      <w:r w:rsidR="006C6FDD" w:rsidRPr="00E87961">
        <w:t>.</w:t>
      </w:r>
    </w:p>
  </w:footnote>
  <w:footnote w:id="548">
    <w:p w14:paraId="571EE21D" w14:textId="257D6937" w:rsidR="008C1563" w:rsidRDefault="008C1563">
      <w:pPr>
        <w:pStyle w:val="FootnoteText"/>
      </w:pPr>
      <w:r>
        <w:rPr>
          <w:rStyle w:val="FootnoteReference"/>
        </w:rPr>
        <w:footnoteRef/>
      </w:r>
      <w:r>
        <w:t xml:space="preserve"> Such a referral is not required if the Commissioner believes on reasonable grounds </w:t>
      </w:r>
      <w:r w:rsidR="007E7E63">
        <w:t>that the adult with disability or the older adult does not wish to have the report, or part of the report referred</w:t>
      </w:r>
      <w:r w:rsidR="00AE030E">
        <w:t xml:space="preserve">: </w:t>
      </w:r>
      <w:r w:rsidR="00AE030E" w:rsidRPr="0063204C">
        <w:rPr>
          <w:i/>
          <w:iCs/>
        </w:rPr>
        <w:t>Ageing and Disability Commissioner Act 2019</w:t>
      </w:r>
      <w:r w:rsidR="00AE030E" w:rsidRPr="003C4B61">
        <w:t xml:space="preserve"> (NSW)</w:t>
      </w:r>
      <w:r w:rsidR="00AE030E">
        <w:t xml:space="preserve"> s </w:t>
      </w:r>
      <w:r w:rsidR="004D11F9">
        <w:t>13(9A).</w:t>
      </w:r>
      <w:r w:rsidR="007E7E63">
        <w:t xml:space="preserve"> </w:t>
      </w:r>
    </w:p>
  </w:footnote>
  <w:footnote w:id="549">
    <w:p w14:paraId="562982DD" w14:textId="31F587CE" w:rsidR="00F6697B" w:rsidRDefault="00F6697B">
      <w:pPr>
        <w:pStyle w:val="FootnoteText"/>
      </w:pPr>
      <w:r>
        <w:rPr>
          <w:rStyle w:val="FootnoteReference"/>
        </w:rPr>
        <w:footnoteRef/>
      </w:r>
      <w:r>
        <w:t xml:space="preserve"> </w:t>
      </w:r>
      <w:r w:rsidRPr="0063204C">
        <w:rPr>
          <w:i/>
          <w:iCs/>
        </w:rPr>
        <w:t>Ageing and Disability Commissioner Act 2019</w:t>
      </w:r>
      <w:r w:rsidRPr="003C4B61">
        <w:t xml:space="preserve"> (NSW)</w:t>
      </w:r>
      <w:r>
        <w:t>.</w:t>
      </w:r>
    </w:p>
  </w:footnote>
  <w:footnote w:id="550">
    <w:p w14:paraId="7784C888" w14:textId="3D27882C" w:rsidR="004D11F9" w:rsidRDefault="004D11F9">
      <w:pPr>
        <w:pStyle w:val="FootnoteText"/>
      </w:pPr>
      <w:r>
        <w:rPr>
          <w:rStyle w:val="FootnoteReference"/>
        </w:rPr>
        <w:footnoteRef/>
      </w:r>
      <w:r>
        <w:t xml:space="preserve"> </w:t>
      </w:r>
      <w:r w:rsidRPr="003C4B61">
        <w:t xml:space="preserve">Data is published quarterly, which </w:t>
      </w:r>
      <w:r w:rsidRPr="00E87961">
        <w:t>includes</w:t>
      </w:r>
      <w:r w:rsidRPr="003C4B61">
        <w:t xml:space="preserve"> data on matters regarding both older people and people with disability</w:t>
      </w:r>
      <w:r>
        <w:t>:</w:t>
      </w:r>
      <w:r w:rsidR="00376B52">
        <w:t xml:space="preserve"> ‘Dashboard Data’,</w:t>
      </w:r>
      <w:r>
        <w:t xml:space="preserve"> </w:t>
      </w:r>
      <w:r w:rsidR="00EE4A2E" w:rsidRPr="00376B52">
        <w:rPr>
          <w:i/>
          <w:iCs/>
        </w:rPr>
        <w:t>NSW Ageing and Disability Commission</w:t>
      </w:r>
      <w:r w:rsidR="00376B52">
        <w:t xml:space="preserve"> (Web Page, 2025) &lt;</w:t>
      </w:r>
      <w:hyperlink r:id="rId107" w:history="1">
        <w:r w:rsidR="0053206D" w:rsidRPr="00574462">
          <w:rPr>
            <w:rStyle w:val="Hyperlink"/>
          </w:rPr>
          <w:t>https://ageingdisabilitycommission.nsw.gov.au/tools-and-resources/dashboard-data.html</w:t>
        </w:r>
      </w:hyperlink>
      <w:r w:rsidR="00376B52">
        <w:t>&gt;.</w:t>
      </w:r>
    </w:p>
  </w:footnote>
  <w:footnote w:id="551">
    <w:p w14:paraId="2E614123" w14:textId="095F687B" w:rsidR="00847B93" w:rsidRDefault="00847B93">
      <w:pPr>
        <w:pStyle w:val="FootnoteText"/>
      </w:pPr>
      <w:r>
        <w:rPr>
          <w:rStyle w:val="FootnoteReference"/>
        </w:rPr>
        <w:footnoteRef/>
      </w:r>
      <w:r>
        <w:t xml:space="preserve"> </w:t>
      </w:r>
      <w:r w:rsidRPr="0063204C">
        <w:rPr>
          <w:i/>
          <w:iCs/>
        </w:rPr>
        <w:t>Ageing and Disability Commissioner Act 2019</w:t>
      </w:r>
      <w:r w:rsidRPr="003C4B61">
        <w:t xml:space="preserve"> (NSW)</w:t>
      </w:r>
      <w:r>
        <w:t xml:space="preserve"> s</w:t>
      </w:r>
      <w:r w:rsidRPr="003C4B61">
        <w:t xml:space="preserve"> 13 provides for reports to be made to the Commissioner about ‘an adult with a disability or older adult if the person has reasonable grounds to believe that the adult is subject to, or at </w:t>
      </w:r>
      <w:r w:rsidRPr="00E87961">
        <w:t>risk</w:t>
      </w:r>
      <w:r w:rsidRPr="003C4B61">
        <w:t xml:space="preserve"> of, abuse, neglect or exploitation’, and ‘circumstances that the person has reasonable grounds to believe will result in the abuse, neglect or exploitation of an adult with disability or older adult’.</w:t>
      </w:r>
    </w:p>
  </w:footnote>
  <w:footnote w:id="552">
    <w:p w14:paraId="2FE93AC1" w14:textId="7354AD48" w:rsidR="00847B93" w:rsidRDefault="00847B93">
      <w:pPr>
        <w:pStyle w:val="FootnoteText"/>
      </w:pPr>
      <w:r>
        <w:rPr>
          <w:rStyle w:val="FootnoteReference"/>
        </w:rPr>
        <w:footnoteRef/>
      </w:r>
      <w:r>
        <w:t xml:space="preserve"> </w:t>
      </w:r>
      <w:r w:rsidR="00562ABB">
        <w:t xml:space="preserve">NSW Ageing and </w:t>
      </w:r>
      <w:r w:rsidR="006000A3">
        <w:t>Disability</w:t>
      </w:r>
      <w:r w:rsidR="00562ABB">
        <w:t xml:space="preserve"> </w:t>
      </w:r>
      <w:r w:rsidR="006000A3">
        <w:t>Commission</w:t>
      </w:r>
      <w:r w:rsidR="00562ABB">
        <w:t xml:space="preserve">, </w:t>
      </w:r>
      <w:r w:rsidR="00562ABB" w:rsidRPr="006000A3">
        <w:rPr>
          <w:i/>
          <w:iCs/>
        </w:rPr>
        <w:t>ADC Summary Report Car</w:t>
      </w:r>
      <w:r w:rsidR="006000A3" w:rsidRPr="006000A3">
        <w:rPr>
          <w:i/>
          <w:iCs/>
        </w:rPr>
        <w:t>d—2019–2024</w:t>
      </w:r>
      <w:r w:rsidR="007A759D">
        <w:rPr>
          <w:i/>
          <w:iCs/>
        </w:rPr>
        <w:t xml:space="preserve">: 5 Year Data Snapshot </w:t>
      </w:r>
      <w:r w:rsidR="00625F5E" w:rsidRPr="00CA3752">
        <w:t>(</w:t>
      </w:r>
      <w:r w:rsidR="00625F5E">
        <w:t>NSW Government</w:t>
      </w:r>
      <w:r w:rsidR="00CA3752">
        <w:t>)</w:t>
      </w:r>
      <w:r w:rsidR="00625F5E">
        <w:t xml:space="preserve"> </w:t>
      </w:r>
      <w:r w:rsidR="00C0685B">
        <w:t xml:space="preserve"> &lt;</w:t>
      </w:r>
      <w:hyperlink r:id="rId108" w:history="1">
        <w:r w:rsidR="00E207E6" w:rsidRPr="00574462">
          <w:rPr>
            <w:rStyle w:val="Hyperlink"/>
          </w:rPr>
          <w:t>https://ageingdisabilitycommission.nsw.gov.au/tools-and-resources/dashboard-data.html</w:t>
        </w:r>
      </w:hyperlink>
      <w:r w:rsidR="00C0685B">
        <w:t>&gt;</w:t>
      </w:r>
      <w:r w:rsidR="007A759D">
        <w:t xml:space="preserve"> </w:t>
      </w:r>
      <w:r w:rsidR="00F17E16">
        <w:t xml:space="preserve">(‘NSW Ageing and Disability Commission, </w:t>
      </w:r>
      <w:r w:rsidR="00F17E16" w:rsidRPr="006000A3">
        <w:rPr>
          <w:i/>
          <w:iCs/>
        </w:rPr>
        <w:t>ADC Summary Report Card—2019–2024</w:t>
      </w:r>
      <w:r w:rsidR="00F17E16">
        <w:t>’).</w:t>
      </w:r>
      <w:r w:rsidR="006000A3">
        <w:t xml:space="preserve"> </w:t>
      </w:r>
      <w:r w:rsidRPr="003C4B61">
        <w:t xml:space="preserve">This was a 108% increase over the five years. A similar </w:t>
      </w:r>
      <w:r w:rsidRPr="00E87961">
        <w:t>proportion</w:t>
      </w:r>
      <w:r w:rsidRPr="003C4B61">
        <w:t xml:space="preserve"> of reports received by the Commission under s 13 in the most recent quarter of data available (1 January</w:t>
      </w:r>
      <w:r w:rsidR="005E1C8D">
        <w:t xml:space="preserve"> 2025</w:t>
      </w:r>
      <w:r w:rsidRPr="003C4B61">
        <w:t xml:space="preserve"> to 31 March 2025) – with 78.6% (1,189) of the 1,512 reports under s 13 involving older people (of which 463 were about older people with disability).</w:t>
      </w:r>
    </w:p>
  </w:footnote>
  <w:footnote w:id="553">
    <w:p w14:paraId="1112C56B" w14:textId="05501C19" w:rsidR="00847B93" w:rsidRDefault="00847B93">
      <w:pPr>
        <w:pStyle w:val="FootnoteText"/>
      </w:pPr>
      <w:r>
        <w:rPr>
          <w:rStyle w:val="FootnoteReference"/>
        </w:rPr>
        <w:footnoteRef/>
      </w:r>
      <w:r>
        <w:t xml:space="preserve"> </w:t>
      </w:r>
      <w:r w:rsidRPr="003C4B61">
        <w:t xml:space="preserve">Other data available indicated that: 19% were about people aged 80–84 </w:t>
      </w:r>
      <w:r w:rsidRPr="00E87961">
        <w:t>years</w:t>
      </w:r>
      <w:r w:rsidRPr="003C4B61">
        <w:t>; 3% were about Aboriginal people; 9% were people from culturally diverse backgrounds; and 53% were people living in regional NSW.</w:t>
      </w:r>
    </w:p>
  </w:footnote>
  <w:footnote w:id="554">
    <w:p w14:paraId="118F3B22" w14:textId="6DB7C490" w:rsidR="00D460F1" w:rsidRDefault="00D460F1">
      <w:pPr>
        <w:pStyle w:val="FootnoteText"/>
      </w:pPr>
      <w:r>
        <w:rPr>
          <w:rStyle w:val="FootnoteReference"/>
        </w:rPr>
        <w:footnoteRef/>
      </w:r>
      <w:r>
        <w:t xml:space="preserve"> </w:t>
      </w:r>
      <w:hyperlink r:id="rId109" w:history="1">
        <w:r w:rsidR="00AF2BBA">
          <w:t xml:space="preserve">NSW Ageing and Disability Commission, </w:t>
        </w:r>
        <w:r w:rsidR="00AF2BBA" w:rsidRPr="006000A3">
          <w:rPr>
            <w:i/>
            <w:iCs/>
          </w:rPr>
          <w:t>ADC Summary Report Card—2019–2024</w:t>
        </w:r>
        <w:r w:rsidR="00AF2BBA">
          <w:rPr>
            <w:i/>
            <w:iCs/>
          </w:rPr>
          <w:t xml:space="preserve"> </w:t>
        </w:r>
        <w:r w:rsidR="00AF2BBA">
          <w:t>(n 550)</w:t>
        </w:r>
      </w:hyperlink>
      <w:r w:rsidR="00AF2BBA">
        <w:t>.</w:t>
      </w:r>
    </w:p>
  </w:footnote>
  <w:footnote w:id="555">
    <w:p w14:paraId="509FB09B" w14:textId="6F60945C" w:rsidR="007E404B" w:rsidRDefault="007E404B" w:rsidP="007E404B">
      <w:pPr>
        <w:pStyle w:val="FootnoteText"/>
      </w:pPr>
      <w:r>
        <w:rPr>
          <w:rStyle w:val="FootnoteReference"/>
        </w:rPr>
        <w:footnoteRef/>
      </w:r>
      <w:r>
        <w:t xml:space="preserve"> </w:t>
      </w:r>
      <w:r w:rsidR="009011D7">
        <w:t xml:space="preserve">NSW Ageing and Disability Commission, </w:t>
      </w:r>
      <w:r w:rsidR="009011D7" w:rsidRPr="00F14E33">
        <w:rPr>
          <w:i/>
          <w:iCs/>
        </w:rPr>
        <w:t>Ageing and Disability Commission (ADC) Data</w:t>
      </w:r>
      <w:r w:rsidR="00625F5E" w:rsidRPr="00F14E33">
        <w:rPr>
          <w:i/>
          <w:iCs/>
        </w:rPr>
        <w:t>: January–March 2025</w:t>
      </w:r>
      <w:r w:rsidR="00625F5E">
        <w:t xml:space="preserve"> (</w:t>
      </w:r>
      <w:r w:rsidR="00CA3752">
        <w:t>NSW Government)</w:t>
      </w:r>
      <w:r w:rsidR="006E39FD">
        <w:t xml:space="preserve"> </w:t>
      </w:r>
      <w:r w:rsidR="00E207E6">
        <w:t>&lt;</w:t>
      </w:r>
      <w:hyperlink r:id="rId110" w:history="1">
        <w:r w:rsidR="00F14E33" w:rsidRPr="00574462">
          <w:rPr>
            <w:rStyle w:val="Hyperlink"/>
          </w:rPr>
          <w:t>https://ageingdisabilitycommission.nsw.gov.au/tools-and-resources/dashboard-data.html</w:t>
        </w:r>
      </w:hyperlink>
      <w:r w:rsidR="00F14E33">
        <w:t>&gt;</w:t>
      </w:r>
      <w:r w:rsidR="00DC587B">
        <w:t xml:space="preserve"> (‘NSW Ageing and Disability Commission, </w:t>
      </w:r>
      <w:r w:rsidR="00DC587B" w:rsidRPr="00F14E33">
        <w:rPr>
          <w:i/>
          <w:iCs/>
        </w:rPr>
        <w:t>ADC Data: January–March 2025</w:t>
      </w:r>
      <w:r w:rsidR="00EC7361">
        <w:t>’)</w:t>
      </w:r>
      <w:r w:rsidR="00F14E33">
        <w:t>;</w:t>
      </w:r>
      <w:r w:rsidR="00E207E6">
        <w:t xml:space="preserve"> </w:t>
      </w:r>
      <w:r w:rsidR="002456DD">
        <w:t xml:space="preserve">NSW Ageing and Disability Commission, </w:t>
      </w:r>
      <w:r w:rsidR="002456DD" w:rsidRPr="006000A3">
        <w:rPr>
          <w:i/>
          <w:iCs/>
        </w:rPr>
        <w:t>ADC Summary Report Card—2019–2024</w:t>
      </w:r>
      <w:r w:rsidR="002456DD">
        <w:rPr>
          <w:i/>
          <w:iCs/>
        </w:rPr>
        <w:t xml:space="preserve"> </w:t>
      </w:r>
      <w:r w:rsidR="002456DD">
        <w:t>(n 550)</w:t>
      </w:r>
      <w:r w:rsidR="00CA3752">
        <w:t xml:space="preserve">. </w:t>
      </w:r>
      <w:r w:rsidR="00C553D9">
        <w:t xml:space="preserve">See </w:t>
      </w:r>
      <w:r w:rsidRPr="00E87961">
        <w:t xml:space="preserve">further Table </w:t>
      </w:r>
      <w:r w:rsidR="00BB702F">
        <w:t>F</w:t>
      </w:r>
      <w:r w:rsidRPr="00E87961">
        <w:t xml:space="preserve">.3 in </w:t>
      </w:r>
      <w:r w:rsidRPr="00C36293">
        <w:rPr>
          <w:b/>
          <w:bCs/>
        </w:rPr>
        <w:t xml:space="preserve">Appendix </w:t>
      </w:r>
      <w:r w:rsidR="00BB702F" w:rsidRPr="00C36293">
        <w:rPr>
          <w:b/>
          <w:bCs/>
        </w:rPr>
        <w:t>F</w:t>
      </w:r>
      <w:r w:rsidR="00BB702F">
        <w:t>.</w:t>
      </w:r>
    </w:p>
  </w:footnote>
  <w:footnote w:id="556">
    <w:p w14:paraId="1A2B18BF" w14:textId="1FA48BBF" w:rsidR="006B6FFF" w:rsidRDefault="006B6FFF" w:rsidP="00E87961">
      <w:pPr>
        <w:pStyle w:val="FootnoteText"/>
      </w:pPr>
      <w:r>
        <w:rPr>
          <w:rStyle w:val="FootnoteReference"/>
        </w:rPr>
        <w:footnoteRef/>
      </w:r>
      <w:r>
        <w:t xml:space="preserve"> </w:t>
      </w:r>
      <w:r w:rsidR="002456DD">
        <w:t xml:space="preserve">NSW Ageing and Disability Commission, </w:t>
      </w:r>
      <w:r w:rsidR="002456DD" w:rsidRPr="006000A3">
        <w:rPr>
          <w:i/>
          <w:iCs/>
        </w:rPr>
        <w:t>ADC Summary Report Card—2019–2024</w:t>
      </w:r>
      <w:r w:rsidR="002456DD">
        <w:rPr>
          <w:i/>
          <w:iCs/>
        </w:rPr>
        <w:t xml:space="preserve"> </w:t>
      </w:r>
      <w:r w:rsidR="002456DD">
        <w:t xml:space="preserve">(n 550). </w:t>
      </w:r>
      <w:r w:rsidRPr="007E404B">
        <w:t xml:space="preserve">Table </w:t>
      </w:r>
      <w:r w:rsidR="00BB702F">
        <w:t>F</w:t>
      </w:r>
      <w:r w:rsidRPr="007E404B">
        <w:t xml:space="preserve">.3 in </w:t>
      </w:r>
      <w:r w:rsidRPr="00C36293">
        <w:rPr>
          <w:b/>
          <w:bCs/>
        </w:rPr>
        <w:t xml:space="preserve">Appendix </w:t>
      </w:r>
      <w:r w:rsidR="00BB702F" w:rsidRPr="00C36293">
        <w:rPr>
          <w:b/>
          <w:bCs/>
        </w:rPr>
        <w:t>F</w:t>
      </w:r>
      <w:r w:rsidR="00BB702F" w:rsidRPr="007E404B">
        <w:t xml:space="preserve"> </w:t>
      </w:r>
      <w:r w:rsidRPr="007E404B">
        <w:t xml:space="preserve">shows in </w:t>
      </w:r>
      <w:r w:rsidRPr="00E87961">
        <w:t>more</w:t>
      </w:r>
      <w:r w:rsidRPr="007E404B">
        <w:t xml:space="preserve"> detail the different outcomes for reports that were closed by the Commission, including outcomes for the person and the person subject of the allegation comparing the most recent 3-month period from 1 January</w:t>
      </w:r>
      <w:r w:rsidR="005E1C8D">
        <w:t xml:space="preserve"> 2025</w:t>
      </w:r>
      <w:r w:rsidRPr="007E404B">
        <w:t xml:space="preserve"> to 31 March 2025 with a 5-year snapshot from 1 July 2019 to 20 June 2024. Outcome data for these two periods does not disaggregate between reports for older people and for people with disability. However as noted above, three-quarters of reports received by the Commission relate to older people.</w:t>
      </w:r>
    </w:p>
  </w:footnote>
  <w:footnote w:id="557">
    <w:p w14:paraId="70790032" w14:textId="5FD083AE" w:rsidR="00407B21" w:rsidRDefault="00407B21">
      <w:pPr>
        <w:pStyle w:val="FootnoteText"/>
      </w:pPr>
      <w:r>
        <w:rPr>
          <w:rStyle w:val="FootnoteReference"/>
        </w:rPr>
        <w:footnoteRef/>
      </w:r>
      <w:r>
        <w:t xml:space="preserve"> NSW Ageing and Disability Commission, </w:t>
      </w:r>
      <w:r w:rsidRPr="006000A3">
        <w:rPr>
          <w:i/>
          <w:iCs/>
        </w:rPr>
        <w:t>ADC Summary Report Card—2019–2024</w:t>
      </w:r>
      <w:r>
        <w:rPr>
          <w:i/>
          <w:iCs/>
        </w:rPr>
        <w:t xml:space="preserve"> </w:t>
      </w:r>
      <w:r>
        <w:t>(n 550)</w:t>
      </w:r>
      <w:r w:rsidRPr="00E87961">
        <w:t xml:space="preserve">; </w:t>
      </w:r>
      <w:r>
        <w:t xml:space="preserve">NSW Ageing and Disability Commission, </w:t>
      </w:r>
      <w:r w:rsidRPr="00F14E33">
        <w:rPr>
          <w:i/>
          <w:iCs/>
        </w:rPr>
        <w:t>ADC Data: January–March 2025</w:t>
      </w:r>
      <w:r>
        <w:t xml:space="preserve"> (n 554)</w:t>
      </w:r>
      <w:r w:rsidRPr="00E87961">
        <w:t>.</w:t>
      </w:r>
    </w:p>
  </w:footnote>
  <w:footnote w:id="558">
    <w:p w14:paraId="355AB83A" w14:textId="2FD6E259" w:rsidR="008021E9" w:rsidRDefault="008021E9">
      <w:pPr>
        <w:pStyle w:val="FootnoteText"/>
      </w:pPr>
      <w:r>
        <w:rPr>
          <w:rStyle w:val="FootnoteReference"/>
        </w:rPr>
        <w:footnoteRef/>
      </w:r>
      <w:r>
        <w:t xml:space="preserve"> NSW Government, </w:t>
      </w:r>
      <w:r w:rsidRPr="006F2DE6">
        <w:rPr>
          <w:rFonts w:eastAsia="Times" w:cs="Times New Roman"/>
          <w:i/>
          <w:iCs/>
        </w:rPr>
        <w:t>Preventing and responding to abuse of older people (Elder Abuse</w:t>
      </w:r>
      <w:r w:rsidRPr="005B19C4">
        <w:rPr>
          <w:rFonts w:eastAsia="Times" w:cs="Times New Roman"/>
          <w:i/>
          <w:iCs/>
        </w:rPr>
        <w:t>)</w:t>
      </w:r>
      <w:r w:rsidR="005B19C4" w:rsidRPr="005B19C4">
        <w:rPr>
          <w:rFonts w:eastAsia="Times" w:cs="Times New Roman"/>
          <w:i/>
          <w:iCs/>
        </w:rPr>
        <w:t xml:space="preserve">: </w:t>
      </w:r>
      <w:r w:rsidRPr="005B19C4">
        <w:rPr>
          <w:rFonts w:eastAsia="Times" w:cs="Times New Roman"/>
          <w:i/>
          <w:iCs/>
        </w:rPr>
        <w:t xml:space="preserve">NSW </w:t>
      </w:r>
      <w:r w:rsidRPr="005B19C4">
        <w:rPr>
          <w:i/>
          <w:iCs/>
        </w:rPr>
        <w:t>Interagency Policy</w:t>
      </w:r>
      <w:r w:rsidR="005B19C4">
        <w:t xml:space="preserve"> (</w:t>
      </w:r>
      <w:r>
        <w:t>June 2020)</w:t>
      </w:r>
      <w:r w:rsidR="000B2430">
        <w:t xml:space="preserve"> </w:t>
      </w:r>
      <w:r>
        <w:t>&lt;</w:t>
      </w:r>
      <w:hyperlink r:id="rId111" w:history="1">
        <w:r w:rsidRPr="00574462">
          <w:rPr>
            <w:rStyle w:val="Hyperlink"/>
          </w:rPr>
          <w:t>https://ageingdisabilitycommission.nsw.gov.au/tools-and-resources/for-professionals/collaborative-hub/nsw-interagency-policy-for-preventing-abuse-of-older-people.html</w:t>
        </w:r>
      </w:hyperlink>
      <w:r>
        <w:t>&gt;</w:t>
      </w:r>
      <w:r w:rsidR="005B19C4">
        <w:t xml:space="preserve"> (‘NSW Government, </w:t>
      </w:r>
      <w:r w:rsidR="005B19C4" w:rsidRPr="00A164A3">
        <w:rPr>
          <w:i/>
          <w:iCs/>
        </w:rPr>
        <w:t>Interagency Pol</w:t>
      </w:r>
      <w:r w:rsidR="00A164A3" w:rsidRPr="00A164A3">
        <w:rPr>
          <w:i/>
          <w:iCs/>
        </w:rPr>
        <w:t>icy</w:t>
      </w:r>
      <w:r w:rsidR="00A164A3" w:rsidRPr="00A164A3">
        <w:t>’</w:t>
      </w:r>
      <w:r w:rsidR="00A164A3">
        <w:t>)</w:t>
      </w:r>
      <w:r>
        <w:t xml:space="preserve"> </w:t>
      </w:r>
      <w:r w:rsidRPr="003C4B61">
        <w:t>6</w:t>
      </w:r>
      <w:r>
        <w:t>.</w:t>
      </w:r>
    </w:p>
  </w:footnote>
  <w:footnote w:id="559">
    <w:p w14:paraId="0FB6B506" w14:textId="292EECC1" w:rsidR="008021E9" w:rsidRPr="00C51A2D" w:rsidRDefault="008021E9">
      <w:pPr>
        <w:pStyle w:val="FootnoteText"/>
      </w:pPr>
      <w:r>
        <w:rPr>
          <w:rStyle w:val="FootnoteReference"/>
        </w:rPr>
        <w:footnoteRef/>
      </w:r>
      <w:r>
        <w:t xml:space="preserve"> </w:t>
      </w:r>
      <w:r>
        <w:rPr>
          <w:rFonts w:eastAsia="Times" w:cs="Times New Roman"/>
        </w:rPr>
        <w:t xml:space="preserve">Ibid </w:t>
      </w:r>
      <w:r w:rsidRPr="003C4B61">
        <w:t xml:space="preserve">29, </w:t>
      </w:r>
      <w:r w:rsidRPr="00FF135E">
        <w:t>Appendix 3</w:t>
      </w:r>
      <w:r w:rsidRPr="00C51A2D">
        <w:t>.</w:t>
      </w:r>
    </w:p>
  </w:footnote>
  <w:footnote w:id="560">
    <w:p w14:paraId="0ACDB1B9" w14:textId="75CB69C6" w:rsidR="0096621F" w:rsidRDefault="0096621F" w:rsidP="00E87961">
      <w:pPr>
        <w:pStyle w:val="FootnoteText"/>
      </w:pPr>
      <w:r>
        <w:rPr>
          <w:rStyle w:val="FootnoteReference"/>
        </w:rPr>
        <w:footnoteRef/>
      </w:r>
      <w:r>
        <w:t xml:space="preserve"> </w:t>
      </w:r>
      <w:r w:rsidR="008021E9" w:rsidRPr="008021E9">
        <w:rPr>
          <w:rFonts w:eastAsia="Times" w:cs="Times New Roman"/>
        </w:rPr>
        <w:t>Ibid</w:t>
      </w:r>
      <w:r w:rsidR="007B3F6E" w:rsidRPr="008021E9">
        <w:t xml:space="preserve"> </w:t>
      </w:r>
      <w:r w:rsidR="007B3F6E">
        <w:t>22, 24.</w:t>
      </w:r>
    </w:p>
  </w:footnote>
  <w:footnote w:id="561">
    <w:p w14:paraId="19409036" w14:textId="544714A2" w:rsidR="00731098" w:rsidRDefault="00731098" w:rsidP="00E87961">
      <w:pPr>
        <w:pStyle w:val="FootnoteText"/>
      </w:pPr>
      <w:r>
        <w:rPr>
          <w:rStyle w:val="FootnoteReference"/>
        </w:rPr>
        <w:footnoteRef/>
      </w:r>
      <w:r>
        <w:t xml:space="preserve"> See </w:t>
      </w:r>
      <w:r w:rsidR="009F7B27" w:rsidRPr="009F7B27">
        <w:rPr>
          <w:b/>
          <w:bCs/>
        </w:rPr>
        <w:t>Part 5</w:t>
      </w:r>
      <w:r>
        <w:t>.</w:t>
      </w:r>
    </w:p>
  </w:footnote>
  <w:footnote w:id="562">
    <w:p w14:paraId="259F6906" w14:textId="36C14F14" w:rsidR="00FC7D3D" w:rsidRDefault="00FC7D3D" w:rsidP="00E87961">
      <w:pPr>
        <w:pStyle w:val="FootnoteText"/>
      </w:pPr>
      <w:r>
        <w:rPr>
          <w:rStyle w:val="FootnoteReference"/>
        </w:rPr>
        <w:footnoteRef/>
      </w:r>
      <w:r>
        <w:t xml:space="preserve"> </w:t>
      </w:r>
      <w:r w:rsidRPr="00285CCD">
        <w:t xml:space="preserve">The need for a </w:t>
      </w:r>
      <w:r w:rsidR="00DC3BB9" w:rsidRPr="00285CCD">
        <w:t xml:space="preserve">systemic response to close the gaps was also stressed by </w:t>
      </w:r>
      <w:r w:rsidR="00285CCD" w:rsidRPr="00285CCD">
        <w:t xml:space="preserve">Suanne </w:t>
      </w:r>
      <w:r w:rsidR="00DC3BB9" w:rsidRPr="00285CCD">
        <w:t>Lawrence</w:t>
      </w:r>
      <w:r w:rsidR="0074613B">
        <w:t xml:space="preserve"> et al</w:t>
      </w:r>
      <w:r w:rsidR="00BB69D0">
        <w:t xml:space="preserve">, </w:t>
      </w:r>
      <w:r w:rsidR="0074613B">
        <w:t xml:space="preserve">Falling </w:t>
      </w:r>
      <w:r w:rsidR="000D4DC7">
        <w:t>T</w:t>
      </w:r>
      <w:r w:rsidR="0074613B">
        <w:t xml:space="preserve">hrough the </w:t>
      </w:r>
      <w:r w:rsidR="000D4DC7">
        <w:t>C</w:t>
      </w:r>
      <w:r w:rsidR="0074613B">
        <w:t>racks</w:t>
      </w:r>
      <w:r w:rsidR="00432DAB">
        <w:t xml:space="preserve"> (n</w:t>
      </w:r>
      <w:r w:rsidR="00965F8A">
        <w:t xml:space="preserve"> 393)</w:t>
      </w:r>
      <w:r w:rsidR="00432DAB">
        <w:t xml:space="preserve"> </w:t>
      </w:r>
      <w:r w:rsidR="00DC3BB9" w:rsidRPr="00285CCD">
        <w:t>400.</w:t>
      </w:r>
    </w:p>
  </w:footnote>
  <w:footnote w:id="563">
    <w:p w14:paraId="6FC187BD" w14:textId="0D4B7E87" w:rsidR="00882D9F" w:rsidRDefault="00882D9F" w:rsidP="00E87961">
      <w:pPr>
        <w:pStyle w:val="FootnoteText"/>
      </w:pPr>
      <w:r>
        <w:rPr>
          <w:rStyle w:val="FootnoteReference"/>
        </w:rPr>
        <w:footnoteRef/>
      </w:r>
      <w:r>
        <w:t xml:space="preserve"> See discussion of data relating to</w:t>
      </w:r>
      <w:r w:rsidR="00131AC7">
        <w:t xml:space="preserve"> the </w:t>
      </w:r>
      <w:r>
        <w:t>ASU</w:t>
      </w:r>
      <w:r w:rsidR="00131AC7">
        <w:t xml:space="preserve"> in SA</w:t>
      </w:r>
      <w:r>
        <w:t xml:space="preserve"> at </w:t>
      </w:r>
      <w:r w:rsidR="003810BB">
        <w:t>[</w:t>
      </w:r>
      <w:r w:rsidR="005A04FC">
        <w:t>4.</w:t>
      </w:r>
      <w:r w:rsidR="003810BB">
        <w:t>4.12]–[4.4.18]</w:t>
      </w:r>
      <w:r w:rsidR="005A04FC">
        <w:t xml:space="preserve"> and </w:t>
      </w:r>
      <w:r w:rsidR="00131AC7">
        <w:t xml:space="preserve">the </w:t>
      </w:r>
      <w:r w:rsidR="005A04FC">
        <w:t xml:space="preserve">NSW Ageing and Disability Commissioner at </w:t>
      </w:r>
      <w:r w:rsidR="003810BB">
        <w:t>[</w:t>
      </w:r>
      <w:r w:rsidR="005A04FC">
        <w:t>4.</w:t>
      </w:r>
      <w:r w:rsidR="003810BB">
        <w:t>4.21]</w:t>
      </w:r>
      <w:r w:rsidR="00131AC7">
        <w:t>–[4.4.27]</w:t>
      </w:r>
      <w:r w:rsidR="005A04FC">
        <w:t>.</w:t>
      </w:r>
    </w:p>
  </w:footnote>
  <w:footnote w:id="564">
    <w:p w14:paraId="2201A7C5" w14:textId="5271343A" w:rsidR="00DB1B47" w:rsidRDefault="00DB1B47" w:rsidP="00E87961">
      <w:pPr>
        <w:pStyle w:val="FootnoteText"/>
      </w:pPr>
      <w:r>
        <w:rPr>
          <w:rStyle w:val="FootnoteReference"/>
        </w:rPr>
        <w:footnoteRef/>
      </w:r>
      <w:r>
        <w:t xml:space="preserve"> A discussion of the </w:t>
      </w:r>
      <w:r w:rsidRPr="00E87961">
        <w:t>reforms</w:t>
      </w:r>
      <w:r>
        <w:t xml:space="preserve"> that are required to the existing laws is contained in </w:t>
      </w:r>
      <w:r w:rsidRPr="00131AC7">
        <w:rPr>
          <w:b/>
          <w:bCs/>
        </w:rPr>
        <w:t>Part 5</w:t>
      </w:r>
      <w:r>
        <w:t>.</w:t>
      </w:r>
    </w:p>
  </w:footnote>
  <w:footnote w:id="565">
    <w:p w14:paraId="3A0E267D" w14:textId="2FF136D1" w:rsidR="00F21A33" w:rsidRDefault="00F21A33">
      <w:pPr>
        <w:pStyle w:val="FootnoteText"/>
      </w:pPr>
      <w:r w:rsidRPr="0064278D">
        <w:rPr>
          <w:rStyle w:val="FootnoteReference"/>
        </w:rPr>
        <w:footnoteRef/>
      </w:r>
      <w:r w:rsidRPr="0064278D">
        <w:t xml:space="preserve"> See </w:t>
      </w:r>
      <w:r w:rsidR="00131AC7" w:rsidRPr="00131AC7">
        <w:rPr>
          <w:b/>
          <w:bCs/>
        </w:rPr>
        <w:t>Part 3</w:t>
      </w:r>
      <w:r w:rsidR="00131AC7">
        <w:t xml:space="preserve"> at [</w:t>
      </w:r>
      <w:r w:rsidR="000E0C41" w:rsidRPr="0064278D">
        <w:t>3.2</w:t>
      </w:r>
      <w:r w:rsidR="00131AC7">
        <w:t>]</w:t>
      </w:r>
      <w:r w:rsidR="000E0C41" w:rsidRPr="0064278D">
        <w:t xml:space="preserve"> and </w:t>
      </w:r>
      <w:r w:rsidR="000E0C41" w:rsidRPr="00C36293">
        <w:rPr>
          <w:b/>
          <w:bCs/>
        </w:rPr>
        <w:t xml:space="preserve">Appendix </w:t>
      </w:r>
      <w:r w:rsidR="0043481F" w:rsidRPr="00C36293">
        <w:rPr>
          <w:b/>
          <w:bCs/>
        </w:rPr>
        <w:t>C</w:t>
      </w:r>
      <w:r w:rsidR="00E24020" w:rsidRPr="0064278D">
        <w:t xml:space="preserve"> for further details relating to these policies</w:t>
      </w:r>
      <w:r w:rsidR="004C21F0" w:rsidRPr="0064278D">
        <w:t xml:space="preserve">. See </w:t>
      </w:r>
      <w:r w:rsidR="00213653">
        <w:t>especially</w:t>
      </w:r>
      <w:r w:rsidR="00131AC7">
        <w:t>:</w:t>
      </w:r>
      <w:r w:rsidR="00475D24" w:rsidRPr="0064278D">
        <w:t xml:space="preserve"> </w:t>
      </w:r>
      <w:r w:rsidR="00E8111F" w:rsidRPr="00E8111F">
        <w:rPr>
          <w:iCs/>
        </w:rPr>
        <w:t>Tasmanian Government,</w:t>
      </w:r>
      <w:r w:rsidR="00E8111F" w:rsidRPr="00E8111F">
        <w:rPr>
          <w:i/>
        </w:rPr>
        <w:t xml:space="preserve"> Lifelong Respect Strategy 2023–2029 </w:t>
      </w:r>
      <w:r w:rsidR="00E8111F" w:rsidRPr="00E8111F">
        <w:rPr>
          <w:iCs/>
        </w:rPr>
        <w:t>(n 19)</w:t>
      </w:r>
      <w:r w:rsidR="003A6E7D">
        <w:rPr>
          <w:iCs/>
        </w:rPr>
        <w:t xml:space="preserve"> </w:t>
      </w:r>
      <w:r w:rsidR="007B3E15">
        <w:rPr>
          <w:iCs/>
        </w:rPr>
        <w:t>14 (</w:t>
      </w:r>
      <w:r w:rsidR="003A6E7D" w:rsidRPr="0064278D">
        <w:rPr>
          <w:iCs/>
        </w:rPr>
        <w:t>Guiding Principles</w:t>
      </w:r>
      <w:r w:rsidR="007B3E15">
        <w:rPr>
          <w:iCs/>
        </w:rPr>
        <w:t>)</w:t>
      </w:r>
      <w:r w:rsidR="00E8111F">
        <w:t xml:space="preserve">; </w:t>
      </w:r>
      <w:r w:rsidR="00536763" w:rsidRPr="00D715B3">
        <w:rPr>
          <w:rFonts w:cs="Times New Roman"/>
        </w:rPr>
        <w:t xml:space="preserve">Tasmanian Government, </w:t>
      </w:r>
      <w:r w:rsidR="00536763" w:rsidRPr="00D715B3">
        <w:rPr>
          <w:rFonts w:cs="Times New Roman"/>
          <w:i/>
          <w:iCs/>
        </w:rPr>
        <w:t>Action Plan 2025–2029</w:t>
      </w:r>
      <w:r w:rsidR="00536763" w:rsidRPr="00D715B3">
        <w:rPr>
          <w:rFonts w:cs="Times New Roman"/>
        </w:rPr>
        <w:t xml:space="preserve"> (n 18)</w:t>
      </w:r>
      <w:r w:rsidR="00536763">
        <w:rPr>
          <w:rFonts w:cs="Times New Roman"/>
        </w:rPr>
        <w:t xml:space="preserve"> </w:t>
      </w:r>
      <w:r w:rsidR="003A6E7D">
        <w:rPr>
          <w:rFonts w:cs="Times New Roman"/>
        </w:rPr>
        <w:t>38 (</w:t>
      </w:r>
      <w:r w:rsidR="0042239D" w:rsidRPr="0064278D">
        <w:t>Actions 13 and 14</w:t>
      </w:r>
      <w:r w:rsidR="003A6E7D">
        <w:t>)</w:t>
      </w:r>
      <w:r w:rsidR="00703963" w:rsidRPr="0064278D">
        <w:rPr>
          <w:iCs/>
        </w:rPr>
        <w:t>.</w:t>
      </w:r>
      <w:r w:rsidR="004C21F0">
        <w:t xml:space="preserve"> </w:t>
      </w:r>
    </w:p>
  </w:footnote>
  <w:footnote w:id="566">
    <w:p w14:paraId="279096D7" w14:textId="2BE6D3F8" w:rsidR="006778C9" w:rsidRDefault="006778C9">
      <w:pPr>
        <w:pStyle w:val="FootnoteText"/>
      </w:pPr>
      <w:r>
        <w:rPr>
          <w:rStyle w:val="FootnoteReference"/>
        </w:rPr>
        <w:footnoteRef/>
      </w:r>
      <w:r>
        <w:t xml:space="preserve"> This includes the ALRC’s</w:t>
      </w:r>
      <w:r w:rsidR="0015079E">
        <w:t xml:space="preserve"> recommendations for a </w:t>
      </w:r>
      <w:r w:rsidRPr="006778C9">
        <w:t>safeguarding approach through an agency that that has a ‘broader adult safeguarding function, not limited to people with impaired decision-making ability’</w:t>
      </w:r>
      <w:r w:rsidR="0015079E">
        <w:t xml:space="preserve">: </w:t>
      </w:r>
      <w:r w:rsidR="0066740E">
        <w:t xml:space="preserve">ALRC, </w:t>
      </w:r>
      <w:r w:rsidR="0066740E" w:rsidRPr="003210B3">
        <w:rPr>
          <w:i/>
          <w:iCs/>
        </w:rPr>
        <w:t>Elder Abuse</w:t>
      </w:r>
      <w:r w:rsidR="0015079E">
        <w:t xml:space="preserve"> </w:t>
      </w:r>
      <w:r w:rsidR="007B3E15">
        <w:t xml:space="preserve">(n 6) </w:t>
      </w:r>
      <w:r w:rsidR="0015079E" w:rsidRPr="0015079E">
        <w:t xml:space="preserve">[14.41]. See </w:t>
      </w:r>
      <w:r w:rsidR="00071684">
        <w:t xml:space="preserve">generally </w:t>
      </w:r>
      <w:r w:rsidR="00E60E06">
        <w:t xml:space="preserve">also </w:t>
      </w:r>
      <w:r w:rsidR="00071684">
        <w:t>at:</w:t>
      </w:r>
      <w:r w:rsidR="00E60E06">
        <w:t xml:space="preserve"> ch</w:t>
      </w:r>
      <w:r w:rsidR="0015079E" w:rsidRPr="0015079E">
        <w:t xml:space="preserve"> 14 and Recommendations 14-1–14-8</w:t>
      </w:r>
      <w:r w:rsidR="0015079E">
        <w:t>.</w:t>
      </w:r>
    </w:p>
  </w:footnote>
  <w:footnote w:id="567">
    <w:p w14:paraId="77C19B6C" w14:textId="404E6E6A" w:rsidR="00134840" w:rsidRDefault="00134840" w:rsidP="00134840">
      <w:pPr>
        <w:pStyle w:val="FootnoteText"/>
      </w:pPr>
      <w:r>
        <w:rPr>
          <w:rStyle w:val="FootnoteReference"/>
        </w:rPr>
        <w:footnoteRef/>
      </w:r>
      <w:r>
        <w:t xml:space="preserve"> </w:t>
      </w:r>
      <w:r w:rsidRPr="00E62D7D">
        <w:t xml:space="preserve">It is noted that the </w:t>
      </w:r>
      <w:r w:rsidR="00F37FCC" w:rsidRPr="00F37FCC">
        <w:rPr>
          <w:i/>
          <w:iCs/>
        </w:rPr>
        <w:t>Royal</w:t>
      </w:r>
      <w:r w:rsidR="00F37FCC">
        <w:rPr>
          <w:i/>
          <w:iCs/>
        </w:rPr>
        <w:t xml:space="preserve"> </w:t>
      </w:r>
      <w:r w:rsidR="00F37FCC" w:rsidRPr="00FA6E4C">
        <w:rPr>
          <w:i/>
          <w:iCs/>
        </w:rPr>
        <w:t>Commission into Violence, Abuse and Neglect and Exploitation of People with Disability</w:t>
      </w:r>
      <w:r w:rsidR="00F37FCC">
        <w:t xml:space="preserve"> </w:t>
      </w:r>
      <w:r w:rsidRPr="00E62D7D">
        <w:t xml:space="preserve">also considered that an independent safeguarding mechanism, similar to the </w:t>
      </w:r>
      <w:r w:rsidR="0099359E">
        <w:t xml:space="preserve">NSW </w:t>
      </w:r>
      <w:r w:rsidRPr="00E62D7D">
        <w:t>Ageing and Disability Commissioner</w:t>
      </w:r>
      <w:r w:rsidR="0099359E">
        <w:t>,</w:t>
      </w:r>
      <w:r w:rsidRPr="00E62D7D">
        <w:t xml:space="preserve"> should be introduced</w:t>
      </w:r>
      <w:r w:rsidR="00F37FCC">
        <w:t xml:space="preserve">: </w:t>
      </w:r>
      <w:r w:rsidR="00F37FCC" w:rsidRPr="00F37FCC">
        <w:rPr>
          <w:i/>
          <w:iCs/>
        </w:rPr>
        <w:t>Royal</w:t>
      </w:r>
      <w:r w:rsidR="00F37FCC">
        <w:rPr>
          <w:i/>
          <w:iCs/>
        </w:rPr>
        <w:t xml:space="preserve"> </w:t>
      </w:r>
      <w:r w:rsidR="00F37FCC" w:rsidRPr="00FA6E4C">
        <w:rPr>
          <w:i/>
          <w:iCs/>
        </w:rPr>
        <w:t>Commission into Violence, Abuse and Neglect and Exploitation of People with Disability</w:t>
      </w:r>
      <w:r w:rsidR="00F37FCC">
        <w:t xml:space="preserve"> (n 296)</w:t>
      </w:r>
      <w:r w:rsidRPr="00E62D7D">
        <w:t xml:space="preserve"> [1.5].</w:t>
      </w:r>
    </w:p>
  </w:footnote>
  <w:footnote w:id="568">
    <w:p w14:paraId="590FFE3A" w14:textId="7AA313F9" w:rsidR="00883284" w:rsidRDefault="00883284">
      <w:pPr>
        <w:pStyle w:val="FootnoteText"/>
      </w:pPr>
      <w:r>
        <w:rPr>
          <w:rStyle w:val="FootnoteReference"/>
        </w:rPr>
        <w:footnoteRef/>
      </w:r>
      <w:r>
        <w:t xml:space="preserve"> See </w:t>
      </w:r>
      <w:r w:rsidR="00F00FBF">
        <w:t>[4.4.22]</w:t>
      </w:r>
      <w:r>
        <w:t>.</w:t>
      </w:r>
    </w:p>
  </w:footnote>
  <w:footnote w:id="569">
    <w:p w14:paraId="617E5A60" w14:textId="76069E25" w:rsidR="00396DF6" w:rsidRDefault="00396DF6">
      <w:pPr>
        <w:pStyle w:val="FootnoteText"/>
      </w:pPr>
      <w:r>
        <w:rPr>
          <w:rStyle w:val="FootnoteReference"/>
        </w:rPr>
        <w:footnoteRef/>
      </w:r>
      <w:r>
        <w:t xml:space="preserve"> </w:t>
      </w:r>
      <w:r w:rsidRPr="00C36293">
        <w:rPr>
          <w:i/>
          <w:iCs/>
        </w:rPr>
        <w:t>Disability Rights, Inclusion and Safeguarding Act 2024</w:t>
      </w:r>
      <w:r w:rsidRPr="00396DF6">
        <w:t xml:space="preserve"> (Tas)</w:t>
      </w:r>
      <w:r>
        <w:t xml:space="preserve"> ss 36(</w:t>
      </w:r>
      <w:r w:rsidR="00DD0886">
        <w:t>1), (4), (6).</w:t>
      </w:r>
    </w:p>
  </w:footnote>
  <w:footnote w:id="570">
    <w:p w14:paraId="08322CAC" w14:textId="079E3C48" w:rsidR="00773FC0" w:rsidRDefault="00773FC0">
      <w:pPr>
        <w:pStyle w:val="FootnoteText"/>
      </w:pPr>
      <w:r>
        <w:rPr>
          <w:rStyle w:val="FootnoteReference"/>
        </w:rPr>
        <w:footnoteRef/>
      </w:r>
      <w:r>
        <w:t xml:space="preserve"> See </w:t>
      </w:r>
      <w:r w:rsidR="00277B41">
        <w:t>[4.4.1]</w:t>
      </w:r>
      <w:r w:rsidR="001809E4">
        <w:t>–[4</w:t>
      </w:r>
      <w:r>
        <w:t>.</w:t>
      </w:r>
      <w:r w:rsidR="001809E4">
        <w:t xml:space="preserve">4.27] and </w:t>
      </w:r>
      <w:r w:rsidR="00687A91">
        <w:t>[4.6.4]–[4</w:t>
      </w:r>
      <w:r w:rsidR="008012CD">
        <w:t>.6.5].</w:t>
      </w:r>
    </w:p>
  </w:footnote>
  <w:footnote w:id="571">
    <w:p w14:paraId="70BB6966" w14:textId="4FBD431F" w:rsidR="001857AB" w:rsidRDefault="001857AB" w:rsidP="001857AB">
      <w:pPr>
        <w:pStyle w:val="FootnoteText"/>
      </w:pPr>
      <w:r>
        <w:rPr>
          <w:rStyle w:val="FootnoteReference"/>
        </w:rPr>
        <w:footnoteRef/>
      </w:r>
      <w:r>
        <w:t xml:space="preserve"> See SALRI</w:t>
      </w:r>
      <w:r w:rsidR="00C22291">
        <w:t xml:space="preserve"> (n 11)</w:t>
      </w:r>
      <w:r w:rsidR="00E73337">
        <w:t xml:space="preserve"> 230–5</w:t>
      </w:r>
      <w:r>
        <w:t xml:space="preserve"> </w:t>
      </w:r>
      <w:r w:rsidR="004757E8">
        <w:t>[</w:t>
      </w:r>
      <w:r>
        <w:t>8.2</w:t>
      </w:r>
      <w:r w:rsidR="004757E8">
        <w:t>]</w:t>
      </w:r>
      <w:r>
        <w:t>.</w:t>
      </w:r>
    </w:p>
  </w:footnote>
  <w:footnote w:id="572">
    <w:p w14:paraId="0F1DCA56" w14:textId="7648B165" w:rsidR="00033C9E" w:rsidRDefault="00033C9E">
      <w:pPr>
        <w:pStyle w:val="FootnoteText"/>
      </w:pPr>
      <w:r>
        <w:rPr>
          <w:rStyle w:val="FootnoteReference"/>
        </w:rPr>
        <w:footnoteRef/>
      </w:r>
      <w:r>
        <w:t xml:space="preserve"> </w:t>
      </w:r>
      <w:r w:rsidR="00A36820" w:rsidRPr="00DA22A4">
        <w:rPr>
          <w:i/>
        </w:rPr>
        <w:t>Ageing and Disability Commissioner Act 2019</w:t>
      </w:r>
      <w:r w:rsidR="00A36820">
        <w:t xml:space="preserve"> </w:t>
      </w:r>
      <w:r w:rsidR="00CA3619">
        <w:t>(</w:t>
      </w:r>
      <w:r w:rsidR="00A36820">
        <w:t xml:space="preserve">NSW) </w:t>
      </w:r>
      <w:r w:rsidR="00C22291">
        <w:t>s</w:t>
      </w:r>
      <w:r w:rsidR="00A36820">
        <w:t xml:space="preserve">s </w:t>
      </w:r>
      <w:r w:rsidR="00CA3619">
        <w:t xml:space="preserve">3, </w:t>
      </w:r>
      <w:r w:rsidR="00A36820">
        <w:t>13</w:t>
      </w:r>
      <w:r w:rsidR="00C22291">
        <w:t>.</w:t>
      </w:r>
    </w:p>
  </w:footnote>
  <w:footnote w:id="573">
    <w:p w14:paraId="7906F1FA" w14:textId="5DCA6567" w:rsidR="00297A69" w:rsidRDefault="00297A69">
      <w:pPr>
        <w:pStyle w:val="FootnoteText"/>
      </w:pPr>
      <w:r>
        <w:rPr>
          <w:rStyle w:val="FootnoteReference"/>
        </w:rPr>
        <w:footnoteRef/>
      </w:r>
      <w:r>
        <w:t xml:space="preserve"> </w:t>
      </w:r>
      <w:r w:rsidR="00A0154E" w:rsidRPr="00DA22A4">
        <w:rPr>
          <w:i/>
        </w:rPr>
        <w:t>Ageing and Disability Commissioner Act 2019</w:t>
      </w:r>
      <w:r w:rsidR="00A0154E">
        <w:t xml:space="preserve"> (NSW) s </w:t>
      </w:r>
      <w:r>
        <w:t>13 (1)(</w:t>
      </w:r>
      <w:r w:rsidR="00611494">
        <w:t>a)</w:t>
      </w:r>
      <w:r w:rsidR="00C22291">
        <w:t>.</w:t>
      </w:r>
    </w:p>
  </w:footnote>
  <w:footnote w:id="574">
    <w:p w14:paraId="073697E4" w14:textId="72113B44" w:rsidR="00BB0AB9" w:rsidRDefault="00BB0AB9">
      <w:pPr>
        <w:pStyle w:val="FootnoteText"/>
      </w:pPr>
      <w:r>
        <w:rPr>
          <w:rStyle w:val="FootnoteReference"/>
        </w:rPr>
        <w:footnoteRef/>
      </w:r>
      <w:r>
        <w:t xml:space="preserve"> </w:t>
      </w:r>
      <w:r w:rsidR="008E69D2" w:rsidRPr="00DA22A4">
        <w:rPr>
          <w:i/>
        </w:rPr>
        <w:t xml:space="preserve">Ageing and </w:t>
      </w:r>
      <w:r w:rsidR="008E69D2">
        <w:rPr>
          <w:i/>
        </w:rPr>
        <w:t>Adult Safeguarding</w:t>
      </w:r>
      <w:r w:rsidR="008E69D2" w:rsidRPr="00DA22A4">
        <w:rPr>
          <w:i/>
        </w:rPr>
        <w:t xml:space="preserve"> Act </w:t>
      </w:r>
      <w:r w:rsidR="008E69D2">
        <w:rPr>
          <w:i/>
        </w:rPr>
        <w:t>1995</w:t>
      </w:r>
      <w:r w:rsidR="008E69D2">
        <w:t xml:space="preserve"> (SA) s </w:t>
      </w:r>
      <w:r>
        <w:t>22.</w:t>
      </w:r>
    </w:p>
  </w:footnote>
  <w:footnote w:id="575">
    <w:p w14:paraId="77A67CB9" w14:textId="38A1080B" w:rsidR="002669F0" w:rsidRDefault="002669F0">
      <w:pPr>
        <w:pStyle w:val="FootnoteText"/>
      </w:pPr>
      <w:r>
        <w:rPr>
          <w:rStyle w:val="FootnoteReference"/>
        </w:rPr>
        <w:footnoteRef/>
      </w:r>
      <w:r>
        <w:t xml:space="preserve"> </w:t>
      </w:r>
      <w:r w:rsidR="008E69D2" w:rsidRPr="00DA22A4">
        <w:rPr>
          <w:i/>
        </w:rPr>
        <w:t xml:space="preserve">Ageing and </w:t>
      </w:r>
      <w:r w:rsidR="008E69D2">
        <w:rPr>
          <w:i/>
        </w:rPr>
        <w:t>Adult Safeguarding</w:t>
      </w:r>
      <w:r w:rsidR="008E69D2" w:rsidRPr="00DA22A4">
        <w:rPr>
          <w:i/>
        </w:rPr>
        <w:t xml:space="preserve"> Act </w:t>
      </w:r>
      <w:r w:rsidR="008E69D2">
        <w:rPr>
          <w:i/>
        </w:rPr>
        <w:t>1995</w:t>
      </w:r>
      <w:r w:rsidR="008E69D2">
        <w:t xml:space="preserve"> (SA) s</w:t>
      </w:r>
      <w:r>
        <w:t xml:space="preserve"> 3</w:t>
      </w:r>
      <w:r w:rsidR="00C22291">
        <w:t>.</w:t>
      </w:r>
    </w:p>
  </w:footnote>
  <w:footnote w:id="576">
    <w:p w14:paraId="734E1A97" w14:textId="3504A4B3" w:rsidR="003B31A1" w:rsidRDefault="003B31A1">
      <w:pPr>
        <w:pStyle w:val="FootnoteText"/>
      </w:pPr>
      <w:r>
        <w:rPr>
          <w:rStyle w:val="FootnoteReference"/>
        </w:rPr>
        <w:footnoteRef/>
      </w:r>
      <w:r>
        <w:t xml:space="preserve"> </w:t>
      </w:r>
      <w:r w:rsidR="0066740E">
        <w:t xml:space="preserve">ALRC, </w:t>
      </w:r>
      <w:r w:rsidR="0066740E" w:rsidRPr="003210B3">
        <w:rPr>
          <w:i/>
          <w:iCs/>
        </w:rPr>
        <w:t>Elder Abuse</w:t>
      </w:r>
      <w:r w:rsidR="00CE4D4E">
        <w:t xml:space="preserve"> (n 6) </w:t>
      </w:r>
      <w:r>
        <w:t xml:space="preserve">Recommendation 14-3. See </w:t>
      </w:r>
      <w:r w:rsidR="001158A5">
        <w:t>[4.2.3] and Table 4.1</w:t>
      </w:r>
      <w:r>
        <w:t>.</w:t>
      </w:r>
    </w:p>
  </w:footnote>
  <w:footnote w:id="577">
    <w:p w14:paraId="4BC20CFC" w14:textId="4F71A867" w:rsidR="00662E0B" w:rsidRDefault="00662E0B">
      <w:pPr>
        <w:pStyle w:val="FootnoteText"/>
      </w:pPr>
      <w:r>
        <w:rPr>
          <w:rStyle w:val="FootnoteReference"/>
        </w:rPr>
        <w:footnoteRef/>
      </w:r>
      <w:r>
        <w:t xml:space="preserve"> </w:t>
      </w:r>
      <w:r w:rsidR="00E24AB4">
        <w:t xml:space="preserve">SALRI (n 11) 229 </w:t>
      </w:r>
      <w:r w:rsidR="00882AAD">
        <w:t>[8.1.8].</w:t>
      </w:r>
      <w:r w:rsidR="00305135" w:rsidRPr="00305135">
        <w:rPr>
          <w:rFonts w:eastAsia="Times"/>
        </w:rPr>
        <w:t xml:space="preserve"> </w:t>
      </w:r>
      <w:r w:rsidR="00305135">
        <w:rPr>
          <w:rFonts w:eastAsia="Times"/>
        </w:rPr>
        <w:t xml:space="preserve">In this context, it is noted that </w:t>
      </w:r>
      <w:r w:rsidR="00305135">
        <w:rPr>
          <w:rFonts w:eastAsia="Times" w:cs="Times New Roman"/>
        </w:rPr>
        <w:t xml:space="preserve">SALRI </w:t>
      </w:r>
      <w:r w:rsidR="00305135">
        <w:rPr>
          <w:rFonts w:eastAsia="Times"/>
        </w:rPr>
        <w:t>has observed</w:t>
      </w:r>
      <w:r w:rsidR="00305135">
        <w:rPr>
          <w:rFonts w:eastAsia="Times" w:cs="Times New Roman"/>
        </w:rPr>
        <w:t xml:space="preserve"> that the ‘term “vulnerable adult” had fallen out of favour’</w:t>
      </w:r>
      <w:r w:rsidR="00E24AB4">
        <w:rPr>
          <w:rFonts w:eastAsia="Times" w:cs="Times New Roman"/>
        </w:rPr>
        <w:t>: at</w:t>
      </w:r>
      <w:r w:rsidR="00A378E9">
        <w:rPr>
          <w:rFonts w:eastAsia="Times" w:cs="Times New Roman"/>
        </w:rPr>
        <w:t xml:space="preserve"> [8.</w:t>
      </w:r>
      <w:r w:rsidR="00DE09FF">
        <w:rPr>
          <w:rFonts w:eastAsia="Times" w:cs="Times New Roman"/>
        </w:rPr>
        <w:t>3</w:t>
      </w:r>
      <w:r w:rsidR="00A378E9">
        <w:rPr>
          <w:rFonts w:eastAsia="Times" w:cs="Times New Roman"/>
        </w:rPr>
        <w:t>.</w:t>
      </w:r>
      <w:r w:rsidR="00DE09FF">
        <w:rPr>
          <w:rFonts w:eastAsia="Times" w:cs="Times New Roman"/>
        </w:rPr>
        <w:t>2</w:t>
      </w:r>
      <w:r w:rsidR="00A378E9">
        <w:rPr>
          <w:rFonts w:eastAsia="Times" w:cs="Times New Roman"/>
        </w:rPr>
        <w:t xml:space="preserve">]. It was noted that </w:t>
      </w:r>
      <w:r w:rsidR="00A378E9">
        <w:t>England, Wales and Ireland use ‘adult at risk’ and Scotland use ‘adult at risk of harm’ and ‘adult in need of protection’</w:t>
      </w:r>
      <w:r w:rsidR="00E24AB4">
        <w:t xml:space="preserve">: at </w:t>
      </w:r>
      <w:r w:rsidR="00A378E9">
        <w:t>235–6, Recommendation 31. It is noted that SALRI recommended the term ‘vulnerable adult’ be replaced with the term ‘relevant adult’, and ‘relevant adult’ being defined as an adult who may be vulnerable to abuse. An alternative term could be ‘protected adult’</w:t>
      </w:r>
      <w:r w:rsidR="007D4FB8">
        <w:t>.</w:t>
      </w:r>
    </w:p>
  </w:footnote>
  <w:footnote w:id="578">
    <w:p w14:paraId="7097AA37" w14:textId="34A8582A" w:rsidR="003B1AEE" w:rsidRDefault="003B1AEE">
      <w:pPr>
        <w:pStyle w:val="FootnoteText"/>
      </w:pPr>
      <w:r>
        <w:rPr>
          <w:rStyle w:val="FootnoteReference"/>
        </w:rPr>
        <w:footnoteRef/>
      </w:r>
      <w:r>
        <w:t xml:space="preserve"> </w:t>
      </w:r>
      <w:r w:rsidR="00CC2A60" w:rsidRPr="00620733">
        <w:rPr>
          <w:i/>
          <w:iCs/>
        </w:rPr>
        <w:t>Human Rights Commission Act 2005</w:t>
      </w:r>
      <w:r w:rsidR="00CC2A60" w:rsidRPr="003C4B61">
        <w:t xml:space="preserve"> (ACT</w:t>
      </w:r>
      <w:r w:rsidR="00CC2A60">
        <w:t xml:space="preserve">) </w:t>
      </w:r>
      <w:r w:rsidR="000A2F9D">
        <w:t xml:space="preserve">s </w:t>
      </w:r>
      <w:r w:rsidR="002C6057">
        <w:t>41B</w:t>
      </w:r>
      <w:r w:rsidR="00CC2A60">
        <w:t>.</w:t>
      </w:r>
    </w:p>
  </w:footnote>
  <w:footnote w:id="579">
    <w:p w14:paraId="3AD9CE8D" w14:textId="4CB178BC" w:rsidR="00E24AB4" w:rsidRDefault="00E24AB4">
      <w:pPr>
        <w:pStyle w:val="FootnoteText"/>
      </w:pPr>
      <w:r>
        <w:rPr>
          <w:rStyle w:val="FootnoteReference"/>
        </w:rPr>
        <w:footnoteRef/>
      </w:r>
      <w:r>
        <w:t xml:space="preserve"> </w:t>
      </w:r>
      <w:r w:rsidRPr="00E24AB4">
        <w:t xml:space="preserve">See Table </w:t>
      </w:r>
      <w:r w:rsidR="007D4FB8">
        <w:t>4.4.</w:t>
      </w:r>
    </w:p>
  </w:footnote>
  <w:footnote w:id="580">
    <w:p w14:paraId="2C1202A8" w14:textId="35D1F146" w:rsidR="00010560" w:rsidRDefault="00010560" w:rsidP="00010560">
      <w:pPr>
        <w:pStyle w:val="FootnoteText"/>
      </w:pPr>
      <w:r>
        <w:rPr>
          <w:rStyle w:val="FootnoteReference"/>
        </w:rPr>
        <w:footnoteRef/>
      </w:r>
      <w:r>
        <w:t xml:space="preserve"> See </w:t>
      </w:r>
      <w:r w:rsidR="00E24AB4">
        <w:t>SALRI (n 11).</w:t>
      </w:r>
    </w:p>
  </w:footnote>
  <w:footnote w:id="581">
    <w:p w14:paraId="1625C994" w14:textId="565644AB" w:rsidR="00EB4C4E" w:rsidRDefault="00EB4C4E">
      <w:pPr>
        <w:pStyle w:val="FootnoteText"/>
      </w:pPr>
      <w:r>
        <w:rPr>
          <w:rStyle w:val="FootnoteReference"/>
        </w:rPr>
        <w:footnoteRef/>
      </w:r>
      <w:r>
        <w:t xml:space="preserve"> </w:t>
      </w:r>
      <w:r w:rsidR="007F6E88" w:rsidRPr="008E45BD">
        <w:t>Interviews</w:t>
      </w:r>
      <w:r w:rsidR="007F6E88">
        <w:t xml:space="preserve"> 5,</w:t>
      </w:r>
      <w:r w:rsidR="007F6E88" w:rsidRPr="003C4B61">
        <w:t xml:space="preserve"> 7</w:t>
      </w:r>
      <w:r w:rsidR="007F6E88">
        <w:t>,</w:t>
      </w:r>
      <w:r w:rsidR="007F6E88" w:rsidRPr="003C4B61">
        <w:t xml:space="preserve"> 9</w:t>
      </w:r>
      <w:r w:rsidR="007F6E88">
        <w:t>, 10,</w:t>
      </w:r>
      <w:r w:rsidR="007F6E88" w:rsidRPr="003C4B61">
        <w:t xml:space="preserve"> 18</w:t>
      </w:r>
      <w:r w:rsidR="007F6E88">
        <w:t>, 19, 16, 22, 14, 2</w:t>
      </w:r>
      <w:r w:rsidR="007D4FB8">
        <w:t>.</w:t>
      </w:r>
    </w:p>
  </w:footnote>
  <w:footnote w:id="582">
    <w:p w14:paraId="623CB6EA" w14:textId="402CC002" w:rsidR="00462276" w:rsidRDefault="00462276">
      <w:pPr>
        <w:pStyle w:val="FootnoteText"/>
      </w:pPr>
      <w:r>
        <w:rPr>
          <w:rStyle w:val="FootnoteReference"/>
        </w:rPr>
        <w:footnoteRef/>
      </w:r>
      <w:r>
        <w:t xml:space="preserve"> </w:t>
      </w:r>
      <w:r w:rsidR="007D4FB8">
        <w:t xml:space="preserve">SALRI (n 11) </w:t>
      </w:r>
      <w:r w:rsidR="00594B3F">
        <w:t xml:space="preserve">xxii, xli (n 202), </w:t>
      </w:r>
      <w:r w:rsidR="00E6659D">
        <w:t>87 [4.3.17].</w:t>
      </w:r>
      <w:r w:rsidR="00541FF1">
        <w:t xml:space="preserve"> </w:t>
      </w:r>
    </w:p>
  </w:footnote>
  <w:footnote w:id="583">
    <w:p w14:paraId="4164AD35" w14:textId="0CC1C173" w:rsidR="002C31C0" w:rsidRDefault="002C31C0">
      <w:pPr>
        <w:pStyle w:val="FootnoteText"/>
      </w:pPr>
      <w:r>
        <w:rPr>
          <w:rStyle w:val="FootnoteReference"/>
        </w:rPr>
        <w:footnoteRef/>
      </w:r>
      <w:r>
        <w:t xml:space="preserve"> </w:t>
      </w:r>
      <w:r>
        <w:rPr>
          <w:rFonts w:eastAsia="Times" w:cs="Times New Roman"/>
        </w:rPr>
        <w:t xml:space="preserve">See </w:t>
      </w:r>
      <w:r w:rsidR="008075EB">
        <w:rPr>
          <w:rFonts w:eastAsia="Times" w:cs="Times New Roman"/>
        </w:rPr>
        <w:t>[4.</w:t>
      </w:r>
      <w:r w:rsidR="00E75319">
        <w:rPr>
          <w:rFonts w:eastAsia="Times" w:cs="Times New Roman"/>
        </w:rPr>
        <w:t xml:space="preserve">5.37]–[ 4.5.41] </w:t>
      </w:r>
      <w:r w:rsidR="00322ADC">
        <w:rPr>
          <w:rFonts w:eastAsia="Times" w:cs="Times New Roman"/>
        </w:rPr>
        <w:t xml:space="preserve">and </w:t>
      </w:r>
      <w:r w:rsidR="00322ADC" w:rsidRPr="00322ADC">
        <w:rPr>
          <w:rFonts w:eastAsia="Times" w:cs="Times New Roman"/>
          <w:b/>
          <w:bCs/>
        </w:rPr>
        <w:t>Recommendations 15–17</w:t>
      </w:r>
      <w:r w:rsidR="00322ADC">
        <w:rPr>
          <w:rFonts w:eastAsia="Times" w:cs="Times New Roman"/>
        </w:rPr>
        <w:t>.</w:t>
      </w:r>
    </w:p>
  </w:footnote>
  <w:footnote w:id="584">
    <w:p w14:paraId="17241FBD" w14:textId="3B62629E" w:rsidR="00721EE4" w:rsidRDefault="00721EE4">
      <w:pPr>
        <w:pStyle w:val="FootnoteText"/>
      </w:pPr>
      <w:r>
        <w:rPr>
          <w:rStyle w:val="FootnoteReference"/>
        </w:rPr>
        <w:footnoteRef/>
      </w:r>
      <w:r>
        <w:t xml:space="preserve"> See </w:t>
      </w:r>
      <w:r w:rsidR="0029421D">
        <w:rPr>
          <w:rFonts w:eastAsia="Times" w:cs="Times New Roman"/>
        </w:rPr>
        <w:t>[4.5.</w:t>
      </w:r>
      <w:r w:rsidR="00021927">
        <w:rPr>
          <w:rFonts w:eastAsia="Times" w:cs="Times New Roman"/>
        </w:rPr>
        <w:t>20</w:t>
      </w:r>
      <w:r w:rsidR="0029421D">
        <w:rPr>
          <w:rFonts w:eastAsia="Times" w:cs="Times New Roman"/>
        </w:rPr>
        <w:t>]–[ 4.5.</w:t>
      </w:r>
      <w:r w:rsidR="00021927">
        <w:rPr>
          <w:rFonts w:eastAsia="Times" w:cs="Times New Roman"/>
        </w:rPr>
        <w:t>22</w:t>
      </w:r>
      <w:r w:rsidR="0029421D">
        <w:rPr>
          <w:rFonts w:eastAsia="Times" w:cs="Times New Roman"/>
        </w:rPr>
        <w:t xml:space="preserve">] and </w:t>
      </w:r>
      <w:r w:rsidR="0029421D" w:rsidRPr="00322ADC">
        <w:rPr>
          <w:rFonts w:eastAsia="Times" w:cs="Times New Roman"/>
          <w:b/>
          <w:bCs/>
        </w:rPr>
        <w:t xml:space="preserve">Recommendation </w:t>
      </w:r>
      <w:r w:rsidR="00021927">
        <w:rPr>
          <w:rFonts w:eastAsia="Times" w:cs="Times New Roman"/>
          <w:b/>
          <w:bCs/>
        </w:rPr>
        <w:t>9</w:t>
      </w:r>
      <w:r w:rsidR="0029421D">
        <w:rPr>
          <w:rFonts w:eastAsia="Times" w:cs="Times New Roman"/>
        </w:rPr>
        <w:t>.</w:t>
      </w:r>
    </w:p>
  </w:footnote>
  <w:footnote w:id="585">
    <w:p w14:paraId="4F550CAA" w14:textId="5A6A8BF5" w:rsidR="002744B0" w:rsidRDefault="002744B0">
      <w:pPr>
        <w:pStyle w:val="FootnoteText"/>
      </w:pPr>
      <w:r>
        <w:rPr>
          <w:rStyle w:val="FootnoteReference"/>
        </w:rPr>
        <w:footnoteRef/>
      </w:r>
      <w:r>
        <w:t xml:space="preserve"> See </w:t>
      </w:r>
      <w:r w:rsidR="00D00227">
        <w:t>[1.1.3]</w:t>
      </w:r>
      <w:r w:rsidR="00311B1F">
        <w:t>.</w:t>
      </w:r>
      <w:r w:rsidR="00B1536F">
        <w:t xml:space="preserve"> </w:t>
      </w:r>
    </w:p>
  </w:footnote>
  <w:footnote w:id="586">
    <w:p w14:paraId="2BB836CF" w14:textId="448820ED" w:rsidR="001546FB" w:rsidRDefault="001546FB">
      <w:pPr>
        <w:pStyle w:val="FootnoteText"/>
      </w:pPr>
      <w:r>
        <w:rPr>
          <w:rStyle w:val="FootnoteReference"/>
        </w:rPr>
        <w:footnoteRef/>
      </w:r>
      <w:r>
        <w:t xml:space="preserve"> </w:t>
      </w:r>
      <w:r w:rsidR="00477C4F" w:rsidRPr="00C36293">
        <w:rPr>
          <w:i/>
          <w:iCs/>
        </w:rPr>
        <w:t>Ageing and Disability Commissioner Act 2019</w:t>
      </w:r>
      <w:r w:rsidR="00477C4F">
        <w:t xml:space="preserve"> (NSW) s 3 (older adult’)</w:t>
      </w:r>
      <w:r w:rsidR="00D00227">
        <w:t>.</w:t>
      </w:r>
      <w:r w:rsidR="00B139D4">
        <w:t xml:space="preserve"> </w:t>
      </w:r>
    </w:p>
  </w:footnote>
  <w:footnote w:id="587">
    <w:p w14:paraId="655D38E8" w14:textId="51E0F251" w:rsidR="001F6E29" w:rsidRDefault="001F6E29">
      <w:pPr>
        <w:pStyle w:val="FootnoteText"/>
      </w:pPr>
      <w:r>
        <w:rPr>
          <w:rStyle w:val="FootnoteReference"/>
        </w:rPr>
        <w:footnoteRef/>
      </w:r>
      <w:r>
        <w:t xml:space="preserve"> </w:t>
      </w:r>
      <w:r w:rsidR="001326BE" w:rsidRPr="00D715B3">
        <w:rPr>
          <w:rFonts w:cs="Times New Roman"/>
        </w:rPr>
        <w:t>Council of Attorneys-General, ‘</w:t>
      </w:r>
      <w:r w:rsidR="001326BE" w:rsidRPr="00D715B3">
        <w:rPr>
          <w:rFonts w:cs="Times New Roman"/>
          <w:i/>
          <w:iCs/>
        </w:rPr>
        <w:t>National Plan 2024–2034: Public Consultation Draft</w:t>
      </w:r>
      <w:r w:rsidR="001326BE" w:rsidRPr="00D715B3">
        <w:rPr>
          <w:rFonts w:cs="Times New Roman"/>
        </w:rPr>
        <w:t xml:space="preserve"> (n 40)</w:t>
      </w:r>
      <w:r w:rsidR="001326BE">
        <w:rPr>
          <w:rFonts w:cs="Times New Roman"/>
        </w:rPr>
        <w:t xml:space="preserve"> </w:t>
      </w:r>
      <w:r>
        <w:t>18.</w:t>
      </w:r>
      <w:r w:rsidR="006B662B">
        <w:t xml:space="preserve"> See</w:t>
      </w:r>
      <w:r w:rsidR="006B662B" w:rsidRPr="006F2DE6">
        <w:rPr>
          <w:rFonts w:eastAsia="Times" w:cs="Times New Roman"/>
        </w:rPr>
        <w:t xml:space="preserve"> </w:t>
      </w:r>
      <w:r w:rsidR="00463B78">
        <w:rPr>
          <w:rFonts w:eastAsia="Times" w:cs="Times New Roman"/>
        </w:rPr>
        <w:t xml:space="preserve">also </w:t>
      </w:r>
      <w:r w:rsidR="00E33E8A">
        <w:t xml:space="preserve">[1.1.3] </w:t>
      </w:r>
      <w:r w:rsidR="00F541AA">
        <w:t>and [3.3.2].</w:t>
      </w:r>
    </w:p>
  </w:footnote>
  <w:footnote w:id="588">
    <w:p w14:paraId="06232CE4" w14:textId="7884CFC9" w:rsidR="00EF01F8" w:rsidRDefault="00EF01F8" w:rsidP="001C50EC">
      <w:pPr>
        <w:pStyle w:val="FootnoteText"/>
      </w:pPr>
      <w:r>
        <w:rPr>
          <w:rStyle w:val="FootnoteReference"/>
        </w:rPr>
        <w:footnoteRef/>
      </w:r>
      <w:r>
        <w:t xml:space="preserve"> See </w:t>
      </w:r>
      <w:r w:rsidR="00E8111F" w:rsidRPr="0068201D">
        <w:t>Tasmania</w:t>
      </w:r>
      <w:r w:rsidR="00E8111F">
        <w:t>n</w:t>
      </w:r>
      <w:r w:rsidR="00E8111F" w:rsidRPr="0068201D">
        <w:t xml:space="preserve"> Government, </w:t>
      </w:r>
      <w:r w:rsidR="00E8111F" w:rsidRPr="00FA6AEB">
        <w:rPr>
          <w:i/>
          <w:iCs/>
        </w:rPr>
        <w:t>Lifelong Respect Strategy 2023–2029</w:t>
      </w:r>
      <w:r w:rsidR="00E8111F" w:rsidRPr="0068201D">
        <w:t xml:space="preserve"> (n 19</w:t>
      </w:r>
      <w:r w:rsidR="00E8111F">
        <w:t xml:space="preserve">) </w:t>
      </w:r>
      <w:r w:rsidR="007A6245">
        <w:t>6</w:t>
      </w:r>
      <w:r w:rsidR="00F541AA">
        <w:t xml:space="preserve">; </w:t>
      </w:r>
      <w:r w:rsidR="005F1D6D" w:rsidRPr="00D715B3">
        <w:rPr>
          <w:rFonts w:cs="Times New Roman"/>
        </w:rPr>
        <w:t xml:space="preserve">Tasmanian Government, </w:t>
      </w:r>
      <w:r w:rsidR="005F1D6D" w:rsidRPr="00D715B3">
        <w:rPr>
          <w:rFonts w:cs="Times New Roman"/>
          <w:i/>
          <w:iCs/>
        </w:rPr>
        <w:t>Action Plan 2025–2029</w:t>
      </w:r>
      <w:r w:rsidR="005F1D6D" w:rsidRPr="00D715B3">
        <w:rPr>
          <w:rFonts w:cs="Times New Roman"/>
        </w:rPr>
        <w:t xml:space="preserve"> (n 18)</w:t>
      </w:r>
      <w:r w:rsidR="001546FB">
        <w:t xml:space="preserve"> </w:t>
      </w:r>
      <w:r w:rsidR="001C50EC">
        <w:t>11:</w:t>
      </w:r>
      <w:r w:rsidR="001546FB">
        <w:t xml:space="preserve"> </w:t>
      </w:r>
      <w:r w:rsidR="001C50EC">
        <w:t>‘Older Tasmanians are aged 65 years and over. Older Tasmanians include anyone living in Tasmania, regardless of visa status. In recognition of historical factors and social determinants of health, Aboriginal Tasmanians 50 years and over are considered older.’</w:t>
      </w:r>
    </w:p>
  </w:footnote>
  <w:footnote w:id="589">
    <w:p w14:paraId="13E3F74B" w14:textId="4FDD996E" w:rsidR="00050A4C" w:rsidRDefault="00050A4C" w:rsidP="00E91875">
      <w:pPr>
        <w:pStyle w:val="FootnoteText"/>
      </w:pPr>
      <w:r>
        <w:rPr>
          <w:rStyle w:val="FootnoteReference"/>
        </w:rPr>
        <w:footnoteRef/>
      </w:r>
      <w:r>
        <w:t xml:space="preserve"> It is noted that providing </w:t>
      </w:r>
      <w:r w:rsidRPr="00E91875">
        <w:t>an</w:t>
      </w:r>
      <w:r>
        <w:t xml:space="preserve"> age requirement or definition for young people is a common feature o</w:t>
      </w:r>
      <w:r w:rsidR="00463B78">
        <w:t>f</w:t>
      </w:r>
      <w:r>
        <w:t xml:space="preserve"> legal system</w:t>
      </w:r>
      <w:r w:rsidR="00463B78">
        <w:t>s in Australia, including Tasmania</w:t>
      </w:r>
      <w:r>
        <w:t>.</w:t>
      </w:r>
    </w:p>
  </w:footnote>
  <w:footnote w:id="590">
    <w:p w14:paraId="5B751707" w14:textId="01148863" w:rsidR="009A320A" w:rsidRDefault="009A320A" w:rsidP="009A320A">
      <w:pPr>
        <w:pStyle w:val="FootnoteText"/>
      </w:pPr>
      <w:r>
        <w:rPr>
          <w:rStyle w:val="FootnoteReference"/>
        </w:rPr>
        <w:footnoteRef/>
      </w:r>
      <w:r w:rsidR="00E91875">
        <w:t xml:space="preserve"> </w:t>
      </w:r>
      <w:r w:rsidR="00E91875" w:rsidRPr="00E91875">
        <w:rPr>
          <w:i/>
          <w:iCs/>
        </w:rPr>
        <w:t>Disability Rights, Inclusion and Safeguarding Act 2024</w:t>
      </w:r>
      <w:r w:rsidR="00E91875" w:rsidRPr="00E91875">
        <w:t xml:space="preserve"> (Tas)</w:t>
      </w:r>
      <w:r>
        <w:t xml:space="preserve"> </w:t>
      </w:r>
      <w:r w:rsidR="00E91875">
        <w:t>s</w:t>
      </w:r>
      <w:r>
        <w:t xml:space="preserve"> 5.</w:t>
      </w:r>
    </w:p>
  </w:footnote>
  <w:footnote w:id="591">
    <w:p w14:paraId="1D809CF4" w14:textId="55B7E455" w:rsidR="005F1D6D" w:rsidRDefault="005F1D6D">
      <w:pPr>
        <w:pStyle w:val="FootnoteText"/>
      </w:pPr>
      <w:r>
        <w:rPr>
          <w:rStyle w:val="FootnoteReference"/>
        </w:rPr>
        <w:footnoteRef/>
      </w:r>
      <w:r>
        <w:t xml:space="preserve"> </w:t>
      </w:r>
      <w:r w:rsidRPr="00E91875">
        <w:rPr>
          <w:i/>
          <w:iCs/>
        </w:rPr>
        <w:t>Ageing and Adult Safeguarding Act 1995</w:t>
      </w:r>
      <w:r w:rsidRPr="00665C5D">
        <w:t xml:space="preserve"> (SA</w:t>
      </w:r>
      <w:r w:rsidRPr="003C4B61">
        <w:t>) s 4.</w:t>
      </w:r>
    </w:p>
  </w:footnote>
  <w:footnote w:id="592">
    <w:p w14:paraId="2AB08504" w14:textId="4F343423" w:rsidR="00EE6D02" w:rsidRDefault="00EE6D02">
      <w:pPr>
        <w:pStyle w:val="FootnoteText"/>
      </w:pPr>
      <w:r>
        <w:rPr>
          <w:rStyle w:val="FootnoteReference"/>
        </w:rPr>
        <w:footnoteRef/>
      </w:r>
      <w:r>
        <w:t xml:space="preserve"> </w:t>
      </w:r>
      <w:r w:rsidRPr="007C1AE2">
        <w:t>See Table 4.4.</w:t>
      </w:r>
    </w:p>
  </w:footnote>
  <w:footnote w:id="593">
    <w:p w14:paraId="0BE5B5E1" w14:textId="55701113" w:rsidR="00EE6D02" w:rsidRDefault="00EE6D02">
      <w:pPr>
        <w:pStyle w:val="FootnoteText"/>
      </w:pPr>
      <w:r>
        <w:rPr>
          <w:rStyle w:val="FootnoteReference"/>
        </w:rPr>
        <w:footnoteRef/>
      </w:r>
      <w:r>
        <w:t xml:space="preserve"> </w:t>
      </w:r>
      <w:r w:rsidRPr="00E91875">
        <w:rPr>
          <w:i/>
          <w:iCs/>
        </w:rPr>
        <w:t>Disability Rights, Inclusion and Safeguarding Act 2024</w:t>
      </w:r>
      <w:r w:rsidRPr="003C4B61">
        <w:t xml:space="preserve"> (</w:t>
      </w:r>
      <w:r w:rsidRPr="00E91875">
        <w:t>Tas</w:t>
      </w:r>
      <w:r w:rsidRPr="003C4B61">
        <w:t>) s 36</w:t>
      </w:r>
      <w:r>
        <w:t>.</w:t>
      </w:r>
    </w:p>
  </w:footnote>
  <w:footnote w:id="594">
    <w:p w14:paraId="03AF63FF" w14:textId="767D9C1A" w:rsidR="00EE6D02" w:rsidRDefault="00EE6D02">
      <w:pPr>
        <w:pStyle w:val="FootnoteText"/>
      </w:pPr>
      <w:r>
        <w:rPr>
          <w:rStyle w:val="FootnoteReference"/>
        </w:rPr>
        <w:footnoteRef/>
      </w:r>
      <w:r>
        <w:t xml:space="preserve"> </w:t>
      </w:r>
      <w:r w:rsidRPr="00E91875">
        <w:rPr>
          <w:i/>
          <w:iCs/>
        </w:rPr>
        <w:t>Disability Rights, Inclusion and Safeguarding Act 2024</w:t>
      </w:r>
      <w:r w:rsidRPr="003C4B61">
        <w:t xml:space="preserve"> (Tas) s 29(4).</w:t>
      </w:r>
    </w:p>
  </w:footnote>
  <w:footnote w:id="595">
    <w:p w14:paraId="3BE8B29A" w14:textId="445447C8" w:rsidR="00EE6D02" w:rsidRDefault="00EE6D02">
      <w:pPr>
        <w:pStyle w:val="FootnoteText"/>
      </w:pPr>
      <w:r>
        <w:rPr>
          <w:rStyle w:val="FootnoteReference"/>
        </w:rPr>
        <w:footnoteRef/>
      </w:r>
      <w:r>
        <w:t xml:space="preserve"> </w:t>
      </w:r>
      <w:r w:rsidR="0066740E">
        <w:t xml:space="preserve">ALRC, </w:t>
      </w:r>
      <w:r w:rsidR="0066740E" w:rsidRPr="003210B3">
        <w:rPr>
          <w:i/>
          <w:iCs/>
        </w:rPr>
        <w:t>Elder Abuse</w:t>
      </w:r>
      <w:r>
        <w:t xml:space="preserve"> (n 6) </w:t>
      </w:r>
      <w:r w:rsidRPr="003C4B61">
        <w:t>[14.</w:t>
      </w:r>
      <w:r w:rsidRPr="00E91875">
        <w:t>69</w:t>
      </w:r>
      <w:r w:rsidRPr="003C4B61">
        <w:t>].</w:t>
      </w:r>
    </w:p>
  </w:footnote>
  <w:footnote w:id="596">
    <w:p w14:paraId="5FE5E19D" w14:textId="06CC5910" w:rsidR="00EE6D02" w:rsidRDefault="00EE6D02">
      <w:pPr>
        <w:pStyle w:val="FootnoteText"/>
      </w:pPr>
      <w:r>
        <w:rPr>
          <w:rStyle w:val="FootnoteReference"/>
        </w:rPr>
        <w:footnoteRef/>
      </w:r>
      <w:r>
        <w:t xml:space="preserve"> </w:t>
      </w:r>
      <w:r w:rsidRPr="00C66963">
        <w:t xml:space="preserve">See </w:t>
      </w:r>
      <w:r w:rsidR="00717D57" w:rsidRPr="00C66963">
        <w:t>[3.3.8]</w:t>
      </w:r>
      <w:r w:rsidR="007D41C3" w:rsidRPr="00C66963">
        <w:t>.</w:t>
      </w:r>
    </w:p>
  </w:footnote>
  <w:footnote w:id="597">
    <w:p w14:paraId="77A838F0" w14:textId="308344D0" w:rsidR="00EE6D02" w:rsidRDefault="00EE6D02">
      <w:pPr>
        <w:pStyle w:val="FootnoteText"/>
      </w:pPr>
      <w:r>
        <w:rPr>
          <w:rStyle w:val="FootnoteReference"/>
        </w:rPr>
        <w:footnoteRef/>
      </w:r>
      <w:r w:rsidR="00C66963">
        <w:t xml:space="preserve"> </w:t>
      </w:r>
      <w:r w:rsidRPr="00C66963">
        <w:rPr>
          <w:b/>
          <w:bCs/>
        </w:rPr>
        <w:t xml:space="preserve">Recommendation </w:t>
      </w:r>
      <w:r w:rsidR="006A7AAC" w:rsidRPr="00C66963">
        <w:rPr>
          <w:b/>
          <w:bCs/>
        </w:rPr>
        <w:t>3</w:t>
      </w:r>
      <w:r>
        <w:t xml:space="preserve">: ‘The approach to creating the independent statutory entity should: comprise a Commissioner role for older people (‘Commissioner for Older People’); and be aligned with the Disability Commissioner role by modelling the powers and functions of the Commissioner for Older People with the powers and functions of the Disability Commissioner under the </w:t>
      </w:r>
      <w:r w:rsidRPr="00C36293">
        <w:rPr>
          <w:i/>
          <w:iCs/>
        </w:rPr>
        <w:t>Disability Rights, Inclusion and Safeguarding Act 2024</w:t>
      </w:r>
      <w:r>
        <w:t xml:space="preserve"> (Tas).</w:t>
      </w:r>
    </w:p>
  </w:footnote>
  <w:footnote w:id="598">
    <w:p w14:paraId="7D4281AE" w14:textId="3FF4624F" w:rsidR="00DB025E" w:rsidRDefault="00DB025E">
      <w:pPr>
        <w:pStyle w:val="FootnoteText"/>
      </w:pPr>
      <w:r>
        <w:rPr>
          <w:rStyle w:val="FootnoteReference"/>
        </w:rPr>
        <w:footnoteRef/>
      </w:r>
      <w:r w:rsidR="0089783E">
        <w:t xml:space="preserve"> </w:t>
      </w:r>
      <w:r w:rsidRPr="00A12B51">
        <w:rPr>
          <w:b/>
          <w:bCs/>
        </w:rPr>
        <w:t xml:space="preserve">Recommendation </w:t>
      </w:r>
      <w:r w:rsidR="00A12B51" w:rsidRPr="00A12B51">
        <w:rPr>
          <w:b/>
          <w:bCs/>
        </w:rPr>
        <w:t>5</w:t>
      </w:r>
      <w:r w:rsidR="00CC2723" w:rsidRPr="00CC2723">
        <w:t>: ‘A mechanism for monitoring the Commissioner for Older People role should be implemented to allow for any issues to be identified and any further legislative reforms made.’</w:t>
      </w:r>
    </w:p>
  </w:footnote>
  <w:footnote w:id="599">
    <w:p w14:paraId="6EC8497E" w14:textId="64BD6437" w:rsidR="00B84CCB" w:rsidRDefault="00B84CCB">
      <w:pPr>
        <w:pStyle w:val="FootnoteText"/>
      </w:pPr>
      <w:r>
        <w:rPr>
          <w:rStyle w:val="FootnoteReference"/>
        </w:rPr>
        <w:footnoteRef/>
      </w:r>
      <w:r>
        <w:t xml:space="preserve"> See </w:t>
      </w:r>
      <w:r w:rsidR="009076FF">
        <w:t>[4.4.1]–[4.4.27]</w:t>
      </w:r>
      <w:r>
        <w:t>.</w:t>
      </w:r>
    </w:p>
  </w:footnote>
  <w:footnote w:id="600">
    <w:p w14:paraId="59AFC6A1" w14:textId="5D021332" w:rsidR="0089783E" w:rsidRDefault="0089783E">
      <w:pPr>
        <w:pStyle w:val="FootnoteText"/>
      </w:pPr>
      <w:r>
        <w:rPr>
          <w:rStyle w:val="FootnoteReference"/>
        </w:rPr>
        <w:footnoteRef/>
      </w:r>
      <w:r>
        <w:t xml:space="preserve"> </w:t>
      </w:r>
      <w:r w:rsidRPr="003C4B61">
        <w:rPr>
          <w:i/>
          <w:iCs/>
        </w:rPr>
        <w:t>Disability Rights, Inclusion and Safeguarding Act 2024</w:t>
      </w:r>
      <w:r w:rsidRPr="003C4B61">
        <w:t xml:space="preserve"> (Tas) s 37(2). There are numerous reasons for declining to act, including if </w:t>
      </w:r>
      <w:r>
        <w:t xml:space="preserve">the report is </w:t>
      </w:r>
      <w:r w:rsidRPr="003C4B61">
        <w:t>frivolous, vexatious, misconceived or lacking in substance, the matter is being considered by a court, board or tribunal or has already been and no outstanding issues have not been considered or it is outside of the Commissioner’s jurisdiction.</w:t>
      </w:r>
      <w:r>
        <w:t xml:space="preserve"> This discretion is qualified by the requirements to make mandatory reports set out in 38, see [3.3.33]–[3.3.37].</w:t>
      </w:r>
    </w:p>
  </w:footnote>
  <w:footnote w:id="601">
    <w:p w14:paraId="0B614737" w14:textId="78425AB2" w:rsidR="002B77DC" w:rsidRDefault="002B77DC">
      <w:pPr>
        <w:pStyle w:val="FootnoteText"/>
      </w:pPr>
      <w:r>
        <w:rPr>
          <w:rStyle w:val="FootnoteReference"/>
        </w:rPr>
        <w:footnoteRef/>
      </w:r>
      <w:r>
        <w:t xml:space="preserve"> </w:t>
      </w:r>
      <w:r w:rsidR="00E91875" w:rsidRPr="00E91875">
        <w:rPr>
          <w:i/>
          <w:iCs/>
        </w:rPr>
        <w:t>Disability Rights, Inclusion and Safeguarding Act 2024</w:t>
      </w:r>
      <w:r w:rsidR="00E91875" w:rsidRPr="00E91875">
        <w:t xml:space="preserve"> (Tas</w:t>
      </w:r>
      <w:r w:rsidR="00E91875">
        <w:t>)</w:t>
      </w:r>
      <w:r w:rsidR="001F4800">
        <w:t xml:space="preserve"> s</w:t>
      </w:r>
      <w:r w:rsidR="00D14DCE">
        <w:t xml:space="preserve"> 36(6).</w:t>
      </w:r>
    </w:p>
  </w:footnote>
  <w:footnote w:id="602">
    <w:p w14:paraId="4735D9E0" w14:textId="058AAA85" w:rsidR="0089783E" w:rsidRDefault="0089783E">
      <w:pPr>
        <w:pStyle w:val="FootnoteText"/>
      </w:pPr>
      <w:r>
        <w:rPr>
          <w:rStyle w:val="FootnoteReference"/>
        </w:rPr>
        <w:footnoteRef/>
      </w:r>
      <w:r>
        <w:t xml:space="preserve"> See </w:t>
      </w:r>
      <w:r w:rsidRPr="009157C1">
        <w:rPr>
          <w:i/>
          <w:iCs/>
        </w:rPr>
        <w:t>Ageing and Disability Commissioner Act 2019</w:t>
      </w:r>
      <w:r>
        <w:t xml:space="preserve"> (NSW) s 13; </w:t>
      </w:r>
      <w:r w:rsidRPr="00E91875">
        <w:rPr>
          <w:i/>
          <w:iCs/>
        </w:rPr>
        <w:t>Ageing and Adult Safeguarding Act 1995</w:t>
      </w:r>
      <w:r w:rsidRPr="00665C5D">
        <w:t xml:space="preserve"> (SA</w:t>
      </w:r>
      <w:r w:rsidRPr="003C4B61">
        <w:t xml:space="preserve">) </w:t>
      </w:r>
      <w:r>
        <w:t>s 23).</w:t>
      </w:r>
    </w:p>
  </w:footnote>
  <w:footnote w:id="603">
    <w:p w14:paraId="4EB33FA8" w14:textId="2982A490" w:rsidR="0089783E" w:rsidRDefault="0089783E">
      <w:pPr>
        <w:pStyle w:val="FootnoteText"/>
      </w:pPr>
      <w:r>
        <w:rPr>
          <w:rStyle w:val="FootnoteReference"/>
        </w:rPr>
        <w:footnoteRef/>
      </w:r>
      <w:r>
        <w:t xml:space="preserve"> </w:t>
      </w:r>
      <w:r w:rsidRPr="003C4B61">
        <w:t xml:space="preserve">In doing </w:t>
      </w:r>
      <w:r w:rsidRPr="00E91875">
        <w:t>so</w:t>
      </w:r>
      <w:r w:rsidRPr="003C4B61">
        <w:t xml:space="preserve">, the ALRC also referred to this requirement for adult safeguarding models in the United Kingdom and Scotland: </w:t>
      </w:r>
      <w:r w:rsidR="0066740E">
        <w:t xml:space="preserve">ALRC, </w:t>
      </w:r>
      <w:r w:rsidR="0066740E" w:rsidRPr="003210B3">
        <w:rPr>
          <w:i/>
          <w:iCs/>
        </w:rPr>
        <w:t>Elder Abuse</w:t>
      </w:r>
      <w:r>
        <w:t xml:space="preserve"> (n 6)</w:t>
      </w:r>
      <w:r w:rsidRPr="003C4B61">
        <w:t xml:space="preserve"> 46</w:t>
      </w:r>
      <w:r>
        <w:t>.</w:t>
      </w:r>
    </w:p>
  </w:footnote>
  <w:footnote w:id="604">
    <w:p w14:paraId="69223348" w14:textId="4C7C8041" w:rsidR="006C58ED" w:rsidRDefault="006C58ED" w:rsidP="00E91875">
      <w:pPr>
        <w:pStyle w:val="FootnoteText"/>
      </w:pPr>
      <w:r>
        <w:rPr>
          <w:rStyle w:val="FootnoteReference"/>
        </w:rPr>
        <w:footnoteRef/>
      </w:r>
      <w:r>
        <w:t xml:space="preserve"> T</w:t>
      </w:r>
      <w:r w:rsidR="00993080">
        <w:t xml:space="preserve">he </w:t>
      </w:r>
      <w:r w:rsidR="00E21566">
        <w:t xml:space="preserve">Tasmanian Elder Abuse </w:t>
      </w:r>
      <w:r w:rsidR="00856E46">
        <w:t>Helpline</w:t>
      </w:r>
      <w:r w:rsidR="00993080">
        <w:t xml:space="preserve"> </w:t>
      </w:r>
      <w:r w:rsidR="00E21566">
        <w:t xml:space="preserve">(‘the Helpline’) </w:t>
      </w:r>
      <w:r w:rsidR="00993080">
        <w:t xml:space="preserve">is an </w:t>
      </w:r>
      <w:r w:rsidR="00856E46">
        <w:t>established</w:t>
      </w:r>
      <w:r w:rsidR="00993080">
        <w:t xml:space="preserve"> </w:t>
      </w:r>
      <w:r w:rsidR="00856E46" w:rsidRPr="00E91875">
        <w:t>key</w:t>
      </w:r>
      <w:r w:rsidR="00856E46">
        <w:t xml:space="preserve"> service within the Tasmanian landscape relating to the abuse of older people</w:t>
      </w:r>
      <w:r w:rsidR="0080742E">
        <w:t>. T</w:t>
      </w:r>
      <w:r>
        <w:t>he</w:t>
      </w:r>
      <w:r w:rsidR="000A4479">
        <w:t xml:space="preserve"> TLRI recognises the</w:t>
      </w:r>
      <w:r>
        <w:t xml:space="preserve"> role that the Helpline </w:t>
      </w:r>
      <w:r w:rsidR="0020135A">
        <w:t xml:space="preserve">has in providing education and support in Tasmania, </w:t>
      </w:r>
      <w:r w:rsidR="0080742E">
        <w:t xml:space="preserve">and, further that, </w:t>
      </w:r>
      <w:r w:rsidR="0020135A">
        <w:t xml:space="preserve">as part of the development of collaborative arrangements and referral pathways, the </w:t>
      </w:r>
      <w:r w:rsidR="00993080">
        <w:t xml:space="preserve">organisational </w:t>
      </w:r>
      <w:r w:rsidR="0020135A">
        <w:t xml:space="preserve">relationship between the Helpline and the </w:t>
      </w:r>
      <w:r w:rsidR="001335E8">
        <w:t>Commissioner for Older People</w:t>
      </w:r>
      <w:r w:rsidR="001335E8" w:rsidDel="001335E8">
        <w:t xml:space="preserve"> </w:t>
      </w:r>
      <w:r w:rsidR="006C66AC">
        <w:t xml:space="preserve">would need to be </w:t>
      </w:r>
      <w:r w:rsidR="00993080">
        <w:t>refined.</w:t>
      </w:r>
    </w:p>
  </w:footnote>
  <w:footnote w:id="605">
    <w:p w14:paraId="53D9F401" w14:textId="512289BE" w:rsidR="006C58ED" w:rsidRDefault="006C58ED">
      <w:pPr>
        <w:pStyle w:val="FootnoteText"/>
      </w:pPr>
      <w:r>
        <w:rPr>
          <w:rStyle w:val="FootnoteReference"/>
        </w:rPr>
        <w:footnoteRef/>
      </w:r>
      <w:r>
        <w:t xml:space="preserve"> See </w:t>
      </w:r>
      <w:r w:rsidR="004553D1">
        <w:t>[4.4.12]–[</w:t>
      </w:r>
      <w:r w:rsidR="004D1193">
        <w:t>4.4.18] and [4.4.21]–[4.4.27]</w:t>
      </w:r>
      <w:r>
        <w:t>.</w:t>
      </w:r>
    </w:p>
  </w:footnote>
  <w:footnote w:id="606">
    <w:p w14:paraId="7ABC75D2" w14:textId="303EAEB8" w:rsidR="0068015B" w:rsidRDefault="0068015B">
      <w:pPr>
        <w:pStyle w:val="FootnoteText"/>
      </w:pPr>
      <w:r>
        <w:rPr>
          <w:rStyle w:val="FootnoteReference"/>
        </w:rPr>
        <w:footnoteRef/>
      </w:r>
      <w:r>
        <w:t xml:space="preserve"> This is </w:t>
      </w:r>
      <w:r w:rsidR="00DA3A4F">
        <w:t>discussed</w:t>
      </w:r>
      <w:r>
        <w:t xml:space="preserve"> further at </w:t>
      </w:r>
      <w:r w:rsidR="006E108D">
        <w:t>[4.5.</w:t>
      </w:r>
      <w:r w:rsidR="00CB5A0E">
        <w:t>29]–[4.5.36]</w:t>
      </w:r>
      <w:r>
        <w:t>.</w:t>
      </w:r>
    </w:p>
  </w:footnote>
  <w:footnote w:id="607">
    <w:p w14:paraId="1DB938A4" w14:textId="79B7A207" w:rsidR="001360DD" w:rsidRDefault="001360DD">
      <w:pPr>
        <w:pStyle w:val="FootnoteText"/>
      </w:pPr>
      <w:r>
        <w:rPr>
          <w:rStyle w:val="FootnoteReference"/>
        </w:rPr>
        <w:footnoteRef/>
      </w:r>
      <w:r>
        <w:t xml:space="preserve"> </w:t>
      </w:r>
      <w:r w:rsidR="0066740E">
        <w:t xml:space="preserve">ALRC, </w:t>
      </w:r>
      <w:r w:rsidR="0066740E" w:rsidRPr="003210B3">
        <w:rPr>
          <w:i/>
          <w:iCs/>
        </w:rPr>
        <w:t>Elder Abuse</w:t>
      </w:r>
      <w:r w:rsidR="00FB30EC">
        <w:t xml:space="preserve"> (n 6) </w:t>
      </w:r>
      <w:r>
        <w:t xml:space="preserve">Recommendation </w:t>
      </w:r>
      <w:r w:rsidR="000A0D54">
        <w:t>14-6</w:t>
      </w:r>
      <w:r w:rsidR="00FB30EC">
        <w:t>.</w:t>
      </w:r>
    </w:p>
  </w:footnote>
  <w:footnote w:id="608">
    <w:p w14:paraId="13C6B9C9" w14:textId="5C94073C" w:rsidR="00FB30EC" w:rsidRDefault="00FB30EC">
      <w:pPr>
        <w:pStyle w:val="FootnoteText"/>
      </w:pPr>
      <w:r>
        <w:rPr>
          <w:rStyle w:val="FootnoteReference"/>
        </w:rPr>
        <w:footnoteRef/>
      </w:r>
      <w:r>
        <w:t xml:space="preserve"> </w:t>
      </w:r>
      <w:r w:rsidRPr="000F2F7D">
        <w:rPr>
          <w:i/>
          <w:iCs/>
        </w:rPr>
        <w:t>Disability Rights, Inclusion and Safeguarding Act 2024</w:t>
      </w:r>
      <w:r w:rsidRPr="000F2F7D">
        <w:t xml:space="preserve"> (Tas)</w:t>
      </w:r>
      <w:r>
        <w:t xml:space="preserve"> s</w:t>
      </w:r>
      <w:r w:rsidRPr="003C4B61">
        <w:t xml:space="preserve"> 39</w:t>
      </w:r>
      <w:r>
        <w:t>.</w:t>
      </w:r>
    </w:p>
  </w:footnote>
  <w:footnote w:id="609">
    <w:p w14:paraId="449BEBD3" w14:textId="094D0727" w:rsidR="00405A31" w:rsidRDefault="00405A31">
      <w:pPr>
        <w:pStyle w:val="FootnoteText"/>
      </w:pPr>
      <w:r>
        <w:rPr>
          <w:rStyle w:val="FootnoteReference"/>
        </w:rPr>
        <w:footnoteRef/>
      </w:r>
      <w:r>
        <w:t xml:space="preserve"> See </w:t>
      </w:r>
      <w:r w:rsidR="000F2F7D" w:rsidRPr="000F2F7D">
        <w:rPr>
          <w:i/>
          <w:iCs/>
        </w:rPr>
        <w:t>Disability Rights, Inclusion and Safeguarding Act 2024</w:t>
      </w:r>
      <w:r w:rsidR="000F2F7D" w:rsidRPr="000F2F7D">
        <w:t xml:space="preserve"> (Tas)</w:t>
      </w:r>
      <w:r w:rsidR="000F2F7D">
        <w:t xml:space="preserve"> </w:t>
      </w:r>
      <w:r>
        <w:t>s 39.</w:t>
      </w:r>
    </w:p>
  </w:footnote>
  <w:footnote w:id="610">
    <w:p w14:paraId="5177E02B" w14:textId="02DBA592" w:rsidR="00F65F80" w:rsidRDefault="00F65F80">
      <w:pPr>
        <w:pStyle w:val="FootnoteText"/>
      </w:pPr>
      <w:r>
        <w:rPr>
          <w:rStyle w:val="FootnoteReference"/>
        </w:rPr>
        <w:footnoteRef/>
      </w:r>
      <w:r>
        <w:t xml:space="preserve"> </w:t>
      </w:r>
      <w:r w:rsidR="001953CA">
        <w:t xml:space="preserve">See </w:t>
      </w:r>
      <w:r w:rsidR="001815CB" w:rsidRPr="000F2F7D">
        <w:rPr>
          <w:i/>
          <w:iCs/>
        </w:rPr>
        <w:t>Disability Rights, Inclusion and Safeguarding Act 2024</w:t>
      </w:r>
      <w:r w:rsidR="001815CB" w:rsidRPr="000F2F7D">
        <w:t xml:space="preserve"> (Tas)</w:t>
      </w:r>
      <w:r w:rsidR="001815CB">
        <w:t xml:space="preserve"> </w:t>
      </w:r>
      <w:r w:rsidR="00FB30EC">
        <w:t xml:space="preserve">s </w:t>
      </w:r>
      <w:r w:rsidR="00F95603">
        <w:t>71</w:t>
      </w:r>
      <w:r w:rsidR="00FB30EC">
        <w:t>.</w:t>
      </w:r>
    </w:p>
  </w:footnote>
  <w:footnote w:id="611">
    <w:p w14:paraId="565C7052" w14:textId="58E2CBC7" w:rsidR="00D04FEF" w:rsidRDefault="00D04FEF">
      <w:pPr>
        <w:pStyle w:val="FootnoteText"/>
      </w:pPr>
      <w:r>
        <w:rPr>
          <w:rStyle w:val="FootnoteReference"/>
        </w:rPr>
        <w:footnoteRef/>
      </w:r>
      <w:r>
        <w:t xml:space="preserve"> </w:t>
      </w:r>
      <w:r w:rsidR="00D44092" w:rsidRPr="00D44092">
        <w:rPr>
          <w:i/>
          <w:iCs/>
        </w:rPr>
        <w:t>Ageing and Disability Commissioner Act 2019</w:t>
      </w:r>
      <w:r w:rsidR="00D44092">
        <w:t xml:space="preserve"> (</w:t>
      </w:r>
      <w:r>
        <w:t>NSW</w:t>
      </w:r>
      <w:r w:rsidR="00D44092">
        <w:t>)</w:t>
      </w:r>
      <w:r>
        <w:t xml:space="preserve"> </w:t>
      </w:r>
      <w:r w:rsidR="00D44092">
        <w:t>s</w:t>
      </w:r>
      <w:r>
        <w:t>s 16</w:t>
      </w:r>
      <w:r w:rsidR="00B45823">
        <w:t>, 17.</w:t>
      </w:r>
    </w:p>
  </w:footnote>
  <w:footnote w:id="612">
    <w:p w14:paraId="4805FE65" w14:textId="5C629F54" w:rsidR="006B6BB2" w:rsidRDefault="006B6BB2">
      <w:pPr>
        <w:pStyle w:val="FootnoteText"/>
      </w:pPr>
      <w:r>
        <w:rPr>
          <w:rStyle w:val="FootnoteReference"/>
        </w:rPr>
        <w:footnoteRef/>
      </w:r>
      <w:r>
        <w:t xml:space="preserve"> </w:t>
      </w:r>
      <w:r w:rsidR="00491CAD" w:rsidRPr="00E91875">
        <w:rPr>
          <w:i/>
          <w:iCs/>
        </w:rPr>
        <w:t>Ageing and Adult Safeguarding Act 1995</w:t>
      </w:r>
      <w:r w:rsidR="00491CAD" w:rsidRPr="00665C5D">
        <w:t xml:space="preserve"> (SA</w:t>
      </w:r>
      <w:r w:rsidR="00491CAD" w:rsidRPr="003C4B61">
        <w:t xml:space="preserve">) </w:t>
      </w:r>
      <w:r>
        <w:t>s 23(</w:t>
      </w:r>
      <w:r w:rsidR="00EF4621">
        <w:t>6).</w:t>
      </w:r>
    </w:p>
  </w:footnote>
  <w:footnote w:id="613">
    <w:p w14:paraId="06872B54" w14:textId="379B4FC3" w:rsidR="00CE5928" w:rsidRDefault="00CE5928">
      <w:pPr>
        <w:pStyle w:val="FootnoteText"/>
      </w:pPr>
      <w:r>
        <w:rPr>
          <w:rStyle w:val="FootnoteReference"/>
        </w:rPr>
        <w:footnoteRef/>
      </w:r>
      <w:r>
        <w:t xml:space="preserve"> </w:t>
      </w:r>
      <w:r w:rsidR="00491CAD" w:rsidRPr="00E91875">
        <w:rPr>
          <w:i/>
          <w:iCs/>
        </w:rPr>
        <w:t>Ageing and Adult Safeguarding Act 1995</w:t>
      </w:r>
      <w:r w:rsidR="00491CAD" w:rsidRPr="00665C5D">
        <w:t xml:space="preserve"> (SA</w:t>
      </w:r>
      <w:r w:rsidR="00491CAD" w:rsidRPr="003C4B61">
        <w:t xml:space="preserve">) </w:t>
      </w:r>
      <w:r w:rsidR="001815CB">
        <w:t>s</w:t>
      </w:r>
      <w:r w:rsidR="001166C0">
        <w:t xml:space="preserve"> 19.</w:t>
      </w:r>
    </w:p>
  </w:footnote>
  <w:footnote w:id="614">
    <w:p w14:paraId="77AC77D6" w14:textId="03DD2148" w:rsidR="000D39A2" w:rsidRDefault="000D39A2">
      <w:pPr>
        <w:pStyle w:val="FootnoteText"/>
      </w:pPr>
      <w:r>
        <w:rPr>
          <w:rStyle w:val="FootnoteReference"/>
        </w:rPr>
        <w:footnoteRef/>
      </w:r>
      <w:r>
        <w:t xml:space="preserve"> </w:t>
      </w:r>
      <w:r w:rsidR="0066740E">
        <w:t xml:space="preserve">ALRC, </w:t>
      </w:r>
      <w:r w:rsidR="0066740E" w:rsidRPr="003210B3">
        <w:rPr>
          <w:i/>
          <w:iCs/>
        </w:rPr>
        <w:t>Elder Abuse</w:t>
      </w:r>
      <w:r w:rsidR="00A72001">
        <w:t xml:space="preserve"> (n 6) </w:t>
      </w:r>
      <w:r>
        <w:t>Recommendation 14</w:t>
      </w:r>
      <w:r w:rsidR="00A72001">
        <w:t>-</w:t>
      </w:r>
      <w:r>
        <w:t>5.</w:t>
      </w:r>
    </w:p>
  </w:footnote>
  <w:footnote w:id="615">
    <w:p w14:paraId="6AC70674" w14:textId="44FA66F5" w:rsidR="00186A16" w:rsidRDefault="00186A16">
      <w:pPr>
        <w:pStyle w:val="FootnoteText"/>
      </w:pPr>
      <w:r>
        <w:rPr>
          <w:rStyle w:val="FootnoteReference"/>
        </w:rPr>
        <w:footnoteRef/>
      </w:r>
      <w:r>
        <w:t xml:space="preserve"> </w:t>
      </w:r>
      <w:r w:rsidR="00D64BB0" w:rsidRPr="00E91875">
        <w:rPr>
          <w:i/>
          <w:iCs/>
        </w:rPr>
        <w:t>Ageing and Adult Safeguarding Act 1995</w:t>
      </w:r>
      <w:r w:rsidR="00D64BB0" w:rsidRPr="00665C5D">
        <w:t xml:space="preserve"> (SA</w:t>
      </w:r>
      <w:r w:rsidR="00D64BB0" w:rsidRPr="003C4B61">
        <w:t xml:space="preserve">) </w:t>
      </w:r>
      <w:r w:rsidR="00D64BB0">
        <w:t>s</w:t>
      </w:r>
      <w:r w:rsidR="00C105D6">
        <w:t xml:space="preserve">s 25, </w:t>
      </w:r>
      <w:r w:rsidR="00F51DFF">
        <w:t>27–29.</w:t>
      </w:r>
      <w:r w:rsidR="00D64BB0">
        <w:t xml:space="preserve"> </w:t>
      </w:r>
      <w:r w:rsidR="00B73964">
        <w:t xml:space="preserve">See </w:t>
      </w:r>
      <w:r w:rsidR="00D64BB0">
        <w:t xml:space="preserve">also </w:t>
      </w:r>
      <w:r w:rsidR="009D6CF2">
        <w:t>[4.4.9]</w:t>
      </w:r>
      <w:r w:rsidR="00B73964">
        <w:t>.</w:t>
      </w:r>
    </w:p>
  </w:footnote>
  <w:footnote w:id="616">
    <w:p w14:paraId="2EE4F812" w14:textId="792EA29E" w:rsidR="00186A16" w:rsidRDefault="00186A16">
      <w:pPr>
        <w:pStyle w:val="FootnoteText"/>
      </w:pPr>
      <w:r>
        <w:rPr>
          <w:rStyle w:val="FootnoteReference"/>
        </w:rPr>
        <w:footnoteRef/>
      </w:r>
      <w:r>
        <w:t xml:space="preserve"> </w:t>
      </w:r>
      <w:r w:rsidR="00491CAD" w:rsidRPr="00E91875">
        <w:rPr>
          <w:i/>
          <w:iCs/>
        </w:rPr>
        <w:t>Ageing and Adult Safeguarding Act 1995</w:t>
      </w:r>
      <w:r w:rsidR="00491CAD" w:rsidRPr="00665C5D">
        <w:t xml:space="preserve"> (SA</w:t>
      </w:r>
      <w:r w:rsidR="00491CAD" w:rsidRPr="003C4B61">
        <w:t xml:space="preserve">) </w:t>
      </w:r>
      <w:r w:rsidR="00534614">
        <w:t>s</w:t>
      </w:r>
      <w:r>
        <w:t xml:space="preserve"> 31.</w:t>
      </w:r>
    </w:p>
  </w:footnote>
  <w:footnote w:id="617">
    <w:p w14:paraId="0B4F3ECD" w14:textId="632C15B9" w:rsidR="00A72001" w:rsidRDefault="00A72001">
      <w:pPr>
        <w:pStyle w:val="FootnoteText"/>
      </w:pPr>
      <w:r>
        <w:rPr>
          <w:rStyle w:val="FootnoteReference"/>
        </w:rPr>
        <w:footnoteRef/>
      </w:r>
      <w:r>
        <w:t xml:space="preserve"> </w:t>
      </w:r>
      <w:r w:rsidR="00751990" w:rsidRPr="000F2F7D">
        <w:rPr>
          <w:i/>
          <w:iCs/>
        </w:rPr>
        <w:t>Disability Rights, Inclusion and Safeguarding Act 2024</w:t>
      </w:r>
      <w:r w:rsidR="00751990" w:rsidRPr="000F2F7D">
        <w:t xml:space="preserve"> (Tas)</w:t>
      </w:r>
      <w:r w:rsidR="00751990">
        <w:t xml:space="preserve"> ss</w:t>
      </w:r>
      <w:r w:rsidR="00751990" w:rsidRPr="003C4B61">
        <w:rPr>
          <w:rFonts w:cs="Times New Roman"/>
          <w:sz w:val="18"/>
          <w:szCs w:val="18"/>
        </w:rPr>
        <w:t xml:space="preserve"> 38, 41</w:t>
      </w:r>
      <w:r w:rsidR="00751990">
        <w:rPr>
          <w:rFonts w:cs="Times New Roman"/>
          <w:sz w:val="18"/>
          <w:szCs w:val="18"/>
        </w:rPr>
        <w:t>.</w:t>
      </w:r>
    </w:p>
  </w:footnote>
  <w:footnote w:id="618">
    <w:p w14:paraId="3D74E48E" w14:textId="4B9A5EE7" w:rsidR="00751990" w:rsidRDefault="00751990">
      <w:pPr>
        <w:pStyle w:val="FootnoteText"/>
      </w:pPr>
      <w:r>
        <w:rPr>
          <w:rStyle w:val="FootnoteReference"/>
        </w:rPr>
        <w:footnoteRef/>
      </w:r>
      <w:r>
        <w:t xml:space="preserve"> </w:t>
      </w:r>
      <w:r w:rsidRPr="001815CB">
        <w:rPr>
          <w:i/>
          <w:iCs/>
        </w:rPr>
        <w:t>Disability Rights, Inclusion and Safeguarding Act 2024</w:t>
      </w:r>
      <w:r w:rsidRPr="003C4B61">
        <w:t xml:space="preserve"> (Tas) s </w:t>
      </w:r>
      <w:r w:rsidRPr="001815CB">
        <w:t>38</w:t>
      </w:r>
      <w:r w:rsidRPr="003C4B61">
        <w:t>(3).</w:t>
      </w:r>
    </w:p>
  </w:footnote>
  <w:footnote w:id="619">
    <w:p w14:paraId="276D0849" w14:textId="15AE5C33" w:rsidR="00DC3172" w:rsidRDefault="00DC3172">
      <w:pPr>
        <w:pStyle w:val="FootnoteText"/>
      </w:pPr>
      <w:r>
        <w:rPr>
          <w:rStyle w:val="FootnoteReference"/>
        </w:rPr>
        <w:footnoteRef/>
      </w:r>
      <w:r>
        <w:t xml:space="preserve"> </w:t>
      </w:r>
      <w:r w:rsidRPr="001815CB">
        <w:rPr>
          <w:i/>
          <w:iCs/>
        </w:rPr>
        <w:t>Disability Rights, Inclusion and Safeguarding Act 2024</w:t>
      </w:r>
      <w:r w:rsidRPr="003C4B61">
        <w:t xml:space="preserve"> (Tas)</w:t>
      </w:r>
      <w:r w:rsidR="009855CD">
        <w:t xml:space="preserve"> </w:t>
      </w:r>
      <w:r w:rsidR="009855CD" w:rsidRPr="003C4B61">
        <w:t xml:space="preserve">s </w:t>
      </w:r>
      <w:r w:rsidR="009855CD" w:rsidRPr="001815CB">
        <w:t>38</w:t>
      </w:r>
      <w:r w:rsidR="009855CD" w:rsidRPr="003C4B61">
        <w:t>(</w:t>
      </w:r>
      <w:r w:rsidR="009855CD">
        <w:t>1</w:t>
      </w:r>
      <w:r w:rsidR="009855CD" w:rsidRPr="003C4B61">
        <w:t>).</w:t>
      </w:r>
    </w:p>
  </w:footnote>
  <w:footnote w:id="620">
    <w:p w14:paraId="0C6EA2BF" w14:textId="66F14D3B" w:rsidR="00083EBD" w:rsidRDefault="00083EBD">
      <w:pPr>
        <w:pStyle w:val="FootnoteText"/>
      </w:pPr>
      <w:r>
        <w:rPr>
          <w:rStyle w:val="FootnoteReference"/>
        </w:rPr>
        <w:footnoteRef/>
      </w:r>
      <w:r>
        <w:t xml:space="preserve"> This is also the approach in New South Wales, in relation to referrals to police</w:t>
      </w:r>
      <w:r w:rsidR="009D6CF2">
        <w:t>: see</w:t>
      </w:r>
      <w:r w:rsidR="00D64BB0">
        <w:t xml:space="preserve"> </w:t>
      </w:r>
      <w:r w:rsidR="00C4740C" w:rsidRPr="00D44092">
        <w:rPr>
          <w:i/>
          <w:iCs/>
        </w:rPr>
        <w:t>Ageing and Disability Commissioner Act 2019</w:t>
      </w:r>
      <w:r w:rsidR="00C4740C">
        <w:t xml:space="preserve"> (NSW)</w:t>
      </w:r>
      <w:r w:rsidR="00BD48B1">
        <w:t xml:space="preserve"> s 13(9)</w:t>
      </w:r>
      <w:r w:rsidR="00D64BB0">
        <w:t>. See also [4.4</w:t>
      </w:r>
      <w:r w:rsidR="00BD48B1">
        <w:t>.20].</w:t>
      </w:r>
    </w:p>
  </w:footnote>
  <w:footnote w:id="621">
    <w:p w14:paraId="6694C634" w14:textId="5582A9B1" w:rsidR="009855CD" w:rsidRDefault="009855CD">
      <w:pPr>
        <w:pStyle w:val="FootnoteText"/>
      </w:pPr>
      <w:r>
        <w:rPr>
          <w:rStyle w:val="FootnoteReference"/>
        </w:rPr>
        <w:footnoteRef/>
      </w:r>
      <w:r>
        <w:t xml:space="preserve"> </w:t>
      </w:r>
      <w:r w:rsidR="00BB3749">
        <w:t xml:space="preserve">Regarding the </w:t>
      </w:r>
      <w:r w:rsidR="002B1ECD">
        <w:t xml:space="preserve">powers of the </w:t>
      </w:r>
      <w:r w:rsidR="00BB3749">
        <w:t>ASU</w:t>
      </w:r>
      <w:r w:rsidR="002B1ECD">
        <w:t xml:space="preserve"> in SA</w:t>
      </w:r>
      <w:r w:rsidR="00BB3749">
        <w:t>, s</w:t>
      </w:r>
      <w:r w:rsidRPr="003C4B61">
        <w:t>ee</w:t>
      </w:r>
      <w:r w:rsidR="005338CC">
        <w:t xml:space="preserve"> </w:t>
      </w:r>
      <w:r w:rsidR="001C3FBC">
        <w:t>[4</w:t>
      </w:r>
      <w:r w:rsidR="005C1B7F">
        <w:t>.4.9]</w:t>
      </w:r>
      <w:r w:rsidR="00BB3749">
        <w:t xml:space="preserve"> and </w:t>
      </w:r>
      <w:r w:rsidR="002B1ECD" w:rsidRPr="00E91875">
        <w:rPr>
          <w:i/>
          <w:iCs/>
        </w:rPr>
        <w:t>Ageing and Adult Safeguarding Act 1995</w:t>
      </w:r>
      <w:r w:rsidR="002B1ECD" w:rsidRPr="00665C5D">
        <w:t xml:space="preserve"> (SA</w:t>
      </w:r>
      <w:r w:rsidR="002B1ECD" w:rsidRPr="003C4B61">
        <w:t xml:space="preserve">) </w:t>
      </w:r>
      <w:r w:rsidR="002B1ECD">
        <w:t xml:space="preserve">s 31; regarding the ALRC’s recommendations, see </w:t>
      </w:r>
      <w:r w:rsidR="00B548D6">
        <w:t>[4.2.3] and Table</w:t>
      </w:r>
      <w:r w:rsidR="0075190B">
        <w:t xml:space="preserve"> 41</w:t>
      </w:r>
      <w:r w:rsidR="005338CC">
        <w:t xml:space="preserve"> and </w:t>
      </w:r>
      <w:r w:rsidR="0066740E">
        <w:t xml:space="preserve">ALRC, </w:t>
      </w:r>
      <w:r w:rsidR="0066740E" w:rsidRPr="003210B3">
        <w:rPr>
          <w:i/>
          <w:iCs/>
        </w:rPr>
        <w:t>Elder Abuse</w:t>
      </w:r>
      <w:r w:rsidR="0075190B">
        <w:t xml:space="preserve"> (n 6) </w:t>
      </w:r>
      <w:r w:rsidR="0075190B" w:rsidRPr="003C4B61">
        <w:t>402–7, Recommendation 14.5</w:t>
      </w:r>
      <w:r w:rsidRPr="003C4B61">
        <w:t>.</w:t>
      </w:r>
    </w:p>
  </w:footnote>
  <w:footnote w:id="622">
    <w:p w14:paraId="1FC02744" w14:textId="26258B79" w:rsidR="00F53F26" w:rsidRDefault="00F53F26" w:rsidP="00D44092">
      <w:pPr>
        <w:pStyle w:val="FootnoteText"/>
      </w:pPr>
      <w:r>
        <w:rPr>
          <w:rStyle w:val="FootnoteReference"/>
        </w:rPr>
        <w:footnoteRef/>
      </w:r>
      <w:r>
        <w:t xml:space="preserve"> </w:t>
      </w:r>
      <w:r w:rsidR="006067B0">
        <w:t>Regarding consideration of such matters, t</w:t>
      </w:r>
      <w:r>
        <w:t xml:space="preserve">he TLRI notes </w:t>
      </w:r>
      <w:r w:rsidR="004D78BD">
        <w:t xml:space="preserve">that data </w:t>
      </w:r>
      <w:r w:rsidR="006150F8">
        <w:t xml:space="preserve">on the 355 calls to the Helpline from </w:t>
      </w:r>
      <w:r w:rsidR="00B15867">
        <w:t>1 July 2022 and 30 June 202</w:t>
      </w:r>
      <w:r w:rsidR="00852E4A">
        <w:t>3</w:t>
      </w:r>
      <w:r w:rsidR="00B15867">
        <w:t xml:space="preserve"> on the responses discussed with callers to the Helpline in Table </w:t>
      </w:r>
      <w:r w:rsidR="00852E4A">
        <w:t>4.3</w:t>
      </w:r>
      <w:r w:rsidR="00E43CB1">
        <w:t>, included protective information or referral (in 79.15% of the 355 calls), which included ‘Police, TASCAT, Office of the Public Guardian, Aged Quality and Safety Commission, Community Legal Service, Women’s Legal Service, Private Legal, Mental Health Helpline, Australian Financial Complaints Authority’</w:t>
      </w:r>
      <w:r w:rsidR="00BE4FEC">
        <w:t xml:space="preserve">: see </w:t>
      </w:r>
      <w:r w:rsidR="005C661B">
        <w:t>[</w:t>
      </w:r>
      <w:r w:rsidR="00BE4FEC">
        <w:t>4.3.16</w:t>
      </w:r>
      <w:r w:rsidR="005C661B">
        <w:t>]</w:t>
      </w:r>
      <w:r w:rsidR="00BE4FEC">
        <w:t>.</w:t>
      </w:r>
    </w:p>
  </w:footnote>
  <w:footnote w:id="623">
    <w:p w14:paraId="5B705F80" w14:textId="25928FF0" w:rsidR="002C33E9" w:rsidRDefault="002C33E9" w:rsidP="00D44092">
      <w:pPr>
        <w:pStyle w:val="FootnoteText"/>
      </w:pPr>
      <w:r>
        <w:rPr>
          <w:rStyle w:val="FootnoteReference"/>
        </w:rPr>
        <w:footnoteRef/>
      </w:r>
      <w:r>
        <w:t xml:space="preserve"> See </w:t>
      </w:r>
      <w:r w:rsidR="00BE28DD">
        <w:t>[4.4.8]</w:t>
      </w:r>
      <w:r w:rsidR="00996B9B">
        <w:t>–[4.5.13].</w:t>
      </w:r>
    </w:p>
  </w:footnote>
  <w:footnote w:id="624">
    <w:p w14:paraId="011FF454" w14:textId="0146AFE7" w:rsidR="00BE28DD" w:rsidRDefault="00BE28DD">
      <w:pPr>
        <w:pStyle w:val="FootnoteText"/>
      </w:pPr>
      <w:r>
        <w:rPr>
          <w:rStyle w:val="FootnoteReference"/>
        </w:rPr>
        <w:footnoteRef/>
      </w:r>
      <w:r>
        <w:t xml:space="preserve"> </w:t>
      </w:r>
      <w:r w:rsidR="0066740E">
        <w:t xml:space="preserve">ALRC, </w:t>
      </w:r>
      <w:r w:rsidR="0066740E" w:rsidRPr="003210B3">
        <w:rPr>
          <w:i/>
          <w:iCs/>
        </w:rPr>
        <w:t>Elder Abuse</w:t>
      </w:r>
      <w:r>
        <w:t xml:space="preserve"> (n 6) </w:t>
      </w:r>
      <w:r w:rsidRPr="00D44092">
        <w:t>Recommendation</w:t>
      </w:r>
      <w:r w:rsidRPr="003C4B61">
        <w:t xml:space="preserve"> 14</w:t>
      </w:r>
      <w:r>
        <w:t>-</w:t>
      </w:r>
      <w:r w:rsidRPr="003C4B61">
        <w:t>4.</w:t>
      </w:r>
    </w:p>
  </w:footnote>
  <w:footnote w:id="625">
    <w:p w14:paraId="3181EC8D" w14:textId="4A8299DA" w:rsidR="00BE28DD" w:rsidRDefault="00BE28DD">
      <w:pPr>
        <w:pStyle w:val="FootnoteText"/>
      </w:pPr>
      <w:r>
        <w:rPr>
          <w:rStyle w:val="FootnoteReference"/>
        </w:rPr>
        <w:footnoteRef/>
      </w:r>
      <w:r>
        <w:t xml:space="preserve"> </w:t>
      </w:r>
      <w:r w:rsidRPr="003C4B61">
        <w:t xml:space="preserve">See </w:t>
      </w:r>
      <w:r w:rsidR="00996B9B">
        <w:t>[4.4.8]–[4.5.13].</w:t>
      </w:r>
    </w:p>
  </w:footnote>
  <w:footnote w:id="626">
    <w:p w14:paraId="3431BFC4" w14:textId="1154B539" w:rsidR="00996B9B" w:rsidRDefault="00996B9B">
      <w:pPr>
        <w:pStyle w:val="FootnoteText"/>
      </w:pPr>
      <w:r>
        <w:rPr>
          <w:rStyle w:val="FootnoteReference"/>
        </w:rPr>
        <w:footnoteRef/>
      </w:r>
      <w:r>
        <w:t xml:space="preserve"> </w:t>
      </w:r>
      <w:r w:rsidRPr="006F2DE6">
        <w:rPr>
          <w:i/>
        </w:rPr>
        <w:t xml:space="preserve">Disability Rights, Inclusion and Safeguarding Act 2024 </w:t>
      </w:r>
      <w:r w:rsidRPr="006F2DE6">
        <w:t>(Tas)</w:t>
      </w:r>
      <w:r>
        <w:t xml:space="preserve"> </w:t>
      </w:r>
      <w:r w:rsidRPr="005B2CEF">
        <w:t>s</w:t>
      </w:r>
      <w:r w:rsidRPr="00575B7D">
        <w:rPr>
          <w:rFonts w:cs="Times New Roman"/>
        </w:rPr>
        <w:t xml:space="preserve"> 36(7).</w:t>
      </w:r>
    </w:p>
  </w:footnote>
  <w:footnote w:id="627">
    <w:p w14:paraId="23F9758C" w14:textId="17633674" w:rsidR="009B2AB2" w:rsidRDefault="009B2AB2">
      <w:pPr>
        <w:pStyle w:val="FootnoteText"/>
      </w:pPr>
      <w:r>
        <w:rPr>
          <w:rStyle w:val="FootnoteReference"/>
        </w:rPr>
        <w:footnoteRef/>
      </w:r>
      <w:r>
        <w:t xml:space="preserve"> See </w:t>
      </w:r>
      <w:r w:rsidR="00450CC3">
        <w:t xml:space="preserve">Table E.1 in </w:t>
      </w:r>
      <w:r w:rsidR="00B07464" w:rsidRPr="00C36293">
        <w:rPr>
          <w:b/>
          <w:bCs/>
        </w:rPr>
        <w:t>Appendix E</w:t>
      </w:r>
      <w:r w:rsidR="00B07464">
        <w:t>.</w:t>
      </w:r>
    </w:p>
  </w:footnote>
  <w:footnote w:id="628">
    <w:p w14:paraId="2E46D937" w14:textId="3B6FA647" w:rsidR="00DB7864" w:rsidRDefault="00DB7864">
      <w:pPr>
        <w:pStyle w:val="FootnoteText"/>
      </w:pPr>
      <w:r>
        <w:rPr>
          <w:rStyle w:val="FootnoteReference"/>
        </w:rPr>
        <w:footnoteRef/>
      </w:r>
      <w:r>
        <w:t xml:space="preserve"> See </w:t>
      </w:r>
      <w:r w:rsidR="0018088D" w:rsidRPr="0018088D">
        <w:rPr>
          <w:b/>
          <w:bCs/>
        </w:rPr>
        <w:t>Part 3</w:t>
      </w:r>
      <w:r w:rsidR="0018088D">
        <w:t xml:space="preserve"> at [3.2]</w:t>
      </w:r>
      <w:r w:rsidR="00662440">
        <w:t xml:space="preserve"> and also </w:t>
      </w:r>
      <w:r w:rsidRPr="00C36293">
        <w:rPr>
          <w:b/>
          <w:bCs/>
        </w:rPr>
        <w:t xml:space="preserve">Appendix </w:t>
      </w:r>
      <w:r w:rsidR="00B745F7" w:rsidRPr="00C36293">
        <w:rPr>
          <w:b/>
          <w:bCs/>
        </w:rPr>
        <w:t>C</w:t>
      </w:r>
      <w:r w:rsidR="00B745F7">
        <w:t>.</w:t>
      </w:r>
    </w:p>
  </w:footnote>
  <w:footnote w:id="629">
    <w:p w14:paraId="41F4A98B" w14:textId="2C43AC45" w:rsidR="0049258C" w:rsidRDefault="0049258C">
      <w:pPr>
        <w:pStyle w:val="FootnoteText"/>
      </w:pPr>
      <w:r>
        <w:rPr>
          <w:rStyle w:val="FootnoteReference"/>
        </w:rPr>
        <w:footnoteRef/>
      </w:r>
      <w:r>
        <w:t xml:space="preserve"> See </w:t>
      </w:r>
      <w:r w:rsidRPr="00C36293">
        <w:rPr>
          <w:b/>
          <w:bCs/>
        </w:rPr>
        <w:t xml:space="preserve">Appendix </w:t>
      </w:r>
      <w:r w:rsidR="00B745F7" w:rsidRPr="00C36293">
        <w:rPr>
          <w:b/>
          <w:bCs/>
        </w:rPr>
        <w:t>C</w:t>
      </w:r>
      <w:r>
        <w:t>.</w:t>
      </w:r>
    </w:p>
  </w:footnote>
  <w:footnote w:id="630">
    <w:p w14:paraId="2F72B5EC" w14:textId="236B0EBC" w:rsidR="008E09B8" w:rsidRPr="00190681" w:rsidRDefault="008E09B8">
      <w:pPr>
        <w:pStyle w:val="FootnoteText"/>
      </w:pPr>
      <w:r>
        <w:rPr>
          <w:rStyle w:val="FootnoteReference"/>
        </w:rPr>
        <w:footnoteRef/>
      </w:r>
      <w:r>
        <w:t xml:space="preserve"> See </w:t>
      </w:r>
      <w:r w:rsidR="00190681">
        <w:t>discussion in</w:t>
      </w:r>
      <w:r>
        <w:t xml:space="preserve"> </w:t>
      </w:r>
      <w:r w:rsidR="00AD5EA3">
        <w:t>Ebenezer Owusu-Addo et al,</w:t>
      </w:r>
      <w:r w:rsidR="009C72C2">
        <w:t xml:space="preserve"> prepared for Respect Victoria on behalf of National Ageing Research Institute</w:t>
      </w:r>
      <w:r w:rsidR="00AD5EA3">
        <w:t xml:space="preserve"> </w:t>
      </w:r>
      <w:r w:rsidR="009C72C2">
        <w:t xml:space="preserve">(‘NARI’), </w:t>
      </w:r>
      <w:r w:rsidR="00AD5EA3">
        <w:rPr>
          <w:i/>
          <w:iCs/>
        </w:rPr>
        <w:t>Primary Prevention Interventions for Elder Abuse: Results from a Systematic Review</w:t>
      </w:r>
      <w:r w:rsidR="009C72C2">
        <w:rPr>
          <w:i/>
          <w:iCs/>
        </w:rPr>
        <w:t xml:space="preserve"> </w:t>
      </w:r>
      <w:r w:rsidR="009C72C2">
        <w:t>(2020)</w:t>
      </w:r>
      <w:r w:rsidR="00725331">
        <w:t>;</w:t>
      </w:r>
      <w:r w:rsidR="00AD5EA3">
        <w:rPr>
          <w:i/>
          <w:iCs/>
        </w:rPr>
        <w:t xml:space="preserve"> </w:t>
      </w:r>
      <w:r>
        <w:t xml:space="preserve">Emily Atkison and Karen Roberto, ‘Global </w:t>
      </w:r>
      <w:r w:rsidR="00190681">
        <w:t>Approaches</w:t>
      </w:r>
      <w:r>
        <w:t xml:space="preserve"> to Primary, Secondary, and </w:t>
      </w:r>
      <w:r w:rsidR="00190681">
        <w:t>Tertiary</w:t>
      </w:r>
      <w:r>
        <w:t xml:space="preserve"> Elder Abuse </w:t>
      </w:r>
      <w:r w:rsidR="00190681">
        <w:t>Prevention</w:t>
      </w:r>
      <w:r>
        <w:t xml:space="preserve">: A Scoping Review’ (2023) </w:t>
      </w:r>
      <w:r w:rsidR="00845224">
        <w:t xml:space="preserve">25(1) </w:t>
      </w:r>
      <w:r w:rsidR="00845224">
        <w:rPr>
          <w:i/>
          <w:iCs/>
        </w:rPr>
        <w:t>Trauma</w:t>
      </w:r>
      <w:r w:rsidR="00190681">
        <w:rPr>
          <w:i/>
          <w:iCs/>
        </w:rPr>
        <w:t xml:space="preserve"> Violence Abuse</w:t>
      </w:r>
      <w:r w:rsidR="00190681">
        <w:t xml:space="preserve"> 150</w:t>
      </w:r>
      <w:r w:rsidR="009C72C2">
        <w:t>.</w:t>
      </w:r>
      <w:r w:rsidR="00190681">
        <w:t xml:space="preserve"> </w:t>
      </w:r>
    </w:p>
  </w:footnote>
  <w:footnote w:id="631">
    <w:p w14:paraId="71149EAD" w14:textId="3B349933" w:rsidR="00A71177" w:rsidRDefault="00A71177">
      <w:pPr>
        <w:pStyle w:val="FootnoteText"/>
      </w:pPr>
      <w:r>
        <w:rPr>
          <w:rStyle w:val="FootnoteReference"/>
        </w:rPr>
        <w:footnoteRef/>
      </w:r>
      <w:r>
        <w:t xml:space="preserve"> See </w:t>
      </w:r>
      <w:r w:rsidR="00656F2F" w:rsidRPr="00C36293">
        <w:rPr>
          <w:b/>
          <w:bCs/>
        </w:rPr>
        <w:t>App</w:t>
      </w:r>
      <w:r w:rsidRPr="00C36293">
        <w:rPr>
          <w:b/>
          <w:bCs/>
        </w:rPr>
        <w:t>e</w:t>
      </w:r>
      <w:r w:rsidR="00656F2F" w:rsidRPr="00C36293">
        <w:rPr>
          <w:b/>
          <w:bCs/>
        </w:rPr>
        <w:t>n</w:t>
      </w:r>
      <w:r w:rsidRPr="00C36293">
        <w:rPr>
          <w:b/>
          <w:bCs/>
        </w:rPr>
        <w:t xml:space="preserve">dix </w:t>
      </w:r>
      <w:r w:rsidR="00B745F7" w:rsidRPr="00C36293">
        <w:rPr>
          <w:b/>
          <w:bCs/>
        </w:rPr>
        <w:t>C</w:t>
      </w:r>
      <w:r>
        <w:t>.</w:t>
      </w:r>
    </w:p>
  </w:footnote>
  <w:footnote w:id="632">
    <w:p w14:paraId="640E89EC" w14:textId="1C578059" w:rsidR="00361FDD" w:rsidRDefault="00361FDD">
      <w:pPr>
        <w:pStyle w:val="FootnoteText"/>
      </w:pPr>
      <w:r>
        <w:rPr>
          <w:rStyle w:val="FootnoteReference"/>
        </w:rPr>
        <w:footnoteRef/>
      </w:r>
      <w:r>
        <w:t xml:space="preserve"> </w:t>
      </w:r>
      <w:r w:rsidRPr="002D1100">
        <w:rPr>
          <w:i/>
          <w:iCs/>
        </w:rPr>
        <w:t>Disability Rights, Inclusion and Safeguarding Act 2024</w:t>
      </w:r>
      <w:r w:rsidRPr="003C4B61">
        <w:t xml:space="preserve"> (Tas) s </w:t>
      </w:r>
      <w:r w:rsidRPr="002D1100">
        <w:t>28</w:t>
      </w:r>
      <w:r w:rsidRPr="003C4B61">
        <w:t>.</w:t>
      </w:r>
    </w:p>
  </w:footnote>
  <w:footnote w:id="633">
    <w:p w14:paraId="71E291FF" w14:textId="5F12FBAC" w:rsidR="00F64B26" w:rsidRDefault="00F64B26" w:rsidP="002D1100">
      <w:pPr>
        <w:pStyle w:val="FootnoteText"/>
      </w:pPr>
      <w:r>
        <w:rPr>
          <w:rStyle w:val="FootnoteReference"/>
        </w:rPr>
        <w:footnoteRef/>
      </w:r>
      <w:r>
        <w:t xml:space="preserve"> See Ebenezer Owusu-</w:t>
      </w:r>
      <w:r w:rsidRPr="002D1100">
        <w:t>Addo</w:t>
      </w:r>
      <w:r>
        <w:t xml:space="preserve"> et al</w:t>
      </w:r>
      <w:r w:rsidR="009C72C2">
        <w:t xml:space="preserve"> (n 629</w:t>
      </w:r>
      <w:r w:rsidR="00361FDD">
        <w:t xml:space="preserve">) </w:t>
      </w:r>
      <w:r>
        <w:t xml:space="preserve">for a </w:t>
      </w:r>
      <w:r w:rsidR="008E5AB0">
        <w:t xml:space="preserve">review of </w:t>
      </w:r>
      <w:r w:rsidR="00841DFB">
        <w:t xml:space="preserve">the effects of </w:t>
      </w:r>
      <w:r w:rsidR="00E22AF1">
        <w:t>primary</w:t>
      </w:r>
      <w:r w:rsidR="00841DFB">
        <w:t xml:space="preserve"> prevent and also factors that </w:t>
      </w:r>
      <w:r w:rsidR="00E22AF1">
        <w:t>include</w:t>
      </w:r>
      <w:r w:rsidR="00841DFB">
        <w:t xml:space="preserve"> the </w:t>
      </w:r>
      <w:r w:rsidR="00E22AF1">
        <w:t>effectiveness</w:t>
      </w:r>
      <w:r w:rsidR="00841DFB">
        <w:t xml:space="preserve"> of both primary and </w:t>
      </w:r>
      <w:r w:rsidR="00E22AF1">
        <w:t>secondary</w:t>
      </w:r>
      <w:r w:rsidR="00841DFB">
        <w:t xml:space="preserve"> elder abuse prevention </w:t>
      </w:r>
      <w:r w:rsidR="00E22AF1">
        <w:t>interventions</w:t>
      </w:r>
      <w:r w:rsidR="00841DFB">
        <w:t>.</w:t>
      </w:r>
      <w:r>
        <w:t xml:space="preserve"> </w:t>
      </w:r>
    </w:p>
  </w:footnote>
  <w:footnote w:id="634">
    <w:p w14:paraId="02ABC3C1" w14:textId="2F0FA1CB" w:rsidR="005D4199" w:rsidRDefault="005D4199">
      <w:pPr>
        <w:pStyle w:val="FootnoteText"/>
      </w:pPr>
      <w:r>
        <w:rPr>
          <w:rStyle w:val="FootnoteReference"/>
        </w:rPr>
        <w:footnoteRef/>
      </w:r>
      <w:r>
        <w:t xml:space="preserve"> </w:t>
      </w:r>
      <w:r w:rsidR="002B00FA">
        <w:t xml:space="preserve">AIFS and NARI, </w:t>
      </w:r>
      <w:r w:rsidR="002B00FA" w:rsidRPr="00544B11">
        <w:rPr>
          <w:i/>
          <w:iCs/>
        </w:rPr>
        <w:t>Evaluation of the National Plan</w:t>
      </w:r>
      <w:r w:rsidR="002B00FA">
        <w:t xml:space="preserve"> (n 235) </w:t>
      </w:r>
      <w:r w:rsidR="009D346B" w:rsidRPr="003C4B61">
        <w:t xml:space="preserve">3. </w:t>
      </w:r>
      <w:r w:rsidR="00443104">
        <w:t xml:space="preserve">See also </w:t>
      </w:r>
      <w:r w:rsidR="00486722" w:rsidRPr="00D715B3">
        <w:rPr>
          <w:rFonts w:cs="Times New Roman"/>
        </w:rPr>
        <w:t>Council of Attorneys-General, ‘</w:t>
      </w:r>
      <w:r w:rsidR="00486722" w:rsidRPr="00D715B3">
        <w:rPr>
          <w:rFonts w:cs="Times New Roman"/>
          <w:i/>
          <w:iCs/>
        </w:rPr>
        <w:t>National Plan 2024–2034: Public Consultation Draft</w:t>
      </w:r>
      <w:r w:rsidR="00486722" w:rsidRPr="00D715B3">
        <w:rPr>
          <w:rFonts w:cs="Times New Roman"/>
        </w:rPr>
        <w:t xml:space="preserve"> (n 40)</w:t>
      </w:r>
      <w:r w:rsidR="00486722">
        <w:rPr>
          <w:rFonts w:cs="Times New Roman"/>
        </w:rPr>
        <w:t xml:space="preserve"> </w:t>
      </w:r>
      <w:r w:rsidR="00974114">
        <w:t>46 (‘Focus Area 1: Increase whole-of-community awareness, education and engagement’</w:t>
      </w:r>
      <w:r w:rsidR="009D346B" w:rsidRPr="003C4B61">
        <w:t>.</w:t>
      </w:r>
    </w:p>
  </w:footnote>
  <w:footnote w:id="635">
    <w:p w14:paraId="231BE967" w14:textId="1B443728" w:rsidR="00404938" w:rsidRDefault="00404938">
      <w:pPr>
        <w:pStyle w:val="FootnoteText"/>
      </w:pPr>
      <w:r>
        <w:rPr>
          <w:rStyle w:val="FootnoteReference"/>
        </w:rPr>
        <w:footnoteRef/>
      </w:r>
      <w:r>
        <w:t xml:space="preserve"> </w:t>
      </w:r>
      <w:r w:rsidR="00ED64F5" w:rsidRPr="00BE543E">
        <w:t>LGBTIQA+</w:t>
      </w:r>
      <w:r w:rsidR="00ED64F5">
        <w:t xml:space="preserve"> </w:t>
      </w:r>
      <w:r w:rsidR="00ED64F5" w:rsidRPr="003C4B61">
        <w:t xml:space="preserve">is </w:t>
      </w:r>
      <w:r w:rsidR="00ED64F5" w:rsidRPr="00986B00">
        <w:t>an</w:t>
      </w:r>
      <w:r w:rsidR="00ED64F5" w:rsidRPr="003C4B61">
        <w:t xml:space="preserve"> acronym for lesbian, gay, bisexual, transgender, </w:t>
      </w:r>
      <w:r w:rsidR="00ED64F5">
        <w:t xml:space="preserve">intersex, </w:t>
      </w:r>
      <w:r w:rsidR="00ED64F5" w:rsidRPr="003C4B61">
        <w:t>queer</w:t>
      </w:r>
      <w:r w:rsidR="00ED64F5">
        <w:t>/questioning</w:t>
      </w:r>
      <w:r w:rsidR="00ED64F5" w:rsidRPr="003C4B61">
        <w:t xml:space="preserve">, intersex, asexual, </w:t>
      </w:r>
      <w:r w:rsidR="00ED64F5">
        <w:t xml:space="preserve">or people otherwise diverse in gender, sexual orientation and/or innate variations of sex characteristics, </w:t>
      </w:r>
      <w:r w:rsidR="00ED64F5" w:rsidRPr="003C4B61">
        <w:t>with the + signifying anyone who is not listed in the acronym but still identifies as part of this community</w:t>
      </w:r>
      <w:r w:rsidR="00ED64F5">
        <w:t>: see further n 46.</w:t>
      </w:r>
    </w:p>
  </w:footnote>
  <w:footnote w:id="636">
    <w:p w14:paraId="4609FBF0" w14:textId="7C51AA44" w:rsidR="00460723" w:rsidRDefault="00460723" w:rsidP="002D1100">
      <w:pPr>
        <w:pStyle w:val="FootnoteText"/>
      </w:pPr>
      <w:r>
        <w:rPr>
          <w:rStyle w:val="FootnoteReference"/>
        </w:rPr>
        <w:footnoteRef/>
      </w:r>
      <w:r>
        <w:t xml:space="preserve"> </w:t>
      </w:r>
      <w:r w:rsidR="0079098F">
        <w:t xml:space="preserve">AIFS and NARI, </w:t>
      </w:r>
      <w:r w:rsidR="0079098F" w:rsidRPr="00544B11">
        <w:rPr>
          <w:i/>
          <w:iCs/>
        </w:rPr>
        <w:t>Evaluation of the National Plan</w:t>
      </w:r>
      <w:r w:rsidR="0079098F">
        <w:t xml:space="preserve"> (n 235) </w:t>
      </w:r>
      <w:r w:rsidR="00A52709" w:rsidRPr="002D1100">
        <w:t>3</w:t>
      </w:r>
      <w:r w:rsidR="0083607B">
        <w:t xml:space="preserve">; </w:t>
      </w:r>
      <w:r w:rsidR="0083607B">
        <w:rPr>
          <w:rFonts w:cs="Times New Roman"/>
        </w:rPr>
        <w:t>COTA Tasmania and Working it Out (n 126)</w:t>
      </w:r>
      <w:r w:rsidR="00A52709" w:rsidRPr="002D1100">
        <w:t>.</w:t>
      </w:r>
    </w:p>
  </w:footnote>
  <w:footnote w:id="637">
    <w:p w14:paraId="411DB657" w14:textId="57995A79" w:rsidR="001D442C" w:rsidRDefault="001D442C" w:rsidP="002D1100">
      <w:pPr>
        <w:pStyle w:val="FootnoteText"/>
      </w:pPr>
      <w:r>
        <w:rPr>
          <w:rStyle w:val="FootnoteReference"/>
        </w:rPr>
        <w:footnoteRef/>
      </w:r>
      <w:r>
        <w:t xml:space="preserve"> </w:t>
      </w:r>
      <w:r w:rsidRPr="002A3144">
        <w:t xml:space="preserve">See also </w:t>
      </w:r>
      <w:r w:rsidR="008A278E" w:rsidRPr="002A3144">
        <w:t>S</w:t>
      </w:r>
      <w:r w:rsidR="009612DE">
        <w:t>outh Australian Law Reform Institute (‘SALRI’)</w:t>
      </w:r>
      <w:r w:rsidR="008A278E" w:rsidRPr="002A3144">
        <w:t xml:space="preserve">, </w:t>
      </w:r>
      <w:r w:rsidR="0007523E" w:rsidRPr="002A3144">
        <w:rPr>
          <w:i/>
          <w:iCs/>
        </w:rPr>
        <w:t xml:space="preserve">The Need for New Solutions? </w:t>
      </w:r>
      <w:r w:rsidR="005A3199" w:rsidRPr="002A3144">
        <w:rPr>
          <w:i/>
          <w:iCs/>
        </w:rPr>
        <w:t>Establishing</w:t>
      </w:r>
      <w:r w:rsidR="0007523E" w:rsidRPr="002A3144">
        <w:rPr>
          <w:i/>
          <w:iCs/>
        </w:rPr>
        <w:t xml:space="preserve"> Legal Frameworks for </w:t>
      </w:r>
      <w:r w:rsidR="005A3199" w:rsidRPr="002A3144">
        <w:rPr>
          <w:i/>
          <w:iCs/>
        </w:rPr>
        <w:t>Supported</w:t>
      </w:r>
      <w:r w:rsidR="0007523E" w:rsidRPr="002A3144">
        <w:rPr>
          <w:i/>
          <w:iCs/>
        </w:rPr>
        <w:t xml:space="preserve"> Decision-making in South </w:t>
      </w:r>
      <w:r w:rsidR="005A3199" w:rsidRPr="002A3144">
        <w:rPr>
          <w:i/>
          <w:iCs/>
        </w:rPr>
        <w:t>Australia</w:t>
      </w:r>
      <w:r w:rsidR="0007523E" w:rsidRPr="002A3144">
        <w:rPr>
          <w:i/>
          <w:iCs/>
        </w:rPr>
        <w:t xml:space="preserve"> </w:t>
      </w:r>
      <w:r w:rsidR="0007523E" w:rsidRPr="002A3144">
        <w:t>(</w:t>
      </w:r>
      <w:r w:rsidR="005A3199" w:rsidRPr="002A3144">
        <w:t xml:space="preserve">Report 21, </w:t>
      </w:r>
      <w:r w:rsidR="0093707D">
        <w:t xml:space="preserve">June </w:t>
      </w:r>
      <w:r w:rsidR="005A3199" w:rsidRPr="002A3144">
        <w:t>2025)</w:t>
      </w:r>
      <w:r w:rsidR="00745F75" w:rsidRPr="002A3144">
        <w:t xml:space="preserve">; </w:t>
      </w:r>
      <w:r w:rsidR="00353836" w:rsidRPr="002A3144">
        <w:t>Mewitt et al</w:t>
      </w:r>
      <w:r w:rsidR="00285498">
        <w:t xml:space="preserve">, </w:t>
      </w:r>
      <w:r w:rsidR="00353836" w:rsidRPr="002A3144">
        <w:t xml:space="preserve">Multicap Limited, </w:t>
      </w:r>
      <w:r w:rsidR="00353836" w:rsidRPr="0093707D">
        <w:rPr>
          <w:i/>
          <w:iCs/>
        </w:rPr>
        <w:t>Supported Decision-</w:t>
      </w:r>
      <w:r w:rsidR="006F6D93" w:rsidRPr="0093707D">
        <w:rPr>
          <w:i/>
          <w:iCs/>
        </w:rPr>
        <w:t>M</w:t>
      </w:r>
      <w:r w:rsidR="00353836" w:rsidRPr="0093707D">
        <w:rPr>
          <w:i/>
          <w:iCs/>
        </w:rPr>
        <w:t>aking Demo</w:t>
      </w:r>
      <w:r w:rsidR="006F6D93" w:rsidRPr="0093707D">
        <w:rPr>
          <w:i/>
          <w:iCs/>
        </w:rPr>
        <w:t>nstration Project</w:t>
      </w:r>
      <w:r w:rsidR="00415FC8" w:rsidRPr="002A3144">
        <w:t xml:space="preserve"> (</w:t>
      </w:r>
      <w:r w:rsidR="00285498" w:rsidRPr="002A3144">
        <w:t>Multicap Limited</w:t>
      </w:r>
      <w:r w:rsidR="00C13DCD">
        <w:t xml:space="preserve">, </w:t>
      </w:r>
      <w:r w:rsidR="00C13DCD" w:rsidRPr="002A3144">
        <w:t>Public Gua</w:t>
      </w:r>
      <w:r w:rsidR="00C13DCD">
        <w:t>r</w:t>
      </w:r>
      <w:r w:rsidR="00C13DCD" w:rsidRPr="002A3144">
        <w:t>dian</w:t>
      </w:r>
      <w:r w:rsidR="00E831B4">
        <w:t xml:space="preserve"> (Qld)</w:t>
      </w:r>
      <w:r w:rsidR="00C13DCD" w:rsidRPr="002A3144">
        <w:t>, The Public Advocate</w:t>
      </w:r>
      <w:r w:rsidR="00E831B4">
        <w:t xml:space="preserve"> (Qld)</w:t>
      </w:r>
      <w:r w:rsidR="00C13DCD">
        <w:t>,</w:t>
      </w:r>
      <w:r w:rsidR="00285498" w:rsidRPr="002A3144">
        <w:t xml:space="preserve"> </w:t>
      </w:r>
      <w:r w:rsidR="00415FC8" w:rsidRPr="002A3144">
        <w:t xml:space="preserve">Final Report, </w:t>
      </w:r>
      <w:r w:rsidR="00C13DCD">
        <w:t xml:space="preserve">December </w:t>
      </w:r>
      <w:r w:rsidR="00415FC8" w:rsidRPr="002A3144">
        <w:t>2024</w:t>
      </w:r>
      <w:r w:rsidR="00D952FE" w:rsidRPr="002A3144">
        <w:t>).</w:t>
      </w:r>
      <w:r w:rsidR="00D952FE">
        <w:t xml:space="preserve"> </w:t>
      </w:r>
    </w:p>
  </w:footnote>
  <w:footnote w:id="638">
    <w:p w14:paraId="4F38DC3F" w14:textId="05B084A7" w:rsidR="007C585A" w:rsidRDefault="007C585A">
      <w:pPr>
        <w:pStyle w:val="FootnoteText"/>
      </w:pPr>
      <w:r>
        <w:rPr>
          <w:rStyle w:val="FootnoteReference"/>
        </w:rPr>
        <w:footnoteRef/>
      </w:r>
      <w:r>
        <w:t xml:space="preserve"> AIFS and NARI, </w:t>
      </w:r>
      <w:r w:rsidRPr="00544B11">
        <w:rPr>
          <w:i/>
          <w:iCs/>
        </w:rPr>
        <w:t>Evaluation of the National Plan</w:t>
      </w:r>
      <w:r>
        <w:t xml:space="preserve"> (n 235) </w:t>
      </w:r>
      <w:r w:rsidRPr="003C4B61">
        <w:t>3.</w:t>
      </w:r>
    </w:p>
  </w:footnote>
  <w:footnote w:id="639">
    <w:p w14:paraId="514DF570" w14:textId="36FB7943" w:rsidR="00D75B34" w:rsidRDefault="00D75B34" w:rsidP="00D86462">
      <w:pPr>
        <w:pStyle w:val="FootnoteText"/>
      </w:pPr>
      <w:r>
        <w:rPr>
          <w:rStyle w:val="FootnoteReference"/>
        </w:rPr>
        <w:footnoteRef/>
      </w:r>
      <w:r w:rsidR="009F5965">
        <w:t xml:space="preserve"> </w:t>
      </w:r>
      <w:r w:rsidR="007C5CC1" w:rsidRPr="00D73F5B">
        <w:t>South Australian Safeguarding Unit</w:t>
      </w:r>
      <w:r w:rsidR="007C5CC1">
        <w:t>,</w:t>
      </w:r>
      <w:r w:rsidR="007C5CC1" w:rsidRPr="00D11669">
        <w:rPr>
          <w:i/>
          <w:iCs/>
        </w:rPr>
        <w:t xml:space="preserve"> Code of Practice</w:t>
      </w:r>
      <w:r w:rsidR="007C5CC1">
        <w:t xml:space="preserve"> (n 514)</w:t>
      </w:r>
      <w:r w:rsidR="00810D3A">
        <w:t xml:space="preserve">; </w:t>
      </w:r>
      <w:r w:rsidR="008246D4">
        <w:t xml:space="preserve">NSW Government, </w:t>
      </w:r>
      <w:r w:rsidR="008246D4" w:rsidRPr="00A164A3">
        <w:rPr>
          <w:i/>
          <w:iCs/>
        </w:rPr>
        <w:t>Interagency Policy</w:t>
      </w:r>
      <w:r w:rsidR="008246D4">
        <w:t xml:space="preserve"> (n 557)</w:t>
      </w:r>
      <w:r w:rsidR="00EC59A2">
        <w:t xml:space="preserve">. </w:t>
      </w:r>
      <w:r>
        <w:t>See further</w:t>
      </w:r>
      <w:r w:rsidR="00810D3A">
        <w:t xml:space="preserve"> [4.4.18] and</w:t>
      </w:r>
      <w:r>
        <w:t xml:space="preserve"> </w:t>
      </w:r>
      <w:r w:rsidR="009E32D5">
        <w:t>[</w:t>
      </w:r>
      <w:r>
        <w:t>4.</w:t>
      </w:r>
      <w:r w:rsidR="009E32D5">
        <w:t>4.27]</w:t>
      </w:r>
      <w:r>
        <w:t>.</w:t>
      </w:r>
    </w:p>
  </w:footnote>
  <w:footnote w:id="640">
    <w:p w14:paraId="49A56A53" w14:textId="3C47A910" w:rsidR="00F80A21" w:rsidRPr="00F80A21" w:rsidRDefault="00F80A21" w:rsidP="00D86462">
      <w:pPr>
        <w:pStyle w:val="FootnoteText"/>
      </w:pPr>
      <w:r>
        <w:rPr>
          <w:rStyle w:val="FootnoteReference"/>
        </w:rPr>
        <w:footnoteRef/>
      </w:r>
      <w:r w:rsidR="00814398">
        <w:t xml:space="preserve"> ‘The Report’,</w:t>
      </w:r>
      <w:r>
        <w:t xml:space="preserve"> </w:t>
      </w:r>
      <w:r w:rsidR="006262AE" w:rsidRPr="003D451B">
        <w:rPr>
          <w:i/>
          <w:iCs/>
        </w:rPr>
        <w:t>Commission of Inquiry into the Tasmanian Government's Responses to Child Sexual Abuse in Institutional Settings</w:t>
      </w:r>
      <w:r w:rsidR="006262AE">
        <w:t xml:space="preserve"> </w:t>
      </w:r>
      <w:r w:rsidR="00814398">
        <w:t>(Web Page, 2021) &lt;</w:t>
      </w:r>
      <w:hyperlink r:id="rId112" w:history="1">
        <w:r w:rsidR="00814398" w:rsidRPr="00814398">
          <w:rPr>
            <w:rStyle w:val="Hyperlink"/>
          </w:rPr>
          <w:t>https://www.commissionofinquiry.tas.gov.au/report</w:t>
        </w:r>
      </w:hyperlink>
      <w:r w:rsidR="00814398">
        <w:t xml:space="preserve">&gt;; </w:t>
      </w:r>
      <w:r w:rsidR="00F80A13">
        <w:t xml:space="preserve">‘Child Focused Oversight’, </w:t>
      </w:r>
      <w:r w:rsidRPr="00F80A13">
        <w:rPr>
          <w:i/>
          <w:iCs/>
        </w:rPr>
        <w:t xml:space="preserve">Office of the </w:t>
      </w:r>
      <w:r w:rsidR="00E12E86" w:rsidRPr="00F80A13">
        <w:rPr>
          <w:i/>
          <w:iCs/>
        </w:rPr>
        <w:t>Independent Regulator</w:t>
      </w:r>
      <w:r w:rsidRPr="002A3144">
        <w:t xml:space="preserve"> </w:t>
      </w:r>
      <w:r w:rsidR="00F80A13">
        <w:t>(Web Page) &lt;</w:t>
      </w:r>
      <w:hyperlink r:id="rId113" w:history="1">
        <w:r w:rsidR="00425810" w:rsidRPr="00574462">
          <w:rPr>
            <w:rStyle w:val="Hyperlink"/>
          </w:rPr>
          <w:t>https://oir.tas.gov.au/</w:t>
        </w:r>
      </w:hyperlink>
      <w:r w:rsidR="00425810">
        <w:t>&gt;</w:t>
      </w:r>
      <w:r w:rsidR="00F80A13">
        <w:t xml:space="preserve"> </w:t>
      </w:r>
      <w:r w:rsidRPr="002A3144">
        <w:t xml:space="preserve">and </w:t>
      </w:r>
      <w:r w:rsidRPr="002A3144">
        <w:rPr>
          <w:i/>
          <w:iCs/>
        </w:rPr>
        <w:t xml:space="preserve">Child and </w:t>
      </w:r>
      <w:r w:rsidR="00E12E86" w:rsidRPr="002A3144">
        <w:rPr>
          <w:i/>
          <w:iCs/>
        </w:rPr>
        <w:t>Youth</w:t>
      </w:r>
      <w:r w:rsidRPr="002A3144">
        <w:rPr>
          <w:i/>
          <w:iCs/>
        </w:rPr>
        <w:t xml:space="preserve"> Safe Or</w:t>
      </w:r>
      <w:r w:rsidR="00E12E86" w:rsidRPr="002A3144">
        <w:rPr>
          <w:i/>
          <w:iCs/>
        </w:rPr>
        <w:t>ga</w:t>
      </w:r>
      <w:r w:rsidRPr="002A3144">
        <w:rPr>
          <w:i/>
          <w:iCs/>
        </w:rPr>
        <w:t>n</w:t>
      </w:r>
      <w:r w:rsidR="00E12E86" w:rsidRPr="002A3144">
        <w:rPr>
          <w:i/>
          <w:iCs/>
        </w:rPr>
        <w:t>i</w:t>
      </w:r>
      <w:r w:rsidRPr="002A3144">
        <w:rPr>
          <w:i/>
          <w:iCs/>
        </w:rPr>
        <w:t xml:space="preserve">sations Act 2023 </w:t>
      </w:r>
      <w:r w:rsidRPr="002A3144">
        <w:t>(Tas).</w:t>
      </w:r>
    </w:p>
  </w:footnote>
  <w:footnote w:id="641">
    <w:p w14:paraId="3CC5E944" w14:textId="4D71B63D" w:rsidR="00425810" w:rsidRDefault="00425810">
      <w:pPr>
        <w:pStyle w:val="FootnoteText"/>
      </w:pPr>
      <w:r>
        <w:rPr>
          <w:rStyle w:val="FootnoteReference"/>
        </w:rPr>
        <w:footnoteRef/>
      </w:r>
      <w:r>
        <w:t xml:space="preserve"> </w:t>
      </w:r>
      <w:r w:rsidRPr="003C4B61">
        <w:t>Interview 2.</w:t>
      </w:r>
      <w:r>
        <w:t xml:space="preserve"> </w:t>
      </w:r>
    </w:p>
  </w:footnote>
  <w:footnote w:id="642">
    <w:p w14:paraId="3FB010CA" w14:textId="4EAD1764" w:rsidR="00425810" w:rsidRDefault="00425810">
      <w:pPr>
        <w:pStyle w:val="FootnoteText"/>
      </w:pPr>
      <w:r>
        <w:rPr>
          <w:rStyle w:val="FootnoteReference"/>
        </w:rPr>
        <w:footnoteRef/>
      </w:r>
      <w:r>
        <w:t xml:space="preserve"> </w:t>
      </w:r>
      <w:r w:rsidRPr="00D86462">
        <w:t>Interview</w:t>
      </w:r>
      <w:r w:rsidRPr="003C4B61">
        <w:t xml:space="preserve"> 2.</w:t>
      </w:r>
    </w:p>
  </w:footnote>
  <w:footnote w:id="643">
    <w:p w14:paraId="4C5D25B3" w14:textId="2B5126CF" w:rsidR="00425810" w:rsidRDefault="00425810">
      <w:pPr>
        <w:pStyle w:val="FootnoteText"/>
      </w:pPr>
      <w:r>
        <w:rPr>
          <w:rStyle w:val="FootnoteReference"/>
        </w:rPr>
        <w:footnoteRef/>
      </w:r>
      <w:r>
        <w:t xml:space="preserve"> </w:t>
      </w:r>
      <w:r w:rsidR="00327B57">
        <w:t xml:space="preserve">TLRI, </w:t>
      </w:r>
      <w:r w:rsidR="00327B57" w:rsidRPr="00FF3550">
        <w:rPr>
          <w:i/>
          <w:iCs/>
        </w:rPr>
        <w:t>A Charter of Human Rights: Update</w:t>
      </w:r>
      <w:r w:rsidR="00327B57">
        <w:t xml:space="preserve"> (2024) (n 354)</w:t>
      </w:r>
      <w:r w:rsidR="00E67436">
        <w:t xml:space="preserve">; TLRI, </w:t>
      </w:r>
      <w:r w:rsidR="00E67436">
        <w:rPr>
          <w:i/>
          <w:iCs/>
        </w:rPr>
        <w:t>A Charter of Rights</w:t>
      </w:r>
      <w:r w:rsidR="00E67436">
        <w:t xml:space="preserve"> (2007) (n 354).</w:t>
      </w:r>
    </w:p>
  </w:footnote>
  <w:footnote w:id="644">
    <w:p w14:paraId="0346DC05" w14:textId="35DEAC44" w:rsidR="00B116E8" w:rsidRDefault="00B116E8" w:rsidP="00D86462">
      <w:pPr>
        <w:pStyle w:val="FootnoteText"/>
      </w:pPr>
      <w:r>
        <w:rPr>
          <w:rStyle w:val="FootnoteReference"/>
        </w:rPr>
        <w:footnoteRef/>
      </w:r>
      <w:r>
        <w:t xml:space="preserve"> The lack of equivalent formal protections under international human rights law for older people compared with those for people with disability was noted</w:t>
      </w:r>
      <w:r w:rsidR="00EC3F8F">
        <w:t>. For example</w:t>
      </w:r>
      <w:r w:rsidR="00061CB9">
        <w:t>,</w:t>
      </w:r>
      <w:r w:rsidR="00EC3F8F">
        <w:t xml:space="preserve"> the </w:t>
      </w:r>
      <w:r w:rsidR="00425810" w:rsidRPr="00425810">
        <w:rPr>
          <w:i/>
          <w:iCs/>
        </w:rPr>
        <w:t>United Nations</w:t>
      </w:r>
      <w:r w:rsidR="00425810">
        <w:t xml:space="preserve"> </w:t>
      </w:r>
      <w:r w:rsidR="00EC3F8F" w:rsidRPr="00425810">
        <w:rPr>
          <w:i/>
          <w:iCs/>
        </w:rPr>
        <w:t>Convention on Rights of People with Disability</w:t>
      </w:r>
      <w:r w:rsidR="00EC3F8F">
        <w:t xml:space="preserve">: Interview </w:t>
      </w:r>
      <w:r w:rsidR="00EC3F8F" w:rsidRPr="00D86462">
        <w:t>13</w:t>
      </w:r>
      <w:r w:rsidR="00EC3F8F">
        <w:t>.</w:t>
      </w:r>
    </w:p>
  </w:footnote>
  <w:footnote w:id="645">
    <w:p w14:paraId="5F118E88" w14:textId="592BA0B6" w:rsidR="00E67436" w:rsidRDefault="00E67436">
      <w:pPr>
        <w:pStyle w:val="FootnoteText"/>
      </w:pPr>
      <w:r>
        <w:rPr>
          <w:rStyle w:val="FootnoteReference"/>
        </w:rPr>
        <w:footnoteRef/>
      </w:r>
      <w:r>
        <w:t xml:space="preserve"> </w:t>
      </w:r>
      <w:r w:rsidRPr="003C4B61">
        <w:t>Interview</w:t>
      </w:r>
      <w:r>
        <w:t xml:space="preserve">s </w:t>
      </w:r>
      <w:r w:rsidRPr="003C4B61">
        <w:t>7</w:t>
      </w:r>
      <w:r>
        <w:t>,</w:t>
      </w:r>
      <w:r w:rsidRPr="003C4B61">
        <w:t xml:space="preserve"> 12</w:t>
      </w:r>
      <w:r>
        <w:t>,</w:t>
      </w:r>
      <w:r w:rsidRPr="003C4B61">
        <w:t xml:space="preserve"> 5</w:t>
      </w:r>
      <w:r>
        <w:t>,</w:t>
      </w:r>
      <w:r w:rsidRPr="003C4B61">
        <w:t xml:space="preserve"> 8</w:t>
      </w:r>
      <w:r>
        <w:t>,</w:t>
      </w:r>
      <w:r w:rsidRPr="003C4B61">
        <w:t xml:space="preserve"> 18</w:t>
      </w:r>
      <w:r>
        <w:t>,</w:t>
      </w:r>
      <w:r w:rsidRPr="003C4B61">
        <w:t xml:space="preserve"> 10</w:t>
      </w:r>
      <w:r>
        <w:t>,</w:t>
      </w:r>
      <w:r w:rsidRPr="003C4B61">
        <w:t xml:space="preserve"> 13</w:t>
      </w:r>
      <w:r>
        <w:t>,</w:t>
      </w:r>
      <w:r w:rsidRPr="003C4B61">
        <w:t xml:space="preserve"> 1</w:t>
      </w:r>
      <w:r>
        <w:t>,</w:t>
      </w:r>
      <w:r w:rsidRPr="003C4B61">
        <w:t xml:space="preserve"> 6</w:t>
      </w:r>
      <w:r>
        <w:t>,</w:t>
      </w:r>
      <w:r w:rsidRPr="003C4B61">
        <w:t xml:space="preserve"> 16</w:t>
      </w:r>
      <w:r>
        <w:t xml:space="preserve">, </w:t>
      </w:r>
      <w:r w:rsidRPr="003C4B61">
        <w:t>22.</w:t>
      </w:r>
    </w:p>
  </w:footnote>
  <w:footnote w:id="646">
    <w:p w14:paraId="1291BEA8" w14:textId="71999A58" w:rsidR="00E67436" w:rsidRDefault="00E67436">
      <w:pPr>
        <w:pStyle w:val="FootnoteText"/>
      </w:pPr>
      <w:r>
        <w:rPr>
          <w:rStyle w:val="FootnoteReference"/>
        </w:rPr>
        <w:footnoteRef/>
      </w:r>
      <w:r>
        <w:t xml:space="preserve"> </w:t>
      </w:r>
      <w:r w:rsidRPr="00620733">
        <w:rPr>
          <w:i/>
          <w:iCs/>
        </w:rPr>
        <w:t>Human Rights Commission Act 2005</w:t>
      </w:r>
      <w:r w:rsidRPr="003C4B61">
        <w:t xml:space="preserve"> (ACT) s </w:t>
      </w:r>
      <w:r w:rsidRPr="00D86462">
        <w:t>41B</w:t>
      </w:r>
      <w:r>
        <w:t xml:space="preserve">; </w:t>
      </w:r>
      <w:r w:rsidRPr="00E67436">
        <w:rPr>
          <w:i/>
          <w:iCs/>
        </w:rPr>
        <w:t>Disability Services Act 1991</w:t>
      </w:r>
      <w:r>
        <w:t xml:space="preserve"> (ACT) s 2, Dictionary (‘disability’).</w:t>
      </w:r>
    </w:p>
  </w:footnote>
  <w:footnote w:id="647">
    <w:p w14:paraId="0A2F5025" w14:textId="72B9C930" w:rsidR="00E67436" w:rsidRDefault="00E67436">
      <w:pPr>
        <w:pStyle w:val="FootnoteText"/>
      </w:pPr>
      <w:r>
        <w:rPr>
          <w:rStyle w:val="FootnoteReference"/>
        </w:rPr>
        <w:footnoteRef/>
      </w:r>
      <w:r>
        <w:t xml:space="preserve"> </w:t>
      </w:r>
      <w:r w:rsidRPr="003C4B61">
        <w:t xml:space="preserve">The Act also establishes a Public Advocate who can ‘protect </w:t>
      </w:r>
      <w:r w:rsidRPr="00D86462">
        <w:t>and</w:t>
      </w:r>
      <w:r w:rsidRPr="003C4B61">
        <w:t xml:space="preserve"> promote the rights of people whose situation or condition makes them potentially vulnerable to abuse, exploitation or neglect, or a combination of those things: </w:t>
      </w:r>
      <w:r w:rsidR="006B4C90">
        <w:t xml:space="preserve">‘Public Advocate’, </w:t>
      </w:r>
      <w:r w:rsidR="006B4C90" w:rsidRPr="006B4C90">
        <w:rPr>
          <w:i/>
          <w:iCs/>
        </w:rPr>
        <w:t>ACT Human Rights Commission</w:t>
      </w:r>
      <w:r w:rsidR="006B4C90">
        <w:t xml:space="preserve"> &lt;</w:t>
      </w:r>
      <w:hyperlink r:id="rId114" w:history="1">
        <w:r w:rsidR="00D74D86" w:rsidRPr="00574462">
          <w:rPr>
            <w:rStyle w:val="Hyperlink"/>
          </w:rPr>
          <w:t>https://www.hrc.act.gov.au/advocacy</w:t>
        </w:r>
      </w:hyperlink>
      <w:r w:rsidR="00D74D86">
        <w:t>&gt;</w:t>
      </w:r>
      <w:r w:rsidRPr="003C4B61">
        <w:t xml:space="preserve">. The functions of this role are focused on people with disability, children and young people, and forensic patients: </w:t>
      </w:r>
      <w:r w:rsidRPr="003C4B61">
        <w:rPr>
          <w:i/>
          <w:iCs/>
        </w:rPr>
        <w:t>Human Rights Commission Act 2005</w:t>
      </w:r>
      <w:r w:rsidRPr="003C4B61">
        <w:t xml:space="preserve"> (ACT) s 27B.</w:t>
      </w:r>
    </w:p>
  </w:footnote>
  <w:footnote w:id="648">
    <w:p w14:paraId="055CD022" w14:textId="22193971" w:rsidR="00D74D86" w:rsidRDefault="00D74D86">
      <w:pPr>
        <w:pStyle w:val="FootnoteText"/>
      </w:pPr>
      <w:r>
        <w:rPr>
          <w:rStyle w:val="FootnoteReference"/>
        </w:rPr>
        <w:footnoteRef/>
      </w:r>
      <w:r>
        <w:t xml:space="preserve"> </w:t>
      </w:r>
      <w:r w:rsidRPr="00620733">
        <w:rPr>
          <w:i/>
          <w:iCs/>
        </w:rPr>
        <w:t>Human Rights Commission Act 2005</w:t>
      </w:r>
      <w:r w:rsidRPr="003C4B61">
        <w:t xml:space="preserve"> (ACT) s </w:t>
      </w:r>
      <w:r w:rsidRPr="00D86462">
        <w:t>41</w:t>
      </w:r>
      <w:r w:rsidRPr="003C4B61">
        <w:t>.</w:t>
      </w:r>
    </w:p>
  </w:footnote>
  <w:footnote w:id="649">
    <w:p w14:paraId="518A0F98" w14:textId="16636320" w:rsidR="00D74D86" w:rsidRDefault="00D74D86">
      <w:pPr>
        <w:pStyle w:val="FootnoteText"/>
      </w:pPr>
      <w:r>
        <w:rPr>
          <w:rStyle w:val="FootnoteReference"/>
        </w:rPr>
        <w:footnoteRef/>
      </w:r>
      <w:r>
        <w:t xml:space="preserve"> </w:t>
      </w:r>
      <w:r w:rsidR="00152239" w:rsidRPr="00620733">
        <w:rPr>
          <w:i/>
          <w:iCs/>
        </w:rPr>
        <w:t>Human Rights Commission Act 2005</w:t>
      </w:r>
      <w:r w:rsidR="00152239" w:rsidRPr="003C4B61">
        <w:t xml:space="preserve"> (ACT) s </w:t>
      </w:r>
      <w:r w:rsidR="00152239" w:rsidRPr="00D86462">
        <w:t>41B</w:t>
      </w:r>
      <w:r w:rsidR="00152239" w:rsidRPr="003C4B61">
        <w:t>.</w:t>
      </w:r>
    </w:p>
  </w:footnote>
  <w:footnote w:id="650">
    <w:p w14:paraId="6B5250F8" w14:textId="123E4E87" w:rsidR="00FF3550" w:rsidRDefault="00FF3550">
      <w:pPr>
        <w:pStyle w:val="FootnoteText"/>
      </w:pPr>
      <w:r>
        <w:rPr>
          <w:rStyle w:val="FootnoteReference"/>
        </w:rPr>
        <w:footnoteRef/>
      </w:r>
      <w:r>
        <w:t xml:space="preserve"> TLRI, </w:t>
      </w:r>
      <w:r>
        <w:rPr>
          <w:i/>
          <w:iCs/>
        </w:rPr>
        <w:t xml:space="preserve">A Charter of Human </w:t>
      </w:r>
      <w:r w:rsidRPr="00FF3550">
        <w:rPr>
          <w:i/>
          <w:iCs/>
        </w:rPr>
        <w:t>Rights: Update</w:t>
      </w:r>
      <w:r>
        <w:t xml:space="preserve"> (2024) (n 354)</w:t>
      </w:r>
      <w:r w:rsidRPr="003C4B61">
        <w:t xml:space="preserve"> </w:t>
      </w:r>
      <w:r w:rsidRPr="00D86462">
        <w:t>xvii</w:t>
      </w:r>
      <w:r w:rsidRPr="003C4B61">
        <w:t>.</w:t>
      </w:r>
    </w:p>
  </w:footnote>
  <w:footnote w:id="651">
    <w:p w14:paraId="7E123203" w14:textId="0AC57299" w:rsidR="00FE5CF9" w:rsidRDefault="00FE5CF9">
      <w:pPr>
        <w:pStyle w:val="FootnoteText"/>
      </w:pPr>
      <w:r>
        <w:rPr>
          <w:rStyle w:val="FootnoteReference"/>
        </w:rPr>
        <w:footnoteRef/>
      </w:r>
      <w:r>
        <w:t xml:space="preserve"> </w:t>
      </w:r>
      <w:r w:rsidR="0022067C">
        <w:t xml:space="preserve">Ibid </w:t>
      </w:r>
      <w:r w:rsidR="005F4824">
        <w:t xml:space="preserve">ix, </w:t>
      </w:r>
      <w:r w:rsidR="00B42D17">
        <w:t>46–8 [3.4]</w:t>
      </w:r>
      <w:r>
        <w:t xml:space="preserve">. </w:t>
      </w:r>
    </w:p>
  </w:footnote>
  <w:footnote w:id="652">
    <w:p w14:paraId="6E9D810B" w14:textId="248C57F2" w:rsidR="000367A8" w:rsidRDefault="000367A8">
      <w:pPr>
        <w:pStyle w:val="FootnoteText"/>
      </w:pPr>
      <w:r>
        <w:rPr>
          <w:rStyle w:val="FootnoteReference"/>
        </w:rPr>
        <w:footnoteRef/>
      </w:r>
      <w:r>
        <w:t xml:space="preserve"> </w:t>
      </w:r>
      <w:r w:rsidRPr="003C4B61">
        <w:t xml:space="preserve">See </w:t>
      </w:r>
      <w:r w:rsidR="00430C95">
        <w:t>[</w:t>
      </w:r>
      <w:r w:rsidRPr="003C4B61">
        <w:t>2.</w:t>
      </w:r>
      <w:r w:rsidR="00430C95">
        <w:t>3.2]–[2.3</w:t>
      </w:r>
      <w:r w:rsidR="00D303E2">
        <w:t>28]</w:t>
      </w:r>
      <w:r w:rsidRPr="003C4B61">
        <w:t xml:space="preserve">; </w:t>
      </w:r>
      <w:r w:rsidR="005F18FA" w:rsidRPr="00D715B3">
        <w:rPr>
          <w:rFonts w:cs="Times New Roman"/>
        </w:rPr>
        <w:t>Qu et al, AIFS (n 56)</w:t>
      </w:r>
      <w:r w:rsidR="00994E8A">
        <w:rPr>
          <w:rFonts w:cs="Times New Roman"/>
        </w:rPr>
        <w:t xml:space="preserve"> 70–81</w:t>
      </w:r>
      <w:r w:rsidRPr="003C4B61">
        <w:t>.</w:t>
      </w:r>
    </w:p>
  </w:footnote>
  <w:footnote w:id="653">
    <w:p w14:paraId="256D2799" w14:textId="58527F4F" w:rsidR="000F6627" w:rsidRPr="00A07D67" w:rsidRDefault="000F6627">
      <w:pPr>
        <w:pStyle w:val="FootnoteText"/>
      </w:pPr>
      <w:r>
        <w:rPr>
          <w:rStyle w:val="FootnoteReference"/>
        </w:rPr>
        <w:footnoteRef/>
      </w:r>
      <w:r>
        <w:t xml:space="preserve"> Australian Law Reform Commission (‘ALRC’)</w:t>
      </w:r>
      <w:r w:rsidR="00711A51">
        <w:t xml:space="preserve"> and New South Wales Law Reform Commission (‘NSWLR’)</w:t>
      </w:r>
      <w:r>
        <w:t xml:space="preserve">, </w:t>
      </w:r>
      <w:r w:rsidRPr="00133D15">
        <w:rPr>
          <w:i/>
          <w:iCs/>
        </w:rPr>
        <w:t>Family Violence—A National Legal Response</w:t>
      </w:r>
      <w:r>
        <w:t xml:space="preserve"> (Report No 114, 2010) </w:t>
      </w:r>
      <w:r w:rsidR="00D8282C">
        <w:t xml:space="preserve">(‘ALRC and NSWLRC, </w:t>
      </w:r>
      <w:r w:rsidR="00D8282C" w:rsidRPr="00D8282C">
        <w:rPr>
          <w:i/>
          <w:iCs/>
        </w:rPr>
        <w:t>Family Violence</w:t>
      </w:r>
      <w:r w:rsidR="00D8282C">
        <w:t xml:space="preserve">’) </w:t>
      </w:r>
      <w:r>
        <w:t xml:space="preserve">[5.13] Table A; </w:t>
      </w:r>
      <w:r w:rsidRPr="00E57717">
        <w:rPr>
          <w:i/>
          <w:iCs/>
        </w:rPr>
        <w:t>Royal Commission into Domestic, Family and Sexual Violence</w:t>
      </w:r>
      <w:r>
        <w:t xml:space="preserve"> (n 36); Australian Institute of Health and Welfare (‘AIHW’), </w:t>
      </w:r>
      <w:r w:rsidRPr="00F43FB4">
        <w:rPr>
          <w:i/>
          <w:iCs/>
        </w:rPr>
        <w:t>Family and Domestic Violence</w:t>
      </w:r>
      <w:r>
        <w:t xml:space="preserve"> (Web Page, 2023) &lt;</w:t>
      </w:r>
      <w:hyperlink r:id="rId115" w:history="1">
        <w:r w:rsidRPr="00574462">
          <w:rPr>
            <w:rStyle w:val="Hyperlink"/>
          </w:rPr>
          <w:t>https://www.aihw.gov.au/family-domestic-and-sexual-violence/types-of-violence/family-domestic-violence</w:t>
        </w:r>
      </w:hyperlink>
      <w:r>
        <w:t>&gt;</w:t>
      </w:r>
      <w:r w:rsidR="004E3982">
        <w:t xml:space="preserve"> (‘AIHW, </w:t>
      </w:r>
      <w:r w:rsidR="004E3982" w:rsidRPr="002C4A6D">
        <w:rPr>
          <w:i/>
          <w:iCs/>
        </w:rPr>
        <w:t xml:space="preserve">Family </w:t>
      </w:r>
      <w:r w:rsidR="004E3982" w:rsidRPr="00F43FB4">
        <w:rPr>
          <w:i/>
          <w:iCs/>
        </w:rPr>
        <w:t xml:space="preserve">and Domestic </w:t>
      </w:r>
      <w:r w:rsidR="004E3982" w:rsidRPr="002C4A6D">
        <w:rPr>
          <w:i/>
          <w:iCs/>
        </w:rPr>
        <w:t>Violence</w:t>
      </w:r>
      <w:r w:rsidR="004E3982">
        <w:t>’)</w:t>
      </w:r>
      <w:r>
        <w:t>.</w:t>
      </w:r>
      <w:r w:rsidR="00626FDA">
        <w:t xml:space="preserve"> See</w:t>
      </w:r>
      <w:r w:rsidR="00683F6B">
        <w:t xml:space="preserve"> </w:t>
      </w:r>
      <w:r w:rsidR="00683F6B">
        <w:rPr>
          <w:i/>
          <w:iCs/>
        </w:rPr>
        <w:t xml:space="preserve">Family Law Act 1975 </w:t>
      </w:r>
      <w:r w:rsidR="00683F6B">
        <w:t>(Cth)</w:t>
      </w:r>
      <w:r w:rsidR="006A1D84">
        <w:t>;</w:t>
      </w:r>
      <w:r w:rsidR="00683F6B">
        <w:t xml:space="preserve"> </w:t>
      </w:r>
      <w:r w:rsidR="004A1372">
        <w:rPr>
          <w:i/>
          <w:iCs/>
        </w:rPr>
        <w:t xml:space="preserve">Family Violence Protection Act 2008 </w:t>
      </w:r>
      <w:r w:rsidR="004A1372">
        <w:t>(Vic)</w:t>
      </w:r>
      <w:r w:rsidR="006A1D84">
        <w:t>;</w:t>
      </w:r>
      <w:r w:rsidR="004A1372">
        <w:t xml:space="preserve"> </w:t>
      </w:r>
      <w:r w:rsidR="008A775F">
        <w:rPr>
          <w:i/>
          <w:iCs/>
        </w:rPr>
        <w:t xml:space="preserve">Crimes (Domestic and Personal Violence) Act 2007 </w:t>
      </w:r>
      <w:r w:rsidR="008A775F">
        <w:t>(NSW)</w:t>
      </w:r>
      <w:r w:rsidR="006A1D84">
        <w:t>;</w:t>
      </w:r>
      <w:r w:rsidR="008A775F">
        <w:t xml:space="preserve"> </w:t>
      </w:r>
      <w:r w:rsidR="001C071E">
        <w:rPr>
          <w:i/>
          <w:iCs/>
        </w:rPr>
        <w:t xml:space="preserve">Domestic and Family Violence Act 2007 </w:t>
      </w:r>
      <w:r w:rsidR="001C071E">
        <w:t>(NT)</w:t>
      </w:r>
      <w:r w:rsidR="006A1D84">
        <w:t>;</w:t>
      </w:r>
      <w:r w:rsidR="001C071E">
        <w:t xml:space="preserve"> </w:t>
      </w:r>
      <w:r w:rsidR="001C071E">
        <w:rPr>
          <w:i/>
          <w:iCs/>
        </w:rPr>
        <w:t xml:space="preserve">Domestic Violence Act 1994 </w:t>
      </w:r>
      <w:r w:rsidR="001C071E">
        <w:t>(SA)</w:t>
      </w:r>
      <w:r w:rsidR="006A1D84">
        <w:t>;</w:t>
      </w:r>
      <w:r w:rsidR="001C071E">
        <w:t xml:space="preserve"> </w:t>
      </w:r>
      <w:r w:rsidR="00E745A3">
        <w:rPr>
          <w:i/>
          <w:iCs/>
        </w:rPr>
        <w:t xml:space="preserve">Family Violence Act 2016 </w:t>
      </w:r>
      <w:r w:rsidR="00E745A3">
        <w:t>(ACT)</w:t>
      </w:r>
      <w:r w:rsidR="006A1D84">
        <w:t>;</w:t>
      </w:r>
      <w:r w:rsidR="00E745A3">
        <w:t xml:space="preserve"> </w:t>
      </w:r>
      <w:r w:rsidR="0068480E">
        <w:rPr>
          <w:i/>
          <w:iCs/>
        </w:rPr>
        <w:t xml:space="preserve">Domestic and Family Violence Protection Act 2012 </w:t>
      </w:r>
      <w:r w:rsidR="0068480E">
        <w:t>(Qld)</w:t>
      </w:r>
      <w:r w:rsidR="006A1D84">
        <w:t>;</w:t>
      </w:r>
      <w:r w:rsidR="0068480E">
        <w:t xml:space="preserve"> </w:t>
      </w:r>
      <w:r w:rsidR="00A07D67">
        <w:rPr>
          <w:i/>
          <w:iCs/>
        </w:rPr>
        <w:t xml:space="preserve">Restraining Orders Act 1997 </w:t>
      </w:r>
      <w:r w:rsidR="00A07D67">
        <w:t>(WA).</w:t>
      </w:r>
    </w:p>
  </w:footnote>
  <w:footnote w:id="654">
    <w:p w14:paraId="57F77FAD" w14:textId="434F5193" w:rsidR="000F6627" w:rsidRDefault="000F6627">
      <w:pPr>
        <w:pStyle w:val="FootnoteText"/>
      </w:pPr>
      <w:r>
        <w:rPr>
          <w:rStyle w:val="FootnoteReference"/>
        </w:rPr>
        <w:footnoteRef/>
      </w:r>
      <w:r>
        <w:t xml:space="preserve"> </w:t>
      </w:r>
      <w:r w:rsidRPr="009827FE">
        <w:t xml:space="preserve">See </w:t>
      </w:r>
      <w:r w:rsidR="00607FA6" w:rsidRPr="00607FA6">
        <w:rPr>
          <w:b/>
          <w:bCs/>
        </w:rPr>
        <w:t>Part 3</w:t>
      </w:r>
      <w:r w:rsidR="00607FA6">
        <w:t xml:space="preserve"> at </w:t>
      </w:r>
      <w:r w:rsidR="00A1069D">
        <w:t>[3.3.2] and Table 3.1, [3.3.8] – [3</w:t>
      </w:r>
      <w:r w:rsidR="003626A9">
        <w:t xml:space="preserve">.3.10] and </w:t>
      </w:r>
      <w:r w:rsidR="00C440A6">
        <w:t xml:space="preserve">Table G.1 in </w:t>
      </w:r>
      <w:r w:rsidR="00C440A6" w:rsidRPr="00C440A6">
        <w:rPr>
          <w:b/>
          <w:bCs/>
        </w:rPr>
        <w:t>Appendix G</w:t>
      </w:r>
      <w:r w:rsidRPr="009827FE">
        <w:t>.</w:t>
      </w:r>
    </w:p>
  </w:footnote>
  <w:footnote w:id="655">
    <w:p w14:paraId="0A6760B6" w14:textId="264E9897" w:rsidR="009827FE" w:rsidRDefault="009827FE">
      <w:pPr>
        <w:pStyle w:val="FootnoteText"/>
      </w:pPr>
      <w:r>
        <w:rPr>
          <w:rStyle w:val="FootnoteReference"/>
        </w:rPr>
        <w:footnoteRef/>
      </w:r>
      <w:r>
        <w:t xml:space="preserve"> </w:t>
      </w:r>
      <w:r w:rsidRPr="00747282">
        <w:t>Interviews</w:t>
      </w:r>
      <w:r w:rsidRPr="003C4B61">
        <w:t xml:space="preserve"> 2</w:t>
      </w:r>
      <w:r>
        <w:t>,</w:t>
      </w:r>
      <w:r w:rsidRPr="003C4B61">
        <w:t xml:space="preserve"> 3</w:t>
      </w:r>
      <w:r>
        <w:t>,</w:t>
      </w:r>
      <w:r w:rsidRPr="003C4B61">
        <w:t xml:space="preserve"> 5</w:t>
      </w:r>
      <w:r>
        <w:t>,</w:t>
      </w:r>
      <w:r w:rsidRPr="003C4B61">
        <w:t xml:space="preserve"> 7</w:t>
      </w:r>
      <w:r>
        <w:t>,</w:t>
      </w:r>
      <w:r w:rsidRPr="003C4B61">
        <w:t>12</w:t>
      </w:r>
      <w:r>
        <w:t>,</w:t>
      </w:r>
      <w:r w:rsidRPr="003C4B61">
        <w:t xml:space="preserve"> 18</w:t>
      </w:r>
      <w:r>
        <w:t>,</w:t>
      </w:r>
      <w:r w:rsidRPr="003C4B61">
        <w:t xml:space="preserve"> 10</w:t>
      </w:r>
      <w:r>
        <w:t>,</w:t>
      </w:r>
      <w:r w:rsidRPr="003C4B61">
        <w:t xml:space="preserve"> 13</w:t>
      </w:r>
      <w:r>
        <w:t>,</w:t>
      </w:r>
      <w:r w:rsidRPr="003C4B61">
        <w:t xml:space="preserve"> 19</w:t>
      </w:r>
      <w:r>
        <w:t>,</w:t>
      </w:r>
      <w:r w:rsidRPr="003C4B61">
        <w:t xml:space="preserve"> 14</w:t>
      </w:r>
      <w:r>
        <w:t>,</w:t>
      </w:r>
      <w:r w:rsidRPr="003C4B61">
        <w:t xml:space="preserve"> 6</w:t>
      </w:r>
      <w:r>
        <w:t>,</w:t>
      </w:r>
      <w:r w:rsidRPr="003C4B61">
        <w:t xml:space="preserve"> 21</w:t>
      </w:r>
      <w:r>
        <w:t xml:space="preserve">, </w:t>
      </w:r>
      <w:r w:rsidRPr="003C4B61">
        <w:t>23.</w:t>
      </w:r>
    </w:p>
  </w:footnote>
  <w:footnote w:id="656">
    <w:p w14:paraId="4398C274" w14:textId="2802141A" w:rsidR="009827FE" w:rsidRDefault="009827FE">
      <w:pPr>
        <w:pStyle w:val="FootnoteText"/>
      </w:pPr>
      <w:r>
        <w:rPr>
          <w:rStyle w:val="FootnoteReference"/>
        </w:rPr>
        <w:footnoteRef/>
      </w:r>
      <w:r>
        <w:t xml:space="preserve"> </w:t>
      </w:r>
      <w:r w:rsidRPr="003C4B61">
        <w:t>Interview</w:t>
      </w:r>
      <w:r>
        <w:t>s</w:t>
      </w:r>
      <w:r w:rsidRPr="003C4B61">
        <w:t xml:space="preserve"> 7</w:t>
      </w:r>
      <w:r>
        <w:t>,</w:t>
      </w:r>
      <w:r w:rsidRPr="003C4B61">
        <w:t xml:space="preserve"> 3</w:t>
      </w:r>
      <w:r>
        <w:t>,</w:t>
      </w:r>
      <w:r w:rsidRPr="003C4B61">
        <w:t xml:space="preserve"> 19.</w:t>
      </w:r>
    </w:p>
  </w:footnote>
  <w:footnote w:id="657">
    <w:p w14:paraId="38F4CE53" w14:textId="1E77168A" w:rsidR="009827FE" w:rsidRDefault="009827FE">
      <w:pPr>
        <w:pStyle w:val="FootnoteText"/>
      </w:pPr>
      <w:r>
        <w:rPr>
          <w:rStyle w:val="FootnoteReference"/>
        </w:rPr>
        <w:footnoteRef/>
      </w:r>
      <w:r>
        <w:t xml:space="preserve"> </w:t>
      </w:r>
      <w:r w:rsidRPr="003C4B61">
        <w:t>Interview</w:t>
      </w:r>
      <w:r>
        <w:t>s</w:t>
      </w:r>
      <w:r w:rsidRPr="003C4B61">
        <w:t xml:space="preserve"> 7</w:t>
      </w:r>
      <w:r>
        <w:t>,</w:t>
      </w:r>
      <w:r w:rsidRPr="003C4B61">
        <w:t xml:space="preserve"> 3</w:t>
      </w:r>
      <w:r>
        <w:t>,</w:t>
      </w:r>
      <w:r w:rsidRPr="003C4B61">
        <w:t xml:space="preserve"> 5</w:t>
      </w:r>
      <w:r>
        <w:t>,</w:t>
      </w:r>
      <w:r w:rsidRPr="003C4B61">
        <w:t xml:space="preserve"> 14.</w:t>
      </w:r>
    </w:p>
  </w:footnote>
  <w:footnote w:id="658">
    <w:p w14:paraId="4BD3AF60" w14:textId="00EFA741" w:rsidR="009827FE" w:rsidRDefault="009827FE">
      <w:pPr>
        <w:pStyle w:val="FootnoteText"/>
      </w:pPr>
      <w:r>
        <w:rPr>
          <w:rStyle w:val="FootnoteReference"/>
        </w:rPr>
        <w:footnoteRef/>
      </w:r>
      <w:r>
        <w:t xml:space="preserve"> </w:t>
      </w:r>
      <w:r w:rsidRPr="00747282">
        <w:t>Interviews</w:t>
      </w:r>
      <w:r w:rsidRPr="003C4B61">
        <w:t xml:space="preserve"> 3</w:t>
      </w:r>
      <w:r>
        <w:t>,</w:t>
      </w:r>
      <w:r w:rsidRPr="003C4B61">
        <w:t xml:space="preserve"> 12.</w:t>
      </w:r>
    </w:p>
  </w:footnote>
  <w:footnote w:id="659">
    <w:p w14:paraId="0A29812F" w14:textId="3B91303F" w:rsidR="009827FE" w:rsidRDefault="009827FE">
      <w:pPr>
        <w:pStyle w:val="FootnoteText"/>
      </w:pPr>
      <w:r>
        <w:rPr>
          <w:rStyle w:val="FootnoteReference"/>
        </w:rPr>
        <w:footnoteRef/>
      </w:r>
      <w:r>
        <w:t xml:space="preserve"> </w:t>
      </w:r>
      <w:r w:rsidRPr="00747282">
        <w:t>Interview</w:t>
      </w:r>
      <w:r w:rsidRPr="003C4B61">
        <w:t xml:space="preserve"> 2.</w:t>
      </w:r>
    </w:p>
  </w:footnote>
  <w:footnote w:id="660">
    <w:p w14:paraId="0272588F" w14:textId="75B8E999" w:rsidR="009827FE" w:rsidRDefault="009827FE">
      <w:pPr>
        <w:pStyle w:val="FootnoteText"/>
      </w:pPr>
      <w:r>
        <w:rPr>
          <w:rStyle w:val="FootnoteReference"/>
        </w:rPr>
        <w:footnoteRef/>
      </w:r>
      <w:r>
        <w:t xml:space="preserve"> </w:t>
      </w:r>
      <w:r w:rsidRPr="00154EC3">
        <w:rPr>
          <w:i/>
          <w:iCs/>
        </w:rPr>
        <w:t>Family Violence Act 2004</w:t>
      </w:r>
      <w:r w:rsidRPr="003C4B61">
        <w:t xml:space="preserve"> (Tas) s 9.</w:t>
      </w:r>
    </w:p>
  </w:footnote>
  <w:footnote w:id="661">
    <w:p w14:paraId="3C463483" w14:textId="5F4C12D7" w:rsidR="00526179" w:rsidRDefault="00526179">
      <w:pPr>
        <w:pStyle w:val="FootnoteText"/>
      </w:pPr>
      <w:r>
        <w:rPr>
          <w:rStyle w:val="FootnoteReference"/>
        </w:rPr>
        <w:footnoteRef/>
      </w:r>
      <w:r>
        <w:t xml:space="preserve"> Interview 7.</w:t>
      </w:r>
    </w:p>
  </w:footnote>
  <w:footnote w:id="662">
    <w:p w14:paraId="04BE5BBA" w14:textId="198CB160" w:rsidR="00C440A6" w:rsidRDefault="00C440A6">
      <w:pPr>
        <w:pStyle w:val="FootnoteText"/>
      </w:pPr>
      <w:r>
        <w:rPr>
          <w:rStyle w:val="FootnoteReference"/>
        </w:rPr>
        <w:footnoteRef/>
      </w:r>
      <w:r>
        <w:t xml:space="preserve"> </w:t>
      </w:r>
      <w:r w:rsidRPr="00747282">
        <w:t>Interview</w:t>
      </w:r>
      <w:r w:rsidRPr="003C4B61">
        <w:t xml:space="preserve"> </w:t>
      </w:r>
      <w:r w:rsidR="00526179">
        <w:t>3</w:t>
      </w:r>
      <w:r w:rsidRPr="003C4B61">
        <w:t>.</w:t>
      </w:r>
    </w:p>
  </w:footnote>
  <w:footnote w:id="663">
    <w:p w14:paraId="07759F0B" w14:textId="416BF5E5" w:rsidR="00C440A6" w:rsidRDefault="00C440A6">
      <w:pPr>
        <w:pStyle w:val="FootnoteText"/>
      </w:pPr>
      <w:r>
        <w:rPr>
          <w:rStyle w:val="FootnoteReference"/>
        </w:rPr>
        <w:footnoteRef/>
      </w:r>
      <w:r>
        <w:t xml:space="preserve"> </w:t>
      </w:r>
      <w:r w:rsidRPr="00747282">
        <w:t>Interview</w:t>
      </w:r>
      <w:r w:rsidRPr="003C4B61">
        <w:t xml:space="preserve"> 21.</w:t>
      </w:r>
    </w:p>
  </w:footnote>
  <w:footnote w:id="664">
    <w:p w14:paraId="09A517F9" w14:textId="52D4DE81" w:rsidR="00C440A6" w:rsidRDefault="00C440A6">
      <w:pPr>
        <w:pStyle w:val="FootnoteText"/>
      </w:pPr>
      <w:r>
        <w:rPr>
          <w:rStyle w:val="FootnoteReference"/>
        </w:rPr>
        <w:footnoteRef/>
      </w:r>
      <w:r>
        <w:t xml:space="preserve"> </w:t>
      </w:r>
      <w:r w:rsidRPr="00747282">
        <w:t>Interview</w:t>
      </w:r>
      <w:r w:rsidRPr="003C4B61">
        <w:t xml:space="preserve"> 13.</w:t>
      </w:r>
    </w:p>
  </w:footnote>
  <w:footnote w:id="665">
    <w:p w14:paraId="04021BCC" w14:textId="5C631084" w:rsidR="00D85DD3" w:rsidRDefault="00D85DD3">
      <w:pPr>
        <w:pStyle w:val="FootnoteText"/>
      </w:pPr>
      <w:r>
        <w:rPr>
          <w:rStyle w:val="FootnoteReference"/>
        </w:rPr>
        <w:footnoteRef/>
      </w:r>
      <w:r>
        <w:t xml:space="preserve"> </w:t>
      </w:r>
      <w:r w:rsidRPr="00747282">
        <w:t>Interview</w:t>
      </w:r>
      <w:r w:rsidR="00A4729C">
        <w:t>s</w:t>
      </w:r>
      <w:r w:rsidRPr="003C4B61">
        <w:t xml:space="preserve"> </w:t>
      </w:r>
      <w:r>
        <w:t>3</w:t>
      </w:r>
      <w:r w:rsidR="00A4729C">
        <w:t>, 18.</w:t>
      </w:r>
    </w:p>
  </w:footnote>
  <w:footnote w:id="666">
    <w:p w14:paraId="5519FF0F" w14:textId="3476246D" w:rsidR="00F75EE7" w:rsidRDefault="00F75EE7">
      <w:pPr>
        <w:pStyle w:val="FootnoteText"/>
      </w:pPr>
      <w:r>
        <w:rPr>
          <w:rStyle w:val="FootnoteReference"/>
        </w:rPr>
        <w:footnoteRef/>
      </w:r>
      <w:r>
        <w:t xml:space="preserve"> </w:t>
      </w:r>
      <w:r w:rsidRPr="00747282">
        <w:t>Interviews</w:t>
      </w:r>
      <w:r w:rsidRPr="003C4B61">
        <w:t xml:space="preserve"> 19, 5 18</w:t>
      </w:r>
      <w:r>
        <w:t>.</w:t>
      </w:r>
    </w:p>
  </w:footnote>
  <w:footnote w:id="667">
    <w:p w14:paraId="0D4766AA" w14:textId="11F62353" w:rsidR="00D85DD3" w:rsidRDefault="00D85DD3">
      <w:pPr>
        <w:pStyle w:val="FootnoteText"/>
      </w:pPr>
      <w:r>
        <w:rPr>
          <w:rStyle w:val="FootnoteReference"/>
        </w:rPr>
        <w:footnoteRef/>
      </w:r>
      <w:r>
        <w:t xml:space="preserve"> </w:t>
      </w:r>
      <w:r w:rsidRPr="00DB33FB">
        <w:t>Interviews 3, 12, 5, 18, 13, 19, 2, 14, 23, 16, 22</w:t>
      </w:r>
      <w:r>
        <w:t>, 21</w:t>
      </w:r>
      <w:r w:rsidR="000111D6">
        <w:t>, 5</w:t>
      </w:r>
      <w:r w:rsidR="003811F0">
        <w:t>, 4, 6</w:t>
      </w:r>
      <w:r w:rsidR="00444C99">
        <w:t xml:space="preserve">. </w:t>
      </w:r>
      <w:r w:rsidRPr="003C4B61">
        <w:t xml:space="preserve">See </w:t>
      </w:r>
      <w:r w:rsidR="00DB6F88">
        <w:t>further at [3</w:t>
      </w:r>
      <w:r w:rsidR="00DF3331">
        <w:t>.3.9]–[3.3.10]</w:t>
      </w:r>
      <w:r w:rsidRPr="003C4B61">
        <w:t>.</w:t>
      </w:r>
    </w:p>
  </w:footnote>
  <w:footnote w:id="668">
    <w:p w14:paraId="45EB9845" w14:textId="3813980B" w:rsidR="00C440A6" w:rsidRDefault="00C440A6">
      <w:pPr>
        <w:pStyle w:val="FootnoteText"/>
      </w:pPr>
      <w:r>
        <w:rPr>
          <w:rStyle w:val="FootnoteReference"/>
        </w:rPr>
        <w:footnoteRef/>
      </w:r>
      <w:r>
        <w:t xml:space="preserve"> </w:t>
      </w:r>
      <w:r w:rsidR="00D85DD3" w:rsidRPr="003C4B61">
        <w:t>Interview</w:t>
      </w:r>
      <w:r w:rsidR="00D85DD3">
        <w:t>s</w:t>
      </w:r>
      <w:r w:rsidR="00D85DD3" w:rsidRPr="003C4B61">
        <w:t xml:space="preserve"> 5</w:t>
      </w:r>
      <w:r w:rsidR="00D85DD3">
        <w:t>,</w:t>
      </w:r>
      <w:r w:rsidR="00D85DD3" w:rsidRPr="003C4B61">
        <w:t xml:space="preserve"> 18.</w:t>
      </w:r>
    </w:p>
  </w:footnote>
  <w:footnote w:id="669">
    <w:p w14:paraId="01F86218" w14:textId="79439924" w:rsidR="00711A51" w:rsidRDefault="00711A51">
      <w:pPr>
        <w:pStyle w:val="FootnoteText"/>
      </w:pPr>
      <w:r>
        <w:rPr>
          <w:rStyle w:val="FootnoteReference"/>
        </w:rPr>
        <w:footnoteRef/>
      </w:r>
      <w:r>
        <w:t xml:space="preserve"> </w:t>
      </w:r>
      <w:r w:rsidRPr="003C5E81">
        <w:t>Interview</w:t>
      </w:r>
      <w:r>
        <w:t xml:space="preserve"> </w:t>
      </w:r>
      <w:r w:rsidRPr="003C4B61">
        <w:t>18.</w:t>
      </w:r>
    </w:p>
  </w:footnote>
  <w:footnote w:id="670">
    <w:p w14:paraId="3A69A9C8" w14:textId="31BD138C" w:rsidR="00711A51" w:rsidRDefault="00711A51">
      <w:pPr>
        <w:pStyle w:val="FootnoteText"/>
      </w:pPr>
      <w:r>
        <w:rPr>
          <w:rStyle w:val="FootnoteReference"/>
        </w:rPr>
        <w:footnoteRef/>
      </w:r>
      <w:r>
        <w:t xml:space="preserve"> </w:t>
      </w:r>
      <w:r w:rsidRPr="003C5E81">
        <w:t>Interview</w:t>
      </w:r>
      <w:r w:rsidRPr="003C4B61">
        <w:t xml:space="preserve"> 19.</w:t>
      </w:r>
    </w:p>
  </w:footnote>
  <w:footnote w:id="671">
    <w:p w14:paraId="1F5E6E13" w14:textId="078265A0" w:rsidR="0072268B" w:rsidRDefault="0072268B" w:rsidP="003C5E81">
      <w:pPr>
        <w:pStyle w:val="FootnoteText"/>
      </w:pPr>
      <w:r>
        <w:rPr>
          <w:rStyle w:val="FootnoteReference"/>
        </w:rPr>
        <w:footnoteRef/>
      </w:r>
      <w:r>
        <w:t xml:space="preserve"> </w:t>
      </w:r>
      <w:r w:rsidR="0066740E">
        <w:t xml:space="preserve">ALRC, </w:t>
      </w:r>
      <w:r w:rsidR="0066740E" w:rsidRPr="003210B3">
        <w:rPr>
          <w:i/>
          <w:iCs/>
        </w:rPr>
        <w:t>Elder Abuse</w:t>
      </w:r>
      <w:r w:rsidR="008D5D4B">
        <w:t xml:space="preserve"> (n 6)</w:t>
      </w:r>
      <w:r>
        <w:t xml:space="preserve"> 364 [13.5]</w:t>
      </w:r>
      <w:r w:rsidR="0036139C">
        <w:t>.</w:t>
      </w:r>
    </w:p>
  </w:footnote>
  <w:footnote w:id="672">
    <w:p w14:paraId="55067A72" w14:textId="3D251A3A" w:rsidR="00771172" w:rsidRDefault="00771172">
      <w:pPr>
        <w:pStyle w:val="FootnoteText"/>
      </w:pPr>
      <w:r>
        <w:rPr>
          <w:rStyle w:val="FootnoteReference"/>
        </w:rPr>
        <w:footnoteRef/>
      </w:r>
      <w:r>
        <w:t xml:space="preserve"> ALRC and NSWLRC, </w:t>
      </w:r>
      <w:r w:rsidRPr="00916A07">
        <w:rPr>
          <w:i/>
          <w:iCs/>
        </w:rPr>
        <w:t>Family Violence</w:t>
      </w:r>
      <w:r>
        <w:t xml:space="preserve"> (n 652) [5.13] Table A; </w:t>
      </w:r>
      <w:r w:rsidRPr="00E57717">
        <w:rPr>
          <w:i/>
          <w:iCs/>
        </w:rPr>
        <w:t>Royal Commission into Domestic, Family and Sexual Violence</w:t>
      </w:r>
      <w:r>
        <w:t xml:space="preserve"> (n 36); AIHW, </w:t>
      </w:r>
      <w:r w:rsidRPr="002C4A6D">
        <w:rPr>
          <w:i/>
          <w:iCs/>
        </w:rPr>
        <w:t>Family Violence</w:t>
      </w:r>
      <w:r>
        <w:t xml:space="preserve"> (n 652).</w:t>
      </w:r>
      <w:r w:rsidR="007C4FAF">
        <w:t xml:space="preserve"> See </w:t>
      </w:r>
      <w:r w:rsidR="007C4FAF">
        <w:rPr>
          <w:i/>
          <w:iCs/>
        </w:rPr>
        <w:t xml:space="preserve">Family Law Act 1975 </w:t>
      </w:r>
      <w:r w:rsidR="007C4FAF">
        <w:t xml:space="preserve">(Cth); </w:t>
      </w:r>
      <w:r w:rsidR="007C4FAF">
        <w:rPr>
          <w:i/>
          <w:iCs/>
        </w:rPr>
        <w:t xml:space="preserve">Family Violence Protection Act 2008 </w:t>
      </w:r>
      <w:r w:rsidR="007C4FAF">
        <w:t xml:space="preserve">(Vic); </w:t>
      </w:r>
      <w:r w:rsidR="007C4FAF">
        <w:rPr>
          <w:i/>
          <w:iCs/>
        </w:rPr>
        <w:t xml:space="preserve">Crimes (Domestic and Personal Violence) Act 2007 </w:t>
      </w:r>
      <w:r w:rsidR="007C4FAF">
        <w:t xml:space="preserve">(NSW); </w:t>
      </w:r>
      <w:r w:rsidR="007C4FAF">
        <w:rPr>
          <w:i/>
          <w:iCs/>
        </w:rPr>
        <w:t xml:space="preserve">Domestic and Family Violence Act 2007 </w:t>
      </w:r>
      <w:r w:rsidR="007C4FAF">
        <w:t xml:space="preserve">(NT); </w:t>
      </w:r>
      <w:r w:rsidR="007C4FAF">
        <w:rPr>
          <w:i/>
          <w:iCs/>
        </w:rPr>
        <w:t xml:space="preserve">Domestic Violence Act 1994 </w:t>
      </w:r>
      <w:r w:rsidR="007C4FAF">
        <w:t xml:space="preserve">(SA); </w:t>
      </w:r>
      <w:r w:rsidR="007C4FAF">
        <w:rPr>
          <w:i/>
          <w:iCs/>
        </w:rPr>
        <w:t xml:space="preserve">Family Violence Act 2016 </w:t>
      </w:r>
      <w:r w:rsidR="007C4FAF">
        <w:t xml:space="preserve">(ACT); </w:t>
      </w:r>
      <w:r w:rsidR="007C4FAF">
        <w:rPr>
          <w:i/>
          <w:iCs/>
        </w:rPr>
        <w:t xml:space="preserve">Domestic and Family Violence Protection Act 2012 </w:t>
      </w:r>
      <w:r w:rsidR="007C4FAF">
        <w:t xml:space="preserve">(Qld); </w:t>
      </w:r>
      <w:r w:rsidR="007C4FAF">
        <w:rPr>
          <w:i/>
          <w:iCs/>
        </w:rPr>
        <w:t xml:space="preserve">Restraining Orders Act 1997 </w:t>
      </w:r>
      <w:r w:rsidR="007C4FAF">
        <w:t>(WA).</w:t>
      </w:r>
    </w:p>
  </w:footnote>
  <w:footnote w:id="673">
    <w:p w14:paraId="399A75E4" w14:textId="46571E5D" w:rsidR="00F276B4" w:rsidRDefault="00F276B4" w:rsidP="007D69B4">
      <w:pPr>
        <w:pStyle w:val="FootnoteText"/>
        <w:jc w:val="left"/>
      </w:pPr>
      <w:r>
        <w:rPr>
          <w:rStyle w:val="FootnoteReference"/>
        </w:rPr>
        <w:footnoteRef/>
      </w:r>
      <w:r>
        <w:t xml:space="preserve"> </w:t>
      </w:r>
      <w:r w:rsidR="007D69B4">
        <w:t xml:space="preserve">See, eg, </w:t>
      </w:r>
      <w:r>
        <w:t xml:space="preserve">Parliament of Australia, Standing Committee on Social Policy and Legal Affairs, </w:t>
      </w:r>
      <w:r>
        <w:rPr>
          <w:i/>
          <w:iCs/>
        </w:rPr>
        <w:t xml:space="preserve">Inquiry into Family Violence Orders </w:t>
      </w:r>
      <w:r>
        <w:t>(13 February 2025) [2.6] &lt;</w:t>
      </w:r>
      <w:hyperlink r:id="rId116" w:history="1">
        <w:r w:rsidR="00717578" w:rsidRPr="00574462">
          <w:rPr>
            <w:rStyle w:val="Hyperlink"/>
          </w:rPr>
          <w:t>https://www.aph.gov.au/Parliamentary_Business/Committees/House/Social_Policy_and_Legal_Affairs/Familyviolenceorders/Inquiry_into_family_violence_orders/Chapter_2_-_Better_protecting_victim-survivors_with_family_violence_orders</w:t>
        </w:r>
      </w:hyperlink>
      <w:r>
        <w:t>&gt;.</w:t>
      </w:r>
    </w:p>
  </w:footnote>
  <w:footnote w:id="674">
    <w:p w14:paraId="63A1CE4D" w14:textId="4941EA17" w:rsidR="00A06CA7" w:rsidRDefault="00A06CA7">
      <w:pPr>
        <w:pStyle w:val="FootnoteText"/>
      </w:pPr>
      <w:r>
        <w:rPr>
          <w:rStyle w:val="FootnoteReference"/>
        </w:rPr>
        <w:footnoteRef/>
      </w:r>
      <w:r>
        <w:t xml:space="preserve"> </w:t>
      </w:r>
      <w:r w:rsidRPr="003C4B61">
        <w:t>D</w:t>
      </w:r>
      <w:r>
        <w:t>ale</w:t>
      </w:r>
      <w:r w:rsidRPr="003C4B61">
        <w:t xml:space="preserve"> Baghsaw, S</w:t>
      </w:r>
      <w:r>
        <w:t>arah</w:t>
      </w:r>
      <w:r w:rsidRPr="003C4B61">
        <w:t xml:space="preserve"> W</w:t>
      </w:r>
      <w:r>
        <w:t>en</w:t>
      </w:r>
      <w:r w:rsidRPr="003C4B61">
        <w:t xml:space="preserve">dt </w:t>
      </w:r>
      <w:r>
        <w:t>and</w:t>
      </w:r>
      <w:r w:rsidRPr="003C4B61">
        <w:t xml:space="preserve"> L</w:t>
      </w:r>
      <w:r>
        <w:t xml:space="preserve">ana </w:t>
      </w:r>
      <w:r w:rsidRPr="003C4B61">
        <w:t>Zan</w:t>
      </w:r>
      <w:r>
        <w:t>n</w:t>
      </w:r>
      <w:r w:rsidRPr="003C4B61">
        <w:t xml:space="preserve">ettino, </w:t>
      </w:r>
      <w:r w:rsidRPr="003C4B61">
        <w:rPr>
          <w:i/>
          <w:iCs/>
        </w:rPr>
        <w:t xml:space="preserve">Preventing the </w:t>
      </w:r>
      <w:r>
        <w:rPr>
          <w:i/>
          <w:iCs/>
        </w:rPr>
        <w:t>A</w:t>
      </w:r>
      <w:r w:rsidRPr="003C4B61">
        <w:rPr>
          <w:i/>
          <w:iCs/>
        </w:rPr>
        <w:t xml:space="preserve">buse of </w:t>
      </w:r>
      <w:r>
        <w:rPr>
          <w:i/>
          <w:iCs/>
        </w:rPr>
        <w:t>O</w:t>
      </w:r>
      <w:r w:rsidRPr="003C4B61">
        <w:rPr>
          <w:i/>
          <w:iCs/>
        </w:rPr>
        <w:t xml:space="preserve">lder </w:t>
      </w:r>
      <w:r>
        <w:rPr>
          <w:i/>
          <w:iCs/>
        </w:rPr>
        <w:t>P</w:t>
      </w:r>
      <w:r w:rsidRPr="003C4B61">
        <w:rPr>
          <w:i/>
          <w:iCs/>
        </w:rPr>
        <w:t xml:space="preserve">eople by their </w:t>
      </w:r>
      <w:r>
        <w:rPr>
          <w:i/>
          <w:iCs/>
        </w:rPr>
        <w:t>F</w:t>
      </w:r>
      <w:r w:rsidRPr="003C4B61">
        <w:rPr>
          <w:i/>
          <w:iCs/>
        </w:rPr>
        <w:t xml:space="preserve">amily </w:t>
      </w:r>
      <w:r>
        <w:rPr>
          <w:i/>
          <w:iCs/>
        </w:rPr>
        <w:t>M</w:t>
      </w:r>
      <w:r w:rsidRPr="003C4B61">
        <w:rPr>
          <w:i/>
          <w:iCs/>
        </w:rPr>
        <w:t>embers</w:t>
      </w:r>
      <w:r>
        <w:t xml:space="preserve"> (</w:t>
      </w:r>
      <w:r w:rsidRPr="003C4B61">
        <w:t xml:space="preserve">Australian Domestic and Family Violence Clearinghouse, Stakeholder </w:t>
      </w:r>
      <w:r w:rsidRPr="003C5E81">
        <w:t>Paper</w:t>
      </w:r>
      <w:r>
        <w:t xml:space="preserve">, </w:t>
      </w:r>
      <w:r w:rsidRPr="003C4B61">
        <w:t>2009</w:t>
      </w:r>
      <w:r>
        <w:t>)</w:t>
      </w:r>
      <w:r w:rsidR="00A6424D">
        <w:t>.</w:t>
      </w:r>
    </w:p>
  </w:footnote>
  <w:footnote w:id="675">
    <w:p w14:paraId="194903B9" w14:textId="1D3C106E" w:rsidR="00A06CA7" w:rsidRDefault="00A06CA7">
      <w:pPr>
        <w:pStyle w:val="FootnoteText"/>
      </w:pPr>
      <w:r>
        <w:rPr>
          <w:rStyle w:val="FootnoteReference"/>
        </w:rPr>
        <w:footnoteRef/>
      </w:r>
      <w:r>
        <w:t xml:space="preserve"> Jane </w:t>
      </w:r>
      <w:r w:rsidRPr="003C4B61">
        <w:t xml:space="preserve">Cairns and </w:t>
      </w:r>
      <w:r>
        <w:t xml:space="preserve">Anthea </w:t>
      </w:r>
      <w:r w:rsidRPr="003C5E81">
        <w:t>Vreugdenhil</w:t>
      </w:r>
      <w:r>
        <w:t>, ‘</w:t>
      </w:r>
      <w:r w:rsidRPr="007209E7">
        <w:t xml:space="preserve">Working at the </w:t>
      </w:r>
      <w:r>
        <w:t>F</w:t>
      </w:r>
      <w:r w:rsidRPr="007209E7">
        <w:t xml:space="preserve">rontline in </w:t>
      </w:r>
      <w:r>
        <w:t>C</w:t>
      </w:r>
      <w:r w:rsidRPr="007209E7">
        <w:t xml:space="preserve">ases of </w:t>
      </w:r>
      <w:r>
        <w:t>E</w:t>
      </w:r>
      <w:r w:rsidRPr="007209E7">
        <w:t xml:space="preserve">lder </w:t>
      </w:r>
      <w:r>
        <w:t>A</w:t>
      </w:r>
      <w:r w:rsidRPr="007209E7">
        <w:t>buse: '</w:t>
      </w:r>
      <w:r>
        <w:t>I</w:t>
      </w:r>
      <w:r w:rsidRPr="007209E7">
        <w:t xml:space="preserve">t </w:t>
      </w:r>
      <w:r>
        <w:t>K</w:t>
      </w:r>
      <w:r w:rsidRPr="007209E7">
        <w:t xml:space="preserve">eeps me </w:t>
      </w:r>
      <w:r>
        <w:t>A</w:t>
      </w:r>
      <w:r w:rsidRPr="007209E7">
        <w:t xml:space="preserve">wake at </w:t>
      </w:r>
      <w:r>
        <w:t>N</w:t>
      </w:r>
      <w:r w:rsidRPr="007209E7">
        <w:t>ight'</w:t>
      </w:r>
      <w:r>
        <w:t xml:space="preserve"> (2014) 33(1) </w:t>
      </w:r>
      <w:r w:rsidRPr="005E2273">
        <w:rPr>
          <w:i/>
          <w:iCs/>
        </w:rPr>
        <w:t>Australasian Journal on Ageing</w:t>
      </w:r>
      <w:r>
        <w:t xml:space="preserve"> 59, </w:t>
      </w:r>
      <w:r w:rsidRPr="003C4B61">
        <w:t>61.</w:t>
      </w:r>
    </w:p>
  </w:footnote>
  <w:footnote w:id="676">
    <w:p w14:paraId="18CE2A72" w14:textId="244E3731" w:rsidR="00861563" w:rsidRDefault="00861563">
      <w:pPr>
        <w:pStyle w:val="FootnoteText"/>
      </w:pPr>
      <w:r>
        <w:rPr>
          <w:rStyle w:val="FootnoteReference"/>
        </w:rPr>
        <w:footnoteRef/>
      </w:r>
      <w:r>
        <w:t xml:space="preserve"> Libby Blake, </w:t>
      </w:r>
      <w:r w:rsidRPr="003C4B61">
        <w:t>Better Place,</w:t>
      </w:r>
      <w:r>
        <w:t xml:space="preserve"> Australia (Conference Paper, Australian Institute of Family Studies (‘</w:t>
      </w:r>
      <w:r w:rsidRPr="003C5E81">
        <w:t>AIFS</w:t>
      </w:r>
      <w:r>
        <w:t>’)</w:t>
      </w:r>
      <w:r w:rsidRPr="003C4B61">
        <w:t>, 14 June 2024</w:t>
      </w:r>
      <w:r>
        <w:t>)</w:t>
      </w:r>
      <w:r w:rsidRPr="003C4B61">
        <w:t>.</w:t>
      </w:r>
    </w:p>
  </w:footnote>
  <w:footnote w:id="677">
    <w:p w14:paraId="3E23C7EC" w14:textId="0625B570" w:rsidR="00D530E3" w:rsidRDefault="00D530E3">
      <w:pPr>
        <w:pStyle w:val="FootnoteText"/>
      </w:pPr>
      <w:r>
        <w:rPr>
          <w:rStyle w:val="FootnoteReference"/>
        </w:rPr>
        <w:footnoteRef/>
      </w:r>
      <w:r>
        <w:t xml:space="preserve"> Ibid</w:t>
      </w:r>
      <w:r w:rsidRPr="003C4B61">
        <w:t>.</w:t>
      </w:r>
    </w:p>
  </w:footnote>
  <w:footnote w:id="678">
    <w:p w14:paraId="2D5943DB" w14:textId="4EF2A49B" w:rsidR="00D530E3" w:rsidRDefault="00D530E3">
      <w:pPr>
        <w:pStyle w:val="FootnoteText"/>
      </w:pPr>
      <w:r>
        <w:rPr>
          <w:rStyle w:val="FootnoteReference"/>
        </w:rPr>
        <w:footnoteRef/>
      </w:r>
      <w:r>
        <w:t xml:space="preserve"> Ibid.</w:t>
      </w:r>
    </w:p>
  </w:footnote>
  <w:footnote w:id="679">
    <w:p w14:paraId="6D4DFAE8" w14:textId="7D341375" w:rsidR="00DD11C6" w:rsidRDefault="00DD11C6">
      <w:pPr>
        <w:pStyle w:val="FootnoteText"/>
      </w:pPr>
      <w:r>
        <w:rPr>
          <w:rStyle w:val="FootnoteReference"/>
        </w:rPr>
        <w:footnoteRef/>
      </w:r>
      <w:r>
        <w:t xml:space="preserve"> The introduction of Safe at Home, as the Tasmanian Government’s integrated </w:t>
      </w:r>
      <w:r w:rsidR="00C3759D">
        <w:t>criminal justice response to family violence was introduced in 2004, following the deaths of eight Tasmanian women in domestic violence incidents over a period of two years</w:t>
      </w:r>
      <w:r w:rsidR="00AE2B75">
        <w:t xml:space="preserve">: see </w:t>
      </w:r>
      <w:r w:rsidR="001C1E0B" w:rsidRPr="001C1E0B">
        <w:t xml:space="preserve">Department of Justice and Industrial Relations, Tasmanian Government, </w:t>
      </w:r>
      <w:r w:rsidR="001C1E0B" w:rsidRPr="001C1E0B">
        <w:rPr>
          <w:i/>
          <w:iCs/>
        </w:rPr>
        <w:t>Safe at Home: A Criminal Justice Framework for Responding to Family Violence in Tasmania</w:t>
      </w:r>
      <w:r w:rsidR="001C1E0B" w:rsidRPr="001C1E0B">
        <w:t xml:space="preserve"> (Options Paper, Tasmanian Government, August 2003).</w:t>
      </w:r>
      <w:r w:rsidR="00C3759D">
        <w:t xml:space="preserve"> </w:t>
      </w:r>
      <w:r w:rsidR="00875B22">
        <w:t xml:space="preserve">Prior to its introduction, </w:t>
      </w:r>
      <w:r w:rsidR="00B2263A" w:rsidRPr="00B2263A">
        <w:t>the Attorney-General (in January 2003) requested that the Department of Justice and Industrial Relations (‘DJIR’) develop an implementation strategy for a ‘pro-arrest, pro-charge, pro-prosecution response to family violence in Tasmania’</w:t>
      </w:r>
      <w:r w:rsidR="001C1E0B">
        <w:t>: at 4</w:t>
      </w:r>
      <w:r w:rsidR="00C96A51">
        <w:t>.</w:t>
      </w:r>
      <w:r w:rsidR="00AE2B75">
        <w:t xml:space="preserve"> </w:t>
      </w:r>
      <w:r w:rsidR="00AE2B75" w:rsidRPr="00AE2B75">
        <w:t>DIJR prepared an Options Paper for the purposes of consultation, and submissions received were overwhelmingly supportive of the pro-arrest, pro-charge, pro-prosecution framework and an integrated response to family violence proposed</w:t>
      </w:r>
      <w:r w:rsidR="00375263">
        <w:t>: at 25–8, 49–58</w:t>
      </w:r>
      <w:r w:rsidR="004E6389">
        <w:t>.</w:t>
      </w:r>
    </w:p>
  </w:footnote>
  <w:footnote w:id="680">
    <w:p w14:paraId="1E8C6C73" w14:textId="0652026D" w:rsidR="008B591C" w:rsidRDefault="008B591C" w:rsidP="003C5FCA">
      <w:pPr>
        <w:pStyle w:val="FootnoteText"/>
      </w:pPr>
      <w:r>
        <w:rPr>
          <w:rStyle w:val="FootnoteReference"/>
        </w:rPr>
        <w:footnoteRef/>
      </w:r>
      <w:r>
        <w:t xml:space="preserve"> </w:t>
      </w:r>
      <w:r w:rsidRPr="009F1FE7">
        <w:t xml:space="preserve">This approach is reflected in the current Safe at Home approach, where the website describes Safe at Home as the integrated criminal justice response to family violence, which </w:t>
      </w:r>
      <w:r w:rsidR="000F0481" w:rsidRPr="000F0481">
        <w:t>involves a range of services working together to address the risk and safety needs of victim-survivors and their children</w:t>
      </w:r>
      <w:r w:rsidR="000F0481">
        <w:t>, while</w:t>
      </w:r>
      <w:r w:rsidRPr="009F1FE7">
        <w:t xml:space="preserve"> hold</w:t>
      </w:r>
      <w:r w:rsidR="000F0481">
        <w:t>ing</w:t>
      </w:r>
      <w:r w:rsidRPr="009F1FE7">
        <w:t xml:space="preserve"> perpetrators accountable and utilises a pro-intervention policy to address family violence, complemented by a human services approach to support recovery and change</w:t>
      </w:r>
      <w:r w:rsidR="00A74FF3">
        <w:t xml:space="preserve">. </w:t>
      </w:r>
      <w:r w:rsidR="003C5FCA">
        <w:t>Safe at Home’s objectives are to: ‘Improve the safety and security for adult and child victim-survivors of family violence in the short and long term; Ensure that offenders are held accountable for family violence as a public crime and change their offending behaviour; Reduce the incidence and severity of family violence in the longer term; and Minimise the negative impacts of contact with the criminal justice system on adult and child victim-survivor’</w:t>
      </w:r>
      <w:r w:rsidRPr="009F1FE7">
        <w:t>:</w:t>
      </w:r>
      <w:r w:rsidR="008B5369">
        <w:t xml:space="preserve"> </w:t>
      </w:r>
      <w:r w:rsidR="00FC75E3" w:rsidRPr="00884C72">
        <w:rPr>
          <w:rFonts w:cs="Times New Roman"/>
        </w:rPr>
        <w:t xml:space="preserve">Department of Justice, Tasmanian Government, About Us (n </w:t>
      </w:r>
      <w:r w:rsidR="004035A7">
        <w:rPr>
          <w:rFonts w:cs="Times New Roman"/>
        </w:rPr>
        <w:t>2</w:t>
      </w:r>
      <w:r w:rsidR="0092674A">
        <w:rPr>
          <w:rFonts w:cs="Times New Roman"/>
        </w:rPr>
        <w:t>68</w:t>
      </w:r>
      <w:r w:rsidR="00FC75E3" w:rsidRPr="00884C72">
        <w:rPr>
          <w:rFonts w:cs="Times New Roman"/>
        </w:rPr>
        <w:t>)</w:t>
      </w:r>
      <w:r w:rsidR="004E6389">
        <w:rPr>
          <w:rFonts w:cs="Times New Roman"/>
        </w:rPr>
        <w:t xml:space="preserve">. See also </w:t>
      </w:r>
      <w:r w:rsidR="00B76C57" w:rsidRPr="006F2DE6">
        <w:rPr>
          <w:i/>
        </w:rPr>
        <w:t xml:space="preserve">Family Violence Act 2004 </w:t>
      </w:r>
      <w:r w:rsidR="00B76C57" w:rsidRPr="006F2DE6">
        <w:t>(Tas)</w:t>
      </w:r>
      <w:r w:rsidR="00B76C57">
        <w:t xml:space="preserve"> </w:t>
      </w:r>
      <w:r w:rsidR="0079155E">
        <w:t xml:space="preserve">s 4, </w:t>
      </w:r>
      <w:r w:rsidR="00B76C57">
        <w:t>pt 4</w:t>
      </w:r>
      <w:r w:rsidR="00A50CE0">
        <w:t xml:space="preserve">, </w:t>
      </w:r>
      <w:r w:rsidR="001C0B3C">
        <w:t>s 33</w:t>
      </w:r>
      <w:r w:rsidR="0079155E">
        <w:rPr>
          <w:rFonts w:cs="Times New Roman"/>
        </w:rPr>
        <w:t xml:space="preserve">; </w:t>
      </w:r>
      <w:r w:rsidR="008B5369">
        <w:t xml:space="preserve">Ron Mason and Roberta Julian, </w:t>
      </w:r>
      <w:r w:rsidR="008B5369" w:rsidRPr="00673FC2">
        <w:rPr>
          <w:i/>
          <w:iCs/>
        </w:rPr>
        <w:t>Analysis of the Tasmania Police Risk Assessment Screening Tool (RAST)</w:t>
      </w:r>
      <w:r w:rsidR="008B5369">
        <w:t xml:space="preserve"> (Final Report, Tasmanian Institute of Law Enforcement Studies (TILES), November 2009)</w:t>
      </w:r>
      <w:r w:rsidR="0079155E">
        <w:t>.</w:t>
      </w:r>
    </w:p>
  </w:footnote>
  <w:footnote w:id="681">
    <w:p w14:paraId="74B706B0" w14:textId="42CD122E" w:rsidR="003C5FCA" w:rsidRDefault="003C5FCA">
      <w:pPr>
        <w:pStyle w:val="FootnoteText"/>
      </w:pPr>
      <w:r>
        <w:rPr>
          <w:rStyle w:val="FootnoteReference"/>
        </w:rPr>
        <w:footnoteRef/>
      </w:r>
      <w:r>
        <w:t xml:space="preserve"> </w:t>
      </w:r>
      <w:r w:rsidR="00677F49">
        <w:t>See</w:t>
      </w:r>
      <w:r w:rsidR="00213653">
        <w:t xml:space="preserve"> generally </w:t>
      </w:r>
      <w:r w:rsidR="00E25FB1" w:rsidRPr="00884C72">
        <w:rPr>
          <w:rFonts w:cs="Times New Roman"/>
        </w:rPr>
        <w:t>Department of Justice, Tasmanian Government, ‘</w:t>
      </w:r>
      <w:r w:rsidR="000561A5">
        <w:rPr>
          <w:rFonts w:cs="Times New Roman"/>
        </w:rPr>
        <w:t>Safety Planning and Risk Assessment’ and ‘</w:t>
      </w:r>
      <w:r w:rsidR="00FE6E2D">
        <w:rPr>
          <w:rFonts w:cs="Times New Roman"/>
        </w:rPr>
        <w:t>Integrated Case Coordination</w:t>
      </w:r>
      <w:r w:rsidR="00E25FB1" w:rsidRPr="00884C72">
        <w:rPr>
          <w:rFonts w:cs="Times New Roman"/>
        </w:rPr>
        <w:t xml:space="preserve">’, </w:t>
      </w:r>
      <w:r w:rsidR="00E25FB1" w:rsidRPr="00FE6E2D">
        <w:rPr>
          <w:rFonts w:cs="Times New Roman"/>
          <w:i/>
          <w:iCs/>
        </w:rPr>
        <w:t>Safe at Home</w:t>
      </w:r>
      <w:r w:rsidR="00E25FB1" w:rsidRPr="00884C72">
        <w:rPr>
          <w:rFonts w:cs="Times New Roman"/>
        </w:rPr>
        <w:t xml:space="preserve"> (Web Page, 9 December 2024) </w:t>
      </w:r>
      <w:r w:rsidR="00DE67A4">
        <w:rPr>
          <w:rFonts w:cs="Times New Roman"/>
        </w:rPr>
        <w:t>&lt;</w:t>
      </w:r>
      <w:hyperlink r:id="rId117" w:anchor="Safety-Planning-and-Risk-Assessment" w:history="1">
        <w:r w:rsidR="002E0085" w:rsidRPr="00574462">
          <w:rPr>
            <w:rStyle w:val="Hyperlink"/>
            <w:rFonts w:cs="Times New Roman"/>
          </w:rPr>
          <w:t>https://www.safeathome.tas.gov.au/about-us#Safety-Planning-and-Risk-Assessment</w:t>
        </w:r>
      </w:hyperlink>
      <w:r w:rsidR="002E0085">
        <w:rPr>
          <w:rFonts w:cs="Times New Roman"/>
        </w:rPr>
        <w:t xml:space="preserve">&gt; and   </w:t>
      </w:r>
      <w:r w:rsidR="00E25FB1" w:rsidRPr="00884C72">
        <w:rPr>
          <w:rFonts w:cs="Times New Roman"/>
        </w:rPr>
        <w:t>&lt;</w:t>
      </w:r>
      <w:hyperlink r:id="rId118" w:anchor="Integrated-Case-Coordination" w:history="1">
        <w:r w:rsidR="00FE6E2D" w:rsidRPr="00574462">
          <w:rPr>
            <w:rStyle w:val="Hyperlink"/>
            <w:rFonts w:cs="Times New Roman"/>
          </w:rPr>
          <w:t>https://www.safeathome.tas.gov.au/about-us#Integrated-Case-Coordination</w:t>
        </w:r>
      </w:hyperlink>
      <w:r w:rsidR="00E25FB1" w:rsidRPr="00884C72">
        <w:rPr>
          <w:rFonts w:cs="Times New Roman"/>
        </w:rPr>
        <w:t>&gt;</w:t>
      </w:r>
      <w:r w:rsidR="00E25FB1">
        <w:rPr>
          <w:rFonts w:cs="Times New Roman"/>
        </w:rPr>
        <w:t xml:space="preserve">; </w:t>
      </w:r>
      <w:r w:rsidR="00581E8E">
        <w:t xml:space="preserve">Mason and Julian (n 679); </w:t>
      </w:r>
      <w:r w:rsidR="00836720" w:rsidRPr="002A333C">
        <w:rPr>
          <w:rFonts w:cs="Times New Roman"/>
        </w:rPr>
        <w:t xml:space="preserve">Urbis (n </w:t>
      </w:r>
      <w:r w:rsidR="00836720">
        <w:rPr>
          <w:rFonts w:cs="Times New Roman"/>
        </w:rPr>
        <w:t>270</w:t>
      </w:r>
      <w:r w:rsidR="00836720" w:rsidRPr="002A333C">
        <w:rPr>
          <w:rFonts w:cs="Times New Roman"/>
        </w:rPr>
        <w:t>)</w:t>
      </w:r>
      <w:r w:rsidR="00836720">
        <w:rPr>
          <w:rFonts w:cs="Times New Roman"/>
        </w:rPr>
        <w:t xml:space="preserve">; </w:t>
      </w:r>
      <w:r w:rsidR="001E2B24">
        <w:rPr>
          <w:rFonts w:cs="Times New Roman"/>
        </w:rPr>
        <w:t xml:space="preserve">Success Works (n 270); </w:t>
      </w:r>
      <w:r w:rsidR="00924273" w:rsidRPr="00884C72">
        <w:rPr>
          <w:rFonts w:cs="Times New Roman"/>
        </w:rPr>
        <w:t xml:space="preserve">Department of Justice, Tasmanian Government, </w:t>
      </w:r>
      <w:r w:rsidR="00924273" w:rsidRPr="00884C72">
        <w:rPr>
          <w:rFonts w:cs="Times New Roman"/>
          <w:i/>
          <w:iCs/>
        </w:rPr>
        <w:t>Internal Performance Review Report</w:t>
      </w:r>
      <w:r w:rsidR="00924273" w:rsidRPr="00884C72">
        <w:rPr>
          <w:rFonts w:cs="Times New Roman"/>
        </w:rPr>
        <w:t xml:space="preserve"> (n </w:t>
      </w:r>
      <w:r w:rsidR="00924273">
        <w:rPr>
          <w:rFonts w:cs="Times New Roman"/>
        </w:rPr>
        <w:t>270</w:t>
      </w:r>
      <w:r w:rsidR="00924273" w:rsidRPr="00884C72">
        <w:rPr>
          <w:rFonts w:cs="Times New Roman"/>
        </w:rPr>
        <w:t>)</w:t>
      </w:r>
      <w:r w:rsidR="00924273">
        <w:rPr>
          <w:rFonts w:cs="Times New Roman"/>
        </w:rPr>
        <w:t xml:space="preserve">; </w:t>
      </w:r>
      <w:r w:rsidR="00677F49">
        <w:t>Department of Communities Tasmania, Tasmanian Government (n 270).</w:t>
      </w:r>
    </w:p>
  </w:footnote>
  <w:footnote w:id="682">
    <w:p w14:paraId="6B8A19BC" w14:textId="50E0D6CF" w:rsidR="003B586B" w:rsidRDefault="003B586B">
      <w:pPr>
        <w:pStyle w:val="FootnoteText"/>
      </w:pPr>
      <w:r>
        <w:rPr>
          <w:rStyle w:val="FootnoteReference"/>
        </w:rPr>
        <w:footnoteRef/>
      </w:r>
      <w:r>
        <w:t xml:space="preserve"> </w:t>
      </w:r>
      <w:r w:rsidRPr="00884C72">
        <w:rPr>
          <w:rFonts w:cs="Times New Roman"/>
        </w:rPr>
        <w:t xml:space="preserve">Department of Justice, Tasmanian Government, About Us (n </w:t>
      </w:r>
      <w:r w:rsidR="0092674A">
        <w:rPr>
          <w:rFonts w:cs="Times New Roman"/>
        </w:rPr>
        <w:t>268</w:t>
      </w:r>
      <w:r w:rsidRPr="00884C72">
        <w:rPr>
          <w:rFonts w:cs="Times New Roman"/>
        </w:rPr>
        <w:t>)</w:t>
      </w:r>
      <w:r w:rsidR="00C2105E">
        <w:rPr>
          <w:rFonts w:cs="Times New Roman"/>
        </w:rPr>
        <w:t xml:space="preserve">; </w:t>
      </w:r>
      <w:r w:rsidR="00C2105E">
        <w:t>Department of Communities Tasmania, Tasmanian Government (n 270).</w:t>
      </w:r>
      <w:r>
        <w:rPr>
          <w:rFonts w:cs="Times New Roman"/>
        </w:rPr>
        <w:t xml:space="preserve"> </w:t>
      </w:r>
      <w:r w:rsidRPr="003B586B">
        <w:t>Partner agencies and business units are: Department of Justice (Safe at Home Coordination Unit, Court Support and Liaison Service, Community Corrections—Family Violence Offender Intervention Program, Tasmanian Prison Service); Department of Police, Fire and Emergency Management (Family Violence Units, Specialist Police Prosecutors); Department for Education, Children and Young People (Family Violence Response and Referral Line, Child Safety Services, Specialist Social Workers); Department of Health (Family Violence Counselling and Support Service, Defendant Health Liaison Service); and Tasmania Legal Aid (specialist lawyers)</w:t>
      </w:r>
      <w:r w:rsidR="003D6C54">
        <w:t xml:space="preserve">: </w:t>
      </w:r>
      <w:r w:rsidR="00D83F93" w:rsidRPr="00D83F93">
        <w:t>Department of Justice, Tasmanian Government, Safe at Home Partners (n 266)</w:t>
      </w:r>
      <w:r w:rsidR="00D83F93">
        <w:t>.</w:t>
      </w:r>
    </w:p>
  </w:footnote>
  <w:footnote w:id="683">
    <w:p w14:paraId="75C0C477" w14:textId="04543C59" w:rsidR="00AB3BAE" w:rsidRDefault="00AB3BAE">
      <w:pPr>
        <w:pStyle w:val="FootnoteText"/>
      </w:pPr>
      <w:r>
        <w:rPr>
          <w:rStyle w:val="FootnoteReference"/>
        </w:rPr>
        <w:footnoteRef/>
      </w:r>
      <w:r>
        <w:t xml:space="preserve"> </w:t>
      </w:r>
      <w:r w:rsidRPr="003C4B61">
        <w:rPr>
          <w:i/>
          <w:iCs/>
        </w:rPr>
        <w:t xml:space="preserve">Justices Act 1959 </w:t>
      </w:r>
      <w:r w:rsidRPr="003C4B61">
        <w:t xml:space="preserve">(Tas) s </w:t>
      </w:r>
      <w:r w:rsidRPr="003C5E81">
        <w:t>106D</w:t>
      </w:r>
      <w:r w:rsidRPr="003C4B61">
        <w:t>(1).</w:t>
      </w:r>
    </w:p>
  </w:footnote>
  <w:footnote w:id="684">
    <w:p w14:paraId="20223766" w14:textId="2E53C052" w:rsidR="00AB3BAE" w:rsidRDefault="00AB3BAE">
      <w:pPr>
        <w:pStyle w:val="FootnoteText"/>
      </w:pPr>
      <w:r>
        <w:rPr>
          <w:rStyle w:val="FootnoteReference"/>
        </w:rPr>
        <w:footnoteRef/>
      </w:r>
      <w:r>
        <w:t xml:space="preserve"> </w:t>
      </w:r>
      <w:r w:rsidRPr="003C4B61">
        <w:t>Interview</w:t>
      </w:r>
      <w:r>
        <w:t>s</w:t>
      </w:r>
      <w:r w:rsidRPr="003C4B61">
        <w:t xml:space="preserve"> 4</w:t>
      </w:r>
      <w:r>
        <w:t>,</w:t>
      </w:r>
      <w:r w:rsidRPr="003C4B61">
        <w:t xml:space="preserve"> 13</w:t>
      </w:r>
      <w:r>
        <w:t>,</w:t>
      </w:r>
      <w:r w:rsidRPr="003C4B61">
        <w:t xml:space="preserve"> 14</w:t>
      </w:r>
      <w:r w:rsidR="00130DF7">
        <w:t>, 6</w:t>
      </w:r>
      <w:r w:rsidRPr="003C4B61">
        <w:t>.</w:t>
      </w:r>
    </w:p>
  </w:footnote>
  <w:footnote w:id="685">
    <w:p w14:paraId="690D21F3" w14:textId="65034420" w:rsidR="00AB3BAE" w:rsidRDefault="00AB3BAE">
      <w:pPr>
        <w:pStyle w:val="FootnoteText"/>
      </w:pPr>
      <w:r>
        <w:rPr>
          <w:rStyle w:val="FootnoteReference"/>
        </w:rPr>
        <w:footnoteRef/>
      </w:r>
      <w:r>
        <w:t xml:space="preserve"> </w:t>
      </w:r>
      <w:r w:rsidRPr="003C4B61">
        <w:t>Interview</w:t>
      </w:r>
      <w:r>
        <w:t>s</w:t>
      </w:r>
      <w:r w:rsidRPr="003C4B61">
        <w:t xml:space="preserve"> 4</w:t>
      </w:r>
      <w:r>
        <w:t>,</w:t>
      </w:r>
      <w:r w:rsidRPr="003C4B61">
        <w:t xml:space="preserve"> 21</w:t>
      </w:r>
      <w:r w:rsidR="00B84C49">
        <w:t>, 6</w:t>
      </w:r>
      <w:r w:rsidR="002B0839">
        <w:t>, 5</w:t>
      </w:r>
      <w:r w:rsidR="005E4E03">
        <w:t>, 12</w:t>
      </w:r>
      <w:r w:rsidRPr="003C4B61">
        <w:t>.</w:t>
      </w:r>
    </w:p>
  </w:footnote>
  <w:footnote w:id="686">
    <w:p w14:paraId="0F9D7AF8" w14:textId="017F6F46" w:rsidR="00AB3BAE" w:rsidRDefault="00AB3BAE">
      <w:pPr>
        <w:pStyle w:val="FootnoteText"/>
      </w:pPr>
      <w:r>
        <w:rPr>
          <w:rStyle w:val="FootnoteReference"/>
        </w:rPr>
        <w:footnoteRef/>
      </w:r>
      <w:r>
        <w:t xml:space="preserve"> </w:t>
      </w:r>
      <w:r w:rsidRPr="003C5E81">
        <w:t>Interview</w:t>
      </w:r>
      <w:r w:rsidRPr="003C4B61">
        <w:t xml:space="preserve"> 4.</w:t>
      </w:r>
    </w:p>
  </w:footnote>
  <w:footnote w:id="687">
    <w:p w14:paraId="66AC6B16" w14:textId="43A40437" w:rsidR="00AB3BAE" w:rsidRDefault="00AB3BAE">
      <w:pPr>
        <w:pStyle w:val="FootnoteText"/>
      </w:pPr>
      <w:r>
        <w:rPr>
          <w:rStyle w:val="FootnoteReference"/>
        </w:rPr>
        <w:footnoteRef/>
      </w:r>
      <w:r>
        <w:t xml:space="preserve"> </w:t>
      </w:r>
      <w:r w:rsidRPr="003C4B61">
        <w:t>Interview 13.</w:t>
      </w:r>
    </w:p>
  </w:footnote>
  <w:footnote w:id="688">
    <w:p w14:paraId="257A7CCE" w14:textId="618BE710" w:rsidR="00AB3BAE" w:rsidRDefault="00AB3BAE">
      <w:pPr>
        <w:pStyle w:val="FootnoteText"/>
      </w:pPr>
      <w:r>
        <w:rPr>
          <w:rStyle w:val="FootnoteReference"/>
        </w:rPr>
        <w:footnoteRef/>
      </w:r>
      <w:r>
        <w:t xml:space="preserve"> </w:t>
      </w:r>
      <w:r w:rsidRPr="003C4B61">
        <w:t xml:space="preserve">See </w:t>
      </w:r>
      <w:r w:rsidRPr="003C5E81">
        <w:t>discussion</w:t>
      </w:r>
      <w:r w:rsidRPr="003C4B61">
        <w:t xml:space="preserve"> at </w:t>
      </w:r>
      <w:r w:rsidR="000B7983">
        <w:t>[5.2.4]–[5.2.11]</w:t>
      </w:r>
      <w:r w:rsidRPr="003C4B61">
        <w:t>.</w:t>
      </w:r>
    </w:p>
  </w:footnote>
  <w:footnote w:id="689">
    <w:p w14:paraId="3BC4E131" w14:textId="150189C0" w:rsidR="000B7983" w:rsidRDefault="000B7983">
      <w:pPr>
        <w:pStyle w:val="FootnoteText"/>
      </w:pPr>
      <w:r>
        <w:rPr>
          <w:rStyle w:val="FootnoteReference"/>
        </w:rPr>
        <w:footnoteRef/>
      </w:r>
      <w:r>
        <w:t xml:space="preserve"> </w:t>
      </w:r>
      <w:r w:rsidRPr="000B7983">
        <w:rPr>
          <w:i/>
          <w:iCs/>
        </w:rPr>
        <w:t>Ageing and Adult Safeguarding Act 1995</w:t>
      </w:r>
      <w:r w:rsidRPr="00D7313E">
        <w:t xml:space="preserve"> (SA) ss</w:t>
      </w:r>
      <w:r>
        <w:t xml:space="preserve"> 31–37.</w:t>
      </w:r>
    </w:p>
  </w:footnote>
  <w:footnote w:id="690">
    <w:p w14:paraId="0D20E677" w14:textId="71982CDC" w:rsidR="0000731C" w:rsidRDefault="0000731C" w:rsidP="003C5E81">
      <w:pPr>
        <w:pStyle w:val="FootnoteText"/>
      </w:pPr>
      <w:r>
        <w:rPr>
          <w:rStyle w:val="FootnoteReference"/>
        </w:rPr>
        <w:footnoteRef/>
      </w:r>
      <w:r>
        <w:t xml:space="preserve"> See discussion </w:t>
      </w:r>
      <w:r w:rsidR="003F1649">
        <w:t xml:space="preserve">in </w:t>
      </w:r>
      <w:r w:rsidR="003F1649" w:rsidRPr="00CF395D">
        <w:rPr>
          <w:b/>
          <w:bCs/>
        </w:rPr>
        <w:t>Part 3</w:t>
      </w:r>
      <w:r w:rsidR="003F1649">
        <w:t xml:space="preserve"> </w:t>
      </w:r>
      <w:r>
        <w:t>at</w:t>
      </w:r>
      <w:r w:rsidR="008C2F5A">
        <w:t xml:space="preserve"> [3.4.3]– [3.4.5] and </w:t>
      </w:r>
      <w:r w:rsidR="003F1649" w:rsidRPr="00CF395D">
        <w:rPr>
          <w:b/>
          <w:bCs/>
        </w:rPr>
        <w:t>Part 4</w:t>
      </w:r>
      <w:r w:rsidR="003F1649">
        <w:t xml:space="preserve"> at [4.3.35]</w:t>
      </w:r>
      <w:r w:rsidR="00CF395D">
        <w:t xml:space="preserve"> and </w:t>
      </w:r>
      <w:r w:rsidR="00EF0077">
        <w:t>[4.5.49]–[</w:t>
      </w:r>
      <w:r w:rsidR="001D36F0">
        <w:t>4.5.51]</w:t>
      </w:r>
      <w:r w:rsidR="00CF395D">
        <w:t>.</w:t>
      </w:r>
      <w:r w:rsidR="001D36F0">
        <w:t xml:space="preserve"> </w:t>
      </w:r>
    </w:p>
  </w:footnote>
  <w:footnote w:id="691">
    <w:p w14:paraId="2E39A5C2" w14:textId="06858F22" w:rsidR="006C4EF3" w:rsidRDefault="006C4EF3">
      <w:pPr>
        <w:pStyle w:val="FootnoteText"/>
      </w:pPr>
      <w:r>
        <w:rPr>
          <w:rStyle w:val="FootnoteReference"/>
        </w:rPr>
        <w:footnoteRef/>
      </w:r>
      <w:r>
        <w:t xml:space="preserve"> </w:t>
      </w:r>
      <w:r w:rsidR="006577F0" w:rsidRPr="003C4B61">
        <w:t xml:space="preserve">This table is not exhaustive but reflects the offences that may be relevant in circumstances where an older person is being abused, neglected or mistreated, </w:t>
      </w:r>
      <w:r w:rsidR="006577F0" w:rsidRPr="003C5E81">
        <w:t>according</w:t>
      </w:r>
      <w:r w:rsidR="006577F0" w:rsidRPr="003C4B61">
        <w:t xml:space="preserve"> to the recognised types of abuse of older people (see </w:t>
      </w:r>
      <w:r w:rsidR="006577F0" w:rsidRPr="00C629F8">
        <w:rPr>
          <w:b/>
          <w:bCs/>
        </w:rPr>
        <w:t>Part 2</w:t>
      </w:r>
      <w:r w:rsidR="006577F0" w:rsidRPr="003C4B61">
        <w:t xml:space="preserve"> </w:t>
      </w:r>
      <w:r w:rsidR="006577F0">
        <w:t>at [2.2], including Table 2.1, and [2.3]</w:t>
      </w:r>
      <w:r w:rsidR="006577F0" w:rsidRPr="003C4B61">
        <w:t>.</w:t>
      </w:r>
    </w:p>
  </w:footnote>
  <w:footnote w:id="692">
    <w:p w14:paraId="54685C14" w14:textId="4A3A6595" w:rsidR="006C4EF3" w:rsidRDefault="006C4EF3">
      <w:pPr>
        <w:pStyle w:val="FootnoteText"/>
      </w:pPr>
      <w:r>
        <w:rPr>
          <w:rStyle w:val="FootnoteReference"/>
        </w:rPr>
        <w:footnoteRef/>
      </w:r>
      <w:r>
        <w:t xml:space="preserve"> </w:t>
      </w:r>
      <w:r w:rsidRPr="003C4B61">
        <w:t xml:space="preserve">See </w:t>
      </w:r>
      <w:r w:rsidRPr="00C629F8">
        <w:rPr>
          <w:b/>
          <w:bCs/>
        </w:rPr>
        <w:t>Part 2</w:t>
      </w:r>
      <w:r w:rsidRPr="003C4B61">
        <w:t xml:space="preserve"> </w:t>
      </w:r>
      <w:r>
        <w:t>at [</w:t>
      </w:r>
      <w:r w:rsidRPr="003C4B61">
        <w:t>2.</w:t>
      </w:r>
      <w:r>
        <w:t>5.1]–[2.5.3].</w:t>
      </w:r>
    </w:p>
  </w:footnote>
  <w:footnote w:id="693">
    <w:p w14:paraId="1FC158E2" w14:textId="488D54FD" w:rsidR="006577F0" w:rsidRDefault="006577F0">
      <w:pPr>
        <w:pStyle w:val="FootnoteText"/>
      </w:pPr>
      <w:r>
        <w:rPr>
          <w:rStyle w:val="FootnoteReference"/>
        </w:rPr>
        <w:footnoteRef/>
      </w:r>
      <w:r>
        <w:t xml:space="preserve"> </w:t>
      </w:r>
      <w:r w:rsidRPr="003C4B61">
        <w:t xml:space="preserve">Sentencing statistics for the Magistrates Court is available on the Sentencing Advisory Council website for the last </w:t>
      </w:r>
      <w:r w:rsidR="002413AE">
        <w:t>5</w:t>
      </w:r>
      <w:r w:rsidRPr="003C4B61">
        <w:t xml:space="preserve"> full financial years, plus the financial year</w:t>
      </w:r>
      <w:r>
        <w:t xml:space="preserve"> 202</w:t>
      </w:r>
      <w:r w:rsidR="002A1428">
        <w:t>3</w:t>
      </w:r>
      <w:r>
        <w:t>–2</w:t>
      </w:r>
      <w:r w:rsidR="002A1428">
        <w:t>4 (up to 23 May 2024 as date of last update)</w:t>
      </w:r>
      <w:r>
        <w:t>:</w:t>
      </w:r>
      <w:r w:rsidRPr="003C4B61">
        <w:t xml:space="preserve"> see</w:t>
      </w:r>
      <w:r w:rsidRPr="006C4EF3">
        <w:t xml:space="preserve"> </w:t>
      </w:r>
      <w:r>
        <w:t>Sentencing Advisory Council</w:t>
      </w:r>
      <w:r w:rsidR="00633289">
        <w:t xml:space="preserve"> (Tas)</w:t>
      </w:r>
      <w:r>
        <w:t>,</w:t>
      </w:r>
      <w:r w:rsidRPr="00D715B3">
        <w:rPr>
          <w:rFonts w:cs="Times New Roman"/>
        </w:rPr>
        <w:t xml:space="preserve"> Magistrates Court Sentencing Statistics</w:t>
      </w:r>
      <w:r>
        <w:rPr>
          <w:rFonts w:cs="Times New Roman"/>
        </w:rPr>
        <w:t xml:space="preserve">: SACStats (n </w:t>
      </w:r>
      <w:r w:rsidRPr="00D715B3">
        <w:rPr>
          <w:rFonts w:cs="Times New Roman"/>
        </w:rPr>
        <w:t>27</w:t>
      </w:r>
      <w:r>
        <w:rPr>
          <w:rFonts w:cs="Times New Roman"/>
        </w:rPr>
        <w:t>).</w:t>
      </w:r>
    </w:p>
  </w:footnote>
  <w:footnote w:id="694">
    <w:p w14:paraId="239E1DA3" w14:textId="6282EC21" w:rsidR="006577F0" w:rsidRDefault="006577F0">
      <w:pPr>
        <w:pStyle w:val="FootnoteText"/>
      </w:pPr>
      <w:r>
        <w:rPr>
          <w:rStyle w:val="FootnoteReference"/>
        </w:rPr>
        <w:footnoteRef/>
      </w:r>
      <w:r>
        <w:t xml:space="preserve"> </w:t>
      </w:r>
      <w:r w:rsidRPr="003C4B61">
        <w:t>The deaths were also the subject of separate coronial investigations. Mrs Mackozdi’s death was the subject of an investigation and inquest conducted over 2017 and 2018, with findings and recommendations published in</w:t>
      </w:r>
      <w:r>
        <w:t xml:space="preserve"> </w:t>
      </w:r>
      <w:r w:rsidRPr="003C4B61">
        <w:t xml:space="preserve">July 2018: </w:t>
      </w:r>
      <w:r w:rsidRPr="00EC5712">
        <w:rPr>
          <w:i/>
          <w:iCs/>
        </w:rPr>
        <w:t>Findings and Recommendations of Coroner Olivia McTaggart Following the Holding of an Inquest under the Coroners Act 1995 into the Death of Janet Lois Mackozdi</w:t>
      </w:r>
      <w:r>
        <w:t xml:space="preserve">: </w:t>
      </w:r>
      <w:r w:rsidRPr="00C36293">
        <w:rPr>
          <w:i/>
          <w:iCs/>
        </w:rPr>
        <w:t>Record of Investigation into Death (With Inquest)</w:t>
      </w:r>
      <w:r>
        <w:t xml:space="preserve"> (Magistrates Court of Tasmania, Coronial Division, 13 July 2018)</w:t>
      </w:r>
      <w:r w:rsidRPr="003C4B61">
        <w:t xml:space="preserve">. Mrs Corstorphine’s death was the subject of an investigation without inquest: </w:t>
      </w:r>
      <w:r w:rsidRPr="00C36293">
        <w:rPr>
          <w:i/>
          <w:iCs/>
        </w:rPr>
        <w:t>Record of Investigation into Death of (Without Inquest): Veronica Corstorphine</w:t>
      </w:r>
      <w:r w:rsidRPr="003C4B61">
        <w:t xml:space="preserve"> </w:t>
      </w:r>
      <w:r>
        <w:t xml:space="preserve">(Magistrates Court of Tasmania, Coronial Division, 4 March </w:t>
      </w:r>
      <w:r w:rsidRPr="003C4B61">
        <w:t>2024). See</w:t>
      </w:r>
      <w:r w:rsidR="007F6188">
        <w:t xml:space="preserve"> </w:t>
      </w:r>
      <w:r w:rsidR="00EF3478" w:rsidRPr="00EF3478">
        <w:rPr>
          <w:b/>
          <w:bCs/>
        </w:rPr>
        <w:t>P</w:t>
      </w:r>
      <w:r w:rsidR="007F6188" w:rsidRPr="00EF3478">
        <w:rPr>
          <w:b/>
          <w:bCs/>
        </w:rPr>
        <w:t>art 2</w:t>
      </w:r>
      <w:r w:rsidR="007F6188">
        <w:t xml:space="preserve"> at [2.</w:t>
      </w:r>
      <w:r w:rsidR="00CD155F">
        <w:t>5.5] – [2.5.8] and</w:t>
      </w:r>
      <w:r w:rsidR="00EF3478">
        <w:t xml:space="preserve"> </w:t>
      </w:r>
      <w:r w:rsidR="00EF3478" w:rsidRPr="00EF3478">
        <w:rPr>
          <w:b/>
          <w:bCs/>
        </w:rPr>
        <w:t>Part 4</w:t>
      </w:r>
      <w:r w:rsidR="00EF3478">
        <w:t xml:space="preserve"> at </w:t>
      </w:r>
      <w:r w:rsidR="00CD155F">
        <w:t>[</w:t>
      </w:r>
      <w:r w:rsidR="00EF3478">
        <w:t xml:space="preserve">4.2.4] and [4.2.7]. </w:t>
      </w:r>
    </w:p>
  </w:footnote>
  <w:footnote w:id="695">
    <w:p w14:paraId="4723B388" w14:textId="68C1C01A" w:rsidR="006577F0" w:rsidRDefault="006577F0">
      <w:pPr>
        <w:pStyle w:val="FootnoteText"/>
      </w:pPr>
      <w:r>
        <w:rPr>
          <w:rStyle w:val="FootnoteReference"/>
        </w:rPr>
        <w:footnoteRef/>
      </w:r>
      <w:r>
        <w:t xml:space="preserve"> </w:t>
      </w:r>
      <w:r w:rsidRPr="003C4B61">
        <w:t xml:space="preserve">Mrs Mackozdi had advanced dementia, </w:t>
      </w:r>
      <w:r w:rsidRPr="003C5E81">
        <w:t>weighed</w:t>
      </w:r>
      <w:r w:rsidRPr="003C4B61">
        <w:t xml:space="preserve"> 37.9kg and the temperature in the shipping container between midnight and 6am on 24 July was between -1.0 and 2.9 degrees Celsius: </w:t>
      </w:r>
      <w:r w:rsidRPr="00C36293">
        <w:rPr>
          <w:i/>
          <w:iCs/>
        </w:rPr>
        <w:t>Tas v Anglin &amp; Anglin</w:t>
      </w:r>
      <w:r w:rsidRPr="003C4B61">
        <w:t xml:space="preserve"> (Supreme Court of Tasmania, Tennant J, 13 April 2015) 1.</w:t>
      </w:r>
    </w:p>
  </w:footnote>
  <w:footnote w:id="696">
    <w:p w14:paraId="5715D28D" w14:textId="35F68D2E" w:rsidR="006577F0" w:rsidRDefault="006577F0">
      <w:pPr>
        <w:pStyle w:val="FootnoteText"/>
      </w:pPr>
      <w:r>
        <w:rPr>
          <w:rStyle w:val="FootnoteReference"/>
        </w:rPr>
        <w:footnoteRef/>
      </w:r>
      <w:r>
        <w:t xml:space="preserve"> </w:t>
      </w:r>
      <w:r w:rsidR="002161DD">
        <w:t xml:space="preserve">The </w:t>
      </w:r>
      <w:r w:rsidRPr="003C4B61">
        <w:t>offence of manslaughter</w:t>
      </w:r>
      <w:r w:rsidR="002161DD">
        <w:t xml:space="preserve"> </w:t>
      </w:r>
      <w:r w:rsidR="006F47C6">
        <w:t xml:space="preserve">is defined as ‘culpable homicide not amounting to murder’: </w:t>
      </w:r>
      <w:r w:rsidR="006F47C6" w:rsidRPr="006F47C6">
        <w:rPr>
          <w:i/>
          <w:iCs/>
        </w:rPr>
        <w:t>Criminal Code Act 1924</w:t>
      </w:r>
      <w:r w:rsidR="006F47C6">
        <w:t xml:space="preserve"> (Tas) s </w:t>
      </w:r>
      <w:r w:rsidR="003A3C67">
        <w:t>159</w:t>
      </w:r>
      <w:r w:rsidRPr="003C4B61">
        <w:t xml:space="preserve">. Her death resulted from an ‘omission to perform a duty tending to the </w:t>
      </w:r>
      <w:r w:rsidRPr="00462AF5">
        <w:t>preservation of human life which amounted to culpable negligence’</w:t>
      </w:r>
      <w:r w:rsidR="00D17034">
        <w:t xml:space="preserve">: </w:t>
      </w:r>
      <w:r w:rsidR="00D17034" w:rsidRPr="00C36293">
        <w:rPr>
          <w:i/>
          <w:iCs/>
        </w:rPr>
        <w:t>Tas v Anglin &amp; Anglin</w:t>
      </w:r>
      <w:r w:rsidR="00D17034" w:rsidRPr="003C4B61">
        <w:t xml:space="preserve"> (Supreme Court of Tasmania, Tennant J, 13 April 2015) 1.</w:t>
      </w:r>
    </w:p>
  </w:footnote>
  <w:footnote w:id="697">
    <w:p w14:paraId="4349BEAF" w14:textId="100A1C51" w:rsidR="003A3C67" w:rsidRDefault="003A3C67">
      <w:pPr>
        <w:pStyle w:val="FootnoteText"/>
      </w:pPr>
      <w:r>
        <w:rPr>
          <w:rStyle w:val="FootnoteReference"/>
        </w:rPr>
        <w:footnoteRef/>
      </w:r>
      <w:r>
        <w:t xml:space="preserve"> </w:t>
      </w:r>
      <w:r w:rsidRPr="00EC5712">
        <w:rPr>
          <w:i/>
          <w:iCs/>
        </w:rPr>
        <w:t>Tas v Maher</w:t>
      </w:r>
      <w:r>
        <w:t xml:space="preserve"> (</w:t>
      </w:r>
      <w:r w:rsidRPr="003C4B61">
        <w:t>Supreme Court of Tasmania</w:t>
      </w:r>
      <w:r>
        <w:t xml:space="preserve">, Pearce J, </w:t>
      </w:r>
      <w:r w:rsidRPr="003C4B61">
        <w:t>8 November 2021</w:t>
      </w:r>
      <w:r>
        <w:t>).</w:t>
      </w:r>
    </w:p>
  </w:footnote>
  <w:footnote w:id="698">
    <w:p w14:paraId="78A6D34A" w14:textId="75BC318E" w:rsidR="0017631F" w:rsidRPr="00756C0B" w:rsidRDefault="0017631F" w:rsidP="003C5E81">
      <w:pPr>
        <w:pStyle w:val="FootnoteText"/>
      </w:pPr>
      <w:r w:rsidRPr="00462AF5">
        <w:rPr>
          <w:rStyle w:val="FootnoteReference"/>
        </w:rPr>
        <w:footnoteRef/>
      </w:r>
      <w:r w:rsidRPr="00462AF5">
        <w:t xml:space="preserve"> </w:t>
      </w:r>
      <w:r w:rsidR="0035679D" w:rsidRPr="00462AF5">
        <w:t>As noted</w:t>
      </w:r>
      <w:r w:rsidR="00C84589">
        <w:t xml:space="preserve"> at [5.3.2], and also in </w:t>
      </w:r>
      <w:r w:rsidR="00C84589" w:rsidRPr="00C629F8">
        <w:rPr>
          <w:b/>
          <w:bCs/>
        </w:rPr>
        <w:t>Part 2</w:t>
      </w:r>
      <w:r w:rsidR="00C84589" w:rsidRPr="003C4B61">
        <w:t xml:space="preserve"> </w:t>
      </w:r>
      <w:r w:rsidR="00C84589">
        <w:t>at [</w:t>
      </w:r>
      <w:r w:rsidR="00C84589" w:rsidRPr="003C4B61">
        <w:t>2.</w:t>
      </w:r>
      <w:r w:rsidR="00C84589">
        <w:t>5.1]–[2.5.3]</w:t>
      </w:r>
      <w:r w:rsidR="008366C7" w:rsidRPr="00462AF5">
        <w:t xml:space="preserve">, there are </w:t>
      </w:r>
      <w:r w:rsidR="00C170D2" w:rsidRPr="00462AF5">
        <w:t>difficulties</w:t>
      </w:r>
      <w:r w:rsidR="008366C7" w:rsidRPr="00462AF5">
        <w:t xml:space="preserve"> in</w:t>
      </w:r>
      <w:r w:rsidR="00D9549C" w:rsidRPr="00462AF5">
        <w:t xml:space="preserve"> searching specifically for </w:t>
      </w:r>
      <w:r w:rsidR="00D74E2B" w:rsidRPr="00462AF5">
        <w:t xml:space="preserve">cases involving the abuse of older people, and so </w:t>
      </w:r>
      <w:r w:rsidR="00173118" w:rsidRPr="00462AF5">
        <w:t xml:space="preserve">the cases found by the TLRI may not be exhaustive. </w:t>
      </w:r>
      <w:r w:rsidR="00C94760" w:rsidRPr="00462AF5">
        <w:t xml:space="preserve">The TLRI notes (in the context of aged care), the case of </w:t>
      </w:r>
      <w:r w:rsidR="002F1448">
        <w:t xml:space="preserve">Adam Matthew </w:t>
      </w:r>
      <w:r w:rsidR="00C94760" w:rsidRPr="00462AF5">
        <w:t>Pettit, where a care worker at an aged care facility</w:t>
      </w:r>
      <w:r w:rsidR="002F1448">
        <w:t xml:space="preserve"> who </w:t>
      </w:r>
      <w:r w:rsidR="00C94760" w:rsidRPr="00462AF5">
        <w:t>plea</w:t>
      </w:r>
      <w:r w:rsidR="00A74890" w:rsidRPr="00462AF5">
        <w:t xml:space="preserve">ded guilty to </w:t>
      </w:r>
      <w:r w:rsidR="001C304F" w:rsidRPr="00462AF5">
        <w:t>summary</w:t>
      </w:r>
      <w:r w:rsidR="00AE6A67" w:rsidRPr="00462AF5">
        <w:t xml:space="preserve"> offences relating to breach of privacy</w:t>
      </w:r>
      <w:r w:rsidR="008D6EB5">
        <w:t xml:space="preserve"> under the </w:t>
      </w:r>
      <w:r w:rsidR="00390426" w:rsidRPr="00390426">
        <w:rPr>
          <w:i/>
          <w:iCs/>
        </w:rPr>
        <w:t>Police Offences Act 1935</w:t>
      </w:r>
      <w:r w:rsidR="00390426">
        <w:t xml:space="preserve"> (Tas) ss 13B, 13C</w:t>
      </w:r>
      <w:r w:rsidR="00AE6A67" w:rsidRPr="00462AF5">
        <w:t xml:space="preserve">. </w:t>
      </w:r>
      <w:r w:rsidR="00F82981" w:rsidRPr="00462AF5">
        <w:t>It has been argued that th</w:t>
      </w:r>
      <w:r w:rsidR="00D168EC" w:rsidRPr="00462AF5">
        <w:t xml:space="preserve">e facts of the case </w:t>
      </w:r>
      <w:r w:rsidR="007E4D7B" w:rsidRPr="00462AF5">
        <w:t xml:space="preserve">could potentially give rise to </w:t>
      </w:r>
      <w:r w:rsidR="001C304F" w:rsidRPr="00462AF5">
        <w:t>a sexual offence</w:t>
      </w:r>
      <w:r w:rsidR="0096146E">
        <w:t xml:space="preserve"> given the facts of the case, including that Pettit ‘used his mobile phone to take a series of lewd photographs or naked and semi-naked female residents’</w:t>
      </w:r>
      <w:r w:rsidR="002F1448">
        <w:t>:</w:t>
      </w:r>
      <w:r w:rsidR="001C304F" w:rsidRPr="00462AF5">
        <w:t xml:space="preserve"> </w:t>
      </w:r>
      <w:r w:rsidR="006B49B3" w:rsidRPr="00462AF5">
        <w:t xml:space="preserve">Valarie Williams, ‘Sexual </w:t>
      </w:r>
      <w:r w:rsidR="00756C0B" w:rsidRPr="00462AF5">
        <w:t>Exploitation</w:t>
      </w:r>
      <w:r w:rsidR="006B49B3" w:rsidRPr="00462AF5">
        <w:t xml:space="preserve"> of Aged </w:t>
      </w:r>
      <w:r w:rsidR="003A3C67">
        <w:t>C</w:t>
      </w:r>
      <w:r w:rsidR="006B49B3" w:rsidRPr="00462AF5">
        <w:t xml:space="preserve">are </w:t>
      </w:r>
      <w:r w:rsidR="003A3C67">
        <w:t>R</w:t>
      </w:r>
      <w:r w:rsidR="006B49B3" w:rsidRPr="00462AF5">
        <w:t xml:space="preserve">esidents: By Care </w:t>
      </w:r>
      <w:r w:rsidR="00756C0B" w:rsidRPr="00462AF5">
        <w:t>Workers</w:t>
      </w:r>
      <w:r w:rsidR="006B49B3" w:rsidRPr="00462AF5">
        <w:t xml:space="preserve"> with Cameras’ </w:t>
      </w:r>
      <w:r w:rsidR="00ED77D5" w:rsidRPr="00462AF5">
        <w:t xml:space="preserve">(2017) </w:t>
      </w:r>
      <w:r w:rsidR="008F336E">
        <w:t xml:space="preserve">143 </w:t>
      </w:r>
      <w:r w:rsidR="00ED77D5" w:rsidRPr="00462AF5">
        <w:rPr>
          <w:i/>
        </w:rPr>
        <w:t>Prece</w:t>
      </w:r>
      <w:r w:rsidR="00756C0B" w:rsidRPr="00462AF5">
        <w:rPr>
          <w:i/>
        </w:rPr>
        <w:t>de</w:t>
      </w:r>
      <w:r w:rsidR="00ED77D5" w:rsidRPr="00462AF5">
        <w:rPr>
          <w:i/>
        </w:rPr>
        <w:t xml:space="preserve">nt </w:t>
      </w:r>
      <w:r w:rsidR="00756C0B" w:rsidRPr="00462AF5">
        <w:t>9</w:t>
      </w:r>
      <w:r w:rsidR="0096146E">
        <w:t>, 11</w:t>
      </w:r>
      <w:r w:rsidR="000B38A8">
        <w:t xml:space="preserve">, citing </w:t>
      </w:r>
      <w:r w:rsidR="000B38A8" w:rsidRPr="000B38A8">
        <w:rPr>
          <w:i/>
          <w:iCs/>
        </w:rPr>
        <w:t>Adam Matthew Pettit</w:t>
      </w:r>
      <w:r w:rsidR="000B38A8" w:rsidRPr="000B38A8">
        <w:t>, Sentencing Report, Hobart Magistrate’s Court, 25 November 2015 and 1 February 2017</w:t>
      </w:r>
      <w:r w:rsidR="000B38A8">
        <w:t>.</w:t>
      </w:r>
      <w:r w:rsidR="001C304F" w:rsidRPr="00462AF5">
        <w:t xml:space="preserve"> </w:t>
      </w:r>
      <w:r w:rsidR="00C24A77" w:rsidRPr="00462AF5">
        <w:t>There were</w:t>
      </w:r>
      <w:r w:rsidR="00173118" w:rsidRPr="00462AF5">
        <w:t xml:space="preserve"> no additional cases referred to by stakeholders</w:t>
      </w:r>
      <w:r w:rsidR="00D74E2B" w:rsidRPr="00462AF5">
        <w:t>.</w:t>
      </w:r>
      <w:r w:rsidR="00D74E2B">
        <w:t xml:space="preserve"> </w:t>
      </w:r>
    </w:p>
  </w:footnote>
  <w:footnote w:id="699">
    <w:p w14:paraId="06AEBE0F" w14:textId="2D9432DE" w:rsidR="0096146E" w:rsidRDefault="0096146E">
      <w:pPr>
        <w:pStyle w:val="FootnoteText"/>
      </w:pPr>
      <w:r>
        <w:rPr>
          <w:rStyle w:val="FootnoteReference"/>
        </w:rPr>
        <w:footnoteRef/>
      </w:r>
      <w:r>
        <w:t xml:space="preserve"> </w:t>
      </w:r>
      <w:r w:rsidRPr="005D5B7B">
        <w:t>Interview 12</w:t>
      </w:r>
      <w:r w:rsidR="00CA5307">
        <w:t>, 16, 22</w:t>
      </w:r>
      <w:r w:rsidRPr="005D5B7B">
        <w:t xml:space="preserve">. </w:t>
      </w:r>
    </w:p>
  </w:footnote>
  <w:footnote w:id="700">
    <w:p w14:paraId="463805B8" w14:textId="06CCE519" w:rsidR="0096146E" w:rsidRDefault="0096146E">
      <w:pPr>
        <w:pStyle w:val="FootnoteText"/>
      </w:pPr>
      <w:r>
        <w:rPr>
          <w:rStyle w:val="FootnoteReference"/>
        </w:rPr>
        <w:footnoteRef/>
      </w:r>
      <w:r>
        <w:t xml:space="preserve"> </w:t>
      </w:r>
      <w:r w:rsidRPr="003C5E81">
        <w:t>Interviews</w:t>
      </w:r>
      <w:r w:rsidRPr="003C4B61">
        <w:t xml:space="preserve"> </w:t>
      </w:r>
      <w:r>
        <w:t xml:space="preserve">4, </w:t>
      </w:r>
      <w:r w:rsidRPr="003C4B61">
        <w:t>2</w:t>
      </w:r>
      <w:r>
        <w:t>,</w:t>
      </w:r>
      <w:r w:rsidRPr="003C4B61">
        <w:t xml:space="preserve"> 21.</w:t>
      </w:r>
    </w:p>
  </w:footnote>
  <w:footnote w:id="701">
    <w:p w14:paraId="2AB43D02" w14:textId="4FFD12B9" w:rsidR="0096146E" w:rsidRDefault="0096146E">
      <w:pPr>
        <w:pStyle w:val="FootnoteText"/>
      </w:pPr>
      <w:r>
        <w:rPr>
          <w:rStyle w:val="FootnoteReference"/>
        </w:rPr>
        <w:footnoteRef/>
      </w:r>
      <w:r>
        <w:t xml:space="preserve"> </w:t>
      </w:r>
      <w:r w:rsidRPr="003C5E81">
        <w:t>Interviews</w:t>
      </w:r>
      <w:r w:rsidRPr="003C4B61">
        <w:t xml:space="preserve"> 21.</w:t>
      </w:r>
    </w:p>
  </w:footnote>
  <w:footnote w:id="702">
    <w:p w14:paraId="5D5406A1" w14:textId="236A1199" w:rsidR="0096146E" w:rsidRDefault="0096146E">
      <w:pPr>
        <w:pStyle w:val="FootnoteText"/>
      </w:pPr>
      <w:r>
        <w:rPr>
          <w:rStyle w:val="FootnoteReference"/>
        </w:rPr>
        <w:footnoteRef/>
      </w:r>
      <w:r>
        <w:t xml:space="preserve"> </w:t>
      </w:r>
      <w:r w:rsidRPr="00A6424D">
        <w:t>Interviews 23, 6, 2.</w:t>
      </w:r>
    </w:p>
  </w:footnote>
  <w:footnote w:id="703">
    <w:p w14:paraId="1A80CC67" w14:textId="4BB03794" w:rsidR="00881E55" w:rsidRDefault="00881E55">
      <w:pPr>
        <w:pStyle w:val="FootnoteText"/>
      </w:pPr>
      <w:r>
        <w:rPr>
          <w:rStyle w:val="FootnoteReference"/>
        </w:rPr>
        <w:footnoteRef/>
      </w:r>
      <w:r>
        <w:t xml:space="preserve"> </w:t>
      </w:r>
      <w:r w:rsidRPr="00280AF4">
        <w:t>Interviews 6, 4, 12, 15, 9, 8, 10, 13, 19, 2, 14, 177, 1, 6, 21, 23.</w:t>
      </w:r>
    </w:p>
  </w:footnote>
  <w:footnote w:id="704">
    <w:p w14:paraId="67190D71" w14:textId="634DD8FC" w:rsidR="00881E55" w:rsidRDefault="00881E55">
      <w:pPr>
        <w:pStyle w:val="FootnoteText"/>
      </w:pPr>
      <w:r>
        <w:rPr>
          <w:rStyle w:val="FootnoteReference"/>
        </w:rPr>
        <w:footnoteRef/>
      </w:r>
      <w:r>
        <w:t xml:space="preserve"> </w:t>
      </w:r>
      <w:r w:rsidRPr="003C4B61">
        <w:t>Interview</w:t>
      </w:r>
      <w:r>
        <w:t>s</w:t>
      </w:r>
      <w:r w:rsidRPr="003C4B61">
        <w:t xml:space="preserve"> 6, 10, 17, </w:t>
      </w:r>
      <w:r w:rsidRPr="00693654">
        <w:t xml:space="preserve">21. See </w:t>
      </w:r>
      <w:r w:rsidR="00945DC5">
        <w:t>[</w:t>
      </w:r>
      <w:r w:rsidRPr="00693654">
        <w:t>5.</w:t>
      </w:r>
      <w:r w:rsidR="00945DC5">
        <w:t>6.12]–[5.6.13],</w:t>
      </w:r>
      <w:r w:rsidRPr="00693654">
        <w:t xml:space="preserve"> </w:t>
      </w:r>
      <w:r w:rsidRPr="00945DC5">
        <w:rPr>
          <w:b/>
          <w:bCs/>
        </w:rPr>
        <w:t>Recommendation 31</w:t>
      </w:r>
      <w:r w:rsidRPr="00693654">
        <w:t xml:space="preserve"> regarding the provision</w:t>
      </w:r>
      <w:r>
        <w:t xml:space="preserve"> of</w:t>
      </w:r>
      <w:r w:rsidRPr="00693654">
        <w:t xml:space="preserve"> access to an intermediary for older people with communication needs to assist with communication before and during proceedings</w:t>
      </w:r>
      <w:r w:rsidR="00F665F5">
        <w:t>.</w:t>
      </w:r>
      <w:r w:rsidRPr="00693654">
        <w:t xml:space="preserve"> </w:t>
      </w:r>
    </w:p>
  </w:footnote>
  <w:footnote w:id="705">
    <w:p w14:paraId="060E41CB" w14:textId="219AEBD9" w:rsidR="00F665F5" w:rsidRDefault="00F665F5">
      <w:pPr>
        <w:pStyle w:val="FootnoteText"/>
      </w:pPr>
      <w:r>
        <w:rPr>
          <w:rStyle w:val="FootnoteReference"/>
        </w:rPr>
        <w:footnoteRef/>
      </w:r>
      <w:r>
        <w:t xml:space="preserve"> </w:t>
      </w:r>
      <w:r w:rsidRPr="003C5E81">
        <w:t>Interview</w:t>
      </w:r>
      <w:r w:rsidRPr="003C4B61">
        <w:t xml:space="preserve"> 6.</w:t>
      </w:r>
    </w:p>
  </w:footnote>
  <w:footnote w:id="706">
    <w:p w14:paraId="3F1073F1" w14:textId="7F3EE4FC" w:rsidR="00F665F5" w:rsidRDefault="00F665F5">
      <w:pPr>
        <w:pStyle w:val="FootnoteText"/>
      </w:pPr>
      <w:r>
        <w:rPr>
          <w:rStyle w:val="FootnoteReference"/>
        </w:rPr>
        <w:footnoteRef/>
      </w:r>
      <w:r>
        <w:t xml:space="preserve"> </w:t>
      </w:r>
      <w:r w:rsidRPr="003C4B61">
        <w:t>Interview</w:t>
      </w:r>
      <w:r>
        <w:t>s</w:t>
      </w:r>
      <w:r w:rsidRPr="003C4B61">
        <w:t xml:space="preserve"> 6, 10, 13. See further </w:t>
      </w:r>
      <w:r w:rsidR="00487660">
        <w:t xml:space="preserve">[5.2.11] and </w:t>
      </w:r>
      <w:r w:rsidR="000101E7">
        <w:t>[5.6.2]</w:t>
      </w:r>
      <w:r w:rsidR="00487660">
        <w:t xml:space="preserve">, </w:t>
      </w:r>
      <w:r w:rsidR="003642F1">
        <w:t xml:space="preserve">and also </w:t>
      </w:r>
      <w:r w:rsidR="003642F1" w:rsidRPr="003642F1">
        <w:rPr>
          <w:b/>
          <w:bCs/>
        </w:rPr>
        <w:t>Part 4</w:t>
      </w:r>
      <w:r w:rsidR="003642F1">
        <w:t xml:space="preserve"> at</w:t>
      </w:r>
      <w:r w:rsidR="00675717">
        <w:t xml:space="preserve"> </w:t>
      </w:r>
      <w:r w:rsidR="003642F1">
        <w:t>[</w:t>
      </w:r>
      <w:r w:rsidR="00675717">
        <w:t>4.3.20</w:t>
      </w:r>
      <w:r w:rsidR="003642F1">
        <w:t>].</w:t>
      </w:r>
    </w:p>
  </w:footnote>
  <w:footnote w:id="707">
    <w:p w14:paraId="6C291255" w14:textId="35ED5497" w:rsidR="003642F1" w:rsidRDefault="003642F1">
      <w:pPr>
        <w:pStyle w:val="FootnoteText"/>
      </w:pPr>
      <w:r>
        <w:rPr>
          <w:rStyle w:val="FootnoteReference"/>
        </w:rPr>
        <w:footnoteRef/>
      </w:r>
      <w:r>
        <w:t xml:space="preserve"> </w:t>
      </w:r>
      <w:r w:rsidRPr="00466E9B">
        <w:t>Interviews</w:t>
      </w:r>
      <w:r w:rsidRPr="003C4B61">
        <w:t xml:space="preserve"> 4, 9.</w:t>
      </w:r>
    </w:p>
  </w:footnote>
  <w:footnote w:id="708">
    <w:p w14:paraId="73DB98A2" w14:textId="35D1AE6B" w:rsidR="003642F1" w:rsidRDefault="003642F1">
      <w:pPr>
        <w:pStyle w:val="FootnoteText"/>
      </w:pPr>
      <w:r>
        <w:rPr>
          <w:rStyle w:val="FootnoteReference"/>
        </w:rPr>
        <w:footnoteRef/>
      </w:r>
      <w:r>
        <w:t xml:space="preserve"> </w:t>
      </w:r>
      <w:r w:rsidRPr="003C4B61">
        <w:t>Interview</w:t>
      </w:r>
      <w:r>
        <w:t>s</w:t>
      </w:r>
      <w:r w:rsidRPr="003C4B61">
        <w:t xml:space="preserve"> </w:t>
      </w:r>
      <w:r w:rsidRPr="006063DF">
        <w:t>7, 5, 10, 19, 14, 6.</w:t>
      </w:r>
    </w:p>
  </w:footnote>
  <w:footnote w:id="709">
    <w:p w14:paraId="073AAAC5" w14:textId="1F5B8C2A" w:rsidR="0009393A" w:rsidRPr="00326039" w:rsidRDefault="0009393A" w:rsidP="00466E9B">
      <w:pPr>
        <w:pStyle w:val="FootnoteText"/>
      </w:pPr>
      <w:r>
        <w:rPr>
          <w:rStyle w:val="FootnoteReference"/>
        </w:rPr>
        <w:footnoteRef/>
      </w:r>
      <w:r>
        <w:t xml:space="preserve"> </w:t>
      </w:r>
      <w:r w:rsidR="008078EE">
        <w:rPr>
          <w:i/>
          <w:iCs/>
        </w:rPr>
        <w:t xml:space="preserve">Family Violence Act 2004 </w:t>
      </w:r>
      <w:r w:rsidR="008078EE">
        <w:t>(Tas) ss 3 (‘family violence’)</w:t>
      </w:r>
      <w:r w:rsidR="00865AF6">
        <w:t xml:space="preserve">, </w:t>
      </w:r>
      <w:r w:rsidR="00BA2E34">
        <w:t>7</w:t>
      </w:r>
      <w:r w:rsidR="001710F8">
        <w:t xml:space="preserve"> (‘family violence’), 8 (‘economic abuse’</w:t>
      </w:r>
      <w:r w:rsidR="00534460">
        <w:t xml:space="preserve">), </w:t>
      </w:r>
      <w:r w:rsidR="00BA2E34">
        <w:t xml:space="preserve">9 </w:t>
      </w:r>
      <w:r w:rsidR="00865AF6">
        <w:t>(</w:t>
      </w:r>
      <w:r w:rsidR="00534460">
        <w:t>‘</w:t>
      </w:r>
      <w:r w:rsidR="00865AF6" w:rsidRPr="006F2DE6">
        <w:t xml:space="preserve">emotional abuse </w:t>
      </w:r>
      <w:r w:rsidR="00865AF6">
        <w:t>and intimidation</w:t>
      </w:r>
      <w:r w:rsidR="00534460">
        <w:t>’</w:t>
      </w:r>
      <w:r w:rsidR="00865AF6">
        <w:t>)</w:t>
      </w:r>
      <w:r w:rsidR="008078EE">
        <w:t>.</w:t>
      </w:r>
    </w:p>
  </w:footnote>
  <w:footnote w:id="710">
    <w:p w14:paraId="114B11F7" w14:textId="3F7D0A36" w:rsidR="004959DB" w:rsidRDefault="004959DB">
      <w:pPr>
        <w:pStyle w:val="FootnoteText"/>
      </w:pPr>
      <w:r>
        <w:rPr>
          <w:rStyle w:val="FootnoteReference"/>
        </w:rPr>
        <w:footnoteRef/>
      </w:r>
      <w:r>
        <w:t xml:space="preserve"> </w:t>
      </w:r>
      <w:r w:rsidR="00214003">
        <w:t xml:space="preserve">In 50 cases (94.3%), the sentence imposed was a fine. Imprisonment was imposed in 2 cases and imprisonment (fully suspended) in one case: </w:t>
      </w:r>
      <w:r>
        <w:t>Sentencing Advisory Council</w:t>
      </w:r>
      <w:r w:rsidR="00633289">
        <w:t xml:space="preserve"> (Tas)</w:t>
      </w:r>
      <w:r>
        <w:t>,</w:t>
      </w:r>
      <w:r w:rsidRPr="00D715B3">
        <w:rPr>
          <w:rFonts w:cs="Times New Roman"/>
        </w:rPr>
        <w:t xml:space="preserve"> Magistrates Court Sentencing Statistics</w:t>
      </w:r>
      <w:r>
        <w:rPr>
          <w:rFonts w:cs="Times New Roman"/>
        </w:rPr>
        <w:t xml:space="preserve">: SACStats (n </w:t>
      </w:r>
      <w:r w:rsidRPr="00D715B3">
        <w:rPr>
          <w:rFonts w:cs="Times New Roman"/>
        </w:rPr>
        <w:t>27</w:t>
      </w:r>
      <w:r>
        <w:rPr>
          <w:rFonts w:cs="Times New Roman"/>
        </w:rPr>
        <w:t>).</w:t>
      </w:r>
      <w:r w:rsidR="00E31E4A">
        <w:rPr>
          <w:rFonts w:cs="Times New Roman"/>
        </w:rPr>
        <w:t xml:space="preserve"> </w:t>
      </w:r>
      <w:r w:rsidR="00E31E4A">
        <w:t>SACStats data published by the Sentencing Advisory Council includes data for</w:t>
      </w:r>
      <w:r w:rsidR="00E31E4A" w:rsidRPr="009B7CD0">
        <w:t xml:space="preserve"> the </w:t>
      </w:r>
      <w:r w:rsidR="00E31E4A" w:rsidRPr="003C4B61">
        <w:t xml:space="preserve">last </w:t>
      </w:r>
      <w:r w:rsidR="00E31E4A">
        <w:t>5 financial years, plus the current financial year (last updated 23 May 2024).</w:t>
      </w:r>
    </w:p>
  </w:footnote>
  <w:footnote w:id="711">
    <w:p w14:paraId="352CE8E9" w14:textId="7830BB81" w:rsidR="00327BF3" w:rsidRPr="006258A7" w:rsidRDefault="00327BF3">
      <w:pPr>
        <w:pStyle w:val="FootnoteText"/>
      </w:pPr>
      <w:r>
        <w:rPr>
          <w:rStyle w:val="FootnoteReference"/>
        </w:rPr>
        <w:footnoteRef/>
      </w:r>
      <w:r>
        <w:t xml:space="preserve"> </w:t>
      </w:r>
      <w:r w:rsidR="006258A7">
        <w:rPr>
          <w:i/>
          <w:iCs/>
        </w:rPr>
        <w:t xml:space="preserve">Family Violence Act 2004 </w:t>
      </w:r>
      <w:r w:rsidR="006258A7">
        <w:t>(Tas) s 8</w:t>
      </w:r>
      <w:r w:rsidR="005B2889">
        <w:t xml:space="preserve"> (‘economic abuse’).</w:t>
      </w:r>
    </w:p>
  </w:footnote>
  <w:footnote w:id="712">
    <w:p w14:paraId="22FBED5C" w14:textId="692242B4" w:rsidR="008C64CB" w:rsidRDefault="008C64CB">
      <w:pPr>
        <w:pStyle w:val="FootnoteText"/>
      </w:pPr>
      <w:r>
        <w:rPr>
          <w:rStyle w:val="FootnoteReference"/>
        </w:rPr>
        <w:footnoteRef/>
      </w:r>
      <w:r w:rsidR="00E31E4A">
        <w:t xml:space="preserve"> </w:t>
      </w:r>
      <w:r w:rsidR="00C80FB7">
        <w:t>Sentencing Advisory Council</w:t>
      </w:r>
      <w:r w:rsidR="00633289">
        <w:t xml:space="preserve"> (Tas),</w:t>
      </w:r>
      <w:r w:rsidR="00C80FB7" w:rsidRPr="00D715B3">
        <w:rPr>
          <w:rFonts w:cs="Times New Roman"/>
        </w:rPr>
        <w:t xml:space="preserve"> Magistrates Court Sentencing Statistics</w:t>
      </w:r>
      <w:r w:rsidR="00C80FB7">
        <w:rPr>
          <w:rFonts w:cs="Times New Roman"/>
        </w:rPr>
        <w:t xml:space="preserve">: SACStats (n </w:t>
      </w:r>
      <w:r w:rsidR="00C80FB7" w:rsidRPr="00D715B3">
        <w:rPr>
          <w:rFonts w:cs="Times New Roman"/>
        </w:rPr>
        <w:t>27</w:t>
      </w:r>
      <w:r w:rsidR="00C80FB7">
        <w:rPr>
          <w:rFonts w:cs="Times New Roman"/>
        </w:rPr>
        <w:t>).</w:t>
      </w:r>
      <w:r w:rsidR="00E31E4A">
        <w:rPr>
          <w:rFonts w:cs="Times New Roman"/>
        </w:rPr>
        <w:t xml:space="preserve"> </w:t>
      </w:r>
      <w:r w:rsidR="00E31E4A">
        <w:t>SACStats data published by the Sentencing Advisory Council includes data for</w:t>
      </w:r>
      <w:r w:rsidR="00E31E4A" w:rsidRPr="009B7CD0">
        <w:t xml:space="preserve"> the </w:t>
      </w:r>
      <w:r w:rsidR="00E31E4A" w:rsidRPr="003C4B61">
        <w:t xml:space="preserve">last </w:t>
      </w:r>
      <w:r w:rsidR="00E31E4A">
        <w:t>5 financial years, plus the current financial year (last updated 23 May 2024).</w:t>
      </w:r>
    </w:p>
  </w:footnote>
  <w:footnote w:id="713">
    <w:p w14:paraId="7FB7F9E2" w14:textId="363B7C0F" w:rsidR="00E31E4A" w:rsidRDefault="00E31E4A">
      <w:pPr>
        <w:pStyle w:val="FootnoteText"/>
      </w:pPr>
      <w:r>
        <w:rPr>
          <w:rStyle w:val="FootnoteReference"/>
        </w:rPr>
        <w:footnoteRef/>
      </w:r>
      <w:r>
        <w:t xml:space="preserve"> ALRC, </w:t>
      </w:r>
      <w:r w:rsidRPr="003210B3">
        <w:rPr>
          <w:i/>
          <w:iCs/>
        </w:rPr>
        <w:t>Elder Abuse</w:t>
      </w:r>
      <w:r>
        <w:t xml:space="preserve"> (n 6)</w:t>
      </w:r>
      <w:r w:rsidRPr="003C4B61">
        <w:t xml:space="preserve"> 364</w:t>
      </w:r>
      <w:r>
        <w:t>.</w:t>
      </w:r>
    </w:p>
  </w:footnote>
  <w:footnote w:id="714">
    <w:p w14:paraId="25AE4739" w14:textId="751851A4" w:rsidR="00E31E4A" w:rsidRDefault="00E31E4A">
      <w:pPr>
        <w:pStyle w:val="FootnoteText"/>
      </w:pPr>
      <w:r>
        <w:rPr>
          <w:rStyle w:val="FootnoteReference"/>
        </w:rPr>
        <w:footnoteRef/>
      </w:r>
      <w:r>
        <w:t xml:space="preserve"> ALRC, </w:t>
      </w:r>
      <w:r w:rsidRPr="003210B3">
        <w:rPr>
          <w:i/>
          <w:iCs/>
        </w:rPr>
        <w:t>Elder Abuse</w:t>
      </w:r>
      <w:r>
        <w:t xml:space="preserve"> (n 6)</w:t>
      </w:r>
      <w:r w:rsidRPr="003C4B61">
        <w:t xml:space="preserve"> 363.</w:t>
      </w:r>
    </w:p>
  </w:footnote>
  <w:footnote w:id="715">
    <w:p w14:paraId="056F4B0D" w14:textId="492A66A5" w:rsidR="00E31E4A" w:rsidRDefault="00E31E4A">
      <w:pPr>
        <w:pStyle w:val="FootnoteText"/>
      </w:pPr>
      <w:r>
        <w:rPr>
          <w:rStyle w:val="FootnoteReference"/>
        </w:rPr>
        <w:footnoteRef/>
      </w:r>
      <w:r>
        <w:t xml:space="preserve"> ALRC, </w:t>
      </w:r>
      <w:r w:rsidRPr="003210B3">
        <w:rPr>
          <w:i/>
          <w:iCs/>
        </w:rPr>
        <w:t>Elder Abuse</w:t>
      </w:r>
      <w:r>
        <w:t xml:space="preserve"> (n 6)</w:t>
      </w:r>
      <w:r w:rsidRPr="003C4B61">
        <w:t xml:space="preserve"> 364.</w:t>
      </w:r>
    </w:p>
  </w:footnote>
  <w:footnote w:id="716">
    <w:p w14:paraId="56A2B514" w14:textId="2640BE7E" w:rsidR="00E31E4A" w:rsidRDefault="00E31E4A">
      <w:pPr>
        <w:pStyle w:val="FootnoteText"/>
      </w:pPr>
      <w:r>
        <w:rPr>
          <w:rStyle w:val="FootnoteReference"/>
        </w:rPr>
        <w:footnoteRef/>
      </w:r>
      <w:r>
        <w:t xml:space="preserve"> ALRC, </w:t>
      </w:r>
      <w:r w:rsidRPr="003210B3">
        <w:rPr>
          <w:i/>
          <w:iCs/>
        </w:rPr>
        <w:t>Elder Abuse</w:t>
      </w:r>
      <w:r>
        <w:t xml:space="preserve"> (n 6)</w:t>
      </w:r>
      <w:r w:rsidRPr="003C4B61">
        <w:t xml:space="preserve"> 364–5.</w:t>
      </w:r>
    </w:p>
  </w:footnote>
  <w:footnote w:id="717">
    <w:p w14:paraId="4B2CE227" w14:textId="009478D6" w:rsidR="00E31E4A" w:rsidRDefault="00E31E4A">
      <w:pPr>
        <w:pStyle w:val="FootnoteText"/>
      </w:pPr>
      <w:r>
        <w:rPr>
          <w:rStyle w:val="FootnoteReference"/>
        </w:rPr>
        <w:footnoteRef/>
      </w:r>
      <w:r>
        <w:t xml:space="preserve"> ALRC, </w:t>
      </w:r>
      <w:r w:rsidRPr="003210B3">
        <w:rPr>
          <w:i/>
          <w:iCs/>
        </w:rPr>
        <w:t>Elder Abuse</w:t>
      </w:r>
      <w:r>
        <w:t xml:space="preserve"> (n 6)</w:t>
      </w:r>
      <w:r w:rsidRPr="003C4B61">
        <w:t xml:space="preserve"> 369. </w:t>
      </w:r>
      <w:r>
        <w:t xml:space="preserve">See also </w:t>
      </w:r>
      <w:r w:rsidR="00812777">
        <w:t>Parliament of New South Wales,</w:t>
      </w:r>
      <w:r>
        <w:t xml:space="preserve"> Legislative Council General Purpose Standing Committee No 2, </w:t>
      </w:r>
      <w:r w:rsidRPr="00E6777E">
        <w:rPr>
          <w:i/>
          <w:iCs/>
        </w:rPr>
        <w:t>Elder Abuse in N</w:t>
      </w:r>
      <w:r w:rsidR="00830A40" w:rsidRPr="00E6777E">
        <w:rPr>
          <w:i/>
          <w:iCs/>
        </w:rPr>
        <w:t>ew South Wales</w:t>
      </w:r>
      <w:r w:rsidR="00830A40">
        <w:t xml:space="preserve"> </w:t>
      </w:r>
      <w:r>
        <w:t xml:space="preserve">(Report </w:t>
      </w:r>
      <w:r w:rsidR="00830A40">
        <w:t xml:space="preserve">No </w:t>
      </w:r>
      <w:r>
        <w:t>44, 24 June 2016)</w:t>
      </w:r>
      <w:r w:rsidR="00812777">
        <w:t xml:space="preserve"> </w:t>
      </w:r>
      <w:r w:rsidR="00812777" w:rsidRPr="00812777">
        <w:t>&lt;</w:t>
      </w:r>
      <w:hyperlink r:id="rId119" w:anchor="tab-reportsandgovernmentresponses" w:history="1">
        <w:r w:rsidR="00830A40" w:rsidRPr="00523D14">
          <w:rPr>
            <w:rStyle w:val="Hyperlink"/>
          </w:rPr>
          <w:t>https://www.parliament.nsw.gov.au/committees/inquiries/Pages/inquiry-details.aspx?pk=2387#tab-reportsandgovernmentresponses</w:t>
        </w:r>
      </w:hyperlink>
      <w:r w:rsidR="00812777">
        <w:t>&gt;</w:t>
      </w:r>
      <w:r w:rsidRPr="00812777">
        <w:t>.</w:t>
      </w:r>
    </w:p>
  </w:footnote>
  <w:footnote w:id="718">
    <w:p w14:paraId="6FCB74BD" w14:textId="12C99283" w:rsidR="00830A40" w:rsidRDefault="00830A40">
      <w:pPr>
        <w:pStyle w:val="FootnoteText"/>
      </w:pPr>
      <w:r>
        <w:rPr>
          <w:rStyle w:val="FootnoteReference"/>
        </w:rPr>
        <w:footnoteRef/>
      </w:r>
      <w:r>
        <w:t xml:space="preserve"> </w:t>
      </w:r>
      <w:r w:rsidRPr="003C4B61">
        <w:t xml:space="preserve">It is noted that in Tasmania there are specific offences created for the penetrative sexual abuse of person with mental impairment, </w:t>
      </w:r>
      <w:r w:rsidRPr="003C4B61">
        <w:rPr>
          <w:i/>
          <w:iCs/>
        </w:rPr>
        <w:t>Criminal Code</w:t>
      </w:r>
      <w:r>
        <w:rPr>
          <w:i/>
          <w:iCs/>
        </w:rPr>
        <w:t xml:space="preserve"> 1924</w:t>
      </w:r>
      <w:r w:rsidRPr="003C4B61">
        <w:rPr>
          <w:i/>
          <w:iCs/>
        </w:rPr>
        <w:t xml:space="preserve"> </w:t>
      </w:r>
      <w:r w:rsidRPr="003C4B61">
        <w:t>(Tas) s 126</w:t>
      </w:r>
      <w:r w:rsidRPr="003C4B61">
        <w:rPr>
          <w:i/>
          <w:iCs/>
        </w:rPr>
        <w:t>.</w:t>
      </w:r>
    </w:p>
  </w:footnote>
  <w:footnote w:id="719">
    <w:p w14:paraId="2D2BDAA3" w14:textId="5A066249" w:rsidR="00A94619" w:rsidRDefault="00A94619">
      <w:pPr>
        <w:pStyle w:val="FootnoteText"/>
      </w:pPr>
      <w:r>
        <w:rPr>
          <w:rStyle w:val="FootnoteReference"/>
        </w:rPr>
        <w:footnoteRef/>
      </w:r>
      <w:r w:rsidR="00830A40">
        <w:rPr>
          <w:i/>
          <w:iCs/>
        </w:rPr>
        <w:t xml:space="preserve"> </w:t>
      </w:r>
      <w:r w:rsidR="00CF3EF0" w:rsidRPr="006F2DE6">
        <w:rPr>
          <w:i/>
          <w:iCs/>
        </w:rPr>
        <w:t>Crimes Act 1900</w:t>
      </w:r>
      <w:r w:rsidR="00CF3EF0" w:rsidRPr="006F2DE6">
        <w:t xml:space="preserve"> (ACT)</w:t>
      </w:r>
      <w:r w:rsidR="00CF3EF0">
        <w:t xml:space="preserve"> s </w:t>
      </w:r>
      <w:r w:rsidR="00B317F7">
        <w:t>36A.</w:t>
      </w:r>
    </w:p>
  </w:footnote>
  <w:footnote w:id="720">
    <w:p w14:paraId="478F7576" w14:textId="4A3B465E" w:rsidR="00830A40" w:rsidRDefault="00830A40">
      <w:pPr>
        <w:pStyle w:val="FootnoteText"/>
      </w:pPr>
      <w:r>
        <w:rPr>
          <w:rStyle w:val="FootnoteReference"/>
        </w:rPr>
        <w:footnoteRef/>
      </w:r>
      <w:r>
        <w:t xml:space="preserve"> </w:t>
      </w:r>
      <w:r w:rsidRPr="006F2DE6">
        <w:rPr>
          <w:i/>
          <w:iCs/>
        </w:rPr>
        <w:t>Crimes Act 1900</w:t>
      </w:r>
      <w:r w:rsidRPr="006F2DE6">
        <w:t xml:space="preserve"> (ACT)</w:t>
      </w:r>
      <w:r>
        <w:t xml:space="preserve"> s 36B.</w:t>
      </w:r>
    </w:p>
  </w:footnote>
  <w:footnote w:id="721">
    <w:p w14:paraId="417FE30B" w14:textId="5D35762A" w:rsidR="00F541D6" w:rsidRDefault="00F541D6">
      <w:pPr>
        <w:pStyle w:val="FootnoteText"/>
      </w:pPr>
      <w:r>
        <w:rPr>
          <w:rStyle w:val="FootnoteReference"/>
        </w:rPr>
        <w:footnoteRef/>
      </w:r>
      <w:r>
        <w:t xml:space="preserve"> </w:t>
      </w:r>
      <w:r w:rsidR="00CF3EF0" w:rsidRPr="006F2DE6">
        <w:rPr>
          <w:i/>
          <w:iCs/>
        </w:rPr>
        <w:t>Crimes Act 1900</w:t>
      </w:r>
      <w:r w:rsidR="00CF3EF0" w:rsidRPr="006F2DE6">
        <w:t xml:space="preserve"> (ACT)</w:t>
      </w:r>
      <w:r w:rsidR="00CF3EF0">
        <w:t xml:space="preserve"> s</w:t>
      </w:r>
      <w:r>
        <w:t xml:space="preserve"> 36C</w:t>
      </w:r>
    </w:p>
  </w:footnote>
  <w:footnote w:id="722">
    <w:p w14:paraId="15B4E825" w14:textId="242D95F8" w:rsidR="00830A40" w:rsidRDefault="00830A40">
      <w:pPr>
        <w:pStyle w:val="FootnoteText"/>
      </w:pPr>
      <w:r>
        <w:rPr>
          <w:rStyle w:val="FootnoteReference"/>
        </w:rPr>
        <w:footnoteRef/>
      </w:r>
      <w:r>
        <w:t xml:space="preserve"> </w:t>
      </w:r>
      <w:r w:rsidR="00317D6D" w:rsidRPr="003D451B">
        <w:rPr>
          <w:i/>
          <w:iCs/>
        </w:rPr>
        <w:t>Crimes (Sentencing) Act</w:t>
      </w:r>
      <w:r w:rsidR="00317D6D" w:rsidRPr="00317D6D">
        <w:t xml:space="preserve"> </w:t>
      </w:r>
      <w:r w:rsidRPr="003C4B61">
        <w:rPr>
          <w:i/>
          <w:iCs/>
        </w:rPr>
        <w:t>2005</w:t>
      </w:r>
      <w:r w:rsidRPr="003C4B61">
        <w:t xml:space="preserve"> (ACT) s </w:t>
      </w:r>
      <w:r w:rsidRPr="00CF3EF0">
        <w:t>33</w:t>
      </w:r>
      <w:r w:rsidRPr="003C4B61">
        <w:t>(1)(gb)</w:t>
      </w:r>
      <w:r>
        <w:t>.</w:t>
      </w:r>
    </w:p>
  </w:footnote>
  <w:footnote w:id="723">
    <w:p w14:paraId="537BEDE7" w14:textId="0BC420B0" w:rsidR="00A933D8" w:rsidRDefault="00A933D8">
      <w:pPr>
        <w:pStyle w:val="FootnoteText"/>
      </w:pPr>
      <w:r>
        <w:rPr>
          <w:rStyle w:val="FootnoteReference"/>
        </w:rPr>
        <w:footnoteRef/>
      </w:r>
      <w:r>
        <w:t xml:space="preserve"> ACT Government, ‘Review of Laws to Protect Vulnerable Canberrans’, Y</w:t>
      </w:r>
      <w:r w:rsidR="00BB1546">
        <w:t>our Say Conversations’ (Web Page</w:t>
      </w:r>
      <w:r w:rsidR="00DB4BBD">
        <w:t xml:space="preserve">) &lt; </w:t>
      </w:r>
      <w:r w:rsidR="00BB1546">
        <w:t xml:space="preserve"> </w:t>
      </w:r>
      <w:hyperlink r:id="rId120" w:history="1">
        <w:r w:rsidR="003348C2" w:rsidRPr="00523D14">
          <w:rPr>
            <w:rStyle w:val="Hyperlink"/>
          </w:rPr>
          <w:t>https://yoursayconversations.act.gov.au/review-laws-protect-vulnerable-canberrans</w:t>
        </w:r>
      </w:hyperlink>
      <w:r w:rsidR="003348C2">
        <w:t xml:space="preserve"> &gt;; </w:t>
      </w:r>
      <w:r w:rsidR="004266E0" w:rsidRPr="003C4B61">
        <w:t xml:space="preserve">Justice and Community Safety Directorate, </w:t>
      </w:r>
      <w:r w:rsidRPr="003C4B61">
        <w:t xml:space="preserve">ACT Government, </w:t>
      </w:r>
      <w:r w:rsidRPr="004266E0">
        <w:rPr>
          <w:i/>
          <w:iCs/>
        </w:rPr>
        <w:t>Statutory Review Report Sections 36A, 36B, and 36C Crimes Act 1900 (ACT)</w:t>
      </w:r>
      <w:r w:rsidR="004266E0">
        <w:rPr>
          <w:i/>
          <w:iCs/>
        </w:rPr>
        <w:t xml:space="preserve"> </w:t>
      </w:r>
      <w:r w:rsidRPr="003C4B61">
        <w:t>(</w:t>
      </w:r>
      <w:r w:rsidR="00517245" w:rsidRPr="003C4B61">
        <w:t xml:space="preserve">A Review of the operation of offences of abuse of vulnerable people as required by section 442C </w:t>
      </w:r>
      <w:r w:rsidR="00517245" w:rsidRPr="003C4B61">
        <w:rPr>
          <w:i/>
          <w:iCs/>
        </w:rPr>
        <w:t>Crimes Act 1900</w:t>
      </w:r>
      <w:r w:rsidR="00517245" w:rsidRPr="003C4B61">
        <w:t xml:space="preserve"> (ACT)</w:t>
      </w:r>
      <w:r w:rsidR="00517245">
        <w:t xml:space="preserve">, </w:t>
      </w:r>
      <w:r w:rsidRPr="003C4B61">
        <w:t>Statutory Review Report, October 2023) 5–6.</w:t>
      </w:r>
    </w:p>
  </w:footnote>
  <w:footnote w:id="724">
    <w:p w14:paraId="0CE13117" w14:textId="31D2ABE0" w:rsidR="00517245" w:rsidRPr="00517245" w:rsidRDefault="00517245">
      <w:pPr>
        <w:pStyle w:val="FootnoteText"/>
      </w:pPr>
      <w:r>
        <w:rPr>
          <w:rStyle w:val="FootnoteReference"/>
        </w:rPr>
        <w:footnoteRef/>
      </w:r>
      <w:r>
        <w:t xml:space="preserve"> </w:t>
      </w:r>
      <w:r w:rsidRPr="00517245">
        <w:rPr>
          <w:i/>
          <w:iCs/>
        </w:rPr>
        <w:t xml:space="preserve">Criminal Code </w:t>
      </w:r>
      <w:r w:rsidR="00965B96">
        <w:rPr>
          <w:i/>
          <w:iCs/>
        </w:rPr>
        <w:t xml:space="preserve">Act </w:t>
      </w:r>
      <w:r w:rsidRPr="00517245">
        <w:rPr>
          <w:i/>
          <w:iCs/>
        </w:rPr>
        <w:t>1899</w:t>
      </w:r>
      <w:r w:rsidRPr="00517245">
        <w:t xml:space="preserve"> (Qld) s 340(1)(g). This has a higher penalty of imprisonment of</w:t>
      </w:r>
      <w:r w:rsidR="00DF6A0C">
        <w:t xml:space="preserve"> 7</w:t>
      </w:r>
      <w:r w:rsidRPr="00517245">
        <w:t xml:space="preserve"> years, compared with 4 years for common assault</w:t>
      </w:r>
      <w:r>
        <w:t>.</w:t>
      </w:r>
    </w:p>
  </w:footnote>
  <w:footnote w:id="725">
    <w:p w14:paraId="3A7BE7CB" w14:textId="02F9B429" w:rsidR="009B7652" w:rsidRPr="009B7652" w:rsidRDefault="009B7652" w:rsidP="00CF3EF0">
      <w:pPr>
        <w:pStyle w:val="FootnoteText"/>
      </w:pPr>
      <w:r>
        <w:rPr>
          <w:rStyle w:val="FootnoteReference"/>
        </w:rPr>
        <w:footnoteRef/>
      </w:r>
      <w:r>
        <w:t xml:space="preserve"> See </w:t>
      </w:r>
      <w:r w:rsidRPr="00965B96">
        <w:rPr>
          <w:i/>
          <w:iCs/>
        </w:rPr>
        <w:t xml:space="preserve">Criminal Code </w:t>
      </w:r>
      <w:r w:rsidR="00965B96" w:rsidRPr="00965B96">
        <w:rPr>
          <w:i/>
          <w:iCs/>
        </w:rPr>
        <w:t>Act 1899</w:t>
      </w:r>
      <w:r w:rsidR="00965B96" w:rsidRPr="00517245">
        <w:t xml:space="preserve"> (Qld) </w:t>
      </w:r>
      <w:r>
        <w:t>s 334C</w:t>
      </w:r>
      <w:r w:rsidR="00CF3EF0">
        <w:t>.</w:t>
      </w:r>
    </w:p>
  </w:footnote>
  <w:footnote w:id="726">
    <w:p w14:paraId="11FE987D" w14:textId="625D0549" w:rsidR="00FB54CA" w:rsidRPr="00FB54CA" w:rsidRDefault="00FB54CA" w:rsidP="00CF3EF0">
      <w:pPr>
        <w:pStyle w:val="FootnoteText"/>
      </w:pPr>
      <w:r>
        <w:rPr>
          <w:rStyle w:val="FootnoteReference"/>
        </w:rPr>
        <w:footnoteRef/>
      </w:r>
      <w:r>
        <w:t xml:space="preserve"> </w:t>
      </w:r>
      <w:r w:rsidR="00AE48E1" w:rsidRPr="00965B96">
        <w:rPr>
          <w:i/>
          <w:iCs/>
        </w:rPr>
        <w:t>Crimes</w:t>
      </w:r>
      <w:r w:rsidRPr="00965B96">
        <w:rPr>
          <w:i/>
          <w:iCs/>
        </w:rPr>
        <w:t xml:space="preserve"> (Domestic and Personal Violence) Act 2007</w:t>
      </w:r>
      <w:r>
        <w:t xml:space="preserve"> </w:t>
      </w:r>
      <w:r w:rsidRPr="004E0272">
        <w:t>(NSW) s 13</w:t>
      </w:r>
      <w:r w:rsidR="00CF3EF0">
        <w:t>.</w:t>
      </w:r>
    </w:p>
  </w:footnote>
  <w:footnote w:id="727">
    <w:p w14:paraId="036FAA9F" w14:textId="032CAD36" w:rsidR="00DF6A0C" w:rsidRDefault="00DF6A0C">
      <w:pPr>
        <w:pStyle w:val="FootnoteText"/>
      </w:pPr>
      <w:r>
        <w:rPr>
          <w:rStyle w:val="FootnoteReference"/>
        </w:rPr>
        <w:footnoteRef/>
      </w:r>
      <w:r>
        <w:t xml:space="preserve"> </w:t>
      </w:r>
      <w:r w:rsidRPr="003C4B61">
        <w:t>Luke McNamara et al</w:t>
      </w:r>
      <w:r>
        <w:t>,</w:t>
      </w:r>
      <w:r w:rsidRPr="003C4B61">
        <w:t xml:space="preserve"> </w:t>
      </w:r>
      <w:r>
        <w:t>‘</w:t>
      </w:r>
      <w:r w:rsidRPr="003C4B61">
        <w:t xml:space="preserve">Understanding process of criminalisation: Insights </w:t>
      </w:r>
      <w:r>
        <w:t>from</w:t>
      </w:r>
      <w:r w:rsidRPr="003C4B61">
        <w:t xml:space="preserve"> an </w:t>
      </w:r>
      <w:r w:rsidRPr="00CF3EF0">
        <w:t>Australian</w:t>
      </w:r>
      <w:r w:rsidRPr="003C4B61">
        <w:t xml:space="preserve"> </w:t>
      </w:r>
      <w:r>
        <w:t>S</w:t>
      </w:r>
      <w:r w:rsidRPr="003C4B61">
        <w:t xml:space="preserve">tudy of </w:t>
      </w:r>
      <w:r>
        <w:t>C</w:t>
      </w:r>
      <w:r w:rsidRPr="003C4B61">
        <w:t xml:space="preserve">riminal </w:t>
      </w:r>
      <w:r>
        <w:t>L</w:t>
      </w:r>
      <w:r w:rsidRPr="003C4B61">
        <w:t>aw-making</w:t>
      </w:r>
      <w:r>
        <w:t xml:space="preserve">’ </w:t>
      </w:r>
      <w:r w:rsidRPr="003C4B61">
        <w:t xml:space="preserve">(2019) 21(3) </w:t>
      </w:r>
      <w:r w:rsidRPr="003C4B61">
        <w:rPr>
          <w:i/>
          <w:iCs/>
        </w:rPr>
        <w:t xml:space="preserve">Criminology &amp; Criminal Justice </w:t>
      </w:r>
      <w:r w:rsidRPr="003C4B61">
        <w:t>387</w:t>
      </w:r>
      <w:r>
        <w:t>.</w:t>
      </w:r>
    </w:p>
  </w:footnote>
  <w:footnote w:id="728">
    <w:p w14:paraId="6EBB9408" w14:textId="7CCBF745" w:rsidR="00E55101" w:rsidRDefault="00E55101" w:rsidP="00CF3EF0">
      <w:pPr>
        <w:pStyle w:val="FootnoteText"/>
      </w:pPr>
      <w:r>
        <w:rPr>
          <w:rStyle w:val="FootnoteReference"/>
        </w:rPr>
        <w:footnoteRef/>
      </w:r>
      <w:r>
        <w:t xml:space="preserve"> </w:t>
      </w:r>
      <w:r w:rsidR="00157813">
        <w:t xml:space="preserve">Somes and Webb </w:t>
      </w:r>
      <w:r w:rsidR="00433714">
        <w:t xml:space="preserve">(n 40) 233, citing </w:t>
      </w:r>
      <w:r>
        <w:t xml:space="preserve">Office of the Public Advocate (Qld) and </w:t>
      </w:r>
      <w:r w:rsidRPr="00CF3EF0">
        <w:t>Queensland</w:t>
      </w:r>
      <w:r>
        <w:t xml:space="preserve"> Law Society, </w:t>
      </w:r>
      <w:r w:rsidRPr="00086C7F">
        <w:rPr>
          <w:i/>
          <w:iCs/>
        </w:rPr>
        <w:t>Elder Abuse: How Well Does the Law in Queensland Cope?</w:t>
      </w:r>
      <w:r>
        <w:t xml:space="preserve"> (</w:t>
      </w:r>
      <w:r w:rsidR="00086C7F">
        <w:t xml:space="preserve">A joint paper by the </w:t>
      </w:r>
      <w:r w:rsidR="00FE54C7">
        <w:t xml:space="preserve">Office of the Public Advocate (Qld) and </w:t>
      </w:r>
      <w:r w:rsidR="00FE54C7" w:rsidRPr="00CF3EF0">
        <w:t>Queensland</w:t>
      </w:r>
      <w:r w:rsidR="00FE54C7">
        <w:t xml:space="preserve"> Law Society, </w:t>
      </w:r>
      <w:r>
        <w:t>June 2010)</w:t>
      </w:r>
      <w:r w:rsidR="00197294">
        <w:t xml:space="preserve"> (‘Office of the Public Advocate (Qld) and </w:t>
      </w:r>
      <w:r w:rsidR="00197294" w:rsidRPr="00CF3EF0">
        <w:t>Queensland</w:t>
      </w:r>
      <w:r w:rsidR="00197294">
        <w:t xml:space="preserve"> Law Society, </w:t>
      </w:r>
      <w:r w:rsidR="00571816" w:rsidRPr="00086C7F">
        <w:rPr>
          <w:i/>
          <w:iCs/>
        </w:rPr>
        <w:t>Elder Abuse</w:t>
      </w:r>
      <w:r w:rsidR="00571816">
        <w:rPr>
          <w:i/>
          <w:iCs/>
        </w:rPr>
        <w:t xml:space="preserve"> </w:t>
      </w:r>
      <w:r w:rsidR="00571816">
        <w:t xml:space="preserve">(2010’). </w:t>
      </w:r>
      <w:r w:rsidR="00433714">
        <w:t xml:space="preserve">See also Office of the Public Advocate (Qld) and </w:t>
      </w:r>
      <w:r w:rsidR="00433714" w:rsidRPr="00CF3EF0">
        <w:t>Queensland</w:t>
      </w:r>
      <w:r w:rsidR="00433714">
        <w:t xml:space="preserve"> Law Society, </w:t>
      </w:r>
      <w:r w:rsidR="00433714" w:rsidRPr="00086C7F">
        <w:rPr>
          <w:i/>
          <w:iCs/>
        </w:rPr>
        <w:t>Elder Abuse</w:t>
      </w:r>
      <w:r w:rsidR="0068709B">
        <w:rPr>
          <w:i/>
          <w:iCs/>
        </w:rPr>
        <w:t xml:space="preserve"> </w:t>
      </w:r>
      <w:r w:rsidR="0068709B">
        <w:t>(</w:t>
      </w:r>
      <w:r w:rsidR="00433714">
        <w:t xml:space="preserve">Office of the Public Advocate (Qld) and </w:t>
      </w:r>
      <w:r w:rsidR="00433714" w:rsidRPr="00CF3EF0">
        <w:t>Queensland</w:t>
      </w:r>
      <w:r w:rsidR="00433714">
        <w:t xml:space="preserve"> Law Society, </w:t>
      </w:r>
      <w:r w:rsidR="0068709B">
        <w:t>Joint Issues Paper</w:t>
      </w:r>
      <w:r w:rsidR="00E9273B">
        <w:t>, February 2022</w:t>
      </w:r>
      <w:r w:rsidR="00433714">
        <w:t>)</w:t>
      </w:r>
      <w:r w:rsidR="00571816">
        <w:t xml:space="preserve"> (‘Office of the Public Advocate (Qld) and </w:t>
      </w:r>
      <w:r w:rsidR="00571816" w:rsidRPr="00CF3EF0">
        <w:t>Queensland</w:t>
      </w:r>
      <w:r w:rsidR="00571816">
        <w:t xml:space="preserve"> Law Society, </w:t>
      </w:r>
      <w:r w:rsidR="00571816" w:rsidRPr="00086C7F">
        <w:rPr>
          <w:i/>
          <w:iCs/>
        </w:rPr>
        <w:t>Elder Abuse</w:t>
      </w:r>
      <w:r w:rsidR="00571816">
        <w:rPr>
          <w:i/>
          <w:iCs/>
        </w:rPr>
        <w:t xml:space="preserve"> </w:t>
      </w:r>
      <w:r w:rsidR="00571816">
        <w:t>(2022</w:t>
      </w:r>
      <w:r w:rsidR="0054340C">
        <w:t>)</w:t>
      </w:r>
      <w:r w:rsidR="00571816">
        <w:t>’).</w:t>
      </w:r>
    </w:p>
  </w:footnote>
  <w:footnote w:id="729">
    <w:p w14:paraId="2D2ADE89" w14:textId="774169FD" w:rsidR="00E55101" w:rsidRDefault="00E55101" w:rsidP="00E55101">
      <w:pPr>
        <w:pStyle w:val="FootnoteText"/>
      </w:pPr>
      <w:r>
        <w:rPr>
          <w:rStyle w:val="FootnoteReference"/>
        </w:rPr>
        <w:footnoteRef/>
      </w:r>
      <w:r>
        <w:t xml:space="preserve"> </w:t>
      </w:r>
      <w:r w:rsidR="004810B8">
        <w:t xml:space="preserve">Somes and Webb (n 40) </w:t>
      </w:r>
      <w:r>
        <w:t>233. See also J</w:t>
      </w:r>
      <w:r w:rsidR="004810B8">
        <w:t>ohn B</w:t>
      </w:r>
      <w:r>
        <w:t xml:space="preserve"> Breaux and O</w:t>
      </w:r>
      <w:r w:rsidR="004810B8">
        <w:t>rrin G</w:t>
      </w:r>
      <w:r>
        <w:t xml:space="preserve"> Hatch, ‘Confronting Elder Abuse, Neglect and Exploitation: The Need for Elder Justice Legislation’ (2002) 11</w:t>
      </w:r>
      <w:r w:rsidR="0036015C">
        <w:t>(1)</w:t>
      </w:r>
      <w:r>
        <w:t xml:space="preserve"> </w:t>
      </w:r>
      <w:r w:rsidR="00EF1516">
        <w:rPr>
          <w:i/>
          <w:iCs/>
        </w:rPr>
        <w:t>The E</w:t>
      </w:r>
      <w:r w:rsidRPr="0038634A">
        <w:rPr>
          <w:i/>
          <w:iCs/>
        </w:rPr>
        <w:t>lder Law Journal</w:t>
      </w:r>
      <w:r>
        <w:t xml:space="preserve"> </w:t>
      </w:r>
      <w:r w:rsidR="0036015C">
        <w:t>207</w:t>
      </w:r>
      <w:r>
        <w:t>; J</w:t>
      </w:r>
      <w:r w:rsidR="00874FB6">
        <w:t xml:space="preserve">ane </w:t>
      </w:r>
      <w:r>
        <w:t>A Black, ‘</w:t>
      </w:r>
      <w:r w:rsidR="00874FB6">
        <w:t>T</w:t>
      </w:r>
      <w:r>
        <w:t>he Not-so-Golden Years: Power of Attorney, Elder Abuse and Why Our Laws are Failing a Vulnerable Population’ (208) 82</w:t>
      </w:r>
      <w:r w:rsidR="00874FB6">
        <w:t>(1) Winter</w:t>
      </w:r>
      <w:r>
        <w:t xml:space="preserve"> </w:t>
      </w:r>
      <w:r w:rsidRPr="00A07169">
        <w:rPr>
          <w:i/>
        </w:rPr>
        <w:t>St John’s Law Review</w:t>
      </w:r>
      <w:r>
        <w:t xml:space="preserve"> 289. </w:t>
      </w:r>
    </w:p>
  </w:footnote>
  <w:footnote w:id="730">
    <w:p w14:paraId="60A7E956" w14:textId="10DC1BFF" w:rsidR="00E55101" w:rsidRDefault="00E55101" w:rsidP="00CF3EF0">
      <w:pPr>
        <w:pStyle w:val="FootnoteText"/>
      </w:pPr>
      <w:r>
        <w:rPr>
          <w:rStyle w:val="FootnoteReference"/>
        </w:rPr>
        <w:footnoteRef/>
      </w:r>
      <w:r>
        <w:t xml:space="preserve"> </w:t>
      </w:r>
      <w:r w:rsidR="00874FB6">
        <w:t xml:space="preserve">Somes and Webb (n 40) </w:t>
      </w:r>
      <w:r>
        <w:t>233</w:t>
      </w:r>
      <w:r w:rsidR="00CE072C">
        <w:t xml:space="preserve">. See also </w:t>
      </w:r>
      <w:r>
        <w:t>N</w:t>
      </w:r>
      <w:r w:rsidR="00152550">
        <w:t>atalia</w:t>
      </w:r>
      <w:r>
        <w:t xml:space="preserve"> Wuth, ‘Enduring </w:t>
      </w:r>
      <w:r w:rsidRPr="00CF3EF0">
        <w:t>Powers</w:t>
      </w:r>
      <w:r>
        <w:t xml:space="preserve"> of Attorney With Limited Remedie</w:t>
      </w:r>
      <w:r w:rsidR="00152550">
        <w:t>s—I</w:t>
      </w:r>
      <w:r>
        <w:t>t’s Time to Face the Facts!’ (2013) 7</w:t>
      </w:r>
      <w:r w:rsidR="00152550">
        <w:t>(3)</w:t>
      </w:r>
      <w:r>
        <w:t xml:space="preserve"> </w:t>
      </w:r>
      <w:r w:rsidRPr="00152550">
        <w:rPr>
          <w:i/>
          <w:iCs/>
        </w:rPr>
        <w:t>Elder Law Review</w:t>
      </w:r>
      <w:r>
        <w:t xml:space="preserve"> 1; </w:t>
      </w:r>
      <w:r w:rsidR="00571816">
        <w:t xml:space="preserve">Office of the Public Advocate (Qld) and </w:t>
      </w:r>
      <w:r w:rsidR="00571816" w:rsidRPr="00CF3EF0">
        <w:t>Queensland</w:t>
      </w:r>
      <w:r w:rsidR="00571816">
        <w:t xml:space="preserve"> Law Society, </w:t>
      </w:r>
      <w:r w:rsidR="00571816" w:rsidRPr="00086C7F">
        <w:rPr>
          <w:i/>
          <w:iCs/>
        </w:rPr>
        <w:t>Elder Abuse</w:t>
      </w:r>
      <w:r w:rsidR="00571816">
        <w:rPr>
          <w:i/>
          <w:iCs/>
        </w:rPr>
        <w:t xml:space="preserve"> </w:t>
      </w:r>
      <w:r w:rsidR="00571816">
        <w:t>(2010) (n 72</w:t>
      </w:r>
      <w:r w:rsidR="00CF574E">
        <w:t>7</w:t>
      </w:r>
      <w:r w:rsidR="00571816">
        <w:t xml:space="preserve">); Office of the Public Advocate (Qld) and </w:t>
      </w:r>
      <w:r w:rsidR="00571816" w:rsidRPr="00CF3EF0">
        <w:t>Queensland</w:t>
      </w:r>
      <w:r w:rsidR="00571816">
        <w:t xml:space="preserve"> Law Society, </w:t>
      </w:r>
      <w:r w:rsidR="00571816" w:rsidRPr="00086C7F">
        <w:rPr>
          <w:i/>
          <w:iCs/>
        </w:rPr>
        <w:t>Elder Abuse</w:t>
      </w:r>
      <w:r w:rsidR="00571816">
        <w:rPr>
          <w:i/>
          <w:iCs/>
        </w:rPr>
        <w:t xml:space="preserve"> </w:t>
      </w:r>
      <w:r w:rsidR="00571816">
        <w:t>(2022) (n 72</w:t>
      </w:r>
      <w:r w:rsidR="00CF574E">
        <w:t>7</w:t>
      </w:r>
      <w:r w:rsidR="00571816">
        <w:t>).</w:t>
      </w:r>
    </w:p>
  </w:footnote>
  <w:footnote w:id="731">
    <w:p w14:paraId="0E058F83" w14:textId="20BD79FC" w:rsidR="00237F16" w:rsidRDefault="00237F16">
      <w:pPr>
        <w:pStyle w:val="FootnoteText"/>
      </w:pPr>
      <w:r>
        <w:rPr>
          <w:rStyle w:val="FootnoteReference"/>
        </w:rPr>
        <w:footnoteRef/>
      </w:r>
      <w:r>
        <w:t xml:space="preserve"> </w:t>
      </w:r>
      <w:r w:rsidRPr="00A6424D">
        <w:t>Interviews 14, 5, 21, 1, 22</w:t>
      </w:r>
      <w:r w:rsidR="00A6424D" w:rsidRPr="00A6424D">
        <w:t>.</w:t>
      </w:r>
    </w:p>
  </w:footnote>
  <w:footnote w:id="732">
    <w:p w14:paraId="07D237B9" w14:textId="3667088A" w:rsidR="0086725B" w:rsidRPr="00CF3EF0" w:rsidRDefault="0086725B" w:rsidP="00CF3EF0">
      <w:pPr>
        <w:pStyle w:val="FootnoteText"/>
      </w:pPr>
      <w:r>
        <w:rPr>
          <w:rStyle w:val="FootnoteReference"/>
        </w:rPr>
        <w:footnoteRef/>
      </w:r>
      <w:r>
        <w:t xml:space="preserve"> </w:t>
      </w:r>
      <w:r w:rsidRPr="00CF3EF0">
        <w:t>See</w:t>
      </w:r>
      <w:r w:rsidR="00AB2085">
        <w:t xml:space="preserve"> further</w:t>
      </w:r>
      <w:r w:rsidRPr="00CF3EF0">
        <w:t xml:space="preserve"> </w:t>
      </w:r>
      <w:r w:rsidR="007A0E8F" w:rsidRPr="00AB2085">
        <w:rPr>
          <w:b/>
          <w:bCs/>
        </w:rPr>
        <w:t>Part 2</w:t>
      </w:r>
      <w:r w:rsidR="007A0E8F">
        <w:t>, especially [2.3</w:t>
      </w:r>
      <w:r w:rsidR="00AB2085">
        <w:t xml:space="preserve">], </w:t>
      </w:r>
      <w:r w:rsidR="00BD2E13" w:rsidRPr="00CF3EF0">
        <w:t>noting in particular the prevalence of help-seeking for psychological and emotional abuse and financial abuse</w:t>
      </w:r>
      <w:r w:rsidR="00AB2085">
        <w:t xml:space="preserve">. See also further </w:t>
      </w:r>
      <w:r w:rsidR="00AB2085" w:rsidRPr="00CF6265">
        <w:rPr>
          <w:b/>
          <w:bCs/>
        </w:rPr>
        <w:t>Part 4</w:t>
      </w:r>
      <w:r w:rsidR="00AB2085">
        <w:t xml:space="preserve"> at </w:t>
      </w:r>
      <w:r w:rsidR="00CF6265">
        <w:t xml:space="preserve">[4.3.16] and table 4.3 </w:t>
      </w:r>
      <w:r w:rsidR="006E42A9" w:rsidRPr="00CF3EF0">
        <w:t xml:space="preserve">for </w:t>
      </w:r>
      <w:r w:rsidR="005B27E9" w:rsidRPr="00CF3EF0">
        <w:t>responses under the Helpline</w:t>
      </w:r>
      <w:r w:rsidR="004311B8">
        <w:t>,</w:t>
      </w:r>
      <w:r w:rsidR="005B27E9" w:rsidRPr="00CF3EF0">
        <w:t xml:space="preserve"> including</w:t>
      </w:r>
      <w:r w:rsidR="00A0196B" w:rsidRPr="00CF3EF0">
        <w:t xml:space="preserve"> protective information and referrals (made </w:t>
      </w:r>
      <w:r w:rsidR="00370BF6" w:rsidRPr="00CF3EF0">
        <w:t>in 79.15% of 355 calls to the Helpline)</w:t>
      </w:r>
      <w:r w:rsidR="004311B8">
        <w:t>, noting that these referrals are</w:t>
      </w:r>
      <w:r w:rsidR="00370BF6" w:rsidRPr="00CF3EF0">
        <w:t xml:space="preserve"> all voluntary under </w:t>
      </w:r>
      <w:r w:rsidR="004311B8">
        <w:t xml:space="preserve">the </w:t>
      </w:r>
      <w:r w:rsidR="00370BF6" w:rsidRPr="00CF3EF0">
        <w:t>current approach</w:t>
      </w:r>
      <w:r w:rsidR="004311B8">
        <w:t xml:space="preserve"> in Tasmania</w:t>
      </w:r>
      <w:r w:rsidR="0085069D">
        <w:t xml:space="preserve"> regarding the Helpline.</w:t>
      </w:r>
    </w:p>
  </w:footnote>
  <w:footnote w:id="733">
    <w:p w14:paraId="7AA7DC04" w14:textId="1A069723" w:rsidR="00BD2E13" w:rsidRPr="00CF3EF0" w:rsidRDefault="00BD2E13" w:rsidP="00CF3EF0">
      <w:pPr>
        <w:pStyle w:val="FootnoteText"/>
      </w:pPr>
      <w:r w:rsidRPr="00CF3EF0">
        <w:rPr>
          <w:rStyle w:val="FootnoteReference"/>
        </w:rPr>
        <w:footnoteRef/>
      </w:r>
      <w:r w:rsidRPr="00CF3EF0">
        <w:t xml:space="preserve"> </w:t>
      </w:r>
      <w:r w:rsidR="005B7A41" w:rsidRPr="00CF3EF0">
        <w:t>See</w:t>
      </w:r>
      <w:r w:rsidR="00F34DD7">
        <w:t xml:space="preserve"> </w:t>
      </w:r>
      <w:r w:rsidR="00F34DD7" w:rsidRPr="00F34DD7">
        <w:rPr>
          <w:b/>
          <w:bCs/>
        </w:rPr>
        <w:t>Part 2</w:t>
      </w:r>
      <w:r w:rsidR="005B7A41" w:rsidRPr="00CF3EF0">
        <w:t xml:space="preserve"> </w:t>
      </w:r>
      <w:r w:rsidR="00F34DD7">
        <w:t xml:space="preserve">[2.5.4]–[ 2.5.8] </w:t>
      </w:r>
      <w:r w:rsidR="005B7A41" w:rsidRPr="00CF3EF0">
        <w:t xml:space="preserve">for </w:t>
      </w:r>
      <w:r w:rsidR="00765A9F">
        <w:t xml:space="preserve">examples of </w:t>
      </w:r>
      <w:r w:rsidR="005B7A41" w:rsidRPr="00CF3EF0">
        <w:t>criminal and c</w:t>
      </w:r>
      <w:r w:rsidRPr="00CF3EF0">
        <w:t xml:space="preserve">oronial </w:t>
      </w:r>
      <w:r w:rsidR="00765A9F">
        <w:t xml:space="preserve">cases </w:t>
      </w:r>
      <w:r w:rsidRPr="00CF3EF0">
        <w:t xml:space="preserve">and </w:t>
      </w:r>
      <w:r w:rsidR="00F34DD7">
        <w:t>[2.5.9]–[2.5.10] f</w:t>
      </w:r>
      <w:r w:rsidR="005B7A41" w:rsidRPr="00CF3EF0">
        <w:t xml:space="preserve">or </w:t>
      </w:r>
      <w:r w:rsidR="00765A9F">
        <w:t xml:space="preserve">examples of </w:t>
      </w:r>
      <w:r w:rsidR="005B27E9" w:rsidRPr="00CF3EF0">
        <w:t xml:space="preserve">civil cases in </w:t>
      </w:r>
      <w:r w:rsidR="00F34DD7">
        <w:t xml:space="preserve">the </w:t>
      </w:r>
      <w:r w:rsidR="005B27E9" w:rsidRPr="00CF3EF0">
        <w:t>TASCAT Guardianship stream.</w:t>
      </w:r>
    </w:p>
  </w:footnote>
  <w:footnote w:id="734">
    <w:p w14:paraId="4AD35159" w14:textId="44F0F2B6" w:rsidR="00CC1D28" w:rsidRPr="00CF3EF0" w:rsidRDefault="00CC1D28" w:rsidP="00CF3EF0">
      <w:pPr>
        <w:pStyle w:val="FootnoteText"/>
      </w:pPr>
      <w:r w:rsidRPr="00CF3EF0">
        <w:rPr>
          <w:rStyle w:val="FootnoteReference"/>
        </w:rPr>
        <w:footnoteRef/>
      </w:r>
      <w:r w:rsidRPr="00CF3EF0">
        <w:t xml:space="preserve"> See </w:t>
      </w:r>
      <w:r w:rsidR="00EE3B8A" w:rsidRPr="004830F6">
        <w:rPr>
          <w:b/>
          <w:bCs/>
        </w:rPr>
        <w:t>Part 4</w:t>
      </w:r>
      <w:r w:rsidR="00EE3B8A">
        <w:t xml:space="preserve"> at [4.3.12]</w:t>
      </w:r>
      <w:r w:rsidRPr="00CF3EF0">
        <w:t>.</w:t>
      </w:r>
    </w:p>
  </w:footnote>
  <w:footnote w:id="735">
    <w:p w14:paraId="29DAB254" w14:textId="2312D759" w:rsidR="000A7711" w:rsidRPr="00CF3EF0" w:rsidRDefault="000A7711">
      <w:pPr>
        <w:pStyle w:val="FootnoteText"/>
      </w:pPr>
      <w:r w:rsidRPr="00CF3EF0">
        <w:rPr>
          <w:rStyle w:val="FootnoteReference"/>
        </w:rPr>
        <w:footnoteRef/>
      </w:r>
      <w:r w:rsidRPr="00CF3EF0">
        <w:t xml:space="preserve"> Interviews</w:t>
      </w:r>
      <w:r w:rsidR="005B7A41" w:rsidRPr="00CF3EF0">
        <w:t xml:space="preserve"> 4, 8.</w:t>
      </w:r>
    </w:p>
  </w:footnote>
  <w:footnote w:id="736">
    <w:p w14:paraId="7F57996A" w14:textId="7D33C747" w:rsidR="005B7A41" w:rsidRDefault="005B7A41">
      <w:pPr>
        <w:pStyle w:val="FootnoteText"/>
      </w:pPr>
      <w:r w:rsidRPr="00CF3EF0">
        <w:rPr>
          <w:rStyle w:val="FootnoteReference"/>
        </w:rPr>
        <w:footnoteRef/>
      </w:r>
      <w:r w:rsidRPr="00CF3EF0">
        <w:t xml:space="preserve"> Interview 18.</w:t>
      </w:r>
    </w:p>
  </w:footnote>
  <w:footnote w:id="737">
    <w:p w14:paraId="73F3E31D" w14:textId="6155B41D" w:rsidR="004830F6" w:rsidRDefault="004830F6">
      <w:pPr>
        <w:pStyle w:val="FootnoteText"/>
      </w:pPr>
      <w:r>
        <w:rPr>
          <w:rStyle w:val="FootnoteReference"/>
        </w:rPr>
        <w:footnoteRef/>
      </w:r>
      <w:r>
        <w:t xml:space="preserve"> </w:t>
      </w:r>
      <w:r w:rsidR="008C7A33" w:rsidRPr="006F2DE6">
        <w:rPr>
          <w:i/>
          <w:iCs/>
        </w:rPr>
        <w:t>Family Violence Act 20</w:t>
      </w:r>
      <w:r w:rsidR="00136EDF">
        <w:rPr>
          <w:i/>
          <w:iCs/>
        </w:rPr>
        <w:t>0</w:t>
      </w:r>
      <w:r w:rsidR="008C7A33" w:rsidRPr="006F2DE6">
        <w:rPr>
          <w:i/>
          <w:iCs/>
        </w:rPr>
        <w:t>4</w:t>
      </w:r>
      <w:r w:rsidR="008C7A33" w:rsidRPr="006F2DE6">
        <w:t xml:space="preserve"> (Tas) </w:t>
      </w:r>
      <w:r w:rsidR="008C7A33">
        <w:t xml:space="preserve">s 13A(1). </w:t>
      </w:r>
      <w:r w:rsidRPr="003C4B61">
        <w:t xml:space="preserve">This was </w:t>
      </w:r>
      <w:r w:rsidRPr="00CF3EF0">
        <w:t>also</w:t>
      </w:r>
      <w:r w:rsidRPr="003C4B61">
        <w:t xml:space="preserve"> the recommendation of the Sentencing Advisory Council in relation to nonfatal strangulation, see </w:t>
      </w:r>
      <w:r w:rsidR="00A54B62">
        <w:t xml:space="preserve">Sentencing Advisory Council (Tas), </w:t>
      </w:r>
      <w:r w:rsidR="00A54B62" w:rsidRPr="001E3431">
        <w:rPr>
          <w:i/>
          <w:iCs/>
        </w:rPr>
        <w:t>Sentencing for Non-fatal Strangulation</w:t>
      </w:r>
      <w:r w:rsidR="00A54B62">
        <w:t xml:space="preserve"> (Research Paper 5, May 2021)</w:t>
      </w:r>
      <w:r w:rsidR="00AC0007">
        <w:t xml:space="preserve"> </w:t>
      </w:r>
      <w:r w:rsidR="006C2964">
        <w:t>81–2 [5.2.2] Proposal 2.</w:t>
      </w:r>
    </w:p>
  </w:footnote>
  <w:footnote w:id="738">
    <w:p w14:paraId="1F479A9B" w14:textId="2670C039" w:rsidR="00D45FDA" w:rsidRDefault="00D45FDA">
      <w:pPr>
        <w:pStyle w:val="FootnoteText"/>
      </w:pPr>
      <w:r>
        <w:rPr>
          <w:rStyle w:val="FootnoteReference"/>
        </w:rPr>
        <w:footnoteRef/>
      </w:r>
      <w:r>
        <w:t xml:space="preserve"> </w:t>
      </w:r>
      <w:r w:rsidRPr="003C4B61">
        <w:t xml:space="preserve">New Zealand </w:t>
      </w:r>
      <w:r w:rsidRPr="00CF3EF0">
        <w:t>Law</w:t>
      </w:r>
      <w:r w:rsidRPr="003C4B61">
        <w:t xml:space="preserve"> Commission, </w:t>
      </w:r>
      <w:r w:rsidRPr="003C4B61">
        <w:rPr>
          <w:i/>
          <w:iCs/>
        </w:rPr>
        <w:t>Strangulation: The Case for a New Offence</w:t>
      </w:r>
      <w:r w:rsidRPr="003C4B61">
        <w:t xml:space="preserve"> (Report 138, 2016) 39, referring to</w:t>
      </w:r>
      <w:r w:rsidR="006C2964">
        <w:t xml:space="preserve"> ALRC</w:t>
      </w:r>
      <w:r w:rsidRPr="003C4B61">
        <w:t xml:space="preserve">, </w:t>
      </w:r>
      <w:r w:rsidRPr="003C4B61">
        <w:rPr>
          <w:i/>
          <w:iCs/>
        </w:rPr>
        <w:t xml:space="preserve">Family </w:t>
      </w:r>
      <w:r w:rsidRPr="006C2964">
        <w:t>Violence</w:t>
      </w:r>
      <w:r w:rsidR="006C2964">
        <w:t xml:space="preserve"> </w:t>
      </w:r>
      <w:r w:rsidR="00481846">
        <w:t xml:space="preserve">(n 652) </w:t>
      </w:r>
      <w:r w:rsidRPr="006C2964">
        <w:t>572</w:t>
      </w:r>
      <w:r w:rsidRPr="003C4B61">
        <w:t>.</w:t>
      </w:r>
    </w:p>
  </w:footnote>
  <w:footnote w:id="739">
    <w:p w14:paraId="55E57AF0" w14:textId="1ECD9D4D" w:rsidR="00D45FDA" w:rsidRDefault="00D45FDA">
      <w:pPr>
        <w:pStyle w:val="FootnoteText"/>
      </w:pPr>
      <w:r>
        <w:rPr>
          <w:rStyle w:val="FootnoteReference"/>
        </w:rPr>
        <w:footnoteRef/>
      </w:r>
      <w:r>
        <w:t xml:space="preserve"> Se</w:t>
      </w:r>
      <w:r w:rsidR="00A54B62">
        <w:t>e,</w:t>
      </w:r>
      <w:r>
        <w:t xml:space="preserve"> eg, Sentencing Advisory Council (Tas)</w:t>
      </w:r>
      <w:r w:rsidR="00A54B62">
        <w:t xml:space="preserve"> (n </w:t>
      </w:r>
      <w:r w:rsidR="00AC0007">
        <w:t xml:space="preserve">736) </w:t>
      </w:r>
      <w:r>
        <w:t>81</w:t>
      </w:r>
      <w:r w:rsidR="006C2964">
        <w:t>–2</w:t>
      </w:r>
      <w:r>
        <w:t xml:space="preserve"> [5.2.2] Proposal 2; [8.2.3] Proposal 3, 51–70. </w:t>
      </w:r>
      <w:r w:rsidR="002B348F">
        <w:t xml:space="preserve">It is noted that the Queensland Law Reform Commission has </w:t>
      </w:r>
      <w:r w:rsidR="00D07D99">
        <w:t xml:space="preserve">completed a </w:t>
      </w:r>
      <w:r w:rsidR="002B348F">
        <w:t>review</w:t>
      </w:r>
      <w:r w:rsidR="00D07D99">
        <w:t xml:space="preserve"> of </w:t>
      </w:r>
      <w:r w:rsidR="002B348F">
        <w:t>the offence of non-fatal strangulation</w:t>
      </w:r>
      <w:r w:rsidR="000409F7">
        <w:t>. The review commenced in Septem</w:t>
      </w:r>
      <w:r w:rsidR="00BD75DA">
        <w:t>ber 2024 and the</w:t>
      </w:r>
      <w:r w:rsidR="002B348F">
        <w:t xml:space="preserve"> Final Report </w:t>
      </w:r>
      <w:r w:rsidR="00BD75DA">
        <w:t xml:space="preserve">was </w:t>
      </w:r>
      <w:r w:rsidR="002B348F">
        <w:t xml:space="preserve">provided to the Queensland Government </w:t>
      </w:r>
      <w:r w:rsidR="00861A57">
        <w:t>in September 2025</w:t>
      </w:r>
      <w:r w:rsidR="00BD75DA">
        <w:t xml:space="preserve"> (not yet publicly available): </w:t>
      </w:r>
      <w:r w:rsidR="009E3F86">
        <w:t xml:space="preserve">State of Queensland, </w:t>
      </w:r>
      <w:r w:rsidR="00A50B60">
        <w:t>‘</w:t>
      </w:r>
      <w:r w:rsidR="00BD75DA">
        <w:t xml:space="preserve">Non-fatal Strangulation </w:t>
      </w:r>
      <w:r w:rsidR="00A50B60">
        <w:t xml:space="preserve">Review’, </w:t>
      </w:r>
      <w:r w:rsidR="00A50B60" w:rsidRPr="00A50B60">
        <w:rPr>
          <w:i/>
          <w:iCs/>
        </w:rPr>
        <w:t>Queensland Law Reform Commission</w:t>
      </w:r>
      <w:r w:rsidR="00A50B60">
        <w:t xml:space="preserve"> (Web Page, </w:t>
      </w:r>
      <w:r w:rsidR="009E3F86">
        <w:t>2025) &lt;</w:t>
      </w:r>
      <w:hyperlink r:id="rId121" w:history="1">
        <w:r w:rsidR="009E3F86" w:rsidRPr="00523D14">
          <w:rPr>
            <w:rStyle w:val="Hyperlink"/>
          </w:rPr>
          <w:t>https://www.qlrc.qld.gov.au/reviews/non-fatal-strangulation</w:t>
        </w:r>
      </w:hyperlink>
      <w:r w:rsidR="009E3F86">
        <w:t>&gt;.</w:t>
      </w:r>
    </w:p>
  </w:footnote>
  <w:footnote w:id="740">
    <w:p w14:paraId="2CC500B6" w14:textId="3D12E395" w:rsidR="00D07D99" w:rsidRDefault="00D07D99">
      <w:pPr>
        <w:pStyle w:val="FootnoteText"/>
      </w:pPr>
      <w:r>
        <w:rPr>
          <w:rStyle w:val="FootnoteReference"/>
        </w:rPr>
        <w:footnoteRef/>
      </w:r>
      <w:r>
        <w:t xml:space="preserve"> </w:t>
      </w:r>
      <w:r w:rsidRPr="00D07D99">
        <w:t>Interviews 7, 4, 15, 10, 13, 2.</w:t>
      </w:r>
    </w:p>
  </w:footnote>
  <w:footnote w:id="741">
    <w:p w14:paraId="7C8C739F" w14:textId="44BFFB2B" w:rsidR="00D07D99" w:rsidRDefault="00D07D99">
      <w:pPr>
        <w:pStyle w:val="FootnoteText"/>
      </w:pPr>
      <w:r>
        <w:rPr>
          <w:rStyle w:val="FootnoteReference"/>
        </w:rPr>
        <w:footnoteRef/>
      </w:r>
      <w:r>
        <w:t xml:space="preserve"> </w:t>
      </w:r>
      <w:r w:rsidRPr="00CF3EF0">
        <w:t>See</w:t>
      </w:r>
      <w:r w:rsidRPr="003C4B61">
        <w:t xml:space="preserve"> </w:t>
      </w:r>
      <w:r w:rsidR="005F6338">
        <w:t>Part 3 at [3.3.2]–[3.3.4], including Table 3.1,</w:t>
      </w:r>
      <w:r w:rsidR="00484A39">
        <w:t xml:space="preserve"> and Table G.1 in </w:t>
      </w:r>
      <w:r w:rsidR="00484A39" w:rsidRPr="00484A39">
        <w:rPr>
          <w:b/>
          <w:bCs/>
        </w:rPr>
        <w:t>Appendix G</w:t>
      </w:r>
      <w:r w:rsidR="00484A39">
        <w:t>.</w:t>
      </w:r>
    </w:p>
  </w:footnote>
  <w:footnote w:id="742">
    <w:p w14:paraId="53C053B9" w14:textId="18AAB69E" w:rsidR="00D07D99" w:rsidRDefault="00D07D99">
      <w:pPr>
        <w:pStyle w:val="FootnoteText"/>
      </w:pPr>
      <w:r>
        <w:rPr>
          <w:rStyle w:val="FootnoteReference"/>
        </w:rPr>
        <w:footnoteRef/>
      </w:r>
      <w:r>
        <w:t xml:space="preserve"> </w:t>
      </w:r>
      <w:r w:rsidR="00BF7C98" w:rsidRPr="003D68E2">
        <w:t>Interview 4.</w:t>
      </w:r>
    </w:p>
  </w:footnote>
  <w:footnote w:id="743">
    <w:p w14:paraId="32BD871D" w14:textId="7BE438EE" w:rsidR="00BF7C98" w:rsidRDefault="00BF7C98">
      <w:pPr>
        <w:pStyle w:val="FootnoteText"/>
      </w:pPr>
      <w:r>
        <w:rPr>
          <w:rStyle w:val="FootnoteReference"/>
        </w:rPr>
        <w:footnoteRef/>
      </w:r>
      <w:r>
        <w:t xml:space="preserve"> </w:t>
      </w:r>
      <w:r w:rsidRPr="003D68E2">
        <w:t xml:space="preserve">Interviews 4, 23, 13, 2. See </w:t>
      </w:r>
      <w:r w:rsidR="005D7096">
        <w:t>further</w:t>
      </w:r>
      <w:r w:rsidRPr="003D68E2">
        <w:t xml:space="preserve"> </w:t>
      </w:r>
      <w:r w:rsidR="00AA0D3F">
        <w:t>[5.3.</w:t>
      </w:r>
      <w:r w:rsidR="005D7096">
        <w:t xml:space="preserve">7] and also </w:t>
      </w:r>
      <w:r w:rsidR="00AA0D3F" w:rsidRPr="003D451B">
        <w:rPr>
          <w:b/>
          <w:bCs/>
        </w:rPr>
        <w:t>Part 4</w:t>
      </w:r>
      <w:r w:rsidR="00AA0D3F">
        <w:t xml:space="preserve"> at </w:t>
      </w:r>
      <w:r w:rsidR="00353C8B">
        <w:t>[4.3.19]–[</w:t>
      </w:r>
      <w:r w:rsidR="00E336F8">
        <w:t>4.3.20]</w:t>
      </w:r>
      <w:r w:rsidRPr="003D68E2">
        <w:t>.</w:t>
      </w:r>
    </w:p>
  </w:footnote>
  <w:footnote w:id="744">
    <w:p w14:paraId="4020E867" w14:textId="5C04A51B" w:rsidR="00EB771A" w:rsidRDefault="00EB771A">
      <w:pPr>
        <w:pStyle w:val="FootnoteText"/>
      </w:pPr>
      <w:r>
        <w:rPr>
          <w:rStyle w:val="FootnoteReference"/>
        </w:rPr>
        <w:footnoteRef/>
      </w:r>
      <w:r>
        <w:t xml:space="preserve"> </w:t>
      </w:r>
      <w:r w:rsidRPr="003C4B61">
        <w:t>Interview</w:t>
      </w:r>
      <w:r>
        <w:t>s</w:t>
      </w:r>
      <w:r w:rsidRPr="003C4B61">
        <w:t xml:space="preserve"> 4, 10</w:t>
      </w:r>
      <w:r>
        <w:t>,</w:t>
      </w:r>
      <w:r w:rsidRPr="003C4B61">
        <w:t xml:space="preserve"> 13</w:t>
      </w:r>
      <w:r>
        <w:t>,</w:t>
      </w:r>
      <w:r w:rsidRPr="003C4B61">
        <w:t xml:space="preserve"> </w:t>
      </w:r>
      <w:r w:rsidRPr="00CF3EF0">
        <w:t>21</w:t>
      </w:r>
      <w:r w:rsidRPr="003C4B61">
        <w:t>.</w:t>
      </w:r>
    </w:p>
  </w:footnote>
  <w:footnote w:id="745">
    <w:p w14:paraId="01899FF4" w14:textId="1F6D928D" w:rsidR="00EB771A" w:rsidRDefault="00EB771A">
      <w:pPr>
        <w:pStyle w:val="FootnoteText"/>
      </w:pPr>
      <w:r>
        <w:rPr>
          <w:rStyle w:val="FootnoteReference"/>
        </w:rPr>
        <w:footnoteRef/>
      </w:r>
      <w:r>
        <w:t xml:space="preserve"> </w:t>
      </w:r>
      <w:r w:rsidRPr="003C4B61">
        <w:t>Interview</w:t>
      </w:r>
      <w:r>
        <w:t>s</w:t>
      </w:r>
      <w:r w:rsidRPr="003C4B61">
        <w:t xml:space="preserve"> 4</w:t>
      </w:r>
      <w:r>
        <w:t>,</w:t>
      </w:r>
      <w:r w:rsidRPr="003C4B61">
        <w:t xml:space="preserve"> 21.</w:t>
      </w:r>
    </w:p>
  </w:footnote>
  <w:footnote w:id="746">
    <w:p w14:paraId="539A8BF6" w14:textId="3504BEB5" w:rsidR="00EB771A" w:rsidRDefault="00EB771A">
      <w:pPr>
        <w:pStyle w:val="FootnoteText"/>
      </w:pPr>
      <w:r>
        <w:rPr>
          <w:rStyle w:val="FootnoteReference"/>
        </w:rPr>
        <w:footnoteRef/>
      </w:r>
      <w:r>
        <w:t xml:space="preserve"> </w:t>
      </w:r>
      <w:r w:rsidR="001244E1" w:rsidRPr="003C4B61">
        <w:t>Interview 4.</w:t>
      </w:r>
    </w:p>
  </w:footnote>
  <w:footnote w:id="747">
    <w:p w14:paraId="427EEB3E" w14:textId="5605C354" w:rsidR="001244E1" w:rsidRDefault="001244E1">
      <w:pPr>
        <w:pStyle w:val="FootnoteText"/>
      </w:pPr>
      <w:r>
        <w:rPr>
          <w:rStyle w:val="FootnoteReference"/>
        </w:rPr>
        <w:footnoteRef/>
      </w:r>
      <w:r>
        <w:t xml:space="preserve"> </w:t>
      </w:r>
      <w:r w:rsidRPr="003C4B61">
        <w:t>Interview</w:t>
      </w:r>
      <w:r>
        <w:t>s</w:t>
      </w:r>
      <w:r w:rsidRPr="003C4B61">
        <w:t xml:space="preserve"> 2</w:t>
      </w:r>
      <w:r>
        <w:t>,</w:t>
      </w:r>
      <w:r w:rsidRPr="003C4B61">
        <w:t xml:space="preserve"> 10. </w:t>
      </w:r>
    </w:p>
  </w:footnote>
  <w:footnote w:id="748">
    <w:p w14:paraId="11C8DBDA" w14:textId="4F4EBEA7" w:rsidR="00725B2D" w:rsidRDefault="00725B2D" w:rsidP="0013304D">
      <w:pPr>
        <w:pStyle w:val="FootnoteText"/>
      </w:pPr>
      <w:r>
        <w:rPr>
          <w:rStyle w:val="FootnoteReference"/>
        </w:rPr>
        <w:footnoteRef/>
      </w:r>
      <w:r>
        <w:t xml:space="preserve"> </w:t>
      </w:r>
      <w:r w:rsidRPr="00EB7BDF">
        <w:t xml:space="preserve">Similar to </w:t>
      </w:r>
      <w:r>
        <w:t>concerns</w:t>
      </w:r>
      <w:r w:rsidRPr="00EB7BDF">
        <w:t xml:space="preserve"> raised </w:t>
      </w:r>
      <w:r w:rsidRPr="00CF3EF0">
        <w:t>regarding</w:t>
      </w:r>
      <w:r w:rsidRPr="00EB7BDF">
        <w:t xml:space="preserve"> </w:t>
      </w:r>
      <w:r w:rsidR="00733DBF">
        <w:t xml:space="preserve">enduring </w:t>
      </w:r>
      <w:r w:rsidRPr="00EB7BDF">
        <w:t>guardianship being exercised without any oversight regard</w:t>
      </w:r>
      <w:r w:rsidR="001244E1">
        <w:t xml:space="preserve">ing </w:t>
      </w:r>
      <w:r w:rsidR="00733DBF">
        <w:t xml:space="preserve">whether the person had </w:t>
      </w:r>
      <w:r w:rsidRPr="00EB7BDF">
        <w:t>los</w:t>
      </w:r>
      <w:r w:rsidR="00733DBF">
        <w:t>t</w:t>
      </w:r>
      <w:r w:rsidRPr="00EB7BDF">
        <w:t xml:space="preserve"> </w:t>
      </w:r>
      <w:r w:rsidR="00C71EBB">
        <w:t>decision-making ability</w:t>
      </w:r>
      <w:r w:rsidR="001056F2">
        <w:t xml:space="preserve"> and entered the ‘enduring’ phase</w:t>
      </w:r>
      <w:r w:rsidR="0088535D">
        <w:t>:</w:t>
      </w:r>
      <w:r>
        <w:t xml:space="preserve"> see </w:t>
      </w:r>
      <w:r w:rsidR="0088535D">
        <w:t>[5.</w:t>
      </w:r>
      <w:r w:rsidR="00C71EBB">
        <w:t>4.34].</w:t>
      </w:r>
    </w:p>
  </w:footnote>
  <w:footnote w:id="749">
    <w:p w14:paraId="7D1D3AB2" w14:textId="064C4B1D" w:rsidR="007317ED" w:rsidRDefault="007317ED">
      <w:pPr>
        <w:pStyle w:val="FootnoteText"/>
      </w:pPr>
      <w:r>
        <w:rPr>
          <w:rStyle w:val="FootnoteReference"/>
        </w:rPr>
        <w:footnoteRef/>
      </w:r>
      <w:r>
        <w:t xml:space="preserve"> </w:t>
      </w:r>
      <w:r w:rsidRPr="00CF3EF0">
        <w:t>Interview</w:t>
      </w:r>
      <w:r w:rsidRPr="003C4B61">
        <w:t xml:space="preserve"> 10.</w:t>
      </w:r>
    </w:p>
  </w:footnote>
  <w:footnote w:id="750">
    <w:p w14:paraId="52573EAC" w14:textId="2E63CD07" w:rsidR="001244E1" w:rsidRDefault="001244E1">
      <w:pPr>
        <w:pStyle w:val="FootnoteText"/>
      </w:pPr>
      <w:r>
        <w:rPr>
          <w:rStyle w:val="FootnoteReference"/>
        </w:rPr>
        <w:footnoteRef/>
      </w:r>
      <w:r>
        <w:t xml:space="preserve"> </w:t>
      </w:r>
      <w:r w:rsidR="00074E86" w:rsidRPr="003C4B61">
        <w:t>Interview 2.</w:t>
      </w:r>
    </w:p>
  </w:footnote>
  <w:footnote w:id="751">
    <w:p w14:paraId="48B67351" w14:textId="0A67A3D2" w:rsidR="001328D1" w:rsidRDefault="001328D1" w:rsidP="00CF3EF0">
      <w:pPr>
        <w:pStyle w:val="FootnoteText"/>
      </w:pPr>
      <w:r>
        <w:rPr>
          <w:rStyle w:val="FootnoteReference"/>
        </w:rPr>
        <w:footnoteRef/>
      </w:r>
      <w:r>
        <w:t xml:space="preserve"> </w:t>
      </w:r>
      <w:r w:rsidRPr="00CF3EF0">
        <w:t>Interview</w:t>
      </w:r>
      <w:r w:rsidRPr="003C4B61">
        <w:t xml:space="preserve"> 4.</w:t>
      </w:r>
    </w:p>
  </w:footnote>
  <w:footnote w:id="752">
    <w:p w14:paraId="4536F1E4" w14:textId="4949038C" w:rsidR="001056F2" w:rsidRDefault="001056F2">
      <w:pPr>
        <w:pStyle w:val="FootnoteText"/>
      </w:pPr>
      <w:r>
        <w:rPr>
          <w:rStyle w:val="FootnoteReference"/>
        </w:rPr>
        <w:footnoteRef/>
      </w:r>
      <w:r>
        <w:t xml:space="preserve"> </w:t>
      </w:r>
      <w:r w:rsidRPr="00CF3EF0">
        <w:t>Interviews</w:t>
      </w:r>
      <w:r w:rsidRPr="003C4B61">
        <w:t xml:space="preserve"> 4</w:t>
      </w:r>
      <w:r>
        <w:t>,</w:t>
      </w:r>
      <w:r w:rsidRPr="003C4B61">
        <w:t xml:space="preserve"> 15</w:t>
      </w:r>
      <w:r>
        <w:t>,</w:t>
      </w:r>
      <w:r w:rsidRPr="003C4B61">
        <w:t xml:space="preserve"> 7.</w:t>
      </w:r>
    </w:p>
  </w:footnote>
  <w:footnote w:id="753">
    <w:p w14:paraId="20C0A791" w14:textId="00A21960" w:rsidR="001056F2" w:rsidRPr="007A3B13" w:rsidRDefault="001056F2">
      <w:pPr>
        <w:pStyle w:val="FootnoteText"/>
      </w:pPr>
      <w:r>
        <w:rPr>
          <w:rStyle w:val="FootnoteReference"/>
        </w:rPr>
        <w:footnoteRef/>
      </w:r>
      <w:r>
        <w:t xml:space="preserve"> </w:t>
      </w:r>
      <w:r w:rsidRPr="00CF3EF0">
        <w:t>Interview</w:t>
      </w:r>
      <w:r w:rsidRPr="003C4B61">
        <w:t xml:space="preserve"> 2</w:t>
      </w:r>
      <w:r>
        <w:t>, 7, 4, 15, 5, 6.</w:t>
      </w:r>
      <w:r w:rsidRPr="003C4B61">
        <w:t xml:space="preserve"> </w:t>
      </w:r>
      <w:r w:rsidR="00D77C7A">
        <w:t xml:space="preserve">See also the discussion of </w:t>
      </w:r>
      <w:r w:rsidR="009744C1">
        <w:t xml:space="preserve">issues raised by stakeholders regarding the </w:t>
      </w:r>
      <w:r w:rsidR="00B779BE">
        <w:t xml:space="preserve">need for community education and training </w:t>
      </w:r>
      <w:r w:rsidR="002126D5">
        <w:t xml:space="preserve">and developing expertise </w:t>
      </w:r>
      <w:r w:rsidR="00B779BE">
        <w:t xml:space="preserve">generally </w:t>
      </w:r>
      <w:r w:rsidR="002126D5">
        <w:t xml:space="preserve">around matters concerning abuse of older people </w:t>
      </w:r>
      <w:r w:rsidR="00B779BE">
        <w:t xml:space="preserve">in </w:t>
      </w:r>
      <w:r w:rsidR="00B779BE" w:rsidRPr="001B7521">
        <w:rPr>
          <w:b/>
          <w:bCs/>
        </w:rPr>
        <w:t>Part 4</w:t>
      </w:r>
      <w:r w:rsidR="00B779BE">
        <w:t xml:space="preserve"> at </w:t>
      </w:r>
      <w:r w:rsidR="001B7521">
        <w:t xml:space="preserve">[4.5.42]–[4.5.46] and </w:t>
      </w:r>
      <w:r w:rsidR="001B7521" w:rsidRPr="001B7521">
        <w:rPr>
          <w:b/>
          <w:bCs/>
        </w:rPr>
        <w:t>Recommendation 18</w:t>
      </w:r>
      <w:r w:rsidR="007A3B13">
        <w:t xml:space="preserve">: </w:t>
      </w:r>
      <w:r w:rsidR="009744C1">
        <w:t>‘</w:t>
      </w:r>
      <w:r w:rsidR="009744C1" w:rsidRPr="009744C1">
        <w:t>The functions of the Commissioner for Older People should include education and training for services and businesses who interact with older Tasmanians as a primary and secondary prevention response to the abuse of older people, including Tasmania Police, and such education and training should include supported decision making.</w:t>
      </w:r>
      <w:r w:rsidR="009744C1">
        <w:t>’</w:t>
      </w:r>
    </w:p>
  </w:footnote>
  <w:footnote w:id="754">
    <w:p w14:paraId="05589324" w14:textId="5294CA8D" w:rsidR="001056F2" w:rsidRDefault="001056F2">
      <w:pPr>
        <w:pStyle w:val="FootnoteText"/>
      </w:pPr>
      <w:r>
        <w:rPr>
          <w:rStyle w:val="FootnoteReference"/>
        </w:rPr>
        <w:footnoteRef/>
      </w:r>
      <w:r>
        <w:t xml:space="preserve"> </w:t>
      </w:r>
      <w:r w:rsidRPr="003C4B61">
        <w:t>See KT</w:t>
      </w:r>
      <w:r>
        <w:t xml:space="preserve">, </w:t>
      </w:r>
      <w:r w:rsidRPr="00CF3EF0">
        <w:t>Table</w:t>
      </w:r>
      <w:r w:rsidRPr="003C4B61">
        <w:t xml:space="preserve"> </w:t>
      </w:r>
      <w:r>
        <w:t>B2</w:t>
      </w:r>
      <w:r w:rsidRPr="003C4B61">
        <w:t xml:space="preserve"> in </w:t>
      </w:r>
      <w:r w:rsidRPr="00C36293">
        <w:rPr>
          <w:b/>
          <w:bCs/>
        </w:rPr>
        <w:t>Appendix B</w:t>
      </w:r>
      <w:r w:rsidRPr="003C4B61">
        <w:t>.</w:t>
      </w:r>
    </w:p>
  </w:footnote>
  <w:footnote w:id="755">
    <w:p w14:paraId="03E0D515" w14:textId="7824F389" w:rsidR="001056F2" w:rsidRDefault="001056F2">
      <w:pPr>
        <w:pStyle w:val="FootnoteText"/>
      </w:pPr>
      <w:r>
        <w:rPr>
          <w:rStyle w:val="FootnoteReference"/>
        </w:rPr>
        <w:footnoteRef/>
      </w:r>
      <w:r>
        <w:t xml:space="preserve"> </w:t>
      </w:r>
      <w:r w:rsidRPr="003C4B61">
        <w:t>Interview 4.</w:t>
      </w:r>
    </w:p>
  </w:footnote>
  <w:footnote w:id="756">
    <w:p w14:paraId="603D2EAF" w14:textId="2FB18487" w:rsidR="00E80167" w:rsidRDefault="00E80167">
      <w:pPr>
        <w:pStyle w:val="FootnoteText"/>
      </w:pPr>
      <w:r>
        <w:rPr>
          <w:rStyle w:val="FootnoteReference"/>
        </w:rPr>
        <w:footnoteRef/>
      </w:r>
      <w:r>
        <w:t xml:space="preserve"> </w:t>
      </w:r>
      <w:r w:rsidRPr="003C4B61">
        <w:t>A</w:t>
      </w:r>
      <w:r>
        <w:t xml:space="preserve">ustralian Human Rights Commission, </w:t>
      </w:r>
      <w:r w:rsidRPr="007E53F9">
        <w:rPr>
          <w:i/>
          <w:iCs/>
        </w:rPr>
        <w:t>Empowering Futures: A National Survey on the Understanding and Use of Financial Enduring Powers of Attorney</w:t>
      </w:r>
      <w:r w:rsidRPr="003C4B61">
        <w:t xml:space="preserve"> (</w:t>
      </w:r>
      <w:r>
        <w:t xml:space="preserve">September </w:t>
      </w:r>
      <w:r w:rsidRPr="003C4B61">
        <w:t xml:space="preserve">2024) </w:t>
      </w:r>
      <w:r>
        <w:t>11 Key Finding 9 &lt;</w:t>
      </w:r>
      <w:hyperlink r:id="rId122" w:history="1">
        <w:r w:rsidRPr="00523D14">
          <w:rPr>
            <w:rStyle w:val="Hyperlink"/>
          </w:rPr>
          <w:t>https://humanrights.gov.au/our-work/age-discrimination/publications/empowering-futures-report-enduring-powers-attorney-2024</w:t>
        </w:r>
      </w:hyperlink>
      <w:r>
        <w:t xml:space="preserve">&gt;. See also </w:t>
      </w:r>
      <w:r w:rsidRPr="003C4B61">
        <w:t>A</w:t>
      </w:r>
      <w:r>
        <w:t>ustralian Human Rights Commission, ‘</w:t>
      </w:r>
      <w:r w:rsidRPr="00824760">
        <w:t xml:space="preserve">New </w:t>
      </w:r>
      <w:r>
        <w:t>R</w:t>
      </w:r>
      <w:r w:rsidRPr="00824760">
        <w:t xml:space="preserve">eport </w:t>
      </w:r>
      <w:r>
        <w:t>R</w:t>
      </w:r>
      <w:r w:rsidRPr="00824760">
        <w:t xml:space="preserve">ecommends Australia </w:t>
      </w:r>
      <w:r>
        <w:t>U</w:t>
      </w:r>
      <w:r w:rsidRPr="00824760">
        <w:t xml:space="preserve">rgently </w:t>
      </w:r>
      <w:r>
        <w:t>C</w:t>
      </w:r>
      <w:r w:rsidRPr="00824760">
        <w:t xml:space="preserve">reates </w:t>
      </w:r>
      <w:r>
        <w:t>N</w:t>
      </w:r>
      <w:r w:rsidRPr="00824760">
        <w:t xml:space="preserve">ationally </w:t>
      </w:r>
      <w:r>
        <w:t>C</w:t>
      </w:r>
      <w:r w:rsidRPr="00824760">
        <w:t xml:space="preserve">onsistent </w:t>
      </w:r>
      <w:r>
        <w:t>E</w:t>
      </w:r>
      <w:r w:rsidRPr="00824760">
        <w:t xml:space="preserve">nduring </w:t>
      </w:r>
      <w:r>
        <w:t>P</w:t>
      </w:r>
      <w:r w:rsidRPr="00824760">
        <w:t xml:space="preserve">owers of </w:t>
      </w:r>
      <w:r>
        <w:t>A</w:t>
      </w:r>
      <w:r w:rsidRPr="00824760">
        <w:t xml:space="preserve">ttorney </w:t>
      </w:r>
      <w:r>
        <w:t>L</w:t>
      </w:r>
      <w:r w:rsidRPr="00824760">
        <w:t>aws</w:t>
      </w:r>
      <w:r>
        <w:t>’ (Media Release, 10 September 2024) &lt;</w:t>
      </w:r>
      <w:hyperlink r:id="rId123" w:history="1">
        <w:r w:rsidRPr="00523D14">
          <w:rPr>
            <w:rStyle w:val="Hyperlink"/>
          </w:rPr>
          <w:t>https://humanrights.gov.au/about/news/media-releases/new-report-recommends-australia-urgently-creates-nationally-consistent</w:t>
        </w:r>
      </w:hyperlink>
      <w:r>
        <w:t>&gt;.</w:t>
      </w:r>
    </w:p>
  </w:footnote>
  <w:footnote w:id="757">
    <w:p w14:paraId="4DA92993" w14:textId="2C37CFCC" w:rsidR="005E494E" w:rsidRDefault="005E494E">
      <w:pPr>
        <w:pStyle w:val="FootnoteText"/>
      </w:pPr>
      <w:r>
        <w:rPr>
          <w:rStyle w:val="FootnoteReference"/>
        </w:rPr>
        <w:footnoteRef/>
      </w:r>
      <w:r>
        <w:t xml:space="preserve"> Ibid 12, Recommendation 2. See also ibid. </w:t>
      </w:r>
    </w:p>
  </w:footnote>
  <w:footnote w:id="758">
    <w:p w14:paraId="1531DD1B" w14:textId="12E9E053" w:rsidR="00EB3996" w:rsidRDefault="00EB3996">
      <w:pPr>
        <w:pStyle w:val="FootnoteText"/>
      </w:pPr>
      <w:r>
        <w:rPr>
          <w:rStyle w:val="FootnoteReference"/>
        </w:rPr>
        <w:footnoteRef/>
      </w:r>
      <w:r>
        <w:t xml:space="preserve"> </w:t>
      </w:r>
      <w:r w:rsidR="0011713B">
        <w:t xml:space="preserve">NSW Ageing and Disability </w:t>
      </w:r>
      <w:r w:rsidR="0011713B" w:rsidRPr="00CF3EF0">
        <w:t>Commission</w:t>
      </w:r>
      <w:r w:rsidR="005C4117">
        <w:t>,</w:t>
      </w:r>
      <w:r w:rsidR="0011713B">
        <w:t xml:space="preserve"> </w:t>
      </w:r>
      <w:r w:rsidR="0011713B" w:rsidRPr="00A06DA6">
        <w:rPr>
          <w:i/>
          <w:iCs/>
        </w:rPr>
        <w:t>Annual Report 20</w:t>
      </w:r>
      <w:r w:rsidR="005C4117" w:rsidRPr="00A06DA6">
        <w:rPr>
          <w:i/>
          <w:iCs/>
        </w:rPr>
        <w:t>23–24</w:t>
      </w:r>
      <w:r w:rsidR="005C4117">
        <w:t xml:space="preserve"> </w:t>
      </w:r>
      <w:r w:rsidR="003B0D81">
        <w:t xml:space="preserve">(NSW Government, Report, October 2024) </w:t>
      </w:r>
      <w:r w:rsidR="0011713B">
        <w:t xml:space="preserve">26 </w:t>
      </w:r>
      <w:r w:rsidR="005A2854">
        <w:t>&lt;</w:t>
      </w:r>
      <w:hyperlink r:id="rId124" w:history="1">
        <w:r w:rsidR="0069526E" w:rsidRPr="00523D14">
          <w:rPr>
            <w:rStyle w:val="Hyperlink"/>
          </w:rPr>
          <w:t>https://ageingdisabilitycommission.nsw.gov.au/reports-and-submissions/annual-reports.html</w:t>
        </w:r>
      </w:hyperlink>
      <w:r w:rsidR="005A2854">
        <w:t>&gt;.</w:t>
      </w:r>
    </w:p>
  </w:footnote>
  <w:footnote w:id="759">
    <w:p w14:paraId="37C41977" w14:textId="0BFF130E" w:rsidR="00242D28" w:rsidRDefault="00242D28">
      <w:pPr>
        <w:pStyle w:val="FootnoteText"/>
      </w:pPr>
      <w:r>
        <w:rPr>
          <w:rStyle w:val="FootnoteReference"/>
        </w:rPr>
        <w:footnoteRef/>
      </w:r>
      <w:r>
        <w:t xml:space="preserve"> Ibid. </w:t>
      </w:r>
    </w:p>
  </w:footnote>
  <w:footnote w:id="760">
    <w:p w14:paraId="1DB89D46" w14:textId="3751C41D" w:rsidR="00BB6CF9" w:rsidRDefault="00BB6CF9" w:rsidP="00CF3EF0">
      <w:pPr>
        <w:pStyle w:val="FootnoteText"/>
      </w:pPr>
      <w:r>
        <w:rPr>
          <w:rStyle w:val="FootnoteReference"/>
        </w:rPr>
        <w:footnoteRef/>
      </w:r>
      <w:r>
        <w:t xml:space="preserve"> </w:t>
      </w:r>
      <w:r w:rsidR="0069526E">
        <w:t>Ibid.</w:t>
      </w:r>
    </w:p>
  </w:footnote>
  <w:footnote w:id="761">
    <w:p w14:paraId="2E58BC9C" w14:textId="151B17AE" w:rsidR="00494DC7" w:rsidRDefault="00494DC7" w:rsidP="00CF3EF0">
      <w:pPr>
        <w:pStyle w:val="FootnoteText"/>
      </w:pPr>
      <w:r>
        <w:rPr>
          <w:rStyle w:val="FootnoteReference"/>
        </w:rPr>
        <w:footnoteRef/>
      </w:r>
      <w:r>
        <w:t xml:space="preserve"> </w:t>
      </w:r>
      <w:r w:rsidR="00FC5937" w:rsidRPr="006F2DE6">
        <w:t>Queensland Law Reform Commission (</w:t>
      </w:r>
      <w:r w:rsidR="00FC5937">
        <w:t>‘</w:t>
      </w:r>
      <w:r w:rsidR="00FC5937" w:rsidRPr="006F2DE6">
        <w:t>QLRC</w:t>
      </w:r>
      <w:r w:rsidR="00FC5937">
        <w:t>’</w:t>
      </w:r>
      <w:r w:rsidR="00FC5937" w:rsidRPr="006F2DE6">
        <w:t>)</w:t>
      </w:r>
      <w:r w:rsidR="00FC5937">
        <w:t xml:space="preserve">, </w:t>
      </w:r>
      <w:r w:rsidR="00FC5937" w:rsidRPr="00A33E2F">
        <w:rPr>
          <w:i/>
          <w:iCs/>
        </w:rPr>
        <w:t xml:space="preserve">A </w:t>
      </w:r>
      <w:r w:rsidR="008E287A">
        <w:rPr>
          <w:i/>
          <w:iCs/>
        </w:rPr>
        <w:t>R</w:t>
      </w:r>
      <w:r w:rsidR="00FC5937" w:rsidRPr="00A33E2F">
        <w:rPr>
          <w:i/>
          <w:iCs/>
        </w:rPr>
        <w:t>eview of Queensland’s Guardianship Laws</w:t>
      </w:r>
      <w:r w:rsidR="0051635E" w:rsidRPr="00A33E2F">
        <w:rPr>
          <w:i/>
          <w:iCs/>
        </w:rPr>
        <w:t xml:space="preserve">: Volume </w:t>
      </w:r>
      <w:r w:rsidR="00A33E2F" w:rsidRPr="00A33E2F">
        <w:rPr>
          <w:i/>
          <w:iCs/>
        </w:rPr>
        <w:t>3</w:t>
      </w:r>
      <w:r w:rsidR="00A33E2F">
        <w:t xml:space="preserve"> </w:t>
      </w:r>
      <w:r w:rsidR="00FC5937">
        <w:t>(Report</w:t>
      </w:r>
      <w:r w:rsidR="0051635E">
        <w:t xml:space="preserve"> No 67 (September 2010) </w:t>
      </w:r>
      <w:r w:rsidR="008E287A">
        <w:t xml:space="preserve">(‘QLRC, </w:t>
      </w:r>
      <w:r w:rsidR="008E287A" w:rsidRPr="00A33E2F">
        <w:rPr>
          <w:i/>
          <w:iCs/>
        </w:rPr>
        <w:t xml:space="preserve">A </w:t>
      </w:r>
      <w:r w:rsidR="008E287A">
        <w:rPr>
          <w:i/>
          <w:iCs/>
        </w:rPr>
        <w:t>R</w:t>
      </w:r>
      <w:r w:rsidR="008E287A" w:rsidRPr="00A33E2F">
        <w:rPr>
          <w:i/>
          <w:iCs/>
        </w:rPr>
        <w:t>eview of Queensland’s Guardianship Laws: Volume 3</w:t>
      </w:r>
      <w:r w:rsidR="008E287A">
        <w:t xml:space="preserve">’) </w:t>
      </w:r>
      <w:r w:rsidR="00CD1411" w:rsidRPr="00CF3EF0">
        <w:t>284</w:t>
      </w:r>
      <w:r w:rsidR="00A33E2F">
        <w:t>, R</w:t>
      </w:r>
      <w:r w:rsidR="00CD1411">
        <w:t>ecommendation 17-18</w:t>
      </w:r>
      <w:r w:rsidR="008E287A">
        <w:t>.</w:t>
      </w:r>
    </w:p>
  </w:footnote>
  <w:footnote w:id="762">
    <w:p w14:paraId="3AFDD93B" w14:textId="547C4417" w:rsidR="00771595" w:rsidRDefault="00771595" w:rsidP="00CF3EF0">
      <w:pPr>
        <w:pStyle w:val="FootnoteText"/>
      </w:pPr>
      <w:r>
        <w:rPr>
          <w:rStyle w:val="FootnoteReference"/>
        </w:rPr>
        <w:footnoteRef/>
      </w:r>
      <w:r>
        <w:t xml:space="preserve"> </w:t>
      </w:r>
      <w:r w:rsidR="00A7208D">
        <w:t xml:space="preserve">Parliament of </w:t>
      </w:r>
      <w:r w:rsidR="00891882">
        <w:t>N</w:t>
      </w:r>
      <w:r w:rsidR="00A7208D">
        <w:t xml:space="preserve">ew South Wales (n 716) </w:t>
      </w:r>
      <w:r w:rsidR="00891882">
        <w:t>[6.24]</w:t>
      </w:r>
      <w:r w:rsidR="00A7208D">
        <w:t>–</w:t>
      </w:r>
      <w:r w:rsidR="00891882">
        <w:t>[6.27], [6.96]</w:t>
      </w:r>
      <w:r w:rsidR="00A7208D">
        <w:t>, Recommendation</w:t>
      </w:r>
      <w:r w:rsidR="00891882" w:rsidRPr="00891882">
        <w:t xml:space="preserve"> 7</w:t>
      </w:r>
      <w:r w:rsidR="00A7208D">
        <w:t>,</w:t>
      </w:r>
      <w:r w:rsidR="00891882" w:rsidRPr="00891882">
        <w:t xml:space="preserve"> [6.45], [6.101].</w:t>
      </w:r>
    </w:p>
  </w:footnote>
  <w:footnote w:id="763">
    <w:p w14:paraId="24FA3364" w14:textId="30AB7891" w:rsidR="00DD10E6" w:rsidRDefault="00DD10E6" w:rsidP="00DD10E6">
      <w:pPr>
        <w:pStyle w:val="FootnoteText"/>
      </w:pPr>
      <w:r>
        <w:rPr>
          <w:rStyle w:val="FootnoteReference"/>
        </w:rPr>
        <w:footnoteRef/>
      </w:r>
      <w:r>
        <w:t xml:space="preserve"> </w:t>
      </w:r>
      <w:r w:rsidR="00793001">
        <w:t xml:space="preserve">ALRC, </w:t>
      </w:r>
      <w:r w:rsidR="00793001" w:rsidRPr="003210B3">
        <w:rPr>
          <w:i/>
          <w:iCs/>
        </w:rPr>
        <w:t>Elder Abuse</w:t>
      </w:r>
      <w:r w:rsidR="00793001">
        <w:t xml:space="preserve"> (n 6)</w:t>
      </w:r>
      <w:r w:rsidR="00793001" w:rsidRPr="003C4B61">
        <w:t xml:space="preserve"> </w:t>
      </w:r>
      <w:r>
        <w:t>[13.10</w:t>
      </w:r>
      <w:r w:rsidR="005E494E">
        <w:t>],</w:t>
      </w:r>
      <w:r>
        <w:t xml:space="preserve"> [13.13].</w:t>
      </w:r>
    </w:p>
  </w:footnote>
  <w:footnote w:id="764">
    <w:p w14:paraId="537C681B" w14:textId="250EDFB3" w:rsidR="00E3689E" w:rsidRPr="00A110A4" w:rsidRDefault="00E3689E">
      <w:pPr>
        <w:pStyle w:val="FootnoteText"/>
        <w:rPr>
          <w:rFonts w:cs="Times New Roman"/>
          <w:sz w:val="18"/>
          <w:szCs w:val="18"/>
        </w:rPr>
      </w:pPr>
      <w:r>
        <w:rPr>
          <w:rStyle w:val="FootnoteReference"/>
        </w:rPr>
        <w:footnoteRef/>
      </w:r>
      <w:r>
        <w:t xml:space="preserve"> </w:t>
      </w:r>
      <w:r w:rsidR="00793001">
        <w:t xml:space="preserve">ALRC, </w:t>
      </w:r>
      <w:r w:rsidR="00793001" w:rsidRPr="003210B3">
        <w:rPr>
          <w:i/>
          <w:iCs/>
        </w:rPr>
        <w:t>Elder Abuse</w:t>
      </w:r>
      <w:r w:rsidR="00793001">
        <w:t xml:space="preserve"> (n 6)</w:t>
      </w:r>
      <w:r w:rsidR="00793001" w:rsidRPr="003C4B61">
        <w:t xml:space="preserve"> </w:t>
      </w:r>
      <w:r w:rsidR="00A110A4">
        <w:t>[5.82]</w:t>
      </w:r>
      <w:r w:rsidR="008E287A">
        <w:t>–</w:t>
      </w:r>
      <w:r w:rsidR="00A110A4">
        <w:t>[5.83]</w:t>
      </w:r>
      <w:r w:rsidR="00DE4C5B">
        <w:t xml:space="preserve">; </w:t>
      </w:r>
      <w:r w:rsidR="00DE4C5B" w:rsidRPr="00D715B3">
        <w:rPr>
          <w:rFonts w:cs="Times New Roman"/>
        </w:rPr>
        <w:t xml:space="preserve">South Australian Law Reform Institute ('SALRI'), </w:t>
      </w:r>
      <w:r w:rsidR="00A110A4" w:rsidRPr="00DE4C5B">
        <w:rPr>
          <w:i/>
          <w:iCs/>
        </w:rPr>
        <w:t>Valuable Instrument or Single Most Abused Legal Document in our Judicial System? A Review of the Role and Operation of Enduring Powers of Attorney in South Australia</w:t>
      </w:r>
      <w:r w:rsidR="00DE4C5B">
        <w:t xml:space="preserve"> </w:t>
      </w:r>
      <w:r w:rsidR="00A110A4">
        <w:t xml:space="preserve">(Report 15, December 2020) [7.2.58]. See also </w:t>
      </w:r>
      <w:r w:rsidR="004555B0">
        <w:t xml:space="preserve">Attorney-General’s Department, </w:t>
      </w:r>
      <w:r w:rsidR="004555B0" w:rsidRPr="002B336E">
        <w:rPr>
          <w:i/>
          <w:iCs/>
        </w:rPr>
        <w:t>Achieving Greater Consistency in Laws for Financial Enduring Powers of Attorney</w:t>
      </w:r>
      <w:r w:rsidR="004555B0">
        <w:t xml:space="preserve"> (n 281) 30</w:t>
      </w:r>
      <w:r w:rsidR="00080600">
        <w:t>.</w:t>
      </w:r>
    </w:p>
  </w:footnote>
  <w:footnote w:id="765">
    <w:p w14:paraId="51CB78A9" w14:textId="791731FE" w:rsidR="003D7D54" w:rsidRDefault="003D7D54">
      <w:pPr>
        <w:pStyle w:val="FootnoteText"/>
      </w:pPr>
      <w:r>
        <w:rPr>
          <w:rStyle w:val="FootnoteReference"/>
        </w:rPr>
        <w:footnoteRef/>
      </w:r>
      <w:r>
        <w:t xml:space="preserve"> ARLC</w:t>
      </w:r>
      <w:r w:rsidR="00080600">
        <w:t xml:space="preserve">, </w:t>
      </w:r>
      <w:r w:rsidR="00080600" w:rsidRPr="00080600">
        <w:rPr>
          <w:i/>
          <w:iCs/>
        </w:rPr>
        <w:t>Elder Abuse</w:t>
      </w:r>
      <w:r w:rsidR="00080600">
        <w:t xml:space="preserve"> (n 6) </w:t>
      </w:r>
      <w:r w:rsidR="00D96421">
        <w:t>177</w:t>
      </w:r>
      <w:r>
        <w:t xml:space="preserve"> Recommendation 5–</w:t>
      </w:r>
      <w:r w:rsidR="008702AE">
        <w:t>2.</w:t>
      </w:r>
    </w:p>
  </w:footnote>
  <w:footnote w:id="766">
    <w:p w14:paraId="4013537C" w14:textId="60118028" w:rsidR="00F439B6" w:rsidRDefault="00F439B6" w:rsidP="00813EAC">
      <w:pPr>
        <w:pStyle w:val="FootnoteText"/>
      </w:pPr>
      <w:r>
        <w:rPr>
          <w:rStyle w:val="FootnoteReference"/>
        </w:rPr>
        <w:footnoteRef/>
      </w:r>
      <w:r>
        <w:t xml:space="preserve"> </w:t>
      </w:r>
      <w:r w:rsidRPr="00E94F0C">
        <w:t>These were:</w:t>
      </w:r>
      <w:r w:rsidR="00813EAC" w:rsidRPr="00E94F0C">
        <w:t xml:space="preserve"> that safeguards</w:t>
      </w:r>
      <w:r w:rsidRPr="00E94F0C">
        <w:t xml:space="preserve"> </w:t>
      </w:r>
      <w:r w:rsidR="00813EAC" w:rsidRPr="00E94F0C">
        <w:t>should: ‘(a) recognise the ability of the principal to create enduring documents that give full powers, powers that are limited or restricted, and powers that are subject to conditions or circumstances; (b) require the appointed decision maker to support and represent the will, preferences and rights of the principal; (c) enhance witnessing requirements;</w:t>
      </w:r>
      <w:r w:rsidR="00F72635">
        <w:t xml:space="preserve"> </w:t>
      </w:r>
      <w:r w:rsidR="00813EAC" w:rsidRPr="00E94F0C">
        <w:t>(d) restrict conflict transactions;</w:t>
      </w:r>
      <w:r w:rsidR="00F72635">
        <w:t xml:space="preserve"> </w:t>
      </w:r>
      <w:r w:rsidR="00813EAC" w:rsidRPr="00E94F0C">
        <w:t>(e) restrict who may be an attorney;</w:t>
      </w:r>
      <w:r w:rsidR="00F72635">
        <w:t xml:space="preserve"> </w:t>
      </w:r>
      <w:r w:rsidR="00813EAC" w:rsidRPr="00E94F0C">
        <w:t>(f) set out in simple terms the type of decisions that are outside the power of a person acting under an enduring document; and</w:t>
      </w:r>
      <w:r w:rsidR="00F72635">
        <w:t xml:space="preserve"> </w:t>
      </w:r>
      <w:r w:rsidR="00813EAC" w:rsidRPr="00E94F0C">
        <w:t>(g) mandate basic requirements for record keeping: ARLC</w:t>
      </w:r>
      <w:r w:rsidR="008E287A">
        <w:t xml:space="preserve">, </w:t>
      </w:r>
      <w:r w:rsidR="008E287A" w:rsidRPr="008E287A">
        <w:rPr>
          <w:i/>
          <w:iCs/>
        </w:rPr>
        <w:t>Elder Abuse</w:t>
      </w:r>
      <w:r w:rsidR="00813EAC" w:rsidRPr="00E94F0C">
        <w:t xml:space="preserve"> </w:t>
      </w:r>
      <w:r w:rsidR="008E287A">
        <w:t xml:space="preserve">(n 6) </w:t>
      </w:r>
      <w:r w:rsidR="00D96421" w:rsidRPr="00E94F0C">
        <w:t>164</w:t>
      </w:r>
      <w:r w:rsidR="00813EAC" w:rsidRPr="00E94F0C">
        <w:t xml:space="preserve"> Recommendation 5–</w:t>
      </w:r>
      <w:r w:rsidR="00813EAC">
        <w:t>1</w:t>
      </w:r>
      <w:r w:rsidR="00E94F0C" w:rsidRPr="00E94F0C">
        <w:t>.</w:t>
      </w:r>
    </w:p>
  </w:footnote>
  <w:footnote w:id="767">
    <w:p w14:paraId="4CB14E62" w14:textId="397D9EFC" w:rsidR="007E3754" w:rsidRDefault="007E3754" w:rsidP="007E3754">
      <w:pPr>
        <w:pStyle w:val="FootnoteText"/>
      </w:pPr>
      <w:r w:rsidRPr="00E94F0C">
        <w:rPr>
          <w:rStyle w:val="FootnoteReference"/>
        </w:rPr>
        <w:footnoteRef/>
      </w:r>
      <w:r w:rsidRPr="00E94F0C">
        <w:t xml:space="preserve"> </w:t>
      </w:r>
      <w:r w:rsidR="007D1669">
        <w:t xml:space="preserve">QLRC, </w:t>
      </w:r>
      <w:r w:rsidR="007D1669" w:rsidRPr="00A33E2F">
        <w:rPr>
          <w:i/>
          <w:iCs/>
        </w:rPr>
        <w:t xml:space="preserve">A </w:t>
      </w:r>
      <w:r w:rsidR="007D1669">
        <w:rPr>
          <w:i/>
          <w:iCs/>
        </w:rPr>
        <w:t>R</w:t>
      </w:r>
      <w:r w:rsidR="007D1669" w:rsidRPr="00A33E2F">
        <w:rPr>
          <w:i/>
          <w:iCs/>
        </w:rPr>
        <w:t>eview of Queensland’s Guardianship Laws: Volume 3</w:t>
      </w:r>
      <w:r w:rsidR="007D1669">
        <w:t xml:space="preserve"> (n 760) </w:t>
      </w:r>
      <w:r w:rsidRPr="00E94F0C">
        <w:t>284</w:t>
      </w:r>
      <w:r w:rsidR="007D1669">
        <w:t xml:space="preserve">, Recommendation </w:t>
      </w:r>
      <w:r w:rsidRPr="00E94F0C">
        <w:t>17-17.</w:t>
      </w:r>
    </w:p>
  </w:footnote>
  <w:footnote w:id="768">
    <w:p w14:paraId="6F95A5FC" w14:textId="1E687A5C" w:rsidR="007D1669" w:rsidRDefault="007D1669">
      <w:pPr>
        <w:pStyle w:val="FootnoteText"/>
      </w:pPr>
      <w:r>
        <w:rPr>
          <w:rStyle w:val="FootnoteReference"/>
        </w:rPr>
        <w:footnoteRef/>
      </w:r>
      <w:r>
        <w:t xml:space="preserve"> </w:t>
      </w:r>
      <w:r w:rsidRPr="003C4B61">
        <w:t>This table is a</w:t>
      </w:r>
      <w:r>
        <w:t>n updated</w:t>
      </w:r>
      <w:r w:rsidRPr="003C4B61">
        <w:t xml:space="preserve"> version of a table in </w:t>
      </w:r>
      <w:r w:rsidR="00C40694">
        <w:t xml:space="preserve">Attorney-General’s Department, </w:t>
      </w:r>
      <w:r w:rsidR="00C40694" w:rsidRPr="002B336E">
        <w:rPr>
          <w:i/>
          <w:iCs/>
        </w:rPr>
        <w:t>Achieving Greater Consistency in Laws for Financial Enduring Powers of Attorney</w:t>
      </w:r>
      <w:r w:rsidR="00C40694">
        <w:t xml:space="preserve"> (n 281) </w:t>
      </w:r>
      <w:r w:rsidR="00C46385">
        <w:t xml:space="preserve">47 </w:t>
      </w:r>
      <w:r w:rsidR="00C40694">
        <w:t>‘</w:t>
      </w:r>
      <w:r w:rsidRPr="003C4B61">
        <w:t>Appendix</w:t>
      </w:r>
      <w:r w:rsidRPr="00CF3EF0">
        <w:t xml:space="preserve"> 1 – </w:t>
      </w:r>
      <w:r w:rsidR="00C46385">
        <w:t>Compensation’</w:t>
      </w:r>
      <w:r w:rsidR="00C40694">
        <w:t>.</w:t>
      </w:r>
    </w:p>
  </w:footnote>
  <w:footnote w:id="769">
    <w:p w14:paraId="565B7F28" w14:textId="1B4825E4" w:rsidR="007D1669" w:rsidRDefault="007D1669">
      <w:pPr>
        <w:pStyle w:val="FootnoteText"/>
      </w:pPr>
      <w:r>
        <w:rPr>
          <w:rStyle w:val="FootnoteReference"/>
        </w:rPr>
        <w:footnoteRef/>
      </w:r>
      <w:r>
        <w:t xml:space="preserve"> </w:t>
      </w:r>
      <w:r w:rsidRPr="00D54881">
        <w:rPr>
          <w:i/>
          <w:iCs/>
        </w:rPr>
        <w:t>Advance Personal Planning Act 2013</w:t>
      </w:r>
      <w:r>
        <w:t xml:space="preserve"> (NT) s 83 (upon </w:t>
      </w:r>
      <w:r w:rsidRPr="00CF3EF0">
        <w:t>conviction</w:t>
      </w:r>
      <w:r>
        <w:t xml:space="preserve"> of offence under ss 76–79).</w:t>
      </w:r>
    </w:p>
  </w:footnote>
  <w:footnote w:id="770">
    <w:p w14:paraId="22FD3650" w14:textId="136B3D4E" w:rsidR="007D1669" w:rsidRDefault="007D1669">
      <w:pPr>
        <w:pStyle w:val="FootnoteText"/>
      </w:pPr>
      <w:r>
        <w:rPr>
          <w:rStyle w:val="FootnoteReference"/>
        </w:rPr>
        <w:footnoteRef/>
      </w:r>
      <w:r>
        <w:t xml:space="preserve"> </w:t>
      </w:r>
      <w:r>
        <w:rPr>
          <w:i/>
          <w:iCs/>
        </w:rPr>
        <w:t>Powers of Attorney Act 2014</w:t>
      </w:r>
      <w:r w:rsidRPr="003C4B61">
        <w:rPr>
          <w:i/>
          <w:iCs/>
        </w:rPr>
        <w:t xml:space="preserve"> </w:t>
      </w:r>
      <w:r w:rsidRPr="003C4B61">
        <w:t>(Vic) s</w:t>
      </w:r>
      <w:r>
        <w:t xml:space="preserve"> 74, 77 (court or tribunal).</w:t>
      </w:r>
    </w:p>
  </w:footnote>
  <w:footnote w:id="771">
    <w:p w14:paraId="5AA8C29F" w14:textId="292ACCBA" w:rsidR="00536B17" w:rsidRDefault="00536B17">
      <w:pPr>
        <w:pStyle w:val="FootnoteText"/>
      </w:pPr>
      <w:r>
        <w:rPr>
          <w:rStyle w:val="FootnoteReference"/>
        </w:rPr>
        <w:footnoteRef/>
      </w:r>
      <w:r>
        <w:t xml:space="preserve"> </w:t>
      </w:r>
      <w:r>
        <w:rPr>
          <w:i/>
          <w:iCs/>
        </w:rPr>
        <w:t>Powers of Attorney Act 1998</w:t>
      </w:r>
      <w:r w:rsidRPr="003C4B61">
        <w:rPr>
          <w:i/>
          <w:iCs/>
        </w:rPr>
        <w:t xml:space="preserve"> </w:t>
      </w:r>
      <w:r w:rsidRPr="003C4B61">
        <w:t xml:space="preserve">(Qld) </w:t>
      </w:r>
      <w:r>
        <w:t>s</w:t>
      </w:r>
      <w:r w:rsidR="00C46385">
        <w:t>s</w:t>
      </w:r>
      <w:r>
        <w:t xml:space="preserve"> 105, 106 (court or </w:t>
      </w:r>
      <w:r w:rsidRPr="00CF3EF0">
        <w:t>tribunal</w:t>
      </w:r>
      <w:r>
        <w:t>).</w:t>
      </w:r>
    </w:p>
  </w:footnote>
  <w:footnote w:id="772">
    <w:p w14:paraId="569A2B10" w14:textId="0048217E" w:rsidR="00536B17" w:rsidRDefault="00536B17">
      <w:pPr>
        <w:pStyle w:val="FootnoteText"/>
      </w:pPr>
      <w:r>
        <w:rPr>
          <w:rStyle w:val="FootnoteReference"/>
        </w:rPr>
        <w:footnoteRef/>
      </w:r>
      <w:r>
        <w:t xml:space="preserve"> </w:t>
      </w:r>
      <w:r>
        <w:rPr>
          <w:i/>
          <w:iCs/>
        </w:rPr>
        <w:t xml:space="preserve">Powers of Attorney Act 2006 </w:t>
      </w:r>
      <w:r w:rsidRPr="003C4B61">
        <w:t>(ACT</w:t>
      </w:r>
      <w:r>
        <w:t>) s</w:t>
      </w:r>
      <w:r w:rsidR="00C46385">
        <w:t>s</w:t>
      </w:r>
      <w:r>
        <w:t xml:space="preserve"> 50 (Supreme Court), 50A </w:t>
      </w:r>
      <w:r w:rsidRPr="0052510B">
        <w:t>(AC</w:t>
      </w:r>
      <w:r w:rsidR="006E6788" w:rsidRPr="0052510B">
        <w:t xml:space="preserve">T Civil and Administrative Tribunal </w:t>
      </w:r>
      <w:r w:rsidR="0052510B" w:rsidRPr="0052510B">
        <w:t>‘AC</w:t>
      </w:r>
      <w:r w:rsidRPr="0052510B">
        <w:t>AT</w:t>
      </w:r>
      <w:r w:rsidR="0052510B" w:rsidRPr="0052510B">
        <w:t>’</w:t>
      </w:r>
      <w:r w:rsidRPr="0052510B">
        <w:t>)</w:t>
      </w:r>
      <w:r>
        <w:t xml:space="preserve"> 52</w:t>
      </w:r>
      <w:r w:rsidRPr="003C4B61">
        <w:t>.</w:t>
      </w:r>
    </w:p>
  </w:footnote>
  <w:footnote w:id="773">
    <w:p w14:paraId="47BFBBC8" w14:textId="12999305" w:rsidR="00536B17" w:rsidRDefault="00536B17">
      <w:pPr>
        <w:pStyle w:val="FootnoteText"/>
      </w:pPr>
      <w:r>
        <w:rPr>
          <w:rStyle w:val="FootnoteReference"/>
        </w:rPr>
        <w:footnoteRef/>
      </w:r>
      <w:r>
        <w:t xml:space="preserve"> </w:t>
      </w:r>
      <w:r w:rsidRPr="00CF3EF0">
        <w:rPr>
          <w:i/>
          <w:iCs/>
        </w:rPr>
        <w:t>Powers of Attorney Act 2003</w:t>
      </w:r>
      <w:r w:rsidRPr="003C4B61">
        <w:t xml:space="preserve"> (</w:t>
      </w:r>
      <w:r w:rsidRPr="00CF3EF0">
        <w:t>NSW</w:t>
      </w:r>
      <w:r w:rsidRPr="003C4B61">
        <w:t>).</w:t>
      </w:r>
    </w:p>
  </w:footnote>
  <w:footnote w:id="774">
    <w:p w14:paraId="2419A7B2" w14:textId="236090E8" w:rsidR="00536B17" w:rsidRDefault="00536B17">
      <w:pPr>
        <w:pStyle w:val="FootnoteText"/>
      </w:pPr>
      <w:r>
        <w:rPr>
          <w:rStyle w:val="FootnoteReference"/>
        </w:rPr>
        <w:footnoteRef/>
      </w:r>
      <w:r>
        <w:t xml:space="preserve"> </w:t>
      </w:r>
      <w:r w:rsidRPr="00CF3EF0">
        <w:rPr>
          <w:i/>
          <w:iCs/>
        </w:rPr>
        <w:t>Powers of Attorney and Agency Act 1984</w:t>
      </w:r>
      <w:r>
        <w:t xml:space="preserve"> (SA) s 7 (</w:t>
      </w:r>
      <w:r w:rsidRPr="00CF3EF0">
        <w:t>court</w:t>
      </w:r>
      <w:r>
        <w:t>).</w:t>
      </w:r>
    </w:p>
  </w:footnote>
  <w:footnote w:id="775">
    <w:p w14:paraId="352348FA" w14:textId="28A9DA38" w:rsidR="002A1DD0" w:rsidRDefault="002A1DD0" w:rsidP="00CF3EF0">
      <w:pPr>
        <w:pStyle w:val="FootnoteText"/>
      </w:pPr>
      <w:r>
        <w:rPr>
          <w:rStyle w:val="FootnoteReference"/>
        </w:rPr>
        <w:footnoteRef/>
      </w:r>
      <w:r>
        <w:t xml:space="preserve"> </w:t>
      </w:r>
      <w:r w:rsidRPr="00CF3EF0">
        <w:rPr>
          <w:i/>
          <w:iCs/>
        </w:rPr>
        <w:t>Guardianship and Administration Act 1990</w:t>
      </w:r>
      <w:r>
        <w:t xml:space="preserve"> (</w:t>
      </w:r>
      <w:r w:rsidRPr="00CF3EF0">
        <w:t>WA</w:t>
      </w:r>
      <w:r>
        <w:t xml:space="preserve">). </w:t>
      </w:r>
    </w:p>
  </w:footnote>
  <w:footnote w:id="776">
    <w:p w14:paraId="25B37F41" w14:textId="331D924B" w:rsidR="002A1DD0" w:rsidRDefault="002A1DD0" w:rsidP="00CF3EF0">
      <w:pPr>
        <w:pStyle w:val="FootnoteText"/>
      </w:pPr>
      <w:r>
        <w:rPr>
          <w:rStyle w:val="FootnoteReference"/>
        </w:rPr>
        <w:footnoteRef/>
      </w:r>
      <w:r>
        <w:t xml:space="preserve"> </w:t>
      </w:r>
      <w:r w:rsidR="00A54740" w:rsidRPr="00CF3EF0">
        <w:rPr>
          <w:i/>
          <w:iCs/>
        </w:rPr>
        <w:t xml:space="preserve">Powers of Attorney Act </w:t>
      </w:r>
      <w:r w:rsidR="00E92A6E" w:rsidRPr="00CF3EF0">
        <w:rPr>
          <w:i/>
          <w:iCs/>
        </w:rPr>
        <w:t>2000</w:t>
      </w:r>
      <w:r>
        <w:t xml:space="preserve"> (Tas).</w:t>
      </w:r>
    </w:p>
  </w:footnote>
  <w:footnote w:id="777">
    <w:p w14:paraId="322E3260" w14:textId="69CFF562" w:rsidR="00982EC6" w:rsidRDefault="00982EC6" w:rsidP="00982EC6">
      <w:pPr>
        <w:pStyle w:val="FootnoteText"/>
      </w:pPr>
      <w:r>
        <w:rPr>
          <w:rStyle w:val="FootnoteReference"/>
        </w:rPr>
        <w:footnoteRef/>
      </w:r>
      <w:r>
        <w:t xml:space="preserve"> </w:t>
      </w:r>
      <w:r w:rsidR="00AE2224" w:rsidRPr="00AE2224">
        <w:rPr>
          <w:i/>
          <w:iCs/>
        </w:rPr>
        <w:t>Powers of Attorney Act 2006</w:t>
      </w:r>
      <w:r w:rsidR="00AE2224" w:rsidRPr="00AE2224">
        <w:t xml:space="preserve"> (ACT)</w:t>
      </w:r>
      <w:r w:rsidR="00AE2224">
        <w:t xml:space="preserve"> </w:t>
      </w:r>
      <w:r w:rsidR="00AE2224" w:rsidRPr="00AE2224">
        <w:t>s 52</w:t>
      </w:r>
      <w:r w:rsidR="00AE2224">
        <w:t>;</w:t>
      </w:r>
      <w:r w:rsidR="00AE2224" w:rsidRPr="00AE2224">
        <w:t xml:space="preserve"> </w:t>
      </w:r>
      <w:r w:rsidR="00AE2224" w:rsidRPr="00AE2224">
        <w:rPr>
          <w:i/>
          <w:iCs/>
        </w:rPr>
        <w:t>Powers of Attorney Act 1998</w:t>
      </w:r>
      <w:r w:rsidR="00AE2224" w:rsidRPr="00AE2224">
        <w:t xml:space="preserve"> (Qld) s 105</w:t>
      </w:r>
      <w:r w:rsidR="00AE2224">
        <w:t>;</w:t>
      </w:r>
      <w:r w:rsidR="00AE2224" w:rsidRPr="00AE2224">
        <w:t xml:space="preserve"> </w:t>
      </w:r>
      <w:r w:rsidR="00AE2224" w:rsidRPr="00AE2224">
        <w:rPr>
          <w:i/>
          <w:iCs/>
        </w:rPr>
        <w:t>Powers of Attorney Act 2014</w:t>
      </w:r>
      <w:r w:rsidR="00AE2224" w:rsidRPr="00AE2224">
        <w:t xml:space="preserve"> (Vic) s 74</w:t>
      </w:r>
      <w:r w:rsidR="00AE2224">
        <w:t>.</w:t>
      </w:r>
    </w:p>
  </w:footnote>
  <w:footnote w:id="778">
    <w:p w14:paraId="2F517201" w14:textId="275D7571" w:rsidR="00A06822" w:rsidRDefault="00A06822">
      <w:pPr>
        <w:pStyle w:val="FootnoteText"/>
      </w:pPr>
      <w:r>
        <w:rPr>
          <w:rStyle w:val="FootnoteReference"/>
        </w:rPr>
        <w:footnoteRef/>
      </w:r>
      <w:r>
        <w:t xml:space="preserve"> </w:t>
      </w:r>
      <w:r w:rsidRPr="003C4B61">
        <w:t>This table is a</w:t>
      </w:r>
      <w:r>
        <w:t>n updated</w:t>
      </w:r>
      <w:r w:rsidRPr="003C4B61">
        <w:t xml:space="preserve"> version of a table in </w:t>
      </w:r>
      <w:r>
        <w:t xml:space="preserve">Attorney-General’s Department, </w:t>
      </w:r>
      <w:r w:rsidRPr="002B336E">
        <w:rPr>
          <w:i/>
          <w:iCs/>
        </w:rPr>
        <w:t>Achieving Greater Consistency in Laws for Financial Enduring Powers of Attorney</w:t>
      </w:r>
      <w:r>
        <w:t xml:space="preserve"> (n 281) 48 ‘</w:t>
      </w:r>
      <w:r w:rsidRPr="00CF3EF0">
        <w:t>Appendix 1 – Existing criminal EPOA offences</w:t>
      </w:r>
      <w:r>
        <w:t>’.</w:t>
      </w:r>
    </w:p>
  </w:footnote>
  <w:footnote w:id="779">
    <w:p w14:paraId="36EC369C" w14:textId="3CDABBD7" w:rsidR="00A06822" w:rsidRDefault="00A06822">
      <w:pPr>
        <w:pStyle w:val="FootnoteText"/>
      </w:pPr>
      <w:r>
        <w:rPr>
          <w:rStyle w:val="FootnoteReference"/>
        </w:rPr>
        <w:footnoteRef/>
      </w:r>
      <w:r>
        <w:t xml:space="preserve"> </w:t>
      </w:r>
      <w:r w:rsidRPr="003C4B61">
        <w:rPr>
          <w:i/>
          <w:iCs/>
        </w:rPr>
        <w:t>Advance Personal Planning Act 2013</w:t>
      </w:r>
      <w:r w:rsidRPr="003C4B61">
        <w:t xml:space="preserve"> (NT) ss 76, 76(3)–(4), 77</w:t>
      </w:r>
      <w:r>
        <w:t>,</w:t>
      </w:r>
      <w:r w:rsidRPr="003C4B61">
        <w:t xml:space="preserve"> 79. Other penalties</w:t>
      </w:r>
      <w:r>
        <w:t>,</w:t>
      </w:r>
      <w:r w:rsidRPr="003C4B61">
        <w:t xml:space="preserve"> related to the abuse and misuse of or breach of duties under an advance </w:t>
      </w:r>
      <w:r>
        <w:t>personal</w:t>
      </w:r>
      <w:r w:rsidRPr="003C4B61">
        <w:t xml:space="preserve"> plan</w:t>
      </w:r>
      <w:r>
        <w:t>,</w:t>
      </w:r>
      <w:r w:rsidRPr="003C4B61">
        <w:t xml:space="preserve"> are contained in ss 75–83</w:t>
      </w:r>
      <w:r w:rsidR="00F7705C">
        <w:t>.</w:t>
      </w:r>
    </w:p>
  </w:footnote>
  <w:footnote w:id="780">
    <w:p w14:paraId="18A1276A" w14:textId="463624DC" w:rsidR="00A06822" w:rsidRDefault="00A06822">
      <w:pPr>
        <w:pStyle w:val="FootnoteText"/>
      </w:pPr>
      <w:r>
        <w:rPr>
          <w:rStyle w:val="FootnoteReference"/>
        </w:rPr>
        <w:footnoteRef/>
      </w:r>
      <w:r>
        <w:t xml:space="preserve"> </w:t>
      </w:r>
      <w:r w:rsidRPr="00CF3EF0">
        <w:rPr>
          <w:i/>
          <w:iCs/>
        </w:rPr>
        <w:t>Powers of Attorney Act 2014</w:t>
      </w:r>
      <w:r w:rsidRPr="003C4B61">
        <w:t xml:space="preserve"> (Vic) ss </w:t>
      </w:r>
      <w:r w:rsidRPr="00CF3EF0">
        <w:t>135</w:t>
      </w:r>
      <w:r w:rsidRPr="003C4B61">
        <w:t>–</w:t>
      </w:r>
      <w:r>
        <w:t>13</w:t>
      </w:r>
      <w:r w:rsidRPr="003C4B61">
        <w:t>6</w:t>
      </w:r>
      <w:r w:rsidR="00F7705C">
        <w:t>.</w:t>
      </w:r>
    </w:p>
  </w:footnote>
  <w:footnote w:id="781">
    <w:p w14:paraId="779FB3BC" w14:textId="5EA7F16B" w:rsidR="00A06822" w:rsidRDefault="00A06822">
      <w:pPr>
        <w:pStyle w:val="FootnoteText"/>
      </w:pPr>
      <w:r>
        <w:rPr>
          <w:rStyle w:val="FootnoteReference"/>
        </w:rPr>
        <w:footnoteRef/>
      </w:r>
      <w:r>
        <w:t xml:space="preserve"> </w:t>
      </w:r>
      <w:r w:rsidRPr="00CF3EF0">
        <w:rPr>
          <w:i/>
          <w:iCs/>
        </w:rPr>
        <w:t>Powers of Attorney Act 1998</w:t>
      </w:r>
      <w:r w:rsidRPr="003C4B61">
        <w:t xml:space="preserve"> (Qld) ss 61, </w:t>
      </w:r>
      <w:r w:rsidRPr="00CF3EF0">
        <w:t>66</w:t>
      </w:r>
      <w:r w:rsidR="00F7705C">
        <w:t>.</w:t>
      </w:r>
    </w:p>
  </w:footnote>
  <w:footnote w:id="782">
    <w:p w14:paraId="7AEAAC42" w14:textId="4DB29DF9" w:rsidR="00A06822" w:rsidRDefault="00A06822">
      <w:pPr>
        <w:pStyle w:val="FootnoteText"/>
      </w:pPr>
      <w:r>
        <w:rPr>
          <w:rStyle w:val="FootnoteReference"/>
        </w:rPr>
        <w:footnoteRef/>
      </w:r>
      <w:r>
        <w:t xml:space="preserve"> </w:t>
      </w:r>
      <w:r w:rsidRPr="00CF3EF0">
        <w:rPr>
          <w:i/>
          <w:iCs/>
        </w:rPr>
        <w:t>Powers of Attorney Act 2006</w:t>
      </w:r>
      <w:r w:rsidRPr="003C4B61">
        <w:t xml:space="preserve"> (ACT) s 90.</w:t>
      </w:r>
    </w:p>
  </w:footnote>
  <w:footnote w:id="783">
    <w:p w14:paraId="0CDE0B6E" w14:textId="4F806166" w:rsidR="00A06822" w:rsidRDefault="00A06822">
      <w:pPr>
        <w:pStyle w:val="FootnoteText"/>
      </w:pPr>
      <w:r>
        <w:rPr>
          <w:rStyle w:val="FootnoteReference"/>
        </w:rPr>
        <w:footnoteRef/>
      </w:r>
      <w:r>
        <w:t xml:space="preserve"> </w:t>
      </w:r>
      <w:r w:rsidRPr="00CF3EF0">
        <w:rPr>
          <w:i/>
          <w:iCs/>
        </w:rPr>
        <w:t>Powers of Attorney Act 2003</w:t>
      </w:r>
      <w:r w:rsidRPr="003C4B61">
        <w:t xml:space="preserve"> (NSW) s 49.</w:t>
      </w:r>
    </w:p>
  </w:footnote>
  <w:footnote w:id="784">
    <w:p w14:paraId="027EC6BE" w14:textId="73D0EC5B" w:rsidR="00D049D4" w:rsidRDefault="00D049D4" w:rsidP="00CF3EF0">
      <w:pPr>
        <w:pStyle w:val="FootnoteText"/>
      </w:pPr>
      <w:r>
        <w:rPr>
          <w:rStyle w:val="FootnoteReference"/>
        </w:rPr>
        <w:footnoteRef/>
      </w:r>
      <w:r>
        <w:t xml:space="preserve"> </w:t>
      </w:r>
      <w:r w:rsidR="0015038B" w:rsidRPr="00CF3EF0">
        <w:rPr>
          <w:i/>
          <w:iCs/>
        </w:rPr>
        <w:t>Power</w:t>
      </w:r>
      <w:r w:rsidR="00FB54B3" w:rsidRPr="00CF3EF0">
        <w:rPr>
          <w:i/>
          <w:iCs/>
        </w:rPr>
        <w:t>s of Attorney and Agency Act 1984</w:t>
      </w:r>
      <w:r w:rsidR="00FB54B3">
        <w:t xml:space="preserve"> (SA).</w:t>
      </w:r>
    </w:p>
  </w:footnote>
  <w:footnote w:id="785">
    <w:p w14:paraId="28EDC281" w14:textId="7747A2F5" w:rsidR="00FB54B3" w:rsidRDefault="00FB54B3" w:rsidP="00CF3EF0">
      <w:pPr>
        <w:pStyle w:val="FootnoteText"/>
      </w:pPr>
      <w:r>
        <w:rPr>
          <w:rStyle w:val="FootnoteReference"/>
        </w:rPr>
        <w:footnoteRef/>
      </w:r>
      <w:r>
        <w:t xml:space="preserve"> </w:t>
      </w:r>
      <w:r w:rsidR="00A928F3" w:rsidRPr="00CF3EF0">
        <w:rPr>
          <w:i/>
          <w:iCs/>
        </w:rPr>
        <w:t>Guardianship and Administration Act 1990</w:t>
      </w:r>
      <w:r w:rsidR="00A928F3">
        <w:t xml:space="preserve"> (</w:t>
      </w:r>
      <w:r w:rsidR="00A928F3" w:rsidRPr="00CF3EF0">
        <w:t>WA</w:t>
      </w:r>
      <w:r w:rsidR="00A928F3">
        <w:t>).</w:t>
      </w:r>
    </w:p>
  </w:footnote>
  <w:footnote w:id="786">
    <w:p w14:paraId="04E40D68" w14:textId="390D5EEA" w:rsidR="00EB45A2" w:rsidRDefault="00EB45A2" w:rsidP="00CF3EF0">
      <w:pPr>
        <w:pStyle w:val="FootnoteText"/>
      </w:pPr>
      <w:r>
        <w:rPr>
          <w:rStyle w:val="FootnoteReference"/>
        </w:rPr>
        <w:footnoteRef/>
      </w:r>
      <w:r>
        <w:t xml:space="preserve"> </w:t>
      </w:r>
      <w:r w:rsidR="00974709" w:rsidRPr="00CF3EF0">
        <w:rPr>
          <w:i/>
          <w:iCs/>
        </w:rPr>
        <w:t xml:space="preserve">Powers of Attorney Act </w:t>
      </w:r>
      <w:r w:rsidR="00963178" w:rsidRPr="00CF3EF0">
        <w:rPr>
          <w:i/>
          <w:iCs/>
        </w:rPr>
        <w:t>2000</w:t>
      </w:r>
      <w:r w:rsidR="00963178">
        <w:t xml:space="preserve"> </w:t>
      </w:r>
      <w:r>
        <w:t>(Tas)</w:t>
      </w:r>
      <w:r w:rsidR="00821F3A">
        <w:t xml:space="preserve"> s 32.</w:t>
      </w:r>
    </w:p>
  </w:footnote>
  <w:footnote w:id="787">
    <w:p w14:paraId="10E6B88C" w14:textId="01354CAE" w:rsidR="00A06822" w:rsidRDefault="00A06822">
      <w:pPr>
        <w:pStyle w:val="FootnoteText"/>
      </w:pPr>
      <w:r>
        <w:rPr>
          <w:rStyle w:val="FootnoteReference"/>
        </w:rPr>
        <w:footnoteRef/>
      </w:r>
      <w:r>
        <w:t xml:space="preserve"> </w:t>
      </w:r>
      <w:r w:rsidRPr="00CF3EF0">
        <w:rPr>
          <w:i/>
          <w:iCs/>
        </w:rPr>
        <w:t>Advance Personal Planning Act 2016</w:t>
      </w:r>
      <w:r w:rsidRPr="003C4B61">
        <w:t xml:space="preserve"> (NT) s 78(1); </w:t>
      </w:r>
      <w:r w:rsidRPr="00CF3EF0">
        <w:rPr>
          <w:i/>
          <w:iCs/>
        </w:rPr>
        <w:t>Guardianship of Adults Act 2016</w:t>
      </w:r>
      <w:r w:rsidRPr="003C4B61">
        <w:t xml:space="preserve"> (NT) s 87(1).</w:t>
      </w:r>
    </w:p>
  </w:footnote>
  <w:footnote w:id="788">
    <w:p w14:paraId="54F05EE1" w14:textId="3FEECA98" w:rsidR="00C43AC7" w:rsidRDefault="00C43AC7" w:rsidP="00CF3EF0">
      <w:pPr>
        <w:pStyle w:val="FootnoteText"/>
      </w:pPr>
      <w:r>
        <w:rPr>
          <w:rStyle w:val="FootnoteReference"/>
        </w:rPr>
        <w:footnoteRef/>
      </w:r>
      <w:r>
        <w:t xml:space="preserve"> </w:t>
      </w:r>
      <w:r w:rsidRPr="00CF3EF0">
        <w:rPr>
          <w:i/>
          <w:iCs/>
        </w:rPr>
        <w:t>Advance Personal Planning Act 2016</w:t>
      </w:r>
      <w:r w:rsidRPr="003C4B61">
        <w:t xml:space="preserve"> (NT) s 78(</w:t>
      </w:r>
      <w:r w:rsidR="00A304E3">
        <w:t>2).</w:t>
      </w:r>
    </w:p>
  </w:footnote>
  <w:footnote w:id="789">
    <w:p w14:paraId="2FE23EF0" w14:textId="6930122B" w:rsidR="00A06822" w:rsidRDefault="00A06822">
      <w:pPr>
        <w:pStyle w:val="FootnoteText"/>
      </w:pPr>
      <w:r>
        <w:rPr>
          <w:rStyle w:val="FootnoteReference"/>
        </w:rPr>
        <w:footnoteRef/>
      </w:r>
      <w:r>
        <w:t xml:space="preserve"> </w:t>
      </w:r>
      <w:r w:rsidRPr="00CF3EF0">
        <w:rPr>
          <w:i/>
          <w:iCs/>
        </w:rPr>
        <w:t>Advance Personal Planning Act 2016</w:t>
      </w:r>
      <w:r w:rsidRPr="003C4B61">
        <w:t xml:space="preserve"> (NT) </w:t>
      </w:r>
      <w:r>
        <w:t>s</w:t>
      </w:r>
      <w:r w:rsidRPr="003C4B61">
        <w:t>s 78(3)</w:t>
      </w:r>
      <w:r>
        <w:t>, 78(4)</w:t>
      </w:r>
      <w:r w:rsidRPr="003C4B61">
        <w:t xml:space="preserve">; </w:t>
      </w:r>
      <w:r w:rsidRPr="00CF3EF0">
        <w:rPr>
          <w:i/>
          <w:iCs/>
        </w:rPr>
        <w:t>Guardianship of Adults Act 2016</w:t>
      </w:r>
      <w:r w:rsidRPr="003C4B61">
        <w:t xml:space="preserve"> (NT) s 87(2).</w:t>
      </w:r>
    </w:p>
  </w:footnote>
  <w:footnote w:id="790">
    <w:p w14:paraId="6FA50A58" w14:textId="53842538" w:rsidR="00A06822" w:rsidRDefault="00A06822">
      <w:pPr>
        <w:pStyle w:val="FootnoteText"/>
      </w:pPr>
      <w:r>
        <w:rPr>
          <w:rStyle w:val="FootnoteReference"/>
        </w:rPr>
        <w:footnoteRef/>
      </w:r>
      <w:r>
        <w:t xml:space="preserve"> Attorney-General’s Department, </w:t>
      </w:r>
      <w:r w:rsidRPr="002B336E">
        <w:rPr>
          <w:i/>
          <w:iCs/>
        </w:rPr>
        <w:t>Achieving Greater Consistency in Laws for Financial Enduring Powers of Attorney</w:t>
      </w:r>
      <w:r>
        <w:t xml:space="preserve"> (n 281). See also Attorney-General’s Department, Australian Government, ‘Overview’, </w:t>
      </w:r>
      <w:r w:rsidRPr="003E6BA5">
        <w:rPr>
          <w:i/>
          <w:iCs/>
        </w:rPr>
        <w:t xml:space="preserve">Achieving Greater Consistency in Laws for Financial Enduring Powers of Attorney </w:t>
      </w:r>
      <w:r>
        <w:t>(Web Page) &lt;</w:t>
      </w:r>
      <w:hyperlink r:id="rId125" w:history="1">
        <w:r w:rsidRPr="00523D14">
          <w:rPr>
            <w:rStyle w:val="Hyperlink"/>
          </w:rPr>
          <w:t>https://consultations.ag.gov.au/families-and-marriage/epoa/</w:t>
        </w:r>
      </w:hyperlink>
      <w:r>
        <w:t xml:space="preserve">&gt;. </w:t>
      </w:r>
      <w:r w:rsidRPr="003C4B61">
        <w:t xml:space="preserve">Other potential reform areas are: execution of an enduring power of </w:t>
      </w:r>
      <w:r w:rsidRPr="004B099E">
        <w:t>attorney</w:t>
      </w:r>
      <w:r w:rsidRPr="003C4B61">
        <w:t xml:space="preserve">; witnessing arrangements for an enduring power of attorney; processes </w:t>
      </w:r>
      <w:r w:rsidRPr="00CF3EF0">
        <w:t>for</w:t>
      </w:r>
      <w:r w:rsidRPr="003C4B61">
        <w:t xml:space="preserve"> revocation and automatic revocation of enduring powers of attorney; requirements for eligibility powers of attorney and their duties</w:t>
      </w:r>
      <w:r>
        <w:t xml:space="preserve">. </w:t>
      </w:r>
      <w:r w:rsidRPr="00665A9B">
        <w:t xml:space="preserve">These are also areas where the ALRC recommended safeguards be introduced to prevent misuse of enduring documents, including EPOAs, including that laws that laws should require the appointed decision-maker to support and represent the will, preferences and rights of the principal; enhance witnessing requirements; restrict conflict transactions; restrict who may be an attorney; set out in simple terms the types of decisions that are </w:t>
      </w:r>
      <w:r w:rsidRPr="007A44F9">
        <w:t xml:space="preserve">outside of the power of a person acting under an enduring document; and mandate basic requirements for record-keeping: </w:t>
      </w:r>
      <w:r>
        <w:t xml:space="preserve">see ALRC, </w:t>
      </w:r>
      <w:r w:rsidRPr="00266F46">
        <w:rPr>
          <w:i/>
          <w:iCs/>
        </w:rPr>
        <w:t>Elder Abuse</w:t>
      </w:r>
      <w:r>
        <w:t xml:space="preserve"> (n 6).</w:t>
      </w:r>
    </w:p>
  </w:footnote>
  <w:footnote w:id="791">
    <w:p w14:paraId="10FF19D1" w14:textId="23061D6E" w:rsidR="00266F46" w:rsidRDefault="00266F46">
      <w:pPr>
        <w:pStyle w:val="FootnoteText"/>
      </w:pPr>
      <w:r>
        <w:rPr>
          <w:rStyle w:val="FootnoteReference"/>
        </w:rPr>
        <w:footnoteRef/>
      </w:r>
      <w:r>
        <w:t xml:space="preserve"> Attorney-General’s Department, </w:t>
      </w:r>
      <w:r w:rsidRPr="002B336E">
        <w:rPr>
          <w:i/>
          <w:iCs/>
        </w:rPr>
        <w:t>Achieving Greater Consistency in Laws for Financial Enduring Powers of Attorney</w:t>
      </w:r>
      <w:r>
        <w:t xml:space="preserve"> (n 281)</w:t>
      </w:r>
      <w:r w:rsidR="0097022C">
        <w:t xml:space="preserve"> 30.</w:t>
      </w:r>
      <w:r>
        <w:t xml:space="preserve"> </w:t>
      </w:r>
    </w:p>
  </w:footnote>
  <w:footnote w:id="792">
    <w:p w14:paraId="77C2B54E" w14:textId="651ECC96" w:rsidR="00C760D8" w:rsidRDefault="00C760D8">
      <w:pPr>
        <w:pStyle w:val="FootnoteText"/>
      </w:pPr>
      <w:r>
        <w:rPr>
          <w:rStyle w:val="FootnoteReference"/>
        </w:rPr>
        <w:footnoteRef/>
      </w:r>
      <w:r>
        <w:t xml:space="preserve"> Office of the Public Advocate (Victoria), on behalf of the </w:t>
      </w:r>
      <w:r w:rsidRPr="003C4B61">
        <w:t xml:space="preserve">Australian Guardianship and Administration Council, </w:t>
      </w:r>
      <w:r w:rsidRPr="00C760D8">
        <w:rPr>
          <w:i/>
          <w:iCs/>
        </w:rPr>
        <w:t>Enduring Powers of Attorney (Financial)</w:t>
      </w:r>
      <w:r w:rsidRPr="003C4B61">
        <w:t xml:space="preserve"> (Options Paper, December 2018) 7.</w:t>
      </w:r>
    </w:p>
  </w:footnote>
  <w:footnote w:id="793">
    <w:p w14:paraId="701FFAE8" w14:textId="587D4BA4" w:rsidR="00B115B9" w:rsidRDefault="00B115B9">
      <w:pPr>
        <w:pStyle w:val="FootnoteText"/>
      </w:pPr>
      <w:r>
        <w:rPr>
          <w:rStyle w:val="FootnoteReference"/>
        </w:rPr>
        <w:footnoteRef/>
      </w:r>
      <w:r>
        <w:t xml:space="preserve"> ALRC, </w:t>
      </w:r>
      <w:r w:rsidRPr="003210B3">
        <w:rPr>
          <w:i/>
          <w:iCs/>
        </w:rPr>
        <w:t>Elder Abuse</w:t>
      </w:r>
      <w:r>
        <w:t xml:space="preserve"> (n 6)</w:t>
      </w:r>
      <w:r w:rsidRPr="003C4B61">
        <w:t xml:space="preserve"> </w:t>
      </w:r>
      <w:r>
        <w:t>159.</w:t>
      </w:r>
    </w:p>
  </w:footnote>
  <w:footnote w:id="794">
    <w:p w14:paraId="5424AFCB" w14:textId="6A551CC2" w:rsidR="00923156" w:rsidRDefault="00923156" w:rsidP="00CF3EF0">
      <w:pPr>
        <w:pStyle w:val="FootnoteText"/>
      </w:pPr>
      <w:r>
        <w:rPr>
          <w:rStyle w:val="FootnoteReference"/>
        </w:rPr>
        <w:footnoteRef/>
      </w:r>
      <w:r>
        <w:t xml:space="preserve"> </w:t>
      </w:r>
      <w:r w:rsidRPr="00CF3EF0">
        <w:t>See</w:t>
      </w:r>
      <w:r>
        <w:t xml:space="preserve"> </w:t>
      </w:r>
      <w:r w:rsidR="00C8573F" w:rsidRPr="0020558C">
        <w:rPr>
          <w:b/>
          <w:bCs/>
        </w:rPr>
        <w:t>Part 4</w:t>
      </w:r>
      <w:r w:rsidR="00C8573F">
        <w:t xml:space="preserve"> at </w:t>
      </w:r>
      <w:r w:rsidR="0020558C">
        <w:t>[4.5]</w:t>
      </w:r>
      <w:r>
        <w:t>.</w:t>
      </w:r>
    </w:p>
  </w:footnote>
  <w:footnote w:id="795">
    <w:p w14:paraId="6FD41014" w14:textId="4CDF41F6" w:rsidR="00DE272B" w:rsidRDefault="00DE272B">
      <w:pPr>
        <w:pStyle w:val="FootnoteText"/>
      </w:pPr>
      <w:r>
        <w:rPr>
          <w:rStyle w:val="FootnoteReference"/>
        </w:rPr>
        <w:footnoteRef/>
      </w:r>
      <w:r>
        <w:t xml:space="preserve"> </w:t>
      </w:r>
      <w:r w:rsidR="006D22E6">
        <w:t xml:space="preserve">TLRI, </w:t>
      </w:r>
      <w:r w:rsidR="006D22E6" w:rsidRPr="006C487B">
        <w:rPr>
          <w:i/>
          <w:iCs/>
        </w:rPr>
        <w:t xml:space="preserve">Review of the Guardianship and Administration </w:t>
      </w:r>
      <w:r w:rsidR="006D22E6" w:rsidRPr="00DA42D4">
        <w:t>Act</w:t>
      </w:r>
      <w:r w:rsidR="006D22E6">
        <w:t xml:space="preserve"> (n 380). </w:t>
      </w:r>
      <w:r w:rsidR="00AB422C">
        <w:t>These recommendations are discussed at [5.4.39]–[5.4.40]</w:t>
      </w:r>
      <w:r w:rsidR="006D22E6">
        <w:t>.</w:t>
      </w:r>
    </w:p>
  </w:footnote>
  <w:footnote w:id="796">
    <w:p w14:paraId="44B171B9" w14:textId="2E0668F4" w:rsidR="00EF0E34" w:rsidRDefault="00EF0E34" w:rsidP="00CF3EF0">
      <w:pPr>
        <w:pStyle w:val="FootnoteText"/>
      </w:pPr>
      <w:r>
        <w:rPr>
          <w:rStyle w:val="FootnoteReference"/>
        </w:rPr>
        <w:footnoteRef/>
      </w:r>
      <w:r>
        <w:t xml:space="preserve"> </w:t>
      </w:r>
      <w:r w:rsidR="00113660" w:rsidRPr="00113660">
        <w:rPr>
          <w:i/>
          <w:iCs/>
        </w:rPr>
        <w:t>Powers of Attorney Act 2000</w:t>
      </w:r>
      <w:r w:rsidR="00113660" w:rsidRPr="00113660">
        <w:t xml:space="preserve"> (Tas)</w:t>
      </w:r>
      <w:r w:rsidR="00113660">
        <w:t xml:space="preserve"> s</w:t>
      </w:r>
      <w:r>
        <w:t xml:space="preserve"> 33(2)</w:t>
      </w:r>
      <w:r w:rsidR="002B4C49">
        <w:t>(e)</w:t>
      </w:r>
      <w:r w:rsidR="00A35928">
        <w:t>(iii)</w:t>
      </w:r>
      <w:r w:rsidR="002B4C49">
        <w:t>.</w:t>
      </w:r>
    </w:p>
  </w:footnote>
  <w:footnote w:id="797">
    <w:p w14:paraId="79E9E32D" w14:textId="6124690F" w:rsidR="007258AD" w:rsidRDefault="007258AD" w:rsidP="00113660">
      <w:pPr>
        <w:pStyle w:val="FootnoteText"/>
      </w:pPr>
      <w:r>
        <w:rPr>
          <w:rStyle w:val="FootnoteReference"/>
        </w:rPr>
        <w:footnoteRef/>
      </w:r>
      <w:r>
        <w:t xml:space="preserve"> See </w:t>
      </w:r>
      <w:r w:rsidR="006D22E6">
        <w:t>further [5.4.39]–[5.4.40].</w:t>
      </w:r>
    </w:p>
  </w:footnote>
  <w:footnote w:id="798">
    <w:p w14:paraId="4D402079" w14:textId="6F27725F" w:rsidR="00CA101A" w:rsidRDefault="00CA101A" w:rsidP="00113660">
      <w:pPr>
        <w:pStyle w:val="FootnoteText"/>
      </w:pPr>
      <w:r>
        <w:rPr>
          <w:rStyle w:val="FootnoteReference"/>
        </w:rPr>
        <w:footnoteRef/>
      </w:r>
      <w:r>
        <w:t xml:space="preserve"> </w:t>
      </w:r>
      <w:r w:rsidR="0073559D">
        <w:t xml:space="preserve">Attorney-General’s Department, </w:t>
      </w:r>
      <w:r w:rsidR="0073559D" w:rsidRPr="002B336E">
        <w:rPr>
          <w:i/>
          <w:iCs/>
        </w:rPr>
        <w:t>Achieving Greater Consistency in Laws for Financial Enduring Powers of Attorney</w:t>
      </w:r>
      <w:r w:rsidR="0073559D">
        <w:t xml:space="preserve"> (n 281)</w:t>
      </w:r>
      <w:r w:rsidRPr="00113660">
        <w:t xml:space="preserve"> 33</w:t>
      </w:r>
      <w:r w:rsidR="00A26109">
        <w:t xml:space="preserve">. </w:t>
      </w:r>
    </w:p>
  </w:footnote>
  <w:footnote w:id="799">
    <w:p w14:paraId="3FF41743" w14:textId="6696B13B" w:rsidR="00A26109" w:rsidRDefault="00A26109">
      <w:pPr>
        <w:pStyle w:val="FootnoteText"/>
      </w:pPr>
      <w:r>
        <w:rPr>
          <w:rStyle w:val="FootnoteReference"/>
        </w:rPr>
        <w:footnoteRef/>
      </w:r>
      <w:r>
        <w:t xml:space="preserve"> </w:t>
      </w:r>
      <w:r w:rsidR="00826893" w:rsidRPr="00113660">
        <w:rPr>
          <w:i/>
          <w:iCs/>
        </w:rPr>
        <w:t>Guardianship and Administration Act 1995</w:t>
      </w:r>
      <w:r w:rsidR="00826893" w:rsidRPr="003C4B61">
        <w:t xml:space="preserve"> (Tas) s 15(1)(c)</w:t>
      </w:r>
      <w:r w:rsidR="00826893">
        <w:t>.</w:t>
      </w:r>
    </w:p>
  </w:footnote>
  <w:footnote w:id="800">
    <w:p w14:paraId="6CAC0F29" w14:textId="1B59C48D" w:rsidR="003E7A69" w:rsidRDefault="003E7A69">
      <w:pPr>
        <w:pStyle w:val="FootnoteText"/>
      </w:pPr>
      <w:r>
        <w:rPr>
          <w:rStyle w:val="FootnoteReference"/>
        </w:rPr>
        <w:footnoteRef/>
      </w:r>
      <w:r>
        <w:t xml:space="preserve"> </w:t>
      </w:r>
      <w:r w:rsidRPr="00113660">
        <w:t>Interview</w:t>
      </w:r>
      <w:r w:rsidR="00E84809">
        <w:t>s</w:t>
      </w:r>
      <w:r w:rsidRPr="00113660">
        <w:t xml:space="preserve"> 10</w:t>
      </w:r>
      <w:r w:rsidR="00E84809">
        <w:t>, 14</w:t>
      </w:r>
      <w:r w:rsidR="00DE752C">
        <w:t>, 6</w:t>
      </w:r>
      <w:r w:rsidRPr="00113660">
        <w:t xml:space="preserve">. See </w:t>
      </w:r>
      <w:r w:rsidR="00092517">
        <w:t xml:space="preserve">[5.4.30] </w:t>
      </w:r>
      <w:r w:rsidR="008360FD" w:rsidRPr="00113660">
        <w:t>below.</w:t>
      </w:r>
      <w:r w:rsidR="008360FD">
        <w:t xml:space="preserve"> </w:t>
      </w:r>
    </w:p>
  </w:footnote>
  <w:footnote w:id="801">
    <w:p w14:paraId="52CDF046" w14:textId="32E5B2AA" w:rsidR="00B707DE" w:rsidRDefault="00B707DE" w:rsidP="00B707DE">
      <w:pPr>
        <w:pStyle w:val="FootnoteText"/>
      </w:pPr>
      <w:r>
        <w:rPr>
          <w:rStyle w:val="FootnoteReference"/>
        </w:rPr>
        <w:footnoteRef/>
      </w:r>
      <w:r>
        <w:t xml:space="preserve"> </w:t>
      </w:r>
      <w:r w:rsidRPr="003C4B61">
        <w:t xml:space="preserve">See </w:t>
      </w:r>
      <w:r w:rsidR="004C0457" w:rsidRPr="004C0457">
        <w:rPr>
          <w:b/>
          <w:bCs/>
        </w:rPr>
        <w:t>Part 3</w:t>
      </w:r>
      <w:r w:rsidR="004C0457">
        <w:t xml:space="preserve"> at [3.3.23].</w:t>
      </w:r>
    </w:p>
  </w:footnote>
  <w:footnote w:id="802">
    <w:p w14:paraId="584EF5C2" w14:textId="7612F31C" w:rsidR="00826893" w:rsidRDefault="00826893">
      <w:pPr>
        <w:pStyle w:val="FootnoteText"/>
      </w:pPr>
      <w:r>
        <w:rPr>
          <w:rStyle w:val="FootnoteReference"/>
        </w:rPr>
        <w:footnoteRef/>
      </w:r>
      <w:r>
        <w:t xml:space="preserve"> </w:t>
      </w:r>
      <w:r w:rsidRPr="00113660">
        <w:rPr>
          <w:i/>
          <w:iCs/>
        </w:rPr>
        <w:t>Guardianship and Administration Act 1995</w:t>
      </w:r>
      <w:r w:rsidRPr="003C4B61">
        <w:t xml:space="preserve"> (Tas) s 69.</w:t>
      </w:r>
    </w:p>
  </w:footnote>
  <w:footnote w:id="803">
    <w:p w14:paraId="0B8BB36F" w14:textId="539E6122" w:rsidR="00826893" w:rsidRDefault="00826893">
      <w:pPr>
        <w:pStyle w:val="FootnoteText"/>
      </w:pPr>
      <w:r>
        <w:rPr>
          <w:rStyle w:val="FootnoteReference"/>
        </w:rPr>
        <w:footnoteRef/>
      </w:r>
      <w:r>
        <w:t xml:space="preserve"> </w:t>
      </w:r>
      <w:r w:rsidRPr="00113660">
        <w:rPr>
          <w:i/>
          <w:iCs/>
        </w:rPr>
        <w:t>Guardianship and Administration Act 1995</w:t>
      </w:r>
      <w:r w:rsidRPr="003C4B61">
        <w:t xml:space="preserve"> (Tas) s </w:t>
      </w:r>
      <w:r w:rsidRPr="00113660">
        <w:t>17</w:t>
      </w:r>
      <w:r w:rsidRPr="003C4B61">
        <w:t>.</w:t>
      </w:r>
    </w:p>
  </w:footnote>
  <w:footnote w:id="804">
    <w:p w14:paraId="484238FA" w14:textId="670DF135" w:rsidR="00074A1F" w:rsidRDefault="00074A1F">
      <w:pPr>
        <w:pStyle w:val="FootnoteText"/>
      </w:pPr>
      <w:r>
        <w:rPr>
          <w:rStyle w:val="FootnoteReference"/>
        </w:rPr>
        <w:footnoteRef/>
      </w:r>
      <w:r>
        <w:t xml:space="preserve"> </w:t>
      </w:r>
      <w:r w:rsidR="00700944" w:rsidRPr="00113660">
        <w:rPr>
          <w:i/>
          <w:iCs/>
        </w:rPr>
        <w:t>Guardianship and Administration Act 1995</w:t>
      </w:r>
      <w:r w:rsidR="00700944" w:rsidRPr="003C4B61">
        <w:t xml:space="preserve"> (Tas) </w:t>
      </w:r>
      <w:r w:rsidR="00700944">
        <w:t xml:space="preserve">ss 20, </w:t>
      </w:r>
      <w:r w:rsidR="0004406E">
        <w:t>32</w:t>
      </w:r>
      <w:r w:rsidR="00AB2636">
        <w:t>,</w:t>
      </w:r>
      <w:r w:rsidR="00BD79CB">
        <w:t xml:space="preserve"> 33,</w:t>
      </w:r>
      <w:r w:rsidR="00AB2636">
        <w:t xml:space="preserve"> 34</w:t>
      </w:r>
      <w:r w:rsidR="00A72A50">
        <w:t>, 51</w:t>
      </w:r>
      <w:r w:rsidR="00791A8D">
        <w:t>, 68</w:t>
      </w:r>
      <w:r w:rsidR="00A72A50">
        <w:t xml:space="preserve">. </w:t>
      </w:r>
    </w:p>
  </w:footnote>
  <w:footnote w:id="805">
    <w:p w14:paraId="357D2E1F" w14:textId="430C98FA" w:rsidR="00791A8D" w:rsidRDefault="00791A8D">
      <w:pPr>
        <w:pStyle w:val="FootnoteText"/>
      </w:pPr>
      <w:r>
        <w:rPr>
          <w:rStyle w:val="FootnoteReference"/>
        </w:rPr>
        <w:footnoteRef/>
      </w:r>
      <w:r w:rsidR="000368D6">
        <w:t xml:space="preserve"> </w:t>
      </w:r>
      <w:r w:rsidRPr="003C4B61">
        <w:rPr>
          <w:i/>
          <w:iCs/>
        </w:rPr>
        <w:t>Guardianship and Administration Act 1995</w:t>
      </w:r>
      <w:r w:rsidRPr="003C4B61">
        <w:t xml:space="preserve"> (Tas) s 8. See also</w:t>
      </w:r>
      <w:r w:rsidR="00D03436">
        <w:t xml:space="preserve"> Tasmanian Government, Tasmania’s Guardianship and Administration System is Changing (n 297).</w:t>
      </w:r>
    </w:p>
  </w:footnote>
  <w:footnote w:id="806">
    <w:p w14:paraId="0F374AD8" w14:textId="77777777" w:rsidR="00925F2E" w:rsidRDefault="00925F2E" w:rsidP="00925F2E">
      <w:pPr>
        <w:pStyle w:val="FootnoteText"/>
      </w:pPr>
      <w:r>
        <w:rPr>
          <w:rStyle w:val="FootnoteReference"/>
        </w:rPr>
        <w:footnoteRef/>
      </w:r>
      <w:r>
        <w:t xml:space="preserve"> </w:t>
      </w:r>
      <w:r w:rsidRPr="003C4B61">
        <w:rPr>
          <w:i/>
          <w:iCs/>
        </w:rPr>
        <w:t>Guardianship and Administration Act 1995</w:t>
      </w:r>
      <w:r w:rsidRPr="003C4B61">
        <w:t xml:space="preserve"> (Tas)</w:t>
      </w:r>
      <w:r>
        <w:t xml:space="preserve"> s 29.</w:t>
      </w:r>
    </w:p>
  </w:footnote>
  <w:footnote w:id="807">
    <w:p w14:paraId="38858438" w14:textId="40A0A531" w:rsidR="00791A8D" w:rsidRDefault="00791A8D">
      <w:pPr>
        <w:pStyle w:val="FootnoteText"/>
      </w:pPr>
      <w:r>
        <w:rPr>
          <w:rStyle w:val="FootnoteReference"/>
        </w:rPr>
        <w:footnoteRef/>
      </w:r>
      <w:r>
        <w:t xml:space="preserve"> </w:t>
      </w:r>
      <w:r w:rsidRPr="003C4B61">
        <w:rPr>
          <w:i/>
          <w:iCs/>
        </w:rPr>
        <w:t>Guardianship and Administration Act 1995</w:t>
      </w:r>
      <w:r w:rsidRPr="003C4B61">
        <w:t xml:space="preserve"> (Tas)</w:t>
      </w:r>
      <w:r>
        <w:t xml:space="preserve"> s 30. </w:t>
      </w:r>
    </w:p>
  </w:footnote>
  <w:footnote w:id="808">
    <w:p w14:paraId="114E999E" w14:textId="75352CEF" w:rsidR="00791A8D" w:rsidRDefault="00791A8D">
      <w:pPr>
        <w:pStyle w:val="FootnoteText"/>
      </w:pPr>
      <w:r>
        <w:rPr>
          <w:rStyle w:val="FootnoteReference"/>
        </w:rPr>
        <w:footnoteRef/>
      </w:r>
      <w:r>
        <w:t xml:space="preserve"> </w:t>
      </w:r>
      <w:r w:rsidRPr="00113660">
        <w:rPr>
          <w:i/>
          <w:iCs/>
        </w:rPr>
        <w:t>Guardianship and Administration Act 1995</w:t>
      </w:r>
      <w:r w:rsidRPr="003C4B61">
        <w:t xml:space="preserve"> (Tas) ss </w:t>
      </w:r>
      <w:r w:rsidRPr="00113660">
        <w:t>29</w:t>
      </w:r>
      <w:r w:rsidRPr="003C4B61">
        <w:t>, 30.</w:t>
      </w:r>
    </w:p>
  </w:footnote>
  <w:footnote w:id="809">
    <w:p w14:paraId="704587F7" w14:textId="070263DF" w:rsidR="00791A8D" w:rsidRDefault="00791A8D">
      <w:pPr>
        <w:pStyle w:val="FootnoteText"/>
      </w:pPr>
      <w:r>
        <w:rPr>
          <w:rStyle w:val="FootnoteReference"/>
        </w:rPr>
        <w:footnoteRef/>
      </w:r>
      <w:r>
        <w:t xml:space="preserve"> </w:t>
      </w:r>
      <w:r w:rsidRPr="003C4B61">
        <w:rPr>
          <w:i/>
          <w:iCs/>
        </w:rPr>
        <w:t>Guardianship and Administration Act 1995</w:t>
      </w:r>
      <w:r w:rsidRPr="003C4B61">
        <w:t xml:space="preserve"> (Tas) s 31, 86. There are also criminal offences regarding conduct of unapproved health and medical research (without human research ethical approval): s 48Q and conducting health and medical research without consent or authorisation: s 48R.</w:t>
      </w:r>
    </w:p>
  </w:footnote>
  <w:footnote w:id="810">
    <w:p w14:paraId="50F938B5" w14:textId="6DEE23D6" w:rsidR="00791A8D" w:rsidRDefault="00791A8D">
      <w:pPr>
        <w:pStyle w:val="FootnoteText"/>
      </w:pPr>
      <w:r>
        <w:rPr>
          <w:rStyle w:val="FootnoteReference"/>
        </w:rPr>
        <w:footnoteRef/>
      </w:r>
      <w:r>
        <w:t xml:space="preserve"> </w:t>
      </w:r>
      <w:r w:rsidRPr="00113660">
        <w:t>Interviews</w:t>
      </w:r>
      <w:r w:rsidRPr="003C4B61">
        <w:t xml:space="preserve"> 5</w:t>
      </w:r>
      <w:r>
        <w:t>, 12</w:t>
      </w:r>
      <w:r w:rsidRPr="00473CF5">
        <w:t xml:space="preserve">, 10, 14, 6, 14, 20. </w:t>
      </w:r>
    </w:p>
  </w:footnote>
  <w:footnote w:id="811">
    <w:p w14:paraId="433E9045" w14:textId="7453A632" w:rsidR="007E6602" w:rsidRDefault="007E6602" w:rsidP="00113660">
      <w:pPr>
        <w:pStyle w:val="FootnoteText"/>
      </w:pPr>
      <w:r>
        <w:rPr>
          <w:rStyle w:val="FootnoteReference"/>
        </w:rPr>
        <w:footnoteRef/>
      </w:r>
      <w:r>
        <w:t xml:space="preserve"> </w:t>
      </w:r>
      <w:r w:rsidRPr="00113660">
        <w:t>Interview</w:t>
      </w:r>
      <w:r>
        <w:t xml:space="preserve"> 10. </w:t>
      </w:r>
    </w:p>
  </w:footnote>
  <w:footnote w:id="812">
    <w:p w14:paraId="584578C5" w14:textId="25BBB1AC" w:rsidR="00333C4E" w:rsidRDefault="00333C4E" w:rsidP="00113660">
      <w:pPr>
        <w:pStyle w:val="FootnoteText"/>
      </w:pPr>
      <w:r>
        <w:rPr>
          <w:rStyle w:val="FootnoteReference"/>
        </w:rPr>
        <w:footnoteRef/>
      </w:r>
      <w:r>
        <w:t xml:space="preserve"> </w:t>
      </w:r>
      <w:r w:rsidR="006F1CF8" w:rsidRPr="00113660">
        <w:t>Interview</w:t>
      </w:r>
      <w:r w:rsidR="006F1CF8">
        <w:t xml:space="preserve"> 5.</w:t>
      </w:r>
    </w:p>
  </w:footnote>
  <w:footnote w:id="813">
    <w:p w14:paraId="6518F0E7" w14:textId="63E1BD2E" w:rsidR="005D1AE3" w:rsidRDefault="005D1AE3">
      <w:pPr>
        <w:pStyle w:val="FootnoteText"/>
      </w:pPr>
      <w:r>
        <w:rPr>
          <w:rStyle w:val="FootnoteReference"/>
        </w:rPr>
        <w:footnoteRef/>
      </w:r>
      <w:r>
        <w:t xml:space="preserve"> </w:t>
      </w:r>
      <w:r w:rsidR="004B74E5">
        <w:t>Interviews 10, 14, 7</w:t>
      </w:r>
      <w:r w:rsidR="009C0885">
        <w:t xml:space="preserve">, 16, 22. </w:t>
      </w:r>
    </w:p>
  </w:footnote>
  <w:footnote w:id="814">
    <w:p w14:paraId="606F52CC" w14:textId="21025752" w:rsidR="00F2032E" w:rsidRDefault="00F2032E" w:rsidP="00113660">
      <w:pPr>
        <w:pStyle w:val="FootnoteText"/>
      </w:pPr>
      <w:r>
        <w:rPr>
          <w:rStyle w:val="FootnoteReference"/>
        </w:rPr>
        <w:footnoteRef/>
      </w:r>
      <w:r>
        <w:t xml:space="preserve"> </w:t>
      </w:r>
      <w:r w:rsidR="0033334A" w:rsidRPr="00113660">
        <w:t>Interview</w:t>
      </w:r>
      <w:r w:rsidR="0033334A">
        <w:t xml:space="preserve"> 10.</w:t>
      </w:r>
    </w:p>
  </w:footnote>
  <w:footnote w:id="815">
    <w:p w14:paraId="1F3EDB89" w14:textId="01D73217" w:rsidR="00502821" w:rsidRDefault="00502821">
      <w:pPr>
        <w:pStyle w:val="FootnoteText"/>
      </w:pPr>
      <w:r>
        <w:rPr>
          <w:rStyle w:val="FootnoteReference"/>
        </w:rPr>
        <w:footnoteRef/>
      </w:r>
      <w:r>
        <w:t xml:space="preserve"> </w:t>
      </w:r>
      <w:r w:rsidR="009C0885" w:rsidRPr="006F2DE6">
        <w:rPr>
          <w:i/>
        </w:rPr>
        <w:t>Guardianship and Administration Act 1995</w:t>
      </w:r>
      <w:r w:rsidR="009C0885" w:rsidRPr="006F2DE6">
        <w:t xml:space="preserve"> (Tas</w:t>
      </w:r>
      <w:r w:rsidR="009C0885" w:rsidRPr="009C0885">
        <w:t xml:space="preserve">) </w:t>
      </w:r>
      <w:r w:rsidR="009C0885">
        <w:t xml:space="preserve">ss </w:t>
      </w:r>
      <w:r w:rsidR="003A39AD" w:rsidRPr="009C0885">
        <w:t xml:space="preserve">27A, </w:t>
      </w:r>
      <w:r w:rsidR="00BA686A" w:rsidRPr="009C0885">
        <w:t xml:space="preserve">32D, </w:t>
      </w:r>
      <w:r w:rsidRPr="009C0885">
        <w:t>62A</w:t>
      </w:r>
      <w:r w:rsidR="000368D6">
        <w:t>.</w:t>
      </w:r>
      <w:r>
        <w:t xml:space="preserve"> </w:t>
      </w:r>
    </w:p>
  </w:footnote>
  <w:footnote w:id="816">
    <w:p w14:paraId="27F49108" w14:textId="7CC8DC45" w:rsidR="000368D6" w:rsidRDefault="000368D6">
      <w:pPr>
        <w:pStyle w:val="FootnoteText"/>
      </w:pPr>
      <w:r>
        <w:rPr>
          <w:rStyle w:val="FootnoteReference"/>
        </w:rPr>
        <w:footnoteRef/>
      </w:r>
      <w:r>
        <w:t xml:space="preserve"> </w:t>
      </w:r>
      <w:r w:rsidRPr="003C4B61">
        <w:t>Interview</w:t>
      </w:r>
      <w:r>
        <w:t>s</w:t>
      </w:r>
      <w:r w:rsidRPr="003C4B61">
        <w:t xml:space="preserve"> </w:t>
      </w:r>
      <w:r>
        <w:t>14, 7.</w:t>
      </w:r>
    </w:p>
  </w:footnote>
  <w:footnote w:id="817">
    <w:p w14:paraId="64F3B943" w14:textId="4A7B0F3E" w:rsidR="00CB26FD" w:rsidRDefault="00CB26FD" w:rsidP="00113660">
      <w:pPr>
        <w:pStyle w:val="FootnoteText"/>
      </w:pPr>
      <w:r>
        <w:rPr>
          <w:rStyle w:val="FootnoteReference"/>
        </w:rPr>
        <w:footnoteRef/>
      </w:r>
      <w:r>
        <w:t xml:space="preserve"> </w:t>
      </w:r>
      <w:r w:rsidRPr="00113660">
        <w:t>Interview</w:t>
      </w:r>
      <w:r>
        <w:t xml:space="preserve"> </w:t>
      </w:r>
      <w:r w:rsidR="00267D7A">
        <w:t>23.</w:t>
      </w:r>
    </w:p>
  </w:footnote>
  <w:footnote w:id="818">
    <w:p w14:paraId="45077BA2" w14:textId="5341D81A" w:rsidR="00822535" w:rsidRDefault="00822535" w:rsidP="00113660">
      <w:pPr>
        <w:pStyle w:val="FootnoteText"/>
      </w:pPr>
      <w:r>
        <w:rPr>
          <w:rStyle w:val="FootnoteReference"/>
        </w:rPr>
        <w:footnoteRef/>
      </w:r>
      <w:r>
        <w:t xml:space="preserve"> Interview </w:t>
      </w:r>
      <w:r w:rsidR="00504BE2">
        <w:t>13.</w:t>
      </w:r>
    </w:p>
  </w:footnote>
  <w:footnote w:id="819">
    <w:p w14:paraId="4CE99C16" w14:textId="2431A0BD" w:rsidR="000368D6" w:rsidRDefault="000368D6">
      <w:pPr>
        <w:pStyle w:val="FootnoteText"/>
      </w:pPr>
      <w:r>
        <w:rPr>
          <w:rStyle w:val="FootnoteReference"/>
        </w:rPr>
        <w:footnoteRef/>
      </w:r>
      <w:r>
        <w:t xml:space="preserve"> </w:t>
      </w:r>
      <w:r w:rsidRPr="003C4B61">
        <w:t>Interview</w:t>
      </w:r>
      <w:r>
        <w:t>s</w:t>
      </w:r>
      <w:r w:rsidRPr="003C4B61">
        <w:t xml:space="preserve"> 17</w:t>
      </w:r>
      <w:r>
        <w:t>,</w:t>
      </w:r>
      <w:r w:rsidRPr="003C4B61">
        <w:t xml:space="preserve"> 8.</w:t>
      </w:r>
    </w:p>
  </w:footnote>
  <w:footnote w:id="820">
    <w:p w14:paraId="708AC4E6" w14:textId="77FE70E7" w:rsidR="00C15D0B" w:rsidRDefault="00C15D0B" w:rsidP="00113660">
      <w:pPr>
        <w:pStyle w:val="FootnoteText"/>
      </w:pPr>
      <w:r>
        <w:rPr>
          <w:rStyle w:val="FootnoteReference"/>
        </w:rPr>
        <w:footnoteRef/>
      </w:r>
      <w:r>
        <w:t xml:space="preserve"> </w:t>
      </w:r>
      <w:r w:rsidRPr="00113660">
        <w:t>Interview</w:t>
      </w:r>
      <w:r>
        <w:t xml:space="preserve"> 10. </w:t>
      </w:r>
    </w:p>
  </w:footnote>
  <w:footnote w:id="821">
    <w:p w14:paraId="54C7C3B5" w14:textId="0FFA4BD8" w:rsidR="00612C62" w:rsidRDefault="00612C62" w:rsidP="00113660">
      <w:pPr>
        <w:pStyle w:val="FootnoteText"/>
      </w:pPr>
      <w:r>
        <w:rPr>
          <w:rStyle w:val="FootnoteReference"/>
        </w:rPr>
        <w:footnoteRef/>
      </w:r>
      <w:r>
        <w:t xml:space="preserve"> </w:t>
      </w:r>
      <w:r w:rsidR="00280D2C">
        <w:t xml:space="preserve">QLRC, </w:t>
      </w:r>
      <w:r w:rsidR="00280D2C" w:rsidRPr="00A33E2F">
        <w:rPr>
          <w:i/>
          <w:iCs/>
        </w:rPr>
        <w:t xml:space="preserve">A </w:t>
      </w:r>
      <w:r w:rsidR="00280D2C">
        <w:rPr>
          <w:i/>
          <w:iCs/>
        </w:rPr>
        <w:t>R</w:t>
      </w:r>
      <w:r w:rsidR="00280D2C" w:rsidRPr="00A33E2F">
        <w:rPr>
          <w:i/>
          <w:iCs/>
        </w:rPr>
        <w:t>eview of Queensland’s Guardianship Laws: Volume 3</w:t>
      </w:r>
      <w:r w:rsidR="00280D2C">
        <w:t xml:space="preserve"> (n 760) </w:t>
      </w:r>
      <w:r>
        <w:t xml:space="preserve">284 </w:t>
      </w:r>
      <w:r w:rsidR="00280D2C">
        <w:t>Recommendation</w:t>
      </w:r>
      <w:r>
        <w:t xml:space="preserve"> 17-17.</w:t>
      </w:r>
    </w:p>
  </w:footnote>
  <w:footnote w:id="822">
    <w:p w14:paraId="27793FAE" w14:textId="40B745D1" w:rsidR="001760F0" w:rsidRDefault="001760F0" w:rsidP="00113660">
      <w:pPr>
        <w:pStyle w:val="FootnoteText"/>
      </w:pPr>
      <w:r>
        <w:rPr>
          <w:rStyle w:val="FootnoteReference"/>
        </w:rPr>
        <w:footnoteRef/>
      </w:r>
      <w:r>
        <w:t xml:space="preserve"> </w:t>
      </w:r>
      <w:r w:rsidR="00476800">
        <w:t xml:space="preserve">ALRC, </w:t>
      </w:r>
      <w:r w:rsidR="00476800" w:rsidRPr="003210B3">
        <w:rPr>
          <w:i/>
          <w:iCs/>
        </w:rPr>
        <w:t>Elder Abuse</w:t>
      </w:r>
      <w:r w:rsidR="00476800">
        <w:t xml:space="preserve"> (n 6)</w:t>
      </w:r>
      <w:r w:rsidR="00476800" w:rsidRPr="003C4B61">
        <w:t xml:space="preserve"> </w:t>
      </w:r>
      <w:r>
        <w:t xml:space="preserve">177 </w:t>
      </w:r>
      <w:r w:rsidRPr="00A6424D">
        <w:t>Recommendation 5</w:t>
      </w:r>
      <w:r w:rsidR="004012BF" w:rsidRPr="00A6424D">
        <w:t>.</w:t>
      </w:r>
      <w:r w:rsidRPr="00A6424D">
        <w:t>2.</w:t>
      </w:r>
      <w:r>
        <w:t xml:space="preserve"> </w:t>
      </w:r>
    </w:p>
  </w:footnote>
  <w:footnote w:id="823">
    <w:p w14:paraId="0EABCAE7" w14:textId="6A37AD2C" w:rsidR="00612C62" w:rsidRDefault="00612C62" w:rsidP="00113660">
      <w:pPr>
        <w:pStyle w:val="FootnoteText"/>
      </w:pPr>
      <w:r>
        <w:rPr>
          <w:rStyle w:val="FootnoteReference"/>
        </w:rPr>
        <w:footnoteRef/>
      </w:r>
      <w:r>
        <w:t xml:space="preserve"> </w:t>
      </w:r>
      <w:r w:rsidR="00141943">
        <w:t xml:space="preserve">QLRC, </w:t>
      </w:r>
      <w:r w:rsidR="00141943" w:rsidRPr="00A33E2F">
        <w:rPr>
          <w:i/>
          <w:iCs/>
        </w:rPr>
        <w:t xml:space="preserve">A </w:t>
      </w:r>
      <w:r w:rsidR="00141943">
        <w:rPr>
          <w:i/>
          <w:iCs/>
        </w:rPr>
        <w:t>R</w:t>
      </w:r>
      <w:r w:rsidR="00141943" w:rsidRPr="00A33E2F">
        <w:rPr>
          <w:i/>
          <w:iCs/>
        </w:rPr>
        <w:t>eview of Queensland’s Guardianship Laws: Volume 3</w:t>
      </w:r>
      <w:r w:rsidR="00141943">
        <w:t xml:space="preserve"> (n 760) </w:t>
      </w:r>
      <w:r>
        <w:t xml:space="preserve">284 </w:t>
      </w:r>
      <w:r w:rsidR="00141943">
        <w:t>R</w:t>
      </w:r>
      <w:r w:rsidRPr="00113660">
        <w:t>ecommendation</w:t>
      </w:r>
      <w:r>
        <w:t xml:space="preserve"> 17-18</w:t>
      </w:r>
      <w:r w:rsidR="00141943">
        <w:t>.</w:t>
      </w:r>
    </w:p>
  </w:footnote>
  <w:footnote w:id="824">
    <w:p w14:paraId="5720D622" w14:textId="07310C32" w:rsidR="004B45D5" w:rsidRDefault="004B45D5" w:rsidP="00113660">
      <w:pPr>
        <w:pStyle w:val="FootnoteText"/>
      </w:pPr>
      <w:r>
        <w:rPr>
          <w:rStyle w:val="FootnoteReference"/>
        </w:rPr>
        <w:footnoteRef/>
      </w:r>
      <w:r>
        <w:t xml:space="preserve"> </w:t>
      </w:r>
      <w:r w:rsidR="00476800">
        <w:t xml:space="preserve">ALRC, </w:t>
      </w:r>
      <w:r w:rsidR="00476800" w:rsidRPr="003210B3">
        <w:rPr>
          <w:i/>
          <w:iCs/>
        </w:rPr>
        <w:t>Elder Abuse</w:t>
      </w:r>
      <w:r w:rsidR="00476800">
        <w:t xml:space="preserve"> (n 6)</w:t>
      </w:r>
      <w:r w:rsidR="00476800" w:rsidRPr="003C4B61">
        <w:t xml:space="preserve"> </w:t>
      </w:r>
      <w:r>
        <w:t>[4.20], [4.35]–[4.40].</w:t>
      </w:r>
    </w:p>
  </w:footnote>
  <w:footnote w:id="825">
    <w:p w14:paraId="27D0087E" w14:textId="338D2B84" w:rsidR="0022180B" w:rsidRDefault="0022180B" w:rsidP="00113660">
      <w:pPr>
        <w:pStyle w:val="FootnoteText"/>
      </w:pPr>
      <w:r>
        <w:rPr>
          <w:rStyle w:val="FootnoteReference"/>
        </w:rPr>
        <w:footnoteRef/>
      </w:r>
      <w:r>
        <w:t xml:space="preserve"> </w:t>
      </w:r>
      <w:r w:rsidR="00631499" w:rsidRPr="006F2DE6">
        <w:t>N</w:t>
      </w:r>
      <w:r w:rsidR="00631499">
        <w:t>ew South Wales Law Reform Commission (‘N</w:t>
      </w:r>
      <w:r w:rsidR="00631499" w:rsidRPr="006F2DE6">
        <w:t>SWLRC</w:t>
      </w:r>
      <w:r w:rsidR="00631499">
        <w:t>’)</w:t>
      </w:r>
      <w:r w:rsidR="006B4FBE">
        <w:t xml:space="preserve">, Review of the Guardianship Act 1987 (Report 145, May 2018) </w:t>
      </w:r>
      <w:r>
        <w:t>152 [9.149]–[9.150].</w:t>
      </w:r>
    </w:p>
  </w:footnote>
  <w:footnote w:id="826">
    <w:p w14:paraId="377850FB" w14:textId="236C2D0F" w:rsidR="00461798" w:rsidRDefault="00461798" w:rsidP="00113660">
      <w:pPr>
        <w:pStyle w:val="FootnoteText"/>
      </w:pPr>
      <w:r>
        <w:rPr>
          <w:rStyle w:val="FootnoteReference"/>
        </w:rPr>
        <w:footnoteRef/>
      </w:r>
      <w:r>
        <w:t xml:space="preserve"> </w:t>
      </w:r>
      <w:r w:rsidR="0042266B" w:rsidRPr="006F2DE6">
        <w:t>V</w:t>
      </w:r>
      <w:r w:rsidR="0042266B">
        <w:t>ictorian Law Reform Commission (‘V</w:t>
      </w:r>
      <w:r w:rsidR="0042266B" w:rsidRPr="006F2DE6">
        <w:t>LRC</w:t>
      </w:r>
      <w:r w:rsidR="0042266B">
        <w:t xml:space="preserve">’), Guardianship (Final Report 24, </w:t>
      </w:r>
      <w:r w:rsidR="009F0BB0">
        <w:t xml:space="preserve">2012) </w:t>
      </w:r>
      <w:r w:rsidR="002C5649">
        <w:t>422 Recommendations 305–313.</w:t>
      </w:r>
    </w:p>
  </w:footnote>
  <w:footnote w:id="827">
    <w:p w14:paraId="4F36D861" w14:textId="3D33B702" w:rsidR="00EB016D" w:rsidRDefault="00EB016D" w:rsidP="00113660">
      <w:pPr>
        <w:pStyle w:val="FootnoteText"/>
      </w:pPr>
      <w:r>
        <w:rPr>
          <w:rStyle w:val="FootnoteReference"/>
        </w:rPr>
        <w:footnoteRef/>
      </w:r>
      <w:r>
        <w:t xml:space="preserve"> </w:t>
      </w:r>
      <w:r w:rsidR="00C006D4">
        <w:t xml:space="preserve">TLRI, </w:t>
      </w:r>
      <w:r w:rsidR="00C006D4" w:rsidRPr="006C487B">
        <w:rPr>
          <w:i/>
          <w:iCs/>
        </w:rPr>
        <w:t xml:space="preserve">Review of the Guardianship and Administration </w:t>
      </w:r>
      <w:r w:rsidR="00C006D4" w:rsidRPr="00C83BF9">
        <w:rPr>
          <w:i/>
          <w:iCs/>
        </w:rPr>
        <w:t>Act</w:t>
      </w:r>
      <w:r w:rsidR="00C006D4">
        <w:t xml:space="preserve"> (n 380) Parts</w:t>
      </w:r>
      <w:r>
        <w:t xml:space="preserve"> 15 </w:t>
      </w:r>
      <w:r w:rsidRPr="00113660">
        <w:t>and</w:t>
      </w:r>
      <w:r>
        <w:t xml:space="preserve"> 16.</w:t>
      </w:r>
    </w:p>
  </w:footnote>
  <w:footnote w:id="828">
    <w:p w14:paraId="0617D529" w14:textId="3CACBC23" w:rsidR="00EB016D" w:rsidRDefault="00EB016D" w:rsidP="00EB016D">
      <w:pPr>
        <w:pStyle w:val="FootnoteText"/>
      </w:pPr>
      <w:r>
        <w:rPr>
          <w:rStyle w:val="FootnoteReference"/>
        </w:rPr>
        <w:footnoteRef/>
      </w:r>
      <w:r>
        <w:t xml:space="preserve"> </w:t>
      </w:r>
      <w:r w:rsidR="00613D12">
        <w:t>Ibid</w:t>
      </w:r>
      <w:r w:rsidR="00723FD9">
        <w:t xml:space="preserve"> </w:t>
      </w:r>
      <w:r w:rsidR="003D5A08">
        <w:t xml:space="preserve">[12.6] </w:t>
      </w:r>
      <w:r w:rsidR="00613D12">
        <w:t xml:space="preserve">– [12.11], especially </w:t>
      </w:r>
      <w:r w:rsidR="00723FD9">
        <w:t>255</w:t>
      </w:r>
      <w:r w:rsidR="0038027C">
        <w:t>–59 Recommendations 12.26</w:t>
      </w:r>
      <w:r w:rsidR="00BE3E19">
        <w:t>–12.28</w:t>
      </w:r>
      <w:r w:rsidR="00723FD9">
        <w:t>.</w:t>
      </w:r>
      <w:r>
        <w:t xml:space="preserve"> </w:t>
      </w:r>
    </w:p>
  </w:footnote>
  <w:footnote w:id="829">
    <w:p w14:paraId="1A545E0A" w14:textId="69CDAF10" w:rsidR="00931663" w:rsidRDefault="00931663" w:rsidP="00723FD9">
      <w:pPr>
        <w:pStyle w:val="FootnoteText"/>
      </w:pPr>
      <w:r>
        <w:rPr>
          <w:rStyle w:val="FootnoteReference"/>
        </w:rPr>
        <w:footnoteRef/>
      </w:r>
      <w:r>
        <w:t xml:space="preserve"> </w:t>
      </w:r>
      <w:r w:rsidR="00BE3E19">
        <w:t xml:space="preserve">Ibid </w:t>
      </w:r>
      <w:r w:rsidR="00C464EB">
        <w:t xml:space="preserve">253–5 [12.10.2]–[12.10.9], especially </w:t>
      </w:r>
      <w:r w:rsidR="007B2386">
        <w:t>255 [12.10.</w:t>
      </w:r>
      <w:r w:rsidR="00C909CA">
        <w:t>9</w:t>
      </w:r>
      <w:r w:rsidR="007B2386">
        <w:t xml:space="preserve">], citing </w:t>
      </w:r>
      <w:r w:rsidR="007B2386" w:rsidRPr="007B2386">
        <w:t>Council of Attorneys-General, ‘Communiqué Council of Attorneys-General’ (8 June 2018) &lt;</w:t>
      </w:r>
      <w:hyperlink r:id="rId126" w:history="1">
        <w:r w:rsidR="00354A40" w:rsidRPr="00523D14">
          <w:rPr>
            <w:rStyle w:val="Hyperlink"/>
          </w:rPr>
          <w:t>https://www.ag.gov.au/About/CommitteesandCouncils/Council-of-Attorneys-General/Documents/Council-of-Attorneys-General-communique-June-2018.pdf</w:t>
        </w:r>
      </w:hyperlink>
      <w:r w:rsidR="007B2386" w:rsidRPr="007B2386">
        <w:t>&gt;. See also Council of Attorneys-General, ‘Communique Council of Attorneys-General’ (1 December 2017) &lt;</w:t>
      </w:r>
      <w:hyperlink r:id="rId127" w:history="1">
        <w:r w:rsidR="00354A40" w:rsidRPr="00523D14">
          <w:rPr>
            <w:rStyle w:val="Hyperlink"/>
          </w:rPr>
          <w:t>https://www.ag.gov.au/About/CommitteesandCouncils/Council-of-Attorneys-General/Documents/Council-of-Attorneys-General-communique-December-2017.pdf</w:t>
        </w:r>
      </w:hyperlink>
      <w:r w:rsidR="007B2386" w:rsidRPr="007B2386">
        <w:t>&gt;.</w:t>
      </w:r>
    </w:p>
  </w:footnote>
  <w:footnote w:id="830">
    <w:p w14:paraId="19CAB50D" w14:textId="2619D7E6" w:rsidR="00FB0F2E" w:rsidRDefault="00FB0F2E" w:rsidP="00723FD9">
      <w:pPr>
        <w:pStyle w:val="FootnoteText"/>
      </w:pPr>
      <w:r>
        <w:rPr>
          <w:rStyle w:val="FootnoteReference"/>
        </w:rPr>
        <w:footnoteRef/>
      </w:r>
      <w:r>
        <w:t xml:space="preserve"> </w:t>
      </w:r>
      <w:r w:rsidR="00DA13DE">
        <w:t xml:space="preserve">TLRI, </w:t>
      </w:r>
      <w:r w:rsidR="00DA13DE" w:rsidRPr="006C487B">
        <w:rPr>
          <w:i/>
          <w:iCs/>
        </w:rPr>
        <w:t xml:space="preserve">Review of the Guardianship and Administration </w:t>
      </w:r>
      <w:r w:rsidR="00DA13DE" w:rsidRPr="00C83BF9">
        <w:rPr>
          <w:i/>
          <w:iCs/>
        </w:rPr>
        <w:t>Act</w:t>
      </w:r>
      <w:r w:rsidR="00DA13DE">
        <w:t xml:space="preserve"> (n 380) </w:t>
      </w:r>
      <w:r w:rsidR="00C0606B">
        <w:t>256</w:t>
      </w:r>
      <w:r>
        <w:t xml:space="preserve"> </w:t>
      </w:r>
      <w:r w:rsidRPr="00723FD9">
        <w:t>Recommendation</w:t>
      </w:r>
      <w:r w:rsidRPr="0092507A">
        <w:t xml:space="preserve"> 12.26</w:t>
      </w:r>
      <w:r w:rsidR="00C0606B">
        <w:t>.</w:t>
      </w:r>
    </w:p>
  </w:footnote>
  <w:footnote w:id="831">
    <w:p w14:paraId="066C910B" w14:textId="50EBE44F" w:rsidR="00C0606B" w:rsidRDefault="00C0606B">
      <w:pPr>
        <w:pStyle w:val="FootnoteText"/>
      </w:pPr>
      <w:r>
        <w:rPr>
          <w:rStyle w:val="FootnoteReference"/>
        </w:rPr>
        <w:footnoteRef/>
      </w:r>
      <w:r>
        <w:t xml:space="preserve"> </w:t>
      </w:r>
      <w:r w:rsidRPr="003C4B61">
        <w:t>This table is a</w:t>
      </w:r>
      <w:r>
        <w:t>n updated</w:t>
      </w:r>
      <w:r w:rsidRPr="003C4B61">
        <w:t xml:space="preserve"> version of a table in </w:t>
      </w:r>
      <w:r>
        <w:t xml:space="preserve">Attorney-General’s Department, </w:t>
      </w:r>
      <w:r w:rsidRPr="002B336E">
        <w:rPr>
          <w:i/>
          <w:iCs/>
        </w:rPr>
        <w:t>Achieving Greater Consistency in Laws for Financial Enduring Powers of Attorney</w:t>
      </w:r>
      <w:r>
        <w:t xml:space="preserve"> (n 281) 47 ‘</w:t>
      </w:r>
      <w:r w:rsidRPr="003C4B61">
        <w:t>Appendix</w:t>
      </w:r>
      <w:r w:rsidRPr="00CF3EF0">
        <w:t xml:space="preserve"> 1 – </w:t>
      </w:r>
      <w:r>
        <w:t>Compensation’.</w:t>
      </w:r>
    </w:p>
  </w:footnote>
  <w:footnote w:id="832">
    <w:p w14:paraId="17947B33" w14:textId="01FDD32E" w:rsidR="00C0606B" w:rsidRDefault="00C0606B">
      <w:pPr>
        <w:pStyle w:val="FootnoteText"/>
      </w:pPr>
      <w:r>
        <w:rPr>
          <w:rStyle w:val="FootnoteReference"/>
        </w:rPr>
        <w:footnoteRef/>
      </w:r>
      <w:r>
        <w:t xml:space="preserve"> </w:t>
      </w:r>
      <w:r w:rsidRPr="00723FD9">
        <w:rPr>
          <w:i/>
          <w:iCs/>
        </w:rPr>
        <w:t>Guardianship of Adults Act</w:t>
      </w:r>
      <w:r w:rsidRPr="00723FD9">
        <w:t xml:space="preserve"> </w:t>
      </w:r>
      <w:r w:rsidRPr="00C83BF9">
        <w:rPr>
          <w:i/>
          <w:iCs/>
        </w:rPr>
        <w:t xml:space="preserve">2016 </w:t>
      </w:r>
      <w:r w:rsidRPr="00723FD9">
        <w:t xml:space="preserve">(NT) s 95 (upon conviction of offence under ss 86–88). </w:t>
      </w:r>
      <w:r w:rsidRPr="00723FD9">
        <w:rPr>
          <w:i/>
          <w:iCs/>
        </w:rPr>
        <w:t xml:space="preserve">Advance Personal Planning Act 2013 </w:t>
      </w:r>
      <w:r w:rsidRPr="00723FD9">
        <w:t>(NT) s 83 (upon conviction of offence under ss 76–79). Other penalties</w:t>
      </w:r>
      <w:r w:rsidR="000F477B">
        <w:t>,</w:t>
      </w:r>
      <w:r w:rsidRPr="00723FD9">
        <w:t xml:space="preserve"> related to the abuse and misuse of or breach of duties under an advance </w:t>
      </w:r>
      <w:r w:rsidR="000524D1">
        <w:t>personal</w:t>
      </w:r>
      <w:r w:rsidRPr="00723FD9">
        <w:t xml:space="preserve"> plan</w:t>
      </w:r>
      <w:r w:rsidR="000F477B">
        <w:t>,</w:t>
      </w:r>
      <w:r w:rsidRPr="00723FD9">
        <w:t xml:space="preserve"> are contained in ss 75–83.</w:t>
      </w:r>
    </w:p>
  </w:footnote>
  <w:footnote w:id="833">
    <w:p w14:paraId="30B92B6D" w14:textId="56FFAED0" w:rsidR="00C0606B" w:rsidRDefault="00C0606B">
      <w:pPr>
        <w:pStyle w:val="FootnoteText"/>
      </w:pPr>
      <w:r>
        <w:rPr>
          <w:rStyle w:val="FootnoteReference"/>
        </w:rPr>
        <w:footnoteRef/>
      </w:r>
      <w:r>
        <w:t xml:space="preserve"> </w:t>
      </w:r>
      <w:r w:rsidRPr="00723FD9">
        <w:rPr>
          <w:i/>
          <w:iCs/>
        </w:rPr>
        <w:t>Guardianship and Administration Act 2019</w:t>
      </w:r>
      <w:r w:rsidRPr="003C4B61">
        <w:t xml:space="preserve"> (Vic) s</w:t>
      </w:r>
      <w:r>
        <w:t xml:space="preserve"> </w:t>
      </w:r>
      <w:r w:rsidRPr="00723FD9">
        <w:t>181</w:t>
      </w:r>
      <w:r>
        <w:t>.</w:t>
      </w:r>
    </w:p>
  </w:footnote>
  <w:footnote w:id="834">
    <w:p w14:paraId="526C05F2" w14:textId="3A9F5C81" w:rsidR="00C0606B" w:rsidRDefault="00C0606B">
      <w:pPr>
        <w:pStyle w:val="FootnoteText"/>
      </w:pPr>
      <w:r>
        <w:rPr>
          <w:rStyle w:val="FootnoteReference"/>
        </w:rPr>
        <w:footnoteRef/>
      </w:r>
      <w:r>
        <w:t xml:space="preserve"> </w:t>
      </w:r>
      <w:r w:rsidRPr="00723FD9">
        <w:rPr>
          <w:i/>
          <w:iCs/>
        </w:rPr>
        <w:t>Guardianship and Administration Act 2000</w:t>
      </w:r>
      <w:r w:rsidRPr="003C4B61">
        <w:t xml:space="preserve"> (Qld) </w:t>
      </w:r>
      <w:r>
        <w:t>ss 59, 60</w:t>
      </w:r>
      <w:r w:rsidRPr="003C4B61">
        <w:t>.</w:t>
      </w:r>
    </w:p>
  </w:footnote>
  <w:footnote w:id="835">
    <w:p w14:paraId="086389B8" w14:textId="51D036F6" w:rsidR="00C0606B" w:rsidRDefault="00C0606B">
      <w:pPr>
        <w:pStyle w:val="FootnoteText"/>
      </w:pPr>
      <w:r>
        <w:rPr>
          <w:rStyle w:val="FootnoteReference"/>
        </w:rPr>
        <w:footnoteRef/>
      </w:r>
      <w:r>
        <w:t xml:space="preserve"> </w:t>
      </w:r>
      <w:r w:rsidRPr="00723FD9">
        <w:rPr>
          <w:i/>
          <w:iCs/>
        </w:rPr>
        <w:t>Guardianship and Management of Property Act 1991</w:t>
      </w:r>
      <w:r w:rsidRPr="003C4B61">
        <w:t xml:space="preserve"> (ACT)</w:t>
      </w:r>
      <w:r>
        <w:t xml:space="preserve"> s </w:t>
      </w:r>
      <w:r w:rsidRPr="00723FD9">
        <w:t>19A</w:t>
      </w:r>
      <w:r w:rsidRPr="003C4B61">
        <w:t>.</w:t>
      </w:r>
    </w:p>
  </w:footnote>
  <w:footnote w:id="836">
    <w:p w14:paraId="135B4451" w14:textId="01D5CD96" w:rsidR="00C0606B" w:rsidRDefault="00C0606B">
      <w:pPr>
        <w:pStyle w:val="FootnoteText"/>
      </w:pPr>
      <w:r>
        <w:rPr>
          <w:rStyle w:val="FootnoteReference"/>
        </w:rPr>
        <w:footnoteRef/>
      </w:r>
      <w:r>
        <w:t xml:space="preserve"> </w:t>
      </w:r>
      <w:r w:rsidRPr="00723FD9">
        <w:rPr>
          <w:i/>
          <w:iCs/>
        </w:rPr>
        <w:t>Powers of Attorney Act 2003</w:t>
      </w:r>
      <w:r w:rsidRPr="003C4B61">
        <w:t xml:space="preserve"> (</w:t>
      </w:r>
      <w:r w:rsidRPr="00723FD9">
        <w:t>NSW</w:t>
      </w:r>
      <w:r w:rsidRPr="003C4B61">
        <w:t>).</w:t>
      </w:r>
    </w:p>
  </w:footnote>
  <w:footnote w:id="837">
    <w:p w14:paraId="37532C7F" w14:textId="77777777" w:rsidR="00F541B4" w:rsidRDefault="00F541B4" w:rsidP="00723FD9">
      <w:pPr>
        <w:pStyle w:val="FootnoteText"/>
      </w:pPr>
      <w:r>
        <w:rPr>
          <w:rStyle w:val="FootnoteReference"/>
        </w:rPr>
        <w:footnoteRef/>
      </w:r>
      <w:r>
        <w:t xml:space="preserve"> </w:t>
      </w:r>
      <w:r w:rsidRPr="00723FD9">
        <w:rPr>
          <w:i/>
          <w:iCs/>
        </w:rPr>
        <w:t>Guardianship and Administration Act 1993</w:t>
      </w:r>
      <w:r>
        <w:t xml:space="preserve"> (SA).</w:t>
      </w:r>
    </w:p>
  </w:footnote>
  <w:footnote w:id="838">
    <w:p w14:paraId="0CDED091" w14:textId="77777777" w:rsidR="00F541B4" w:rsidRDefault="00F541B4" w:rsidP="00723FD9">
      <w:pPr>
        <w:pStyle w:val="FootnoteText"/>
      </w:pPr>
      <w:r>
        <w:rPr>
          <w:rStyle w:val="FootnoteReference"/>
        </w:rPr>
        <w:footnoteRef/>
      </w:r>
      <w:r>
        <w:t xml:space="preserve"> </w:t>
      </w:r>
      <w:r w:rsidRPr="00723FD9">
        <w:rPr>
          <w:i/>
          <w:iCs/>
        </w:rPr>
        <w:t>Guardianship and Administration Act 1990</w:t>
      </w:r>
      <w:r>
        <w:t xml:space="preserve"> (WA). </w:t>
      </w:r>
    </w:p>
  </w:footnote>
  <w:footnote w:id="839">
    <w:p w14:paraId="5AF408A4" w14:textId="77777777" w:rsidR="00F541B4" w:rsidRDefault="00F541B4" w:rsidP="00723FD9">
      <w:pPr>
        <w:pStyle w:val="FootnoteText"/>
      </w:pPr>
      <w:r>
        <w:rPr>
          <w:rStyle w:val="FootnoteReference"/>
        </w:rPr>
        <w:footnoteRef/>
      </w:r>
      <w:r>
        <w:t xml:space="preserve"> </w:t>
      </w:r>
      <w:r w:rsidRPr="00723FD9">
        <w:rPr>
          <w:i/>
          <w:iCs/>
        </w:rPr>
        <w:t>Guardianship and Administration Act 1995</w:t>
      </w:r>
      <w:r>
        <w:t xml:space="preserve"> (</w:t>
      </w:r>
      <w:r w:rsidRPr="00723FD9">
        <w:t>Tas</w:t>
      </w:r>
      <w:r>
        <w:t>).</w:t>
      </w:r>
    </w:p>
  </w:footnote>
  <w:footnote w:id="840">
    <w:p w14:paraId="0670116E" w14:textId="77777777" w:rsidR="003C3845" w:rsidRDefault="003C3845" w:rsidP="003C3845">
      <w:pPr>
        <w:pStyle w:val="FootnoteText"/>
      </w:pPr>
      <w:r>
        <w:rPr>
          <w:rStyle w:val="FootnoteReference"/>
        </w:rPr>
        <w:footnoteRef/>
      </w:r>
      <w:r>
        <w:t xml:space="preserve"> </w:t>
      </w:r>
      <w:r w:rsidRPr="00F82B09">
        <w:rPr>
          <w:i/>
          <w:iCs/>
        </w:rPr>
        <w:t>Advance Personal Planning Act 2016</w:t>
      </w:r>
      <w:r w:rsidRPr="003C4B61">
        <w:t xml:space="preserve"> (NT) s 78(1); </w:t>
      </w:r>
      <w:r w:rsidRPr="00F82B09">
        <w:rPr>
          <w:i/>
          <w:iCs/>
        </w:rPr>
        <w:t>Guardianship of Adults Act 2016</w:t>
      </w:r>
      <w:r w:rsidRPr="003C4B61">
        <w:t xml:space="preserve"> (NT) s 87(1).</w:t>
      </w:r>
    </w:p>
  </w:footnote>
  <w:footnote w:id="841">
    <w:p w14:paraId="14595240" w14:textId="77777777" w:rsidR="003C3845" w:rsidRDefault="003C3845" w:rsidP="003C3845">
      <w:pPr>
        <w:pStyle w:val="FootnoteText"/>
      </w:pPr>
      <w:r>
        <w:rPr>
          <w:rStyle w:val="FootnoteReference"/>
        </w:rPr>
        <w:footnoteRef/>
      </w:r>
      <w:r>
        <w:t xml:space="preserve"> </w:t>
      </w:r>
      <w:r w:rsidRPr="00F82B09">
        <w:rPr>
          <w:i/>
          <w:iCs/>
        </w:rPr>
        <w:t>Guardianship and Administration Act 2019</w:t>
      </w:r>
      <w:r w:rsidRPr="003C4B61">
        <w:t xml:space="preserve"> (Vic) s</w:t>
      </w:r>
      <w:r>
        <w:t xml:space="preserve">s </w:t>
      </w:r>
      <w:r w:rsidRPr="00F82B09">
        <w:t>189</w:t>
      </w:r>
      <w:r>
        <w:t xml:space="preserve">–192. </w:t>
      </w:r>
    </w:p>
  </w:footnote>
  <w:footnote w:id="842">
    <w:p w14:paraId="3AFE3541" w14:textId="192AC117" w:rsidR="00C0606B" w:rsidRDefault="00C0606B">
      <w:pPr>
        <w:pStyle w:val="FootnoteText"/>
      </w:pPr>
      <w:r>
        <w:rPr>
          <w:rStyle w:val="FootnoteReference"/>
        </w:rPr>
        <w:footnoteRef/>
      </w:r>
      <w:r>
        <w:t xml:space="preserve"> </w:t>
      </w:r>
      <w:r w:rsidRPr="003C4B61">
        <w:t>This table is a</w:t>
      </w:r>
      <w:r>
        <w:t>n updated</w:t>
      </w:r>
      <w:r w:rsidRPr="003C4B61">
        <w:t xml:space="preserve"> version of a table in </w:t>
      </w:r>
      <w:r>
        <w:t xml:space="preserve">Attorney-General’s Department, </w:t>
      </w:r>
      <w:r w:rsidRPr="002B336E">
        <w:rPr>
          <w:i/>
          <w:iCs/>
        </w:rPr>
        <w:t>Achieving Greater Consistency in Laws for Financial Enduring Powers of Attorney</w:t>
      </w:r>
      <w:r>
        <w:t xml:space="preserve"> (n 281) 48 ‘</w:t>
      </w:r>
      <w:r w:rsidRPr="00CF3EF0">
        <w:t>Appendix 1 – Existing criminal EPOA offences</w:t>
      </w:r>
      <w:r>
        <w:t>’.</w:t>
      </w:r>
    </w:p>
  </w:footnote>
  <w:footnote w:id="843">
    <w:p w14:paraId="2852FC50" w14:textId="3D4F550B" w:rsidR="00765DCC" w:rsidRDefault="00765DCC">
      <w:pPr>
        <w:pStyle w:val="FootnoteText"/>
      </w:pPr>
      <w:r>
        <w:rPr>
          <w:rStyle w:val="FootnoteReference"/>
        </w:rPr>
        <w:footnoteRef/>
      </w:r>
      <w:r>
        <w:t xml:space="preserve"> </w:t>
      </w:r>
      <w:r w:rsidRPr="002C7726">
        <w:rPr>
          <w:i/>
          <w:iCs/>
        </w:rPr>
        <w:t xml:space="preserve">Guardianship of Adults Act 2016 </w:t>
      </w:r>
      <w:r w:rsidRPr="003C4B61">
        <w:t xml:space="preserve">(NT) ss </w:t>
      </w:r>
      <w:r>
        <w:t>86–89</w:t>
      </w:r>
      <w:r w:rsidRPr="003C4B61">
        <w:t xml:space="preserve">. </w:t>
      </w:r>
      <w:r w:rsidRPr="00D54881">
        <w:rPr>
          <w:i/>
          <w:iCs/>
        </w:rPr>
        <w:t>Advance Personal Planning Act 2013</w:t>
      </w:r>
      <w:r>
        <w:t xml:space="preserve"> (NT) ss 76–80. </w:t>
      </w:r>
      <w:r w:rsidRPr="00723FD9">
        <w:t>Other</w:t>
      </w:r>
      <w:r w:rsidRPr="003C4B61">
        <w:t xml:space="preserve"> penalties</w:t>
      </w:r>
      <w:r w:rsidR="00C20DF6">
        <w:t>,</w:t>
      </w:r>
      <w:r w:rsidRPr="003C4B61">
        <w:t xml:space="preserve"> related to the abuse and misuse of or breach of duties under an advance </w:t>
      </w:r>
      <w:r w:rsidR="00C20DF6">
        <w:t>personal</w:t>
      </w:r>
      <w:r w:rsidR="00C20DF6" w:rsidRPr="003C4B61">
        <w:t xml:space="preserve"> </w:t>
      </w:r>
      <w:r w:rsidRPr="003C4B61">
        <w:t>plan</w:t>
      </w:r>
      <w:r w:rsidR="00C20DF6">
        <w:t>,</w:t>
      </w:r>
      <w:r w:rsidRPr="003C4B61">
        <w:t xml:space="preserve"> are contained in ss 75–83. </w:t>
      </w:r>
      <w:r>
        <w:t>It is noted</w:t>
      </w:r>
      <w:r w:rsidR="00412607">
        <w:t xml:space="preserve"> that</w:t>
      </w:r>
      <w:r>
        <w:t xml:space="preserve"> in the NT, a guardians may have power in relation to personal affairs and financial matters.</w:t>
      </w:r>
    </w:p>
  </w:footnote>
  <w:footnote w:id="844">
    <w:p w14:paraId="42475A40" w14:textId="74945FDA" w:rsidR="00765DCC" w:rsidRDefault="00765DCC">
      <w:pPr>
        <w:pStyle w:val="FootnoteText"/>
      </w:pPr>
      <w:r>
        <w:rPr>
          <w:rStyle w:val="FootnoteReference"/>
        </w:rPr>
        <w:footnoteRef/>
      </w:r>
      <w:r>
        <w:t xml:space="preserve"> </w:t>
      </w:r>
      <w:r>
        <w:rPr>
          <w:i/>
          <w:iCs/>
        </w:rPr>
        <w:t>Guardianship and Administration Act 2019</w:t>
      </w:r>
      <w:r w:rsidRPr="003C4B61">
        <w:rPr>
          <w:i/>
          <w:iCs/>
        </w:rPr>
        <w:t xml:space="preserve"> </w:t>
      </w:r>
      <w:r w:rsidRPr="003C4B61">
        <w:t>(Vic) s</w:t>
      </w:r>
      <w:r>
        <w:t>s 189–192. Also</w:t>
      </w:r>
      <w:r w:rsidR="00412607">
        <w:t>,</w:t>
      </w:r>
      <w:r>
        <w:t xml:space="preserve"> offences for </w:t>
      </w:r>
      <w:r w:rsidRPr="00723FD9">
        <w:t>officers</w:t>
      </w:r>
      <w:r>
        <w:t xml:space="preserve"> of body corporate for failure to exercise due diligence regarding particular provisions (ss 43(5), 189(1), 189(2), 190(1), 190(2)</w:t>
      </w:r>
      <w:r w:rsidR="00412607">
        <w:t>)</w:t>
      </w:r>
      <w:r>
        <w:t>: s 193.</w:t>
      </w:r>
    </w:p>
  </w:footnote>
  <w:footnote w:id="845">
    <w:p w14:paraId="68EF56E3" w14:textId="26B527A6" w:rsidR="00765DCC" w:rsidRDefault="00765DCC">
      <w:pPr>
        <w:pStyle w:val="FootnoteText"/>
      </w:pPr>
      <w:r>
        <w:rPr>
          <w:rStyle w:val="FootnoteReference"/>
        </w:rPr>
        <w:footnoteRef/>
      </w:r>
      <w:r>
        <w:t xml:space="preserve"> </w:t>
      </w:r>
      <w:r w:rsidRPr="00723FD9">
        <w:rPr>
          <w:i/>
          <w:iCs/>
        </w:rPr>
        <w:t>Guardianship and Administration Act 2000</w:t>
      </w:r>
      <w:r w:rsidRPr="003C4B61">
        <w:t xml:space="preserve"> (Qld) </w:t>
      </w:r>
      <w:r>
        <w:t xml:space="preserve">s </w:t>
      </w:r>
      <w:r w:rsidRPr="00723FD9">
        <w:t>78</w:t>
      </w:r>
      <w:r w:rsidRPr="003C4B61">
        <w:t>.</w:t>
      </w:r>
    </w:p>
  </w:footnote>
  <w:footnote w:id="846">
    <w:p w14:paraId="1B18C098" w14:textId="62A5AA2B" w:rsidR="00765DCC" w:rsidRDefault="00765DCC">
      <w:pPr>
        <w:pStyle w:val="FootnoteText"/>
      </w:pPr>
      <w:r>
        <w:rPr>
          <w:rStyle w:val="FootnoteReference"/>
        </w:rPr>
        <w:footnoteRef/>
      </w:r>
      <w:r>
        <w:t xml:space="preserve"> </w:t>
      </w:r>
      <w:r w:rsidRPr="00723FD9">
        <w:rPr>
          <w:i/>
          <w:iCs/>
        </w:rPr>
        <w:t>Guardianship and Management of Property Act 1991</w:t>
      </w:r>
      <w:r w:rsidRPr="003C4B61">
        <w:t xml:space="preserve"> (</w:t>
      </w:r>
      <w:r w:rsidRPr="00723FD9">
        <w:t>ACT</w:t>
      </w:r>
      <w:r w:rsidRPr="003C4B61">
        <w:t>).</w:t>
      </w:r>
    </w:p>
  </w:footnote>
  <w:footnote w:id="847">
    <w:p w14:paraId="51F803D7" w14:textId="06A287EF" w:rsidR="00765DCC" w:rsidRDefault="00765DCC">
      <w:pPr>
        <w:pStyle w:val="FootnoteText"/>
      </w:pPr>
      <w:r>
        <w:rPr>
          <w:rStyle w:val="FootnoteReference"/>
        </w:rPr>
        <w:footnoteRef/>
      </w:r>
      <w:r>
        <w:t xml:space="preserve"> </w:t>
      </w:r>
      <w:r w:rsidRPr="00723FD9">
        <w:rPr>
          <w:i/>
          <w:iCs/>
        </w:rPr>
        <w:t>Powers of Attorney Act 2003</w:t>
      </w:r>
      <w:r w:rsidRPr="003C4B61">
        <w:t xml:space="preserve"> (NSW) s </w:t>
      </w:r>
      <w:r w:rsidRPr="00723FD9">
        <w:t>49</w:t>
      </w:r>
      <w:r w:rsidRPr="003C4B61">
        <w:t>.</w:t>
      </w:r>
    </w:p>
  </w:footnote>
  <w:footnote w:id="848">
    <w:p w14:paraId="1A09C025" w14:textId="77777777" w:rsidR="00660C1C" w:rsidRDefault="00660C1C" w:rsidP="00723FD9">
      <w:pPr>
        <w:pStyle w:val="FootnoteText"/>
      </w:pPr>
      <w:r>
        <w:rPr>
          <w:rStyle w:val="FootnoteReference"/>
        </w:rPr>
        <w:footnoteRef/>
      </w:r>
      <w:r>
        <w:t xml:space="preserve"> </w:t>
      </w:r>
      <w:r w:rsidRPr="00723FD9">
        <w:rPr>
          <w:i/>
          <w:iCs/>
        </w:rPr>
        <w:t>Guardianship and Administration Act 1993</w:t>
      </w:r>
      <w:r>
        <w:t xml:space="preserve"> (</w:t>
      </w:r>
      <w:r w:rsidRPr="00723FD9">
        <w:t>SA</w:t>
      </w:r>
      <w:r>
        <w:t>).</w:t>
      </w:r>
    </w:p>
  </w:footnote>
  <w:footnote w:id="849">
    <w:p w14:paraId="031D0870" w14:textId="77777777" w:rsidR="00660C1C" w:rsidRDefault="00660C1C" w:rsidP="00723FD9">
      <w:pPr>
        <w:pStyle w:val="FootnoteText"/>
      </w:pPr>
      <w:r>
        <w:rPr>
          <w:rStyle w:val="FootnoteReference"/>
        </w:rPr>
        <w:footnoteRef/>
      </w:r>
      <w:r>
        <w:t xml:space="preserve"> </w:t>
      </w:r>
      <w:r w:rsidRPr="00723FD9">
        <w:rPr>
          <w:i/>
          <w:iCs/>
        </w:rPr>
        <w:t>Guardianship and Administration Act 1990</w:t>
      </w:r>
      <w:r>
        <w:t xml:space="preserve"> (</w:t>
      </w:r>
      <w:r w:rsidRPr="00723FD9">
        <w:t>WA</w:t>
      </w:r>
      <w:r>
        <w:t xml:space="preserve">). </w:t>
      </w:r>
    </w:p>
  </w:footnote>
  <w:footnote w:id="850">
    <w:p w14:paraId="45B6F023" w14:textId="1CCD747D" w:rsidR="00415DC1" w:rsidRDefault="00415DC1">
      <w:pPr>
        <w:pStyle w:val="FootnoteText"/>
      </w:pPr>
      <w:r>
        <w:rPr>
          <w:rStyle w:val="FootnoteReference"/>
        </w:rPr>
        <w:footnoteRef/>
      </w:r>
      <w:r>
        <w:t xml:space="preserve"> </w:t>
      </w:r>
      <w:r w:rsidR="00702B20" w:rsidRPr="00723FD9">
        <w:rPr>
          <w:i/>
          <w:iCs/>
        </w:rPr>
        <w:t>Guardianship and Administration Act 1995</w:t>
      </w:r>
      <w:r w:rsidR="00702B20">
        <w:t xml:space="preserve"> (</w:t>
      </w:r>
      <w:r w:rsidR="00702B20" w:rsidRPr="00723FD9">
        <w:t>Tas</w:t>
      </w:r>
      <w:r w:rsidR="00702B20">
        <w:t>).</w:t>
      </w:r>
    </w:p>
  </w:footnote>
  <w:footnote w:id="851">
    <w:p w14:paraId="4D4C3FF7" w14:textId="522ECA46" w:rsidR="003315D0" w:rsidRDefault="003315D0" w:rsidP="00F82B09">
      <w:pPr>
        <w:pStyle w:val="FootnoteText"/>
      </w:pPr>
      <w:r>
        <w:rPr>
          <w:rStyle w:val="FootnoteReference"/>
        </w:rPr>
        <w:footnoteRef/>
      </w:r>
      <w:r>
        <w:t xml:space="preserve"> </w:t>
      </w:r>
      <w:r w:rsidR="00412607">
        <w:t xml:space="preserve">TLRI, </w:t>
      </w:r>
      <w:r w:rsidR="00412607" w:rsidRPr="006C487B">
        <w:rPr>
          <w:i/>
          <w:iCs/>
        </w:rPr>
        <w:t xml:space="preserve">Review of the Guardianship and Administration </w:t>
      </w:r>
      <w:r w:rsidR="00412607" w:rsidRPr="00DA42D4">
        <w:t>Act</w:t>
      </w:r>
      <w:r w:rsidR="00412607">
        <w:t xml:space="preserve"> (n 380) </w:t>
      </w:r>
      <w:r>
        <w:t xml:space="preserve">255 [12.10.9], </w:t>
      </w:r>
      <w:r w:rsidR="004F2FDA">
        <w:t xml:space="preserve">citing </w:t>
      </w:r>
      <w:r w:rsidR="004F2FDA" w:rsidRPr="007B2386">
        <w:t>Council of Attorneys-General, ‘Communiqué Council of Attorneys-General’ (8 June 2018) &lt;</w:t>
      </w:r>
      <w:hyperlink r:id="rId128" w:history="1">
        <w:r w:rsidR="004F2FDA" w:rsidRPr="00523D14">
          <w:rPr>
            <w:rStyle w:val="Hyperlink"/>
          </w:rPr>
          <w:t>https://www.ag.gov.au/About/CommitteesandCouncils/Council-of-Attorneys-General/Documents/Council-of-Attorneys-General-communique-June-2018.pdf</w:t>
        </w:r>
      </w:hyperlink>
      <w:r w:rsidR="004F2FDA" w:rsidRPr="007B2386">
        <w:t>&gt;. See also Council of Attorneys-General, ‘Communique Council of Attorneys-General’ (1 December 2017) &lt;</w:t>
      </w:r>
      <w:hyperlink r:id="rId129" w:history="1">
        <w:r w:rsidR="004F2FDA" w:rsidRPr="00523D14">
          <w:rPr>
            <w:rStyle w:val="Hyperlink"/>
          </w:rPr>
          <w:t>https://www.ag.gov.au/About/CommitteesandCouncils/Council-of-Attorneys-General/Documents/Council-of-Attorneys-General-communique-December-2017.pdf</w:t>
        </w:r>
      </w:hyperlink>
      <w:r w:rsidR="004F2FDA" w:rsidRPr="007B2386">
        <w:t>&gt;.</w:t>
      </w:r>
    </w:p>
  </w:footnote>
  <w:footnote w:id="852">
    <w:p w14:paraId="013EC0F3" w14:textId="1CEE122C" w:rsidR="003315D0" w:rsidRDefault="003315D0" w:rsidP="00F82B09">
      <w:pPr>
        <w:pStyle w:val="FootnoteText"/>
      </w:pPr>
      <w:r>
        <w:rPr>
          <w:rStyle w:val="FootnoteReference"/>
        </w:rPr>
        <w:footnoteRef/>
      </w:r>
      <w:r>
        <w:t xml:space="preserve"> </w:t>
      </w:r>
      <w:r w:rsidR="004F2FDA">
        <w:t xml:space="preserve">TLRI, </w:t>
      </w:r>
      <w:r w:rsidR="004F2FDA" w:rsidRPr="006C487B">
        <w:rPr>
          <w:i/>
          <w:iCs/>
        </w:rPr>
        <w:t xml:space="preserve">Review of the Guardianship and Administration </w:t>
      </w:r>
      <w:r w:rsidR="004F2FDA" w:rsidRPr="00DA42D4">
        <w:t>Act</w:t>
      </w:r>
      <w:r w:rsidR="004F2FDA">
        <w:t xml:space="preserve"> (n 380)</w:t>
      </w:r>
      <w:r w:rsidR="00A30B67">
        <w:t xml:space="preserve"> 256</w:t>
      </w:r>
      <w:r>
        <w:t xml:space="preserve"> </w:t>
      </w:r>
      <w:r w:rsidRPr="00F82B09">
        <w:t>Recommendation</w:t>
      </w:r>
      <w:r w:rsidRPr="0092507A">
        <w:t xml:space="preserve"> 12.26</w:t>
      </w:r>
      <w:r w:rsidR="00016E6A">
        <w:t>.</w:t>
      </w:r>
    </w:p>
  </w:footnote>
  <w:footnote w:id="853">
    <w:p w14:paraId="1498B615" w14:textId="4E3EC7B0" w:rsidR="00DC72BC" w:rsidRDefault="00DC72BC" w:rsidP="00F82B09">
      <w:pPr>
        <w:pStyle w:val="FootnoteText"/>
      </w:pPr>
      <w:r>
        <w:rPr>
          <w:rStyle w:val="FootnoteReference"/>
        </w:rPr>
        <w:footnoteRef/>
      </w:r>
      <w:r>
        <w:t xml:space="preserve"> See </w:t>
      </w:r>
      <w:r w:rsidR="00D767C0">
        <w:t>ibid</w:t>
      </w:r>
      <w:r w:rsidR="0018433A">
        <w:t>. This is also consistent with the TLRI’s recommendation</w:t>
      </w:r>
      <w:r w:rsidR="00D767C0">
        <w:t xml:space="preserve"> in this Research Paper</w:t>
      </w:r>
      <w:r w:rsidR="0018433A">
        <w:t xml:space="preserve"> in relation to enduring powers of attorney</w:t>
      </w:r>
      <w:r w:rsidR="00D767C0">
        <w:t>:</w:t>
      </w:r>
      <w:r w:rsidR="0018433A">
        <w:t xml:space="preserve"> see </w:t>
      </w:r>
      <w:r w:rsidR="007754F6">
        <w:t xml:space="preserve">[5.4.20]–[5.4.22] </w:t>
      </w:r>
      <w:r w:rsidR="007754F6" w:rsidRPr="007754F6">
        <w:rPr>
          <w:b/>
          <w:bCs/>
        </w:rPr>
        <w:t>Recommendation 24</w:t>
      </w:r>
      <w:r w:rsidR="007754F6">
        <w:t>.</w:t>
      </w:r>
    </w:p>
  </w:footnote>
  <w:footnote w:id="854">
    <w:p w14:paraId="6A1545EE" w14:textId="49017728" w:rsidR="009D7511" w:rsidRDefault="009D7511" w:rsidP="00F82B09">
      <w:pPr>
        <w:pStyle w:val="FootnoteText"/>
      </w:pPr>
      <w:r>
        <w:rPr>
          <w:rStyle w:val="FootnoteReference"/>
        </w:rPr>
        <w:footnoteRef/>
      </w:r>
      <w:r>
        <w:t xml:space="preserve"> </w:t>
      </w:r>
      <w:r w:rsidR="00672A30" w:rsidRPr="00CF3EF0">
        <w:t>See</w:t>
      </w:r>
      <w:r w:rsidR="00672A30">
        <w:t xml:space="preserve"> </w:t>
      </w:r>
      <w:r w:rsidR="00672A30" w:rsidRPr="0020558C">
        <w:rPr>
          <w:b/>
          <w:bCs/>
        </w:rPr>
        <w:t>Part 4</w:t>
      </w:r>
      <w:r w:rsidR="00672A30">
        <w:t xml:space="preserve"> at [4.5].</w:t>
      </w:r>
    </w:p>
  </w:footnote>
  <w:footnote w:id="855">
    <w:p w14:paraId="2F97D835" w14:textId="277E4A21" w:rsidR="001506FE" w:rsidRDefault="001506FE" w:rsidP="00282974">
      <w:pPr>
        <w:pStyle w:val="FootnoteText"/>
      </w:pPr>
      <w:r>
        <w:rPr>
          <w:rStyle w:val="FootnoteReference"/>
        </w:rPr>
        <w:footnoteRef/>
      </w:r>
      <w:r>
        <w:t xml:space="preserve"> Interview 19.</w:t>
      </w:r>
      <w:r w:rsidR="00871E5E">
        <w:t xml:space="preserve"> </w:t>
      </w:r>
      <w:r w:rsidR="00871E5E" w:rsidRPr="001506FE">
        <w:t xml:space="preserve">Another </w:t>
      </w:r>
      <w:r w:rsidR="00871E5E">
        <w:t xml:space="preserve">stakeholder noted, with regard to end-of-life decisions outside of the operation of the scheme, the potential for </w:t>
      </w:r>
      <w:r w:rsidR="00871E5E" w:rsidRPr="001506FE">
        <w:t xml:space="preserve">decisions </w:t>
      </w:r>
      <w:r w:rsidR="00871E5E">
        <w:t xml:space="preserve">to be made by family </w:t>
      </w:r>
      <w:r w:rsidR="00871E5E" w:rsidRPr="00282974">
        <w:t>members</w:t>
      </w:r>
      <w:r w:rsidR="00871E5E">
        <w:t xml:space="preserve"> to prolong the life of an older person that </w:t>
      </w:r>
      <w:r w:rsidR="00871E5E" w:rsidRPr="001506FE">
        <w:t>may override the</w:t>
      </w:r>
      <w:r w:rsidR="00871E5E">
        <w:t>ir</w:t>
      </w:r>
      <w:r w:rsidR="00871E5E" w:rsidRPr="001506FE">
        <w:t xml:space="preserve"> wishes or rights </w:t>
      </w:r>
      <w:r w:rsidR="00871E5E">
        <w:t>regarding</w:t>
      </w:r>
      <w:r w:rsidR="00871E5E" w:rsidRPr="001506FE">
        <w:t xml:space="preserve"> end-of-life care. The stakeholder </w:t>
      </w:r>
      <w:r w:rsidR="00871E5E">
        <w:t>noted that these circumstances can arise irrespective of whether the family member is</w:t>
      </w:r>
      <w:r w:rsidR="00871E5E" w:rsidRPr="001506FE">
        <w:t xml:space="preserve"> a</w:t>
      </w:r>
      <w:r w:rsidR="00871E5E">
        <w:t>n appointed</w:t>
      </w:r>
      <w:r w:rsidR="00871E5E" w:rsidRPr="001506FE">
        <w:t xml:space="preserve"> guardian </w:t>
      </w:r>
      <w:r w:rsidR="00871E5E">
        <w:t xml:space="preserve">or whether there is an </w:t>
      </w:r>
      <w:r w:rsidR="00871E5E" w:rsidRPr="001506FE">
        <w:t>advance care directive</w:t>
      </w:r>
      <w:r w:rsidR="00871E5E">
        <w:t xml:space="preserve"> and </w:t>
      </w:r>
      <w:r w:rsidR="00871E5E" w:rsidRPr="001506FE">
        <w:t>acknowledged</w:t>
      </w:r>
      <w:r w:rsidR="00871E5E">
        <w:t xml:space="preserve"> the complexity of these circumstances, including that this was</w:t>
      </w:r>
      <w:r w:rsidR="00871E5E" w:rsidRPr="001506FE">
        <w:t xml:space="preserve"> a very difficult decision</w:t>
      </w:r>
      <w:r w:rsidR="00871E5E">
        <w:t xml:space="preserve"> to make on behalf of another person</w:t>
      </w:r>
      <w:r w:rsidR="00455C57">
        <w:t xml:space="preserve">: </w:t>
      </w:r>
      <w:r w:rsidR="00871E5E">
        <w:t>Interview 17.</w:t>
      </w:r>
    </w:p>
  </w:footnote>
  <w:footnote w:id="856">
    <w:p w14:paraId="4417CCA5" w14:textId="473F3836" w:rsidR="004A16F0" w:rsidRDefault="004A16F0" w:rsidP="00282974">
      <w:pPr>
        <w:pStyle w:val="FootnoteText"/>
      </w:pPr>
      <w:r>
        <w:rPr>
          <w:rStyle w:val="FootnoteReference"/>
        </w:rPr>
        <w:footnoteRef/>
      </w:r>
      <w:r>
        <w:t xml:space="preserve"> See </w:t>
      </w:r>
      <w:r w:rsidRPr="00282974">
        <w:t>Fernando</w:t>
      </w:r>
      <w:r w:rsidR="00282974">
        <w:t xml:space="preserve"> (n </w:t>
      </w:r>
      <w:r w:rsidR="001D36DD">
        <w:t>27</w:t>
      </w:r>
      <w:r w:rsidR="00282974">
        <w:t>).</w:t>
      </w:r>
    </w:p>
  </w:footnote>
  <w:footnote w:id="857">
    <w:p w14:paraId="07B6EC40" w14:textId="1E294EBC" w:rsidR="00922833" w:rsidRPr="00FF46C9" w:rsidRDefault="00922833" w:rsidP="00282974">
      <w:pPr>
        <w:pStyle w:val="FootnoteText"/>
      </w:pPr>
      <w:r w:rsidRPr="00FF46C9">
        <w:rPr>
          <w:rStyle w:val="FootnoteReference"/>
        </w:rPr>
        <w:footnoteRef/>
      </w:r>
      <w:r w:rsidRPr="00FF46C9">
        <w:t xml:space="preserve"> </w:t>
      </w:r>
      <w:r w:rsidR="00011129">
        <w:t xml:space="preserve">See </w:t>
      </w:r>
      <w:r w:rsidR="00011129" w:rsidRPr="002B1795">
        <w:rPr>
          <w:b/>
          <w:bCs/>
        </w:rPr>
        <w:t>Part 4</w:t>
      </w:r>
      <w:r w:rsidR="00011129">
        <w:t xml:space="preserve"> at [4.4.20] and</w:t>
      </w:r>
      <w:r w:rsidR="00492E29">
        <w:t xml:space="preserve"> [4.5.29]–[ 4.5.26]</w:t>
      </w:r>
      <w:r w:rsidR="009B01AC">
        <w:t xml:space="preserve">; </w:t>
      </w:r>
      <w:r w:rsidR="00BA6FEF">
        <w:t xml:space="preserve">‘Voluntary Assisted Dying’, </w:t>
      </w:r>
      <w:r w:rsidR="009B01AC">
        <w:t xml:space="preserve">NSW Ageing and Disability Commission, </w:t>
      </w:r>
      <w:r w:rsidR="00BA6FEF">
        <w:t>(Web Page, 2025)</w:t>
      </w:r>
      <w:r w:rsidR="00492E29">
        <w:t xml:space="preserve"> </w:t>
      </w:r>
      <w:r w:rsidR="00BA6FEF">
        <w:t xml:space="preserve"> &lt;</w:t>
      </w:r>
      <w:hyperlink r:id="rId130" w:history="1">
        <w:r w:rsidR="00BA6FEF" w:rsidRPr="00523D14">
          <w:rPr>
            <w:rStyle w:val="Hyperlink"/>
          </w:rPr>
          <w:t>https://ageingdisabilitycommission.nsw.gov.au/about-us/reporting/voluntary-assisted-dying.html</w:t>
        </w:r>
      </w:hyperlink>
      <w:r w:rsidR="00BA6FEF">
        <w:t>&gt;.</w:t>
      </w:r>
    </w:p>
  </w:footnote>
  <w:footnote w:id="858">
    <w:p w14:paraId="5CE5D70B" w14:textId="2ED4597F" w:rsidR="00541F33" w:rsidRDefault="00541F33" w:rsidP="00282974">
      <w:pPr>
        <w:pStyle w:val="FootnoteText"/>
      </w:pPr>
      <w:r w:rsidRPr="00FF46C9">
        <w:rPr>
          <w:rStyle w:val="FootnoteReference"/>
        </w:rPr>
        <w:footnoteRef/>
      </w:r>
      <w:r w:rsidRPr="00FF46C9">
        <w:t xml:space="preserve"> See </w:t>
      </w:r>
      <w:r w:rsidR="00B916B7" w:rsidRPr="00375531">
        <w:rPr>
          <w:b/>
          <w:bCs/>
        </w:rPr>
        <w:t>Part 3</w:t>
      </w:r>
      <w:r w:rsidR="00B916B7">
        <w:t xml:space="preserve"> at [3.3.26]–[3.3.27</w:t>
      </w:r>
      <w:r w:rsidR="00D61B18">
        <w:t>]</w:t>
      </w:r>
      <w:r w:rsidR="00375531">
        <w:t xml:space="preserve"> and</w:t>
      </w:r>
      <w:r w:rsidR="00D61B18">
        <w:t xml:space="preserve"> </w:t>
      </w:r>
      <w:r w:rsidR="00375531">
        <w:t>T</w:t>
      </w:r>
      <w:r w:rsidR="00D61B18">
        <w:t xml:space="preserve">able G.1 in </w:t>
      </w:r>
      <w:r w:rsidR="00D61B18" w:rsidRPr="00375531">
        <w:rPr>
          <w:b/>
          <w:bCs/>
        </w:rPr>
        <w:t>Appendix G</w:t>
      </w:r>
      <w:r w:rsidR="00D61B18">
        <w:t xml:space="preserve"> </w:t>
      </w:r>
      <w:r w:rsidR="007909C9">
        <w:t xml:space="preserve">for </w:t>
      </w:r>
      <w:r w:rsidR="007909C9" w:rsidRPr="003C4B61">
        <w:t>potential criminal offences</w:t>
      </w:r>
      <w:r w:rsidR="00B916B7">
        <w:t xml:space="preserve"> </w:t>
      </w:r>
      <w:r w:rsidR="009F454A">
        <w:t xml:space="preserve">under </w:t>
      </w:r>
      <w:r w:rsidR="009F454A" w:rsidRPr="009F454A">
        <w:rPr>
          <w:i/>
          <w:iCs/>
        </w:rPr>
        <w:t xml:space="preserve">End-of-Life Choices (Voluntary Assisted Dying) Act 2021 </w:t>
      </w:r>
      <w:r w:rsidR="009F454A" w:rsidRPr="003C4B61">
        <w:t>(Tas</w:t>
      </w:r>
      <w:r w:rsidR="009F454A">
        <w:t>)</w:t>
      </w:r>
      <w:r w:rsidR="00375531">
        <w:t>. S</w:t>
      </w:r>
      <w:r w:rsidR="009F454A">
        <w:t xml:space="preserve">ee </w:t>
      </w:r>
      <w:r w:rsidR="00B916B7" w:rsidRPr="009F454A">
        <w:rPr>
          <w:b/>
          <w:bCs/>
        </w:rPr>
        <w:t>Part 4</w:t>
      </w:r>
      <w:r w:rsidR="00B916B7">
        <w:t xml:space="preserve"> at </w:t>
      </w:r>
      <w:r w:rsidR="00001FDC">
        <w:t xml:space="preserve">[4.5.29]–[ 4.5.26] </w:t>
      </w:r>
      <w:r w:rsidR="00001FDC" w:rsidRPr="00375531">
        <w:rPr>
          <w:b/>
          <w:bCs/>
        </w:rPr>
        <w:t>Recommendation</w:t>
      </w:r>
      <w:r w:rsidR="00375531" w:rsidRPr="00375531">
        <w:rPr>
          <w:b/>
          <w:bCs/>
        </w:rPr>
        <w:t xml:space="preserve"> 14</w:t>
      </w:r>
      <w:r w:rsidR="00375531">
        <w:t>.</w:t>
      </w:r>
    </w:p>
  </w:footnote>
  <w:footnote w:id="859">
    <w:p w14:paraId="5972BF3A" w14:textId="32127082" w:rsidR="00E514FF" w:rsidRDefault="00E514FF">
      <w:pPr>
        <w:pStyle w:val="FootnoteText"/>
      </w:pPr>
      <w:r>
        <w:rPr>
          <w:rStyle w:val="FootnoteReference"/>
        </w:rPr>
        <w:footnoteRef/>
      </w:r>
      <w:r>
        <w:t xml:space="preserve"> </w:t>
      </w:r>
      <w:r w:rsidRPr="00D715B3">
        <w:rPr>
          <w:rFonts w:cs="Times New Roman"/>
        </w:rPr>
        <w:t xml:space="preserve">Somes and Webb (n 40) </w:t>
      </w:r>
      <w:r w:rsidRPr="00282974">
        <w:t>231</w:t>
      </w:r>
      <w:r>
        <w:t>.</w:t>
      </w:r>
    </w:p>
  </w:footnote>
  <w:footnote w:id="860">
    <w:p w14:paraId="1A255EFF" w14:textId="213A3F34" w:rsidR="00E514FF" w:rsidRDefault="00E514FF">
      <w:pPr>
        <w:pStyle w:val="FootnoteText"/>
      </w:pPr>
      <w:r>
        <w:rPr>
          <w:rStyle w:val="FootnoteReference"/>
        </w:rPr>
        <w:footnoteRef/>
      </w:r>
      <w:r>
        <w:t xml:space="preserve"> Ibid; </w:t>
      </w:r>
      <w:r w:rsidRPr="0078168B">
        <w:t xml:space="preserve">Julia Cook </w:t>
      </w:r>
      <w:r>
        <w:t xml:space="preserve">and </w:t>
      </w:r>
      <w:r w:rsidRPr="0078168B">
        <w:t xml:space="preserve">Peta Cook (2024) </w:t>
      </w:r>
      <w:r w:rsidR="00092EFF">
        <w:t>‘</w:t>
      </w:r>
      <w:r w:rsidRPr="0078168B">
        <w:t xml:space="preserve">Intergenerational </w:t>
      </w:r>
      <w:r w:rsidR="00092EFF">
        <w:t>F</w:t>
      </w:r>
      <w:r w:rsidRPr="0078168B">
        <w:t xml:space="preserve">inancial </w:t>
      </w:r>
      <w:r w:rsidR="00092EFF">
        <w:t>A</w:t>
      </w:r>
      <w:r w:rsidRPr="0078168B">
        <w:t xml:space="preserve">ssistance with </w:t>
      </w:r>
      <w:r w:rsidR="00092EFF">
        <w:t>H</w:t>
      </w:r>
      <w:r w:rsidRPr="0078168B">
        <w:t xml:space="preserve">ome </w:t>
      </w:r>
      <w:r w:rsidR="00092EFF">
        <w:t>O</w:t>
      </w:r>
      <w:r w:rsidRPr="0078168B">
        <w:t xml:space="preserve">wnership: Considering the </w:t>
      </w:r>
      <w:r w:rsidR="00092EFF">
        <w:t>P</w:t>
      </w:r>
      <w:r w:rsidRPr="0078168B">
        <w:t xml:space="preserve">otential for </w:t>
      </w:r>
      <w:r w:rsidR="00092EFF">
        <w:t>F</w:t>
      </w:r>
      <w:r w:rsidRPr="0078168B">
        <w:t xml:space="preserve">inancial </w:t>
      </w:r>
      <w:r w:rsidR="00092EFF">
        <w:t>E</w:t>
      </w:r>
      <w:r w:rsidRPr="0078168B">
        <w:t xml:space="preserve">lder </w:t>
      </w:r>
      <w:r w:rsidR="00092EFF">
        <w:t>A</w:t>
      </w:r>
      <w:r w:rsidRPr="0078168B">
        <w:t xml:space="preserve">buse </w:t>
      </w:r>
      <w:r w:rsidR="00092EFF">
        <w:t xml:space="preserve">(2024) </w:t>
      </w:r>
      <w:r w:rsidR="000C0381">
        <w:t xml:space="preserve">59 </w:t>
      </w:r>
      <w:r w:rsidRPr="000C0381">
        <w:rPr>
          <w:i/>
          <w:iCs/>
        </w:rPr>
        <w:t>Australian Journal of Social Issues</w:t>
      </w:r>
      <w:r w:rsidR="000C0381">
        <w:t xml:space="preserve"> 940.</w:t>
      </w:r>
    </w:p>
  </w:footnote>
  <w:footnote w:id="861">
    <w:p w14:paraId="05C5D154" w14:textId="02044215" w:rsidR="000C0381" w:rsidRDefault="000C0381">
      <w:pPr>
        <w:pStyle w:val="FootnoteText"/>
      </w:pPr>
      <w:r>
        <w:rPr>
          <w:rStyle w:val="FootnoteReference"/>
        </w:rPr>
        <w:footnoteRef/>
      </w:r>
      <w:r>
        <w:t xml:space="preserve"> </w:t>
      </w:r>
      <w:r w:rsidRPr="00D715B3">
        <w:rPr>
          <w:rFonts w:cs="Times New Roman"/>
        </w:rPr>
        <w:t xml:space="preserve">Somes and Webb (n 40) </w:t>
      </w:r>
      <w:r w:rsidRPr="003C4B61">
        <w:t>231.</w:t>
      </w:r>
      <w:r w:rsidR="006D050C">
        <w:t xml:space="preserve"> The ‘presumption of advancement</w:t>
      </w:r>
      <w:r w:rsidR="00B31C3E">
        <w:t>’ operates as a presumption in equity in the context of specific family relationships</w:t>
      </w:r>
      <w:r w:rsidR="002F330B">
        <w:t>, which operates to presume that a person who provided part or all monies f</w:t>
      </w:r>
      <w:r w:rsidR="005B6B6C">
        <w:t xml:space="preserve">or purchase of a property </w:t>
      </w:r>
      <w:r w:rsidR="003C52F7">
        <w:t>intended to do so as a gift or advancement of funds, for example provision of funds by an olde</w:t>
      </w:r>
      <w:r w:rsidR="003710C5">
        <w:t>r person as a</w:t>
      </w:r>
      <w:r w:rsidR="003C52F7">
        <w:t xml:space="preserve"> parent to a</w:t>
      </w:r>
      <w:r w:rsidR="003710C5">
        <w:t>n adult</w:t>
      </w:r>
      <w:r w:rsidR="00B31C3E">
        <w:t xml:space="preserve"> child)</w:t>
      </w:r>
      <w:r w:rsidR="003710C5">
        <w:t xml:space="preserve">: see </w:t>
      </w:r>
      <w:r w:rsidR="003710C5" w:rsidRPr="003710C5">
        <w:rPr>
          <w:i/>
          <w:iCs/>
        </w:rPr>
        <w:t>Koprivnjak v Koprivnjak</w:t>
      </w:r>
      <w:r w:rsidR="003710C5" w:rsidRPr="003710C5">
        <w:t xml:space="preserve"> [2023] NSWCA 2</w:t>
      </w:r>
      <w:r w:rsidR="003710C5">
        <w:t>.</w:t>
      </w:r>
    </w:p>
  </w:footnote>
  <w:footnote w:id="862">
    <w:p w14:paraId="33452362" w14:textId="44EAE464" w:rsidR="004E2ECD" w:rsidRDefault="004E2ECD" w:rsidP="00282974">
      <w:pPr>
        <w:pStyle w:val="FootnoteText"/>
      </w:pPr>
      <w:r>
        <w:rPr>
          <w:rStyle w:val="FootnoteReference"/>
        </w:rPr>
        <w:footnoteRef/>
      </w:r>
      <w:r>
        <w:t xml:space="preserve"> See</w:t>
      </w:r>
      <w:r w:rsidR="00DB5046">
        <w:t xml:space="preserve"> </w:t>
      </w:r>
      <w:r w:rsidR="00DB5046" w:rsidRPr="00EC4F8C">
        <w:rPr>
          <w:b/>
          <w:bCs/>
        </w:rPr>
        <w:t>Part 3</w:t>
      </w:r>
      <w:r w:rsidR="00DB5046">
        <w:t xml:space="preserve"> at [3.3.28]</w:t>
      </w:r>
      <w:r w:rsidR="00EC4F8C">
        <w:t>–[</w:t>
      </w:r>
      <w:r w:rsidR="00DB5046">
        <w:t>3.3</w:t>
      </w:r>
      <w:r w:rsidR="00EC4F8C">
        <w:t>.</w:t>
      </w:r>
      <w:r w:rsidR="00DB5046">
        <w:t>30</w:t>
      </w:r>
      <w:r w:rsidR="00EC4F8C">
        <w:t>]</w:t>
      </w:r>
      <w:r w:rsidR="00000FF7">
        <w:t>.</w:t>
      </w:r>
    </w:p>
  </w:footnote>
  <w:footnote w:id="863">
    <w:p w14:paraId="17EACCF8" w14:textId="65FA893A" w:rsidR="00124DFA" w:rsidRDefault="00124DFA" w:rsidP="00282974">
      <w:pPr>
        <w:pStyle w:val="FootnoteText"/>
      </w:pPr>
      <w:r>
        <w:rPr>
          <w:rStyle w:val="FootnoteReference"/>
        </w:rPr>
        <w:footnoteRef/>
      </w:r>
      <w:r>
        <w:t xml:space="preserve"> </w:t>
      </w:r>
      <w:r w:rsidR="002641A4">
        <w:t xml:space="preserve">ALRC, </w:t>
      </w:r>
      <w:r w:rsidR="002641A4" w:rsidRPr="003210B3">
        <w:rPr>
          <w:i/>
          <w:iCs/>
        </w:rPr>
        <w:t>Elder Abuse</w:t>
      </w:r>
      <w:r w:rsidR="002641A4">
        <w:t xml:space="preserve"> (n 6)</w:t>
      </w:r>
      <w:r w:rsidR="002641A4" w:rsidRPr="003C4B61">
        <w:t xml:space="preserve"> </w:t>
      </w:r>
      <w:r>
        <w:t>ch 12</w:t>
      </w:r>
      <w:r w:rsidR="00E514FF">
        <w:t>;</w:t>
      </w:r>
      <w:r>
        <w:t xml:space="preserve"> </w:t>
      </w:r>
      <w:r w:rsidR="00E514FF" w:rsidRPr="00D715B3">
        <w:rPr>
          <w:rFonts w:cs="Times New Roman"/>
        </w:rPr>
        <w:t xml:space="preserve">Somes and Webb (n 40) </w:t>
      </w:r>
      <w:r>
        <w:t>241</w:t>
      </w:r>
      <w:r w:rsidR="00717AFC">
        <w:t>–</w:t>
      </w:r>
      <w:r>
        <w:t xml:space="preserve">2, </w:t>
      </w:r>
      <w:r w:rsidR="0078168B" w:rsidRPr="0078168B">
        <w:t xml:space="preserve">Cook </w:t>
      </w:r>
      <w:r w:rsidR="00EC4F8C">
        <w:t>and</w:t>
      </w:r>
      <w:r w:rsidR="0078168B" w:rsidRPr="0078168B">
        <w:t xml:space="preserve"> Cook (</w:t>
      </w:r>
      <w:r w:rsidR="00EC4F8C">
        <w:t>n 859).</w:t>
      </w:r>
    </w:p>
  </w:footnote>
  <w:footnote w:id="864">
    <w:p w14:paraId="6B27497B" w14:textId="221AD32E" w:rsidR="008940A4" w:rsidRDefault="008940A4">
      <w:pPr>
        <w:pStyle w:val="FootnoteText"/>
      </w:pPr>
      <w:r>
        <w:rPr>
          <w:rStyle w:val="FootnoteReference"/>
        </w:rPr>
        <w:footnoteRef/>
      </w:r>
      <w:r>
        <w:t xml:space="preserve"> </w:t>
      </w:r>
      <w:r w:rsidRPr="00282974">
        <w:t>Interview</w:t>
      </w:r>
      <w:r w:rsidRPr="003C4B61">
        <w:t xml:space="preserve"> 4.</w:t>
      </w:r>
    </w:p>
  </w:footnote>
  <w:footnote w:id="865">
    <w:p w14:paraId="0D80C8A2" w14:textId="6772B6D1" w:rsidR="008940A4" w:rsidRDefault="008940A4">
      <w:pPr>
        <w:pStyle w:val="FootnoteText"/>
      </w:pPr>
      <w:r>
        <w:rPr>
          <w:rStyle w:val="FootnoteReference"/>
        </w:rPr>
        <w:footnoteRef/>
      </w:r>
      <w:r>
        <w:t xml:space="preserve"> </w:t>
      </w:r>
      <w:r w:rsidRPr="003C4B61">
        <w:t>Interview 2.</w:t>
      </w:r>
    </w:p>
  </w:footnote>
  <w:footnote w:id="866">
    <w:p w14:paraId="4233A2D7" w14:textId="3E87A212" w:rsidR="008940A4" w:rsidRDefault="008940A4">
      <w:pPr>
        <w:pStyle w:val="FootnoteText"/>
      </w:pPr>
      <w:r>
        <w:rPr>
          <w:rStyle w:val="FootnoteReference"/>
        </w:rPr>
        <w:footnoteRef/>
      </w:r>
      <w:r>
        <w:t xml:space="preserve"> Interview 2.</w:t>
      </w:r>
    </w:p>
  </w:footnote>
  <w:footnote w:id="867">
    <w:p w14:paraId="7AE3C3F6" w14:textId="7F7190B6" w:rsidR="00D911C1" w:rsidRDefault="00D911C1">
      <w:pPr>
        <w:pStyle w:val="FootnoteText"/>
      </w:pPr>
      <w:r>
        <w:rPr>
          <w:rStyle w:val="FootnoteReference"/>
        </w:rPr>
        <w:footnoteRef/>
      </w:r>
      <w:r>
        <w:t xml:space="preserve"> See </w:t>
      </w:r>
      <w:r w:rsidRPr="004D5796">
        <w:rPr>
          <w:b/>
          <w:bCs/>
        </w:rPr>
        <w:t>Part 4</w:t>
      </w:r>
      <w:r>
        <w:t xml:space="preserve"> </w:t>
      </w:r>
      <w:r w:rsidR="004D5796">
        <w:t xml:space="preserve">at </w:t>
      </w:r>
      <w:r w:rsidR="00F84CFA">
        <w:t xml:space="preserve">[4.4.13]–[ 4.4.18] and [4.4.21]–[4.4.26]. </w:t>
      </w:r>
    </w:p>
  </w:footnote>
  <w:footnote w:id="868">
    <w:p w14:paraId="7EA5111C" w14:textId="576F5142" w:rsidR="00136560" w:rsidRDefault="00136560">
      <w:pPr>
        <w:pStyle w:val="FootnoteText"/>
      </w:pPr>
      <w:r>
        <w:rPr>
          <w:rStyle w:val="FootnoteReference"/>
        </w:rPr>
        <w:footnoteRef/>
      </w:r>
      <w:r>
        <w:t xml:space="preserve"> See </w:t>
      </w:r>
      <w:r w:rsidRPr="00431E0A">
        <w:rPr>
          <w:b/>
          <w:bCs/>
        </w:rPr>
        <w:t>Part 3</w:t>
      </w:r>
      <w:r>
        <w:t xml:space="preserve"> at </w:t>
      </w:r>
      <w:r w:rsidR="00431E0A">
        <w:t>[3.4.5]</w:t>
      </w:r>
      <w:r w:rsidR="00717AFC">
        <w:t>.</w:t>
      </w:r>
    </w:p>
  </w:footnote>
  <w:footnote w:id="869">
    <w:p w14:paraId="1F5D2E78" w14:textId="18A61999" w:rsidR="00136560" w:rsidRDefault="00136560">
      <w:pPr>
        <w:pStyle w:val="FootnoteText"/>
      </w:pPr>
      <w:r>
        <w:rPr>
          <w:rStyle w:val="FootnoteReference"/>
        </w:rPr>
        <w:footnoteRef/>
      </w:r>
      <w:r>
        <w:t xml:space="preserve"> </w:t>
      </w:r>
      <w:r w:rsidR="00431E0A">
        <w:t xml:space="preserve">See </w:t>
      </w:r>
      <w:r w:rsidR="00431E0A" w:rsidRPr="004D5796">
        <w:rPr>
          <w:b/>
          <w:bCs/>
        </w:rPr>
        <w:t>Part 5</w:t>
      </w:r>
      <w:r w:rsidR="00431E0A">
        <w:t xml:space="preserve"> at </w:t>
      </w:r>
      <w:r w:rsidR="004D5796">
        <w:t xml:space="preserve">[5.2.26]–[5.2.31] and </w:t>
      </w:r>
      <w:r w:rsidR="004D5796" w:rsidRPr="004D5796">
        <w:rPr>
          <w:b/>
          <w:bCs/>
        </w:rPr>
        <w:t>Recommendations 20, 21</w:t>
      </w:r>
      <w:r w:rsidR="004D5796">
        <w:t>.</w:t>
      </w:r>
    </w:p>
  </w:footnote>
  <w:footnote w:id="870">
    <w:p w14:paraId="05D22EE3" w14:textId="07717CF2" w:rsidR="00484527" w:rsidRDefault="00484527">
      <w:pPr>
        <w:pStyle w:val="FootnoteText"/>
      </w:pPr>
      <w:r>
        <w:rPr>
          <w:rStyle w:val="FootnoteReference"/>
        </w:rPr>
        <w:footnoteRef/>
      </w:r>
      <w:r>
        <w:t xml:space="preserve"> </w:t>
      </w:r>
      <w:r w:rsidRPr="003C4B61">
        <w:t>Interview</w:t>
      </w:r>
      <w:r>
        <w:t>s</w:t>
      </w:r>
      <w:r w:rsidRPr="003C4B61">
        <w:t xml:space="preserve"> 10</w:t>
      </w:r>
      <w:r>
        <w:t>,</w:t>
      </w:r>
      <w:r w:rsidRPr="003C4B61">
        <w:t xml:space="preserve"> 6</w:t>
      </w:r>
      <w:r>
        <w:t>,</w:t>
      </w:r>
      <w:r w:rsidRPr="003C4B61">
        <w:t xml:space="preserve"> 4</w:t>
      </w:r>
      <w:r>
        <w:t>,</w:t>
      </w:r>
      <w:r w:rsidRPr="003C4B61">
        <w:t xml:space="preserve"> 9</w:t>
      </w:r>
      <w:r>
        <w:t>,</w:t>
      </w:r>
      <w:r w:rsidRPr="003C4B61">
        <w:t xml:space="preserve"> 18</w:t>
      </w:r>
      <w:r>
        <w:t>,</w:t>
      </w:r>
      <w:r w:rsidRPr="003C4B61">
        <w:t xml:space="preserve"> 21</w:t>
      </w:r>
      <w:r>
        <w:t>,</w:t>
      </w:r>
      <w:r w:rsidRPr="003C4B61">
        <w:t xml:space="preserve"> </w:t>
      </w:r>
      <w:r w:rsidRPr="00282974">
        <w:t>13</w:t>
      </w:r>
      <w:r>
        <w:t>, 23, 19, 16, 22, 12, 15, 8, 2, 17.</w:t>
      </w:r>
    </w:p>
  </w:footnote>
  <w:footnote w:id="871">
    <w:p w14:paraId="486E1CA2" w14:textId="62CE2204" w:rsidR="00F84CFA" w:rsidRDefault="00F84CFA">
      <w:pPr>
        <w:pStyle w:val="FootnoteText"/>
      </w:pPr>
      <w:r>
        <w:rPr>
          <w:rStyle w:val="FootnoteReference"/>
        </w:rPr>
        <w:footnoteRef/>
      </w:r>
      <w:r>
        <w:t xml:space="preserve"> ALRC, </w:t>
      </w:r>
      <w:r w:rsidRPr="003210B3">
        <w:rPr>
          <w:i/>
          <w:iCs/>
        </w:rPr>
        <w:t>Elder Abuse</w:t>
      </w:r>
      <w:r>
        <w:t xml:space="preserve"> (n 6)</w:t>
      </w:r>
      <w:r w:rsidRPr="003C4B61">
        <w:t xml:space="preserve"> </w:t>
      </w:r>
      <w:r w:rsidR="003F7306">
        <w:t>ch 13 363</w:t>
      </w:r>
      <w:r w:rsidR="002826A4">
        <w:t xml:space="preserve">–73, especially </w:t>
      </w:r>
      <w:r w:rsidR="0007288D">
        <w:t>[13.25]–[13.35].</w:t>
      </w:r>
    </w:p>
  </w:footnote>
  <w:footnote w:id="872">
    <w:p w14:paraId="57ACFADC" w14:textId="0336745A" w:rsidR="00F84CFA" w:rsidRPr="00C564AF" w:rsidRDefault="00F84CFA" w:rsidP="00F84CFA">
      <w:pPr>
        <w:pStyle w:val="FootnoteText"/>
      </w:pPr>
      <w:r>
        <w:rPr>
          <w:rStyle w:val="FootnoteReference"/>
        </w:rPr>
        <w:footnoteRef/>
      </w:r>
      <w:r>
        <w:t xml:space="preserve"> </w:t>
      </w:r>
      <w:r w:rsidRPr="00C564AF">
        <w:t xml:space="preserve">Australian Law Reform Commission, </w:t>
      </w:r>
      <w:r w:rsidRPr="00C564AF">
        <w:rPr>
          <w:i/>
          <w:iCs/>
        </w:rPr>
        <w:t>Elder Abuse – A National Legal Response</w:t>
      </w:r>
      <w:r w:rsidRPr="00C564AF">
        <w:t xml:space="preserve"> (2017) 370 </w:t>
      </w:r>
      <w:r w:rsidR="00EE30CA">
        <w:t xml:space="preserve">[13.28] </w:t>
      </w:r>
      <w:r w:rsidRPr="00C564AF">
        <w:t xml:space="preserve">citing </w:t>
      </w:r>
      <w:r w:rsidR="007D011E">
        <w:t>concerns raised by stakeholders in submissions: see at n 45: ‘</w:t>
      </w:r>
      <w:r w:rsidR="00250EB7">
        <w:t xml:space="preserve">See, eg, </w:t>
      </w:r>
      <w:r w:rsidRPr="00C564AF">
        <w:t xml:space="preserve">Women’s Legal Services Australia, </w:t>
      </w:r>
      <w:r w:rsidRPr="00250EB7">
        <w:rPr>
          <w:i/>
          <w:iCs/>
        </w:rPr>
        <w:t>Submission 343</w:t>
      </w:r>
      <w:r w:rsidRPr="00C564AF">
        <w:t xml:space="preserve">; Justice Connect, </w:t>
      </w:r>
      <w:r w:rsidRPr="00250EB7">
        <w:rPr>
          <w:i/>
          <w:iCs/>
        </w:rPr>
        <w:t>Submission 182</w:t>
      </w:r>
      <w:r w:rsidRPr="00C564AF">
        <w:t xml:space="preserve">; Eastern Community Legal Centre, </w:t>
      </w:r>
      <w:r w:rsidRPr="00250EB7">
        <w:rPr>
          <w:i/>
          <w:iCs/>
        </w:rPr>
        <w:t>Submission 177</w:t>
      </w:r>
      <w:r w:rsidRPr="00C564AF">
        <w:t xml:space="preserve">; Seniors Rights Victoria, </w:t>
      </w:r>
      <w:r w:rsidRPr="00250EB7">
        <w:rPr>
          <w:i/>
          <w:iCs/>
        </w:rPr>
        <w:t>Submission 171</w:t>
      </w:r>
      <w:r w:rsidRPr="00C564AF">
        <w:t xml:space="preserve">; Seniors Rights Service, </w:t>
      </w:r>
      <w:r w:rsidRPr="00250EB7">
        <w:rPr>
          <w:i/>
          <w:iCs/>
        </w:rPr>
        <w:t>Submission 169</w:t>
      </w:r>
      <w:r w:rsidRPr="00C564AF">
        <w:t xml:space="preserve">; NSW Ombudsman, </w:t>
      </w:r>
      <w:r w:rsidRPr="00250EB7">
        <w:rPr>
          <w:i/>
          <w:iCs/>
        </w:rPr>
        <w:t>Submission 160</w:t>
      </w:r>
      <w:r w:rsidRPr="00C564AF">
        <w:t xml:space="preserve">; National Seniors Australia, </w:t>
      </w:r>
      <w:r w:rsidRPr="00250EB7">
        <w:rPr>
          <w:i/>
          <w:iCs/>
        </w:rPr>
        <w:t>Submission 154</w:t>
      </w:r>
      <w:r w:rsidRPr="00C564AF">
        <w:t xml:space="preserve">; Australian Association of Social Workers, </w:t>
      </w:r>
      <w:r w:rsidRPr="00250EB7">
        <w:rPr>
          <w:i/>
          <w:iCs/>
        </w:rPr>
        <w:t>Submission 153</w:t>
      </w:r>
      <w:r w:rsidRPr="00C564AF">
        <w:t xml:space="preserve">; Australian Bankers’ Association, </w:t>
      </w:r>
      <w:r w:rsidRPr="00250EB7">
        <w:rPr>
          <w:i/>
          <w:iCs/>
        </w:rPr>
        <w:t>Submission 84</w:t>
      </w:r>
      <w:r w:rsidRPr="00C564AF">
        <w:t>.</w:t>
      </w:r>
      <w:r w:rsidR="00EE30CA">
        <w:t>’</w:t>
      </w:r>
    </w:p>
  </w:footnote>
  <w:footnote w:id="873">
    <w:p w14:paraId="7528734F" w14:textId="69D3B81C" w:rsidR="00F84CFA" w:rsidRDefault="00F84CFA">
      <w:pPr>
        <w:pStyle w:val="FootnoteText"/>
      </w:pPr>
      <w:r>
        <w:rPr>
          <w:rStyle w:val="FootnoteReference"/>
        </w:rPr>
        <w:footnoteRef/>
      </w:r>
      <w:r>
        <w:t xml:space="preserve"> </w:t>
      </w:r>
      <w:r w:rsidR="0007288D">
        <w:t xml:space="preserve">ALRC, </w:t>
      </w:r>
      <w:r w:rsidR="0007288D" w:rsidRPr="003210B3">
        <w:rPr>
          <w:i/>
          <w:iCs/>
        </w:rPr>
        <w:t>Elder Abuse</w:t>
      </w:r>
      <w:r w:rsidR="0007288D">
        <w:t xml:space="preserve"> (n 6)</w:t>
      </w:r>
      <w:r w:rsidR="0007288D" w:rsidRPr="003C4B61">
        <w:t xml:space="preserve"> </w:t>
      </w:r>
      <w:r w:rsidRPr="003C4B61">
        <w:t>372, see generally, 370–2.</w:t>
      </w:r>
    </w:p>
  </w:footnote>
  <w:footnote w:id="874">
    <w:p w14:paraId="787540A0" w14:textId="47912704" w:rsidR="00F84CFA" w:rsidRDefault="00F84CFA" w:rsidP="00023844">
      <w:pPr>
        <w:pStyle w:val="FootnoteText"/>
        <w:jc w:val="left"/>
      </w:pPr>
      <w:r>
        <w:rPr>
          <w:rStyle w:val="FootnoteReference"/>
        </w:rPr>
        <w:footnoteRef/>
      </w:r>
      <w:r>
        <w:t xml:space="preserve"> </w:t>
      </w:r>
      <w:r w:rsidRPr="003C4B61">
        <w:t>NSW Government</w:t>
      </w:r>
      <w:r w:rsidR="00724ABD">
        <w:t>,</w:t>
      </w:r>
      <w:r w:rsidRPr="003C4B61">
        <w:t xml:space="preserve"> NSW Police Force, </w:t>
      </w:r>
      <w:r w:rsidRPr="003C4B61">
        <w:rPr>
          <w:i/>
          <w:iCs/>
        </w:rPr>
        <w:t xml:space="preserve">ACPO </w:t>
      </w:r>
      <w:r w:rsidR="00EA203F">
        <w:rPr>
          <w:i/>
          <w:iCs/>
        </w:rPr>
        <w:t>Flyer</w:t>
      </w:r>
      <w:r w:rsidRPr="003C4B61">
        <w:rPr>
          <w:i/>
          <w:iCs/>
        </w:rPr>
        <w:t xml:space="preserve"> Protecting </w:t>
      </w:r>
      <w:r w:rsidR="00EA203F">
        <w:rPr>
          <w:i/>
          <w:iCs/>
        </w:rPr>
        <w:t>V</w:t>
      </w:r>
      <w:r w:rsidRPr="003C4B61">
        <w:rPr>
          <w:i/>
          <w:iCs/>
        </w:rPr>
        <w:t xml:space="preserve">ulnerable </w:t>
      </w:r>
      <w:r w:rsidR="00EA203F">
        <w:rPr>
          <w:i/>
          <w:iCs/>
        </w:rPr>
        <w:t>C</w:t>
      </w:r>
      <w:r w:rsidRPr="003C4B61">
        <w:rPr>
          <w:i/>
          <w:iCs/>
        </w:rPr>
        <w:t>ommunities</w:t>
      </w:r>
      <w:r w:rsidR="00EA203F">
        <w:t xml:space="preserve"> </w:t>
      </w:r>
      <w:r w:rsidR="0061310A">
        <w:t>(Compass</w:t>
      </w:r>
      <w:r w:rsidR="00CF109B">
        <w:t xml:space="preserve"> Elder Abuse Action Australia (‘EAAA’), Web Page, 2015)</w:t>
      </w:r>
      <w:r w:rsidR="0061310A">
        <w:t xml:space="preserve"> </w:t>
      </w:r>
      <w:r w:rsidR="001B78D1">
        <w:t>&lt;</w:t>
      </w:r>
      <w:hyperlink r:id="rId131" w:history="1">
        <w:r w:rsidR="00CF109B" w:rsidRPr="00523D14">
          <w:rPr>
            <w:rStyle w:val="Hyperlink"/>
          </w:rPr>
          <w:t>https://www.compass.info/resources/resource/nsw-police-aged-crime-prevention-officers-factsheet/</w:t>
        </w:r>
      </w:hyperlink>
      <w:r w:rsidR="001B78D1">
        <w:t>&gt;</w:t>
      </w:r>
      <w:r w:rsidR="00E81A7E">
        <w:t xml:space="preserve"> (‘</w:t>
      </w:r>
      <w:r w:rsidR="00E81A7E" w:rsidRPr="003C4B61">
        <w:t>NSW Government</w:t>
      </w:r>
      <w:r w:rsidR="00E81A7E">
        <w:t>,</w:t>
      </w:r>
      <w:r w:rsidR="00E81A7E" w:rsidRPr="003C4B61">
        <w:t xml:space="preserve"> NSW Police Force, </w:t>
      </w:r>
      <w:r w:rsidR="00E81A7E" w:rsidRPr="003C4B61">
        <w:rPr>
          <w:i/>
          <w:iCs/>
        </w:rPr>
        <w:t xml:space="preserve">ACPO </w:t>
      </w:r>
      <w:r w:rsidR="00E81A7E">
        <w:rPr>
          <w:i/>
          <w:iCs/>
        </w:rPr>
        <w:t>Flyer</w:t>
      </w:r>
      <w:r w:rsidR="00E81A7E" w:rsidRPr="003C4B61">
        <w:rPr>
          <w:i/>
          <w:iCs/>
        </w:rPr>
        <w:t xml:space="preserve"> Protecting </w:t>
      </w:r>
      <w:r w:rsidR="00E81A7E">
        <w:rPr>
          <w:i/>
          <w:iCs/>
        </w:rPr>
        <w:t>V</w:t>
      </w:r>
      <w:r w:rsidR="00E81A7E" w:rsidRPr="003C4B61">
        <w:rPr>
          <w:i/>
          <w:iCs/>
        </w:rPr>
        <w:t xml:space="preserve">ulnerable </w:t>
      </w:r>
      <w:r w:rsidR="00E81A7E">
        <w:rPr>
          <w:i/>
          <w:iCs/>
        </w:rPr>
        <w:t>C</w:t>
      </w:r>
      <w:r w:rsidR="00E81A7E" w:rsidRPr="003C4B61">
        <w:rPr>
          <w:i/>
          <w:iCs/>
        </w:rPr>
        <w:t>ommunities</w:t>
      </w:r>
      <w:r w:rsidR="00E81A7E">
        <w:t xml:space="preserve">’). </w:t>
      </w:r>
      <w:r w:rsidR="001B78D1">
        <w:t xml:space="preserve">See also ‘Ageing, Disability and Homelessness’, </w:t>
      </w:r>
      <w:r w:rsidR="001B78D1" w:rsidRPr="001B78D1">
        <w:rPr>
          <w:i/>
          <w:iCs/>
        </w:rPr>
        <w:t>NSW Government, NSW Police Force</w:t>
      </w:r>
      <w:r w:rsidR="001B78D1">
        <w:t xml:space="preserve"> (Web Page</w:t>
      </w:r>
      <w:r w:rsidR="0087129F">
        <w:t>)</w:t>
      </w:r>
      <w:r w:rsidR="00915180">
        <w:t xml:space="preserve">  </w:t>
      </w:r>
      <w:r w:rsidR="0087129F">
        <w:t>&lt;</w:t>
      </w:r>
      <w:hyperlink r:id="rId132" w:history="1">
        <w:r w:rsidR="00CF109B" w:rsidRPr="00523D14">
          <w:rPr>
            <w:rStyle w:val="Hyperlink"/>
          </w:rPr>
          <w:t>https://www.police.nsw.gov.au/safety_and_prevention/your_community/disability_and_disability_issues</w:t>
        </w:r>
      </w:hyperlink>
      <w:r w:rsidR="0087129F">
        <w:t>&gt;</w:t>
      </w:r>
      <w:r w:rsidR="00CF109B">
        <w:t xml:space="preserve">; </w:t>
      </w:r>
      <w:r w:rsidR="00724ABD">
        <w:t xml:space="preserve">NSW Government, </w:t>
      </w:r>
      <w:r w:rsidR="00724ABD" w:rsidRPr="00A164A3">
        <w:rPr>
          <w:i/>
          <w:iCs/>
        </w:rPr>
        <w:t>Interagency Policy</w:t>
      </w:r>
      <w:r w:rsidR="00724ABD">
        <w:t xml:space="preserve"> (n 557) </w:t>
      </w:r>
      <w:r w:rsidRPr="003C4B61">
        <w:t>4.</w:t>
      </w:r>
    </w:p>
  </w:footnote>
  <w:footnote w:id="875">
    <w:p w14:paraId="3EE5D5F5" w14:textId="1EC480F8" w:rsidR="00F84CFA" w:rsidRDefault="00F84CFA">
      <w:pPr>
        <w:pStyle w:val="FootnoteText"/>
      </w:pPr>
      <w:r>
        <w:rPr>
          <w:rStyle w:val="FootnoteReference"/>
        </w:rPr>
        <w:footnoteRef/>
      </w:r>
      <w:r>
        <w:t xml:space="preserve"> </w:t>
      </w:r>
      <w:r w:rsidR="00CF109B">
        <w:t xml:space="preserve">NSW Government, </w:t>
      </w:r>
      <w:r w:rsidR="00CF109B" w:rsidRPr="00A164A3">
        <w:rPr>
          <w:i/>
          <w:iCs/>
        </w:rPr>
        <w:t>Interagency Policy</w:t>
      </w:r>
      <w:r w:rsidR="00CF109B">
        <w:t xml:space="preserve"> (n 557) </w:t>
      </w:r>
      <w:r w:rsidR="00412D49">
        <w:t>4</w:t>
      </w:r>
      <w:r w:rsidRPr="003C4B61">
        <w:t xml:space="preserve">. </w:t>
      </w:r>
    </w:p>
  </w:footnote>
  <w:footnote w:id="876">
    <w:p w14:paraId="29265BE6" w14:textId="1C86C147" w:rsidR="00E81A7E" w:rsidRPr="00E81A7E" w:rsidRDefault="00E81A7E">
      <w:pPr>
        <w:pStyle w:val="FootnoteText"/>
      </w:pPr>
      <w:r>
        <w:rPr>
          <w:rStyle w:val="FootnoteReference"/>
        </w:rPr>
        <w:footnoteRef/>
      </w:r>
      <w:r>
        <w:t xml:space="preserve"> </w:t>
      </w:r>
      <w:r w:rsidRPr="003C4B61">
        <w:t>NSW Government</w:t>
      </w:r>
      <w:r>
        <w:t>,</w:t>
      </w:r>
      <w:r w:rsidRPr="003C4B61">
        <w:t xml:space="preserve"> NSW Police Force, </w:t>
      </w:r>
      <w:r w:rsidRPr="003C4B61">
        <w:rPr>
          <w:i/>
          <w:iCs/>
        </w:rPr>
        <w:t xml:space="preserve">ACPO </w:t>
      </w:r>
      <w:r>
        <w:rPr>
          <w:i/>
          <w:iCs/>
        </w:rPr>
        <w:t>Flyer</w:t>
      </w:r>
      <w:r w:rsidRPr="003C4B61">
        <w:rPr>
          <w:i/>
          <w:iCs/>
        </w:rPr>
        <w:t xml:space="preserve"> Protecting </w:t>
      </w:r>
      <w:r>
        <w:rPr>
          <w:i/>
          <w:iCs/>
        </w:rPr>
        <w:t>V</w:t>
      </w:r>
      <w:r w:rsidRPr="003C4B61">
        <w:rPr>
          <w:i/>
          <w:iCs/>
        </w:rPr>
        <w:t xml:space="preserve">ulnerable </w:t>
      </w:r>
      <w:r>
        <w:rPr>
          <w:i/>
          <w:iCs/>
        </w:rPr>
        <w:t>C</w:t>
      </w:r>
      <w:r w:rsidRPr="003C4B61">
        <w:rPr>
          <w:i/>
          <w:iCs/>
        </w:rPr>
        <w:t>ommunities</w:t>
      </w:r>
      <w:r>
        <w:t xml:space="preserve"> (n </w:t>
      </w:r>
      <w:r w:rsidR="00235219">
        <w:t>873).</w:t>
      </w:r>
    </w:p>
  </w:footnote>
  <w:footnote w:id="877">
    <w:p w14:paraId="2B2FD705" w14:textId="3F80E283" w:rsidR="00F84CFA" w:rsidRDefault="00F84CFA">
      <w:pPr>
        <w:pStyle w:val="FootnoteText"/>
      </w:pPr>
      <w:r>
        <w:rPr>
          <w:rStyle w:val="FootnoteReference"/>
        </w:rPr>
        <w:footnoteRef/>
      </w:r>
      <w:r>
        <w:t xml:space="preserve"> </w:t>
      </w:r>
      <w:r w:rsidR="00412D49">
        <w:t xml:space="preserve">NSW Government, </w:t>
      </w:r>
      <w:r w:rsidR="00412D49" w:rsidRPr="00A164A3">
        <w:rPr>
          <w:i/>
          <w:iCs/>
        </w:rPr>
        <w:t>Interagency Policy</w:t>
      </w:r>
      <w:r w:rsidR="00412D49">
        <w:t xml:space="preserve"> (n 557).</w:t>
      </w:r>
    </w:p>
  </w:footnote>
  <w:footnote w:id="878">
    <w:p w14:paraId="0FFA8F11" w14:textId="160BC571" w:rsidR="004B6F68" w:rsidRDefault="004B6F68">
      <w:pPr>
        <w:pStyle w:val="FootnoteText"/>
      </w:pPr>
      <w:r>
        <w:rPr>
          <w:rStyle w:val="FootnoteReference"/>
        </w:rPr>
        <w:footnoteRef/>
      </w:r>
      <w:r>
        <w:t xml:space="preserve"> </w:t>
      </w:r>
      <w:r w:rsidR="006B06DC">
        <w:t xml:space="preserve">NSW Ageing and Disability </w:t>
      </w:r>
      <w:r w:rsidR="006B06DC" w:rsidRPr="00CF3EF0">
        <w:t>Commission</w:t>
      </w:r>
      <w:r w:rsidR="006B06DC">
        <w:t xml:space="preserve">, </w:t>
      </w:r>
      <w:r w:rsidR="006B06DC" w:rsidRPr="009B7B2A">
        <w:rPr>
          <w:i/>
          <w:iCs/>
        </w:rPr>
        <w:t>Annual Report 2023–24</w:t>
      </w:r>
      <w:r w:rsidR="006B06DC">
        <w:t xml:space="preserve"> (n 757) </w:t>
      </w:r>
      <w:r w:rsidR="00043430">
        <w:t>27</w:t>
      </w:r>
      <w:r>
        <w:t>.</w:t>
      </w:r>
    </w:p>
  </w:footnote>
  <w:footnote w:id="879">
    <w:p w14:paraId="5ECC8F5D" w14:textId="173289F7" w:rsidR="00643222" w:rsidRDefault="00643222" w:rsidP="00282974">
      <w:pPr>
        <w:pStyle w:val="FootnoteText"/>
      </w:pPr>
      <w:r>
        <w:rPr>
          <w:rStyle w:val="FootnoteReference"/>
        </w:rPr>
        <w:footnoteRef/>
      </w:r>
      <w:r>
        <w:t xml:space="preserve"> </w:t>
      </w:r>
      <w:r w:rsidR="006B06DC" w:rsidRPr="006B06DC">
        <w:t>Ibid</w:t>
      </w:r>
      <w:r w:rsidR="006B06DC">
        <w:t xml:space="preserve">. </w:t>
      </w:r>
    </w:p>
  </w:footnote>
  <w:footnote w:id="880">
    <w:p w14:paraId="68A1D097" w14:textId="7F64D3A2" w:rsidR="00F84CFA" w:rsidRDefault="00F84CFA">
      <w:pPr>
        <w:pStyle w:val="FootnoteText"/>
      </w:pPr>
      <w:r>
        <w:rPr>
          <w:rStyle w:val="FootnoteReference"/>
        </w:rPr>
        <w:footnoteRef/>
      </w:r>
      <w:r>
        <w:t xml:space="preserve"> </w:t>
      </w:r>
      <w:r w:rsidRPr="003C4B61">
        <w:t xml:space="preserve">Further: ‘Recruits are taught about the forms of family violence </w:t>
      </w:r>
      <w:r w:rsidRPr="00282974">
        <w:t>experienced</w:t>
      </w:r>
      <w:r w:rsidRPr="003C4B61">
        <w:t xml:space="preserve"> by priority communities, including seniors, and the unique barriers they face to reporting any violence. A simulation centre at the Centre for Family Violence immerses police in different family violence scenarios, with a new elder abuse case expected to be rolled out by the end of August </w:t>
      </w:r>
      <w:r w:rsidRPr="00282974">
        <w:t>2024’</w:t>
      </w:r>
      <w:r w:rsidRPr="003C4B61">
        <w:t>:</w:t>
      </w:r>
      <w:r w:rsidR="004A2778">
        <w:t xml:space="preserve"> ‘Victorian Police and Elder Abuse’, </w:t>
      </w:r>
      <w:r w:rsidR="004A2778" w:rsidRPr="004A2778">
        <w:rPr>
          <w:i/>
          <w:iCs/>
        </w:rPr>
        <w:t>Compass Elder Abuse Action Australia (‘EAAA’)</w:t>
      </w:r>
      <w:r w:rsidR="004A2778">
        <w:t xml:space="preserve"> (Web </w:t>
      </w:r>
      <w:r w:rsidR="001A0BB1">
        <w:t>Article, 7 May 2025) &lt;</w:t>
      </w:r>
      <w:hyperlink r:id="rId133" w:anchor="victoria-police-act-against-elder-abuse" w:history="1">
        <w:r w:rsidR="001A0BB1" w:rsidRPr="00523D14">
          <w:rPr>
            <w:rStyle w:val="Hyperlink"/>
          </w:rPr>
          <w:t>https://www.compass.info/featured-articles/victorian-police-and-elder-abuse#victoria-police-act-against-elder-abuse</w:t>
        </w:r>
      </w:hyperlink>
      <w:r w:rsidR="001A0BB1">
        <w:t>&gt;.</w:t>
      </w:r>
    </w:p>
  </w:footnote>
  <w:footnote w:id="881">
    <w:p w14:paraId="4883221E" w14:textId="2A6B720D" w:rsidR="00F84CFA" w:rsidRPr="002857BA" w:rsidRDefault="00F84CFA" w:rsidP="001A0BB1">
      <w:pPr>
        <w:pStyle w:val="FootnoteText"/>
      </w:pPr>
      <w:r>
        <w:rPr>
          <w:rStyle w:val="FootnoteReference"/>
        </w:rPr>
        <w:footnoteRef/>
      </w:r>
      <w:r>
        <w:t xml:space="preserve"> </w:t>
      </w:r>
      <w:r w:rsidR="001A0BB1">
        <w:t xml:space="preserve">Ibid. </w:t>
      </w:r>
      <w:r w:rsidR="00FC19C8" w:rsidRPr="00FC19C8">
        <w:t xml:space="preserve">Data on </w:t>
      </w:r>
      <w:r w:rsidR="00FC19C8">
        <w:t>family violence intervention order</w:t>
      </w:r>
      <w:r w:rsidR="00FC19C8" w:rsidRPr="00FC19C8">
        <w:t xml:space="preserve"> applications for people over 65 years shows that between July 2022 to June 2023, more than 2,620 family violence intervention order applications were made</w:t>
      </w:r>
      <w:r w:rsidR="00FC19C8">
        <w:t xml:space="preserve">: </w:t>
      </w:r>
      <w:r w:rsidR="002857BA" w:rsidRPr="002857BA">
        <w:t>‘Family Violence Dashboard</w:t>
      </w:r>
      <w:r w:rsidR="000C6B3E">
        <w:t xml:space="preserve"> 20</w:t>
      </w:r>
      <w:r w:rsidR="00CC5F7B">
        <w:t>22–23</w:t>
      </w:r>
      <w:r w:rsidR="002857BA" w:rsidRPr="002857BA">
        <w:t>’</w:t>
      </w:r>
      <w:r w:rsidR="002857BA">
        <w:t xml:space="preserve">, </w:t>
      </w:r>
      <w:r w:rsidR="0093040C" w:rsidRPr="002857BA">
        <w:rPr>
          <w:i/>
          <w:iCs/>
        </w:rPr>
        <w:t>Crime Statistics Agency</w:t>
      </w:r>
      <w:r w:rsidR="002857BA">
        <w:t xml:space="preserve"> (Web Page, 2024) </w:t>
      </w:r>
      <w:r w:rsidR="0026366B">
        <w:t>&lt;</w:t>
      </w:r>
      <w:hyperlink r:id="rId134" w:history="1">
        <w:r w:rsidR="000C6B3E" w:rsidRPr="00873F7A">
          <w:rPr>
            <w:rStyle w:val="Hyperlink"/>
          </w:rPr>
          <w:t>https://www.crimestatistics.vic.gov.au/family-violence-data/family-violence-dashboard</w:t>
        </w:r>
      </w:hyperlink>
      <w:r w:rsidR="0026366B">
        <w:t>&gt;.</w:t>
      </w:r>
      <w:r w:rsidR="002857BA">
        <w:t xml:space="preserve"> </w:t>
      </w:r>
    </w:p>
  </w:footnote>
  <w:footnote w:id="882">
    <w:p w14:paraId="0F6538AD" w14:textId="0922FA6B" w:rsidR="009E4FE8" w:rsidRPr="001A0BB1" w:rsidRDefault="009E4FE8">
      <w:pPr>
        <w:pStyle w:val="FootnoteText"/>
      </w:pPr>
      <w:r>
        <w:rPr>
          <w:rStyle w:val="FootnoteReference"/>
        </w:rPr>
        <w:footnoteRef/>
      </w:r>
      <w:r>
        <w:t xml:space="preserve"> </w:t>
      </w:r>
      <w:r w:rsidR="001A0BB1" w:rsidRPr="001A0BB1">
        <w:t xml:space="preserve">Ibid. </w:t>
      </w:r>
    </w:p>
  </w:footnote>
  <w:footnote w:id="883">
    <w:p w14:paraId="08A4DF9A" w14:textId="2E4D3A7C" w:rsidR="00F84CFA" w:rsidRDefault="00F84CFA">
      <w:pPr>
        <w:pStyle w:val="FootnoteText"/>
      </w:pPr>
      <w:r>
        <w:rPr>
          <w:rStyle w:val="FootnoteReference"/>
        </w:rPr>
        <w:footnoteRef/>
      </w:r>
      <w:r>
        <w:t xml:space="preserve"> </w:t>
      </w:r>
      <w:r w:rsidR="00D51B3E">
        <w:t>Eileen Wood, ‘Believe an Older Person Who Tells You They’ve Been Abused, Say Police’</w:t>
      </w:r>
      <w:r w:rsidR="005E0399">
        <w:t>,</w:t>
      </w:r>
      <w:r w:rsidR="00D51B3E">
        <w:t xml:space="preserve"> </w:t>
      </w:r>
      <w:r w:rsidR="007915BC" w:rsidRPr="005E0399">
        <w:rPr>
          <w:i/>
          <w:iCs/>
        </w:rPr>
        <w:t>The Senior</w:t>
      </w:r>
      <w:r w:rsidR="007915BC">
        <w:t xml:space="preserve"> (online, 7 November 2024, updated 8 November 2024) &lt;</w:t>
      </w:r>
      <w:hyperlink r:id="rId135" w:history="1">
        <w:r w:rsidR="007915BC" w:rsidRPr="00523D14">
          <w:rPr>
            <w:rStyle w:val="Hyperlink"/>
          </w:rPr>
          <w:t>https://www.thesenior.com.au/story/8813553/victoria-police-tackle-elder-abuse-with-new-aged-care-initiative/</w:t>
        </w:r>
      </w:hyperlink>
      <w:r w:rsidR="007915BC">
        <w:t>&gt;.</w:t>
      </w:r>
    </w:p>
  </w:footnote>
  <w:footnote w:id="884">
    <w:p w14:paraId="7408BC68" w14:textId="5A45A937" w:rsidR="000A0231" w:rsidRDefault="000A0231" w:rsidP="00282974">
      <w:pPr>
        <w:pStyle w:val="FootnoteText"/>
      </w:pPr>
      <w:r>
        <w:rPr>
          <w:rStyle w:val="FootnoteReference"/>
        </w:rPr>
        <w:footnoteRef/>
      </w:r>
      <w:r>
        <w:t xml:space="preserve"> </w:t>
      </w:r>
      <w:r w:rsidR="00D51B3E">
        <w:rPr>
          <w:iCs/>
        </w:rPr>
        <w:t xml:space="preserve">Lawrence et al, </w:t>
      </w:r>
      <w:r w:rsidR="00D51B3E" w:rsidRPr="00AE4ECB">
        <w:t xml:space="preserve">Falling </w:t>
      </w:r>
      <w:r w:rsidR="000D4DC7">
        <w:t>T</w:t>
      </w:r>
      <w:r w:rsidR="00D51B3E" w:rsidRPr="00AE4ECB">
        <w:t xml:space="preserve">hrough the </w:t>
      </w:r>
      <w:r w:rsidR="000D4DC7">
        <w:t>C</w:t>
      </w:r>
      <w:r w:rsidR="00D51B3E" w:rsidRPr="00AE4ECB">
        <w:t>racks</w:t>
      </w:r>
      <w:r w:rsidR="00D51B3E">
        <w:t xml:space="preserve"> (n 393)</w:t>
      </w:r>
      <w:r>
        <w:t xml:space="preserve"> 399.</w:t>
      </w:r>
    </w:p>
  </w:footnote>
  <w:footnote w:id="885">
    <w:p w14:paraId="52CF9404" w14:textId="4CE6044B" w:rsidR="00F84CFA" w:rsidRDefault="00F84CFA">
      <w:pPr>
        <w:pStyle w:val="FootnoteText"/>
      </w:pPr>
      <w:r>
        <w:rPr>
          <w:rStyle w:val="FootnoteReference"/>
        </w:rPr>
        <w:footnoteRef/>
      </w:r>
      <w:r>
        <w:t xml:space="preserve"> </w:t>
      </w:r>
      <w:r w:rsidRPr="003C4B61">
        <w:t xml:space="preserve">This </w:t>
      </w:r>
      <w:r>
        <w:t xml:space="preserve">process </w:t>
      </w:r>
      <w:r w:rsidRPr="003C4B61">
        <w:t xml:space="preserve">is currently a requirement under the </w:t>
      </w:r>
      <w:r w:rsidRPr="003C4B61">
        <w:rPr>
          <w:i/>
          <w:iCs/>
        </w:rPr>
        <w:t>Disability Rights, Inclusion and Safeguarding Act 2024</w:t>
      </w:r>
      <w:r w:rsidRPr="003C4B61">
        <w:t xml:space="preserve"> (Tas) s 38(3).</w:t>
      </w:r>
    </w:p>
  </w:footnote>
  <w:footnote w:id="886">
    <w:p w14:paraId="09E8E254" w14:textId="52FE9AE3" w:rsidR="00F84CFA" w:rsidRDefault="00F84CFA">
      <w:pPr>
        <w:pStyle w:val="FootnoteText"/>
      </w:pPr>
      <w:r>
        <w:rPr>
          <w:rStyle w:val="FootnoteReference"/>
        </w:rPr>
        <w:footnoteRef/>
      </w:r>
      <w:r>
        <w:t xml:space="preserve"> </w:t>
      </w:r>
      <w:r w:rsidR="00630DC5" w:rsidRPr="003C4B61">
        <w:t>T</w:t>
      </w:r>
      <w:r w:rsidR="00630DC5">
        <w:t>asmania Law Reform Institute (‘TLRI’),</w:t>
      </w:r>
      <w:r>
        <w:t xml:space="preserve"> </w:t>
      </w:r>
      <w:r w:rsidRPr="00282974">
        <w:rPr>
          <w:i/>
          <w:iCs/>
        </w:rPr>
        <w:t>Facilitating Equal Access to Justice: An Intermediary/Communication Assistant Scheme for Tasmania?</w:t>
      </w:r>
      <w:r>
        <w:t xml:space="preserve"> (Final Report No 23, January 2018).</w:t>
      </w:r>
    </w:p>
  </w:footnote>
  <w:footnote w:id="887">
    <w:p w14:paraId="22D5B5FB" w14:textId="6B0AD463" w:rsidR="00F84CFA" w:rsidRDefault="00F84CFA">
      <w:pPr>
        <w:pStyle w:val="FootnoteText"/>
      </w:pPr>
      <w:r>
        <w:rPr>
          <w:rStyle w:val="FootnoteReference"/>
        </w:rPr>
        <w:footnoteRef/>
      </w:r>
      <w:r>
        <w:t xml:space="preserve"> </w:t>
      </w:r>
      <w:r w:rsidRPr="00630DC5">
        <w:t xml:space="preserve">See </w:t>
      </w:r>
      <w:r w:rsidR="00F70894" w:rsidRPr="008334B0">
        <w:rPr>
          <w:b/>
          <w:bCs/>
        </w:rPr>
        <w:t>Part 2</w:t>
      </w:r>
      <w:r w:rsidR="00F70894">
        <w:t xml:space="preserve"> at [2.4.20] – [ 2.4.24] and </w:t>
      </w:r>
      <w:r w:rsidR="00ED1092" w:rsidRPr="008334B0">
        <w:rPr>
          <w:b/>
          <w:bCs/>
        </w:rPr>
        <w:t>Part 4</w:t>
      </w:r>
      <w:r w:rsidR="00ED1092">
        <w:t xml:space="preserve"> at [4.3.3]</w:t>
      </w:r>
      <w:r w:rsidR="00BD2DD2">
        <w:t xml:space="preserve">, [4.3.5], </w:t>
      </w:r>
      <w:r w:rsidR="005B131D">
        <w:t xml:space="preserve">[4.3.12], </w:t>
      </w:r>
      <w:r w:rsidR="000E34DD">
        <w:t>[4.3.17]</w:t>
      </w:r>
      <w:r w:rsidR="008334B0">
        <w:t>–[4.3.18]</w:t>
      </w:r>
      <w:r w:rsidR="00354E7B">
        <w:t xml:space="preserve"> and </w:t>
      </w:r>
      <w:r w:rsidR="00354E7B" w:rsidRPr="00354E7B">
        <w:rPr>
          <w:b/>
          <w:bCs/>
        </w:rPr>
        <w:t>Part 5</w:t>
      </w:r>
      <w:r w:rsidR="00354E7B">
        <w:t xml:space="preserve"> at [5.2.11].</w:t>
      </w:r>
    </w:p>
  </w:footnote>
  <w:footnote w:id="888">
    <w:p w14:paraId="11037B47" w14:textId="52A7EAC2" w:rsidR="00F84CFA" w:rsidRDefault="00F84CFA">
      <w:pPr>
        <w:pStyle w:val="FootnoteText"/>
      </w:pPr>
      <w:r>
        <w:rPr>
          <w:rStyle w:val="FootnoteReference"/>
        </w:rPr>
        <w:footnoteRef/>
      </w:r>
      <w:r>
        <w:t xml:space="preserve"> </w:t>
      </w:r>
      <w:r w:rsidRPr="003C4B61">
        <w:t xml:space="preserve">See </w:t>
      </w:r>
      <w:r w:rsidR="00630DC5" w:rsidRPr="003C4B61">
        <w:t>T</w:t>
      </w:r>
      <w:r w:rsidR="00630DC5">
        <w:t xml:space="preserve">asmania Law Reform Institute (‘TLRI’), </w:t>
      </w:r>
      <w:r w:rsidR="00367D8A" w:rsidRPr="00354E7B">
        <w:rPr>
          <w:i/>
          <w:iCs/>
        </w:rPr>
        <w:t>An Evaluation of the Pre-Recorded Evidence Scheme in Tasmania</w:t>
      </w:r>
      <w:r w:rsidR="00367D8A">
        <w:t xml:space="preserve"> </w:t>
      </w:r>
      <w:r w:rsidR="008500B1">
        <w:t>(</w:t>
      </w:r>
      <w:r w:rsidRPr="00282974">
        <w:t>Research</w:t>
      </w:r>
      <w:r w:rsidRPr="003C4B61">
        <w:t xml:space="preserve"> </w:t>
      </w:r>
      <w:r w:rsidR="008500B1">
        <w:t>P</w:t>
      </w:r>
      <w:r w:rsidRPr="003C4B61">
        <w:t xml:space="preserve">aper </w:t>
      </w:r>
      <w:r w:rsidR="008500B1">
        <w:t xml:space="preserve">No </w:t>
      </w:r>
      <w:r w:rsidRPr="003C4B61">
        <w:t>7</w:t>
      </w:r>
      <w:r w:rsidR="008500B1">
        <w:t>, September 2024) [</w:t>
      </w:r>
      <w:r w:rsidRPr="003C4B61">
        <w:t>2.4.7</w:t>
      </w:r>
      <w:r w:rsidR="008500B1">
        <w:t>]</w:t>
      </w:r>
      <w:r w:rsidRPr="003C4B61">
        <w:t>–</w:t>
      </w:r>
      <w:r w:rsidR="008500B1">
        <w:t>[</w:t>
      </w:r>
      <w:r w:rsidRPr="003C4B61">
        <w:t xml:space="preserve">2.4.13]; </w:t>
      </w:r>
      <w:r w:rsidRPr="00282974">
        <w:rPr>
          <w:i/>
          <w:iCs/>
        </w:rPr>
        <w:t>Evidence (Children and Special Witnesses) Act 2001</w:t>
      </w:r>
      <w:r w:rsidRPr="003C4B61">
        <w:t xml:space="preserve"> (Tas) s 7F</w:t>
      </w:r>
      <w:r w:rsidR="008500B1">
        <w:t>.</w:t>
      </w:r>
    </w:p>
  </w:footnote>
  <w:footnote w:id="889">
    <w:p w14:paraId="04466796" w14:textId="626187E9" w:rsidR="00AB5933" w:rsidRDefault="00AB5933" w:rsidP="006B465D">
      <w:pPr>
        <w:pStyle w:val="FootnoteText"/>
        <w:jc w:val="left"/>
      </w:pPr>
      <w:r>
        <w:rPr>
          <w:rStyle w:val="FootnoteReference"/>
        </w:rPr>
        <w:footnoteRef/>
      </w:r>
      <w:r>
        <w:t xml:space="preserve"> </w:t>
      </w:r>
      <w:r w:rsidR="001C2320">
        <w:t xml:space="preserve">Department of Justice, Tasmanian Government, </w:t>
      </w:r>
      <w:r w:rsidR="00354E7B">
        <w:t>‘</w:t>
      </w:r>
      <w:r w:rsidR="001C2320">
        <w:t>Evaluation of the Witness Intermediary Pilot Scheme</w:t>
      </w:r>
      <w:r w:rsidR="00354E7B">
        <w:t>’</w:t>
      </w:r>
      <w:r w:rsidR="001C2320">
        <w:t xml:space="preserve"> (Infosheet</w:t>
      </w:r>
      <w:r w:rsidR="005C18DB">
        <w:t>, 2023) &lt;</w:t>
      </w:r>
      <w:hyperlink r:id="rId136" w:history="1">
        <w:r w:rsidR="00324313" w:rsidRPr="00523D14">
          <w:rPr>
            <w:rStyle w:val="Hyperlink"/>
          </w:rPr>
          <w:t>https://www.justice.tas.gov.au/carcru/tasmanian-response-to-the-royal-commission/news/news-items/witness-intermediary-scheme-pilot-12-month-evaluation-report-released</w:t>
        </w:r>
      </w:hyperlink>
      <w:r w:rsidR="00E8696E">
        <w:t>&gt;; Miriam Vandenberg</w:t>
      </w:r>
      <w:r w:rsidR="001A2CEF">
        <w:t>,</w:t>
      </w:r>
      <w:r w:rsidR="00E8696E">
        <w:t xml:space="preserve"> prepared for Sprout Labs and WISP, Department of Justice, Tasmanian Government, </w:t>
      </w:r>
      <w:r w:rsidR="00E8696E" w:rsidRPr="00354E7B">
        <w:rPr>
          <w:i/>
          <w:iCs/>
        </w:rPr>
        <w:t>Process Evaluation of the Witness Intermediary Pilot Scheme</w:t>
      </w:r>
      <w:r w:rsidR="002E055E">
        <w:t xml:space="preserve"> (Report, December 2022) &lt;</w:t>
      </w:r>
      <w:hyperlink r:id="rId137" w:history="1">
        <w:r w:rsidR="002E055E" w:rsidRPr="00523D14">
          <w:rPr>
            <w:rStyle w:val="Hyperlink"/>
          </w:rPr>
          <w:t>https://www.justice.tas.gov.au/carcru/tasmanian-response-to-the-royal-commission/news/news-items/witness-intermediary-scheme-pilot-12-month-evaluation-report-released</w:t>
        </w:r>
      </w:hyperlink>
      <w:r w:rsidR="001A2CEF">
        <w:t xml:space="preserve">&gt;; Penny Cooper, Tiger’s Eye Consulting, prepared for the Department of Justice, Tasmanian Government, </w:t>
      </w:r>
      <w:r w:rsidR="001A2CEF" w:rsidRPr="00354E7B">
        <w:rPr>
          <w:i/>
          <w:iCs/>
        </w:rPr>
        <w:t>Building on Solid Foundations: The 2024 Review of Tasmania’s Witness Intermediary Scheme Pilot</w:t>
      </w:r>
      <w:r w:rsidR="001A2CEF">
        <w:t xml:space="preserve"> (Report, </w:t>
      </w:r>
      <w:r w:rsidR="00443674">
        <w:t>August 2024) &lt;</w:t>
      </w:r>
      <w:hyperlink r:id="rId138" w:history="1">
        <w:r w:rsidR="00324313" w:rsidRPr="00523D14">
          <w:rPr>
            <w:rStyle w:val="Hyperlink"/>
          </w:rPr>
          <w:t>https://www.justice.tas.gov.au/carcru/witness-intermediary-scheme</w:t>
        </w:r>
      </w:hyperlink>
      <w:r w:rsidR="00324313">
        <w:t xml:space="preserve">&gt;. </w:t>
      </w:r>
    </w:p>
  </w:footnote>
  <w:footnote w:id="890">
    <w:p w14:paraId="33B84394" w14:textId="4D1B0146" w:rsidR="00354E7B" w:rsidRDefault="00354E7B">
      <w:pPr>
        <w:pStyle w:val="FootnoteText"/>
      </w:pPr>
      <w:r>
        <w:rPr>
          <w:rStyle w:val="FootnoteReference"/>
        </w:rPr>
        <w:footnoteRef/>
      </w:r>
      <w:r>
        <w:t xml:space="preserve"> </w:t>
      </w:r>
      <w:r w:rsidRPr="003C4B61">
        <w:t xml:space="preserve">Ethics reference number </w:t>
      </w:r>
      <w:r w:rsidRPr="00F32F96">
        <w:t>H0029859</w:t>
      </w:r>
      <w:r w:rsidRPr="003C4B61">
        <w:t>.</w:t>
      </w:r>
    </w:p>
  </w:footnote>
  <w:footnote w:id="891">
    <w:p w14:paraId="2EF4177E" w14:textId="28CE3638" w:rsidR="00354E7B" w:rsidRDefault="00354E7B">
      <w:pPr>
        <w:pStyle w:val="FootnoteText"/>
      </w:pPr>
      <w:r>
        <w:rPr>
          <w:rStyle w:val="FootnoteReference"/>
        </w:rPr>
        <w:footnoteRef/>
      </w:r>
      <w:r w:rsidR="00AC705D">
        <w:t xml:space="preserve"> </w:t>
      </w:r>
      <w:r w:rsidRPr="003C4B61">
        <w:t>All quantitative data provided to the TLRI was de-</w:t>
      </w:r>
      <w:r w:rsidRPr="00F32F96">
        <w:t>identified</w:t>
      </w:r>
      <w:r w:rsidRPr="003C4B61">
        <w:t xml:space="preserve"> data. Quantitative data was subject to content analysis. Microsoft Excel was used to analyse and present the quantitative data</w:t>
      </w:r>
      <w:r w:rsidR="00373DDB">
        <w:t>.</w:t>
      </w:r>
    </w:p>
  </w:footnote>
  <w:footnote w:id="892">
    <w:p w14:paraId="6B605DD9" w14:textId="7C68A889" w:rsidR="00354E7B" w:rsidRDefault="00354E7B">
      <w:pPr>
        <w:pStyle w:val="FootnoteText"/>
      </w:pPr>
      <w:r>
        <w:rPr>
          <w:rStyle w:val="FootnoteReference"/>
        </w:rPr>
        <w:footnoteRef/>
      </w:r>
      <w:r>
        <w:t xml:space="preserve"> </w:t>
      </w:r>
      <w:r w:rsidRPr="003C4B61">
        <w:t xml:space="preserve">The Helpline is funded by </w:t>
      </w:r>
      <w:r w:rsidR="008C769D">
        <w:t xml:space="preserve">DPAC </w:t>
      </w:r>
      <w:r w:rsidRPr="003C4B61">
        <w:t xml:space="preserve">and operated by Advocacy </w:t>
      </w:r>
      <w:r w:rsidRPr="00F32F96">
        <w:t>Tasmania</w:t>
      </w:r>
      <w:r w:rsidRPr="003C4B61">
        <w:t xml:space="preserve">. </w:t>
      </w:r>
      <w:r>
        <w:t>The Helpline is discussed</w:t>
      </w:r>
      <w:r w:rsidR="000127C4">
        <w:t xml:space="preserve"> in </w:t>
      </w:r>
      <w:r w:rsidR="000127C4" w:rsidRPr="000127C4">
        <w:rPr>
          <w:b/>
          <w:bCs/>
        </w:rPr>
        <w:t>Part 3</w:t>
      </w:r>
      <w:r>
        <w:t xml:space="preserve"> at</w:t>
      </w:r>
      <w:r w:rsidRPr="003C4B61">
        <w:t xml:space="preserve"> </w:t>
      </w:r>
      <w:r>
        <w:t>[3.4.3]–[3.4.4]</w:t>
      </w:r>
      <w:r w:rsidRPr="003C4B61">
        <w:t>.</w:t>
      </w:r>
    </w:p>
  </w:footnote>
  <w:footnote w:id="893">
    <w:p w14:paraId="44688FD8" w14:textId="12B13F64" w:rsidR="00152960" w:rsidRDefault="00152960">
      <w:pPr>
        <w:pStyle w:val="FootnoteText"/>
      </w:pPr>
      <w:r>
        <w:rPr>
          <w:rStyle w:val="FootnoteReference"/>
        </w:rPr>
        <w:footnoteRef/>
      </w:r>
      <w:r>
        <w:t xml:space="preserve"> </w:t>
      </w:r>
      <w:r w:rsidRPr="00354E7B">
        <w:rPr>
          <w:rStyle w:val="FootnoteTextTLRIChar"/>
          <w:rFonts w:eastAsiaTheme="minorHAnsi" w:cstheme="minorBidi"/>
          <w:sz w:val="20"/>
          <w:szCs w:val="20"/>
          <w:lang w:val="en-AU"/>
        </w:rPr>
        <w:t xml:space="preserve">These data related to calls by 355 callers to the Helpline. </w:t>
      </w:r>
      <w:r w:rsidRPr="00354E7B">
        <w:t xml:space="preserve">The data were de-identified and aggregated and provided as percentages (not numbers) broken down into the following data categories: caller type, regional breakdown, demographic details about the older person concerned, type of abuse (not mutually exclusive), risk factors, details of the perpetrator of concern (age, gender and relationship to older person) and response. </w:t>
      </w:r>
      <w:r w:rsidR="00675873">
        <w:t>DPAC also provided f</w:t>
      </w:r>
      <w:r w:rsidR="00675873" w:rsidRPr="00E439EA">
        <w:t>ollow up data on the number of calls to the Helpline in the following year</w:t>
      </w:r>
      <w:r w:rsidR="00675873">
        <w:t xml:space="preserve"> from</w:t>
      </w:r>
      <w:r w:rsidR="00675873" w:rsidRPr="00E439EA">
        <w:t xml:space="preserve"> 1 July 2023 to 30 June 2024. In this year, the total number of callers was 492</w:t>
      </w:r>
      <w:r w:rsidR="00675873">
        <w:t>, with similar</w:t>
      </w:r>
      <w:r w:rsidR="00675873" w:rsidRPr="00E439EA">
        <w:t xml:space="preserve"> patterns </w:t>
      </w:r>
      <w:r w:rsidR="00675873">
        <w:t>to those in the data from 1 July 2022 to 30 June 2023</w:t>
      </w:r>
      <w:r w:rsidR="00675873" w:rsidRPr="00E439EA">
        <w:t xml:space="preserve"> </w:t>
      </w:r>
      <w:r w:rsidR="00675873">
        <w:t>(</w:t>
      </w:r>
      <w:r w:rsidR="00675873" w:rsidRPr="00E439EA">
        <w:t>although the precise percentages varied slightly).</w:t>
      </w:r>
    </w:p>
  </w:footnote>
  <w:footnote w:id="894">
    <w:p w14:paraId="229703AC" w14:textId="3CACB5C2" w:rsidR="00354E7B" w:rsidRDefault="00354E7B">
      <w:pPr>
        <w:pStyle w:val="FootnoteText"/>
      </w:pPr>
      <w:r>
        <w:rPr>
          <w:rStyle w:val="FootnoteReference"/>
        </w:rPr>
        <w:footnoteRef/>
      </w:r>
      <w:r>
        <w:t xml:space="preserve"> </w:t>
      </w:r>
      <w:r w:rsidRPr="00354E7B">
        <w:t xml:space="preserve">Senior Assist is provided by Tasmania Legal Aid and funded by the Commonwealth Attorney-General’s Department (‘AGD’). Senior Assist is described </w:t>
      </w:r>
      <w:r w:rsidR="000127C4">
        <w:t xml:space="preserve">in </w:t>
      </w:r>
      <w:r w:rsidR="000127C4" w:rsidRPr="000127C4">
        <w:rPr>
          <w:b/>
          <w:bCs/>
        </w:rPr>
        <w:t>Part 3</w:t>
      </w:r>
      <w:r w:rsidR="000127C4">
        <w:t xml:space="preserve"> </w:t>
      </w:r>
      <w:r w:rsidRPr="00354E7B">
        <w:t>at [3.4.10]–[3.4.13].</w:t>
      </w:r>
    </w:p>
  </w:footnote>
  <w:footnote w:id="895">
    <w:p w14:paraId="619C7D9E" w14:textId="607D2EDB" w:rsidR="00354E7B" w:rsidRDefault="00354E7B">
      <w:pPr>
        <w:pStyle w:val="FootnoteText"/>
      </w:pPr>
      <w:r>
        <w:rPr>
          <w:rStyle w:val="FootnoteReference"/>
        </w:rPr>
        <w:footnoteRef/>
      </w:r>
      <w:r>
        <w:t xml:space="preserve"> </w:t>
      </w:r>
      <w:r w:rsidRPr="00F32F96">
        <w:t>These data related to a sample of 95 Senior Assist clients. The sample of data provided by the AGD from Senior Assist (</w:t>
      </w:r>
      <w:r w:rsidR="00F4728A">
        <w:t xml:space="preserve">collected </w:t>
      </w:r>
      <w:r w:rsidRPr="00F32F96">
        <w:t xml:space="preserve">by Tasmania Legal Aid) was collected from surveys of 10% of Senior Assist clients from 1 July </w:t>
      </w:r>
      <w:r w:rsidR="00CB7527">
        <w:t xml:space="preserve">2023 </w:t>
      </w:r>
      <w:r w:rsidRPr="00F32F96">
        <w:t>to 31 December 2023. The data were de-identified and provided as numbers broken down into the following data categories: regional breakdown, demographic details about the older person concerned, Indigenous status of the older person concerned, disability status of the older person concerned, including disability by gender and disability description, type of abuse (not mutually exclusive), details of the perpetrator of concern (relationship only, not age or gender) and response</w:t>
      </w:r>
      <w:r w:rsidR="00422CB9">
        <w:t xml:space="preserve"> (which was limited to </w:t>
      </w:r>
      <w:r w:rsidR="00226569">
        <w:t>‘Standard Client/Community Outcomes Reporting</w:t>
      </w:r>
      <w:r w:rsidR="000127C4">
        <w:t>’</w:t>
      </w:r>
      <w:r w:rsidR="00226569">
        <w:t xml:space="preserve"> </w:t>
      </w:r>
      <w:r w:rsidR="00856971">
        <w:t>(‘SCORE’) assessment data that does not include a response to the abuse information</w:t>
      </w:r>
      <w:r w:rsidR="009F5227">
        <w:t>)</w:t>
      </w:r>
      <w:r w:rsidRPr="00F32F96">
        <w:t>. The sources for these data were the Data Exchange (‘DEX’) platform and AGD data collection templates. Regarding the DEX platform, Specialist Elder Abuse Services (</w:t>
      </w:r>
      <w:r w:rsidR="004577A1">
        <w:t>‘</w:t>
      </w:r>
      <w:r w:rsidRPr="00F32F96">
        <w:t>SEAS</w:t>
      </w:r>
      <w:r w:rsidR="004577A1">
        <w:t>’</w:t>
      </w:r>
      <w:r w:rsidRPr="00F32F96">
        <w:t>) including Tasmania Legal Aid upload data on a six-monthly basis to the DEX platform and AGD is custodian of these data. Regarding the AGD data collection templates, these are supplementary to DEX. Data is provided via AGD data collection templates, which SEAS submit to the AGD every six months. This second set of data, among other things, provides the type of abuse being experienced by older people seen by the service during that period. The AGD is custodian of these data.</w:t>
      </w:r>
    </w:p>
  </w:footnote>
  <w:footnote w:id="896">
    <w:p w14:paraId="11C20BE8" w14:textId="516B52B7" w:rsidR="00354E7B" w:rsidRDefault="00354E7B">
      <w:pPr>
        <w:pStyle w:val="FootnoteText"/>
      </w:pPr>
      <w:r>
        <w:rPr>
          <w:rStyle w:val="FootnoteReference"/>
        </w:rPr>
        <w:footnoteRef/>
      </w:r>
      <w:r>
        <w:t xml:space="preserve"> </w:t>
      </w:r>
      <w:r w:rsidR="00EC5A3E">
        <w:t xml:space="preserve">Records of coronial inquests published on the website of the Coroners Court of Tasmania:  Magistrates Court of Tasmania, </w:t>
      </w:r>
      <w:r w:rsidR="00EC5A3E" w:rsidRPr="00691087">
        <w:rPr>
          <w:i/>
          <w:iCs/>
        </w:rPr>
        <w:t xml:space="preserve">Coroners </w:t>
      </w:r>
      <w:r w:rsidR="00EC5A3E" w:rsidRPr="00470A2A">
        <w:rPr>
          <w:i/>
          <w:iCs/>
        </w:rPr>
        <w:t>Court</w:t>
      </w:r>
      <w:r w:rsidR="002E2F3D">
        <w:t xml:space="preserve"> (n 27)</w:t>
      </w:r>
      <w:r w:rsidR="00BB731E">
        <w:t>;</w:t>
      </w:r>
      <w:r w:rsidR="00EC5A3E">
        <w:t xml:space="preserve"> </w:t>
      </w:r>
      <w:r w:rsidR="00EC5A3E" w:rsidRPr="00470A2A">
        <w:t>and</w:t>
      </w:r>
      <w:r w:rsidR="00EC5A3E">
        <w:t xml:space="preserve"> in annual reports of the Magistrates’ Court of Tasmania from 2017–18 to 2023–24: </w:t>
      </w:r>
      <w:r w:rsidR="00EC5A3E" w:rsidRPr="00DC3D81">
        <w:t>Magistrates Court of Tasmania, Annual Reports</w:t>
      </w:r>
      <w:r w:rsidR="002E2F3D">
        <w:t xml:space="preserve"> (n 27)</w:t>
      </w:r>
      <w:r w:rsidR="00EC5A3E">
        <w:t>. D</w:t>
      </w:r>
      <w:r w:rsidR="00EC5A3E" w:rsidRPr="00BB2A56">
        <w:t>ecisions of the Tasmanian Civil and Administrative Tribunal (TASCAT) in its Guardianship stream</w:t>
      </w:r>
      <w:r w:rsidR="00EC5A3E">
        <w:t xml:space="preserve"> published on ‘AustLII’: </w:t>
      </w:r>
      <w:r w:rsidR="00EC5A3E" w:rsidRPr="001109F5">
        <w:rPr>
          <w:i/>
          <w:iCs/>
        </w:rPr>
        <w:t>AustLII</w:t>
      </w:r>
      <w:r w:rsidR="002E2F3D">
        <w:t xml:space="preserve"> (n 27).</w:t>
      </w:r>
      <w:r w:rsidR="00EC5A3E">
        <w:t xml:space="preserve"> Sentencing statistics published by the Sentencing Advisory Council (Tasmania), including on the Magistrates Court: Sentencing Advisory Council (Tas),</w:t>
      </w:r>
      <w:r w:rsidR="00EC5A3E" w:rsidRPr="00D715B3">
        <w:rPr>
          <w:rFonts w:cs="Times New Roman"/>
        </w:rPr>
        <w:t xml:space="preserve"> Magistrates Court Sentencing Statistics</w:t>
      </w:r>
      <w:r w:rsidR="00EC5A3E">
        <w:rPr>
          <w:rFonts w:cs="Times New Roman"/>
        </w:rPr>
        <w:t>: SACStats</w:t>
      </w:r>
      <w:r w:rsidR="002E2F3D">
        <w:rPr>
          <w:rFonts w:cs="Times New Roman"/>
        </w:rPr>
        <w:t xml:space="preserve"> (n 27); </w:t>
      </w:r>
      <w:r w:rsidR="00EC5A3E">
        <w:t xml:space="preserve">and on the Supreme Court: </w:t>
      </w:r>
      <w:r w:rsidR="00EC5A3E" w:rsidRPr="00160EAD">
        <w:t>Sentencing Advisory Council</w:t>
      </w:r>
      <w:r w:rsidR="00EC5A3E">
        <w:t xml:space="preserve"> (Tas)</w:t>
      </w:r>
      <w:r w:rsidR="00EC5A3E" w:rsidRPr="00160EAD">
        <w:t>, Tasmanian Government, Supreme Court Sentencing Statistics</w:t>
      </w:r>
      <w:r w:rsidR="00BB731E">
        <w:t xml:space="preserve"> (n 27).</w:t>
      </w:r>
      <w:r w:rsidR="00EC5A3E">
        <w:t xml:space="preserve"> Sentencing judgments published on the website of the Supreme Court of Tasmania</w:t>
      </w:r>
      <w:r w:rsidR="00BB731E">
        <w:t>:</w:t>
      </w:r>
      <w:r w:rsidR="00EC5A3E">
        <w:t xml:space="preserve"> The Supreme Court of Tasmania</w:t>
      </w:r>
      <w:r w:rsidR="00BB731E">
        <w:t xml:space="preserve"> (n 27)</w:t>
      </w:r>
      <w:r w:rsidR="00EC5A3E">
        <w:t>. Analysis of civil matters involving older people</w:t>
      </w:r>
      <w:r w:rsidR="00392BC5">
        <w:t xml:space="preserve"> in</w:t>
      </w:r>
      <w:r w:rsidR="00EC5A3E">
        <w:t xml:space="preserve"> </w:t>
      </w:r>
      <w:r w:rsidR="00EC5A3E" w:rsidRPr="003C4B61">
        <w:t>Ferna</w:t>
      </w:r>
      <w:r w:rsidR="00EC5A3E">
        <w:t>n</w:t>
      </w:r>
      <w:r w:rsidR="00EC5A3E" w:rsidRPr="003C4B61">
        <w:t>d</w:t>
      </w:r>
      <w:r w:rsidR="00EC5A3E">
        <w:t>o</w:t>
      </w:r>
      <w:r w:rsidR="00BB731E">
        <w:t xml:space="preserve"> (n 27).</w:t>
      </w:r>
    </w:p>
  </w:footnote>
  <w:footnote w:id="897">
    <w:p w14:paraId="69B5CBF3" w14:textId="77A2615A" w:rsidR="00354E7B" w:rsidRDefault="00354E7B">
      <w:pPr>
        <w:pStyle w:val="FootnoteText"/>
      </w:pPr>
      <w:r>
        <w:rPr>
          <w:rStyle w:val="FootnoteReference"/>
        </w:rPr>
        <w:footnoteRef/>
      </w:r>
      <w:r>
        <w:t xml:space="preserve"> </w:t>
      </w:r>
      <w:r w:rsidRPr="003C4B61">
        <w:t xml:space="preserve">All qualitative data was de-identified after collection. The qualitative </w:t>
      </w:r>
      <w:r w:rsidRPr="00F32F96">
        <w:t>interview</w:t>
      </w:r>
      <w:r w:rsidRPr="003C4B61">
        <w:t xml:space="preserve"> data was manually coded using NVivo software to identify and collate information and themes. Both deductive and inductive coding approaches </w:t>
      </w:r>
      <w:r w:rsidR="002B2392">
        <w:t xml:space="preserve">were used, </w:t>
      </w:r>
      <w:r w:rsidRPr="003C4B61">
        <w:t xml:space="preserve">as well as simultaneous (double) coding </w:t>
      </w:r>
      <w:r w:rsidR="002B2392">
        <w:t>(</w:t>
      </w:r>
      <w:r w:rsidRPr="003C4B61">
        <w:t>where appropriate</w:t>
      </w:r>
      <w:r w:rsidR="002B2392">
        <w:t>)</w:t>
      </w:r>
      <w:r w:rsidRPr="003C4B61">
        <w:t>.</w:t>
      </w:r>
    </w:p>
  </w:footnote>
  <w:footnote w:id="898">
    <w:p w14:paraId="74BBD698" w14:textId="629D6551" w:rsidR="00354E7B" w:rsidRDefault="00354E7B">
      <w:pPr>
        <w:pStyle w:val="FootnoteText"/>
      </w:pPr>
      <w:r>
        <w:rPr>
          <w:rStyle w:val="FootnoteReference"/>
        </w:rPr>
        <w:footnoteRef/>
      </w:r>
      <w:r>
        <w:t xml:space="preserve"> </w:t>
      </w:r>
      <w:r w:rsidRPr="003C4B61">
        <w:t xml:space="preserve">Agency heads and </w:t>
      </w:r>
      <w:r w:rsidRPr="00F32F96">
        <w:t>individual</w:t>
      </w:r>
      <w:r w:rsidRPr="003C4B61">
        <w:t xml:space="preserve"> experts were contacted by the TLRI and provided with information about the project, along with an invitation to participate. Agency heads were asked to indicate their willingness to be involved and to provide a representative for the TLRI to contact to arrange an interview. Individual experts were similarly asked to indicate their willingness to be involved so that the TLRI could liaise with them further to arrange an interview.</w:t>
      </w:r>
    </w:p>
  </w:footnote>
  <w:footnote w:id="899">
    <w:p w14:paraId="6C1B57D8" w14:textId="696849B5" w:rsidR="00354E7B" w:rsidRDefault="00354E7B" w:rsidP="00982B65">
      <w:pPr>
        <w:pStyle w:val="FootnoteText"/>
      </w:pPr>
      <w:r>
        <w:rPr>
          <w:rStyle w:val="FootnoteReference"/>
        </w:rPr>
        <w:footnoteRef/>
      </w:r>
      <w:r>
        <w:t xml:space="preserve"> </w:t>
      </w:r>
      <w:r w:rsidR="00982B65">
        <w:t xml:space="preserve">Qu et al, AIFS (n 56); Compass, Elder Abuse Action Australia (‘EAAA’), </w:t>
      </w:r>
      <w:r w:rsidR="00982B65" w:rsidRPr="00CB786D">
        <w:rPr>
          <w:i/>
          <w:iCs/>
        </w:rPr>
        <w:t xml:space="preserve">Common Risk Factors </w:t>
      </w:r>
      <w:r w:rsidR="00982B65">
        <w:t xml:space="preserve">(n 153); </w:t>
      </w:r>
      <w:r w:rsidR="00D2094C">
        <w:t xml:space="preserve">Compass </w:t>
      </w:r>
      <w:r w:rsidR="00982B65">
        <w:t xml:space="preserve">Elder Abuse Action Australia (‘EAAA’), </w:t>
      </w:r>
      <w:r w:rsidR="00982B65" w:rsidRPr="00982B65">
        <w:rPr>
          <w:i/>
          <w:iCs/>
        </w:rPr>
        <w:t xml:space="preserve">Barriers to Seeking Help </w:t>
      </w:r>
      <w:r w:rsidR="00982B65">
        <w:t>(n 153).</w:t>
      </w:r>
    </w:p>
  </w:footnote>
  <w:footnote w:id="900">
    <w:p w14:paraId="771C2A73" w14:textId="752F809F" w:rsidR="00354E7B" w:rsidRDefault="00354E7B">
      <w:pPr>
        <w:pStyle w:val="FootnoteText"/>
      </w:pPr>
      <w:r>
        <w:rPr>
          <w:rStyle w:val="FootnoteReference"/>
        </w:rPr>
        <w:footnoteRef/>
      </w:r>
      <w:r>
        <w:t xml:space="preserve"> </w:t>
      </w:r>
      <w:r w:rsidRPr="00F32F96">
        <w:rPr>
          <w:i/>
          <w:iCs/>
        </w:rPr>
        <w:t>Tas v Anglin &amp; Anglin</w:t>
      </w:r>
      <w:r w:rsidRPr="003C4B61">
        <w:t xml:space="preserve"> (Supreme Court of Tasmania, </w:t>
      </w:r>
      <w:r w:rsidRPr="00F32F96">
        <w:t>Tennant</w:t>
      </w:r>
      <w:r w:rsidRPr="003C4B61">
        <w:t xml:space="preserve"> J, 13 April 2015)</w:t>
      </w:r>
      <w:r>
        <w:t>.</w:t>
      </w:r>
    </w:p>
  </w:footnote>
  <w:footnote w:id="901">
    <w:p w14:paraId="6079A39A" w14:textId="2C569F90" w:rsidR="00354E7B" w:rsidRDefault="00354E7B">
      <w:pPr>
        <w:pStyle w:val="FootnoteText"/>
      </w:pPr>
      <w:r>
        <w:rPr>
          <w:rStyle w:val="FootnoteReference"/>
        </w:rPr>
        <w:footnoteRef/>
      </w:r>
      <w:r>
        <w:t xml:space="preserve"> </w:t>
      </w:r>
      <w:r w:rsidR="00F81E28" w:rsidRPr="00C36293">
        <w:rPr>
          <w:i/>
          <w:iCs/>
        </w:rPr>
        <w:t>Findings and Recommendations of Coroner Olivia McTaggart Following the Holding of an Inquest under the Coroners Act 1995 into the Death of Janet Lois Mackozdi: Record of Investigation into Death (With Inquest)</w:t>
      </w:r>
      <w:r w:rsidR="00F81E28" w:rsidRPr="002347F2">
        <w:t xml:space="preserve"> (Magistrates Court of Tasmania, Coronial Division, 13 July 2018).</w:t>
      </w:r>
    </w:p>
  </w:footnote>
  <w:footnote w:id="902">
    <w:p w14:paraId="16CD2C21" w14:textId="704D6995" w:rsidR="00F81E28" w:rsidRDefault="00F81E28">
      <w:pPr>
        <w:pStyle w:val="FootnoteText"/>
      </w:pPr>
      <w:r>
        <w:rPr>
          <w:rStyle w:val="FootnoteReference"/>
        </w:rPr>
        <w:footnoteRef/>
      </w:r>
      <w:r>
        <w:t xml:space="preserve"> </w:t>
      </w:r>
      <w:r w:rsidRPr="00EC5712">
        <w:rPr>
          <w:i/>
          <w:iCs/>
        </w:rPr>
        <w:t xml:space="preserve">Findings and </w:t>
      </w:r>
      <w:r>
        <w:rPr>
          <w:i/>
          <w:iCs/>
        </w:rPr>
        <w:t>Comments</w:t>
      </w:r>
      <w:r w:rsidRPr="00EC5712">
        <w:rPr>
          <w:i/>
          <w:iCs/>
        </w:rPr>
        <w:t xml:space="preserve"> of Coroner </w:t>
      </w:r>
      <w:r>
        <w:rPr>
          <w:i/>
          <w:iCs/>
        </w:rPr>
        <w:t>Robert Webster</w:t>
      </w:r>
      <w:r w:rsidRPr="00EC5712">
        <w:rPr>
          <w:i/>
          <w:iCs/>
        </w:rPr>
        <w:t xml:space="preserve"> Following the Holding of an Inquest under the Coroners Act 1995 into the Death of </w:t>
      </w:r>
      <w:r>
        <w:rPr>
          <w:i/>
          <w:iCs/>
        </w:rPr>
        <w:t>Dorothy Jean Atkins</w:t>
      </w:r>
      <w:r w:rsidRPr="00EC5712">
        <w:rPr>
          <w:i/>
          <w:iCs/>
        </w:rPr>
        <w:t>: Record of Investigation into Death (With Inquest)</w:t>
      </w:r>
      <w:r>
        <w:t xml:space="preserve"> (Magistrates Court of Tasmania, Coronial Division, 7 March 2024) </w:t>
      </w:r>
      <w:r w:rsidRPr="003C4B61">
        <w:t>(2024)</w:t>
      </w:r>
      <w:r>
        <w:t>.</w:t>
      </w:r>
    </w:p>
  </w:footnote>
  <w:footnote w:id="903">
    <w:p w14:paraId="5437CC65" w14:textId="612FF1F0" w:rsidR="00F81E28" w:rsidRDefault="00F81E28">
      <w:pPr>
        <w:pStyle w:val="FootnoteText"/>
      </w:pPr>
      <w:r>
        <w:rPr>
          <w:rStyle w:val="FootnoteReference"/>
        </w:rPr>
        <w:footnoteRef/>
      </w:r>
      <w:r>
        <w:t xml:space="preserve"> </w:t>
      </w:r>
      <w:r w:rsidRPr="00EC5712">
        <w:rPr>
          <w:i/>
          <w:iCs/>
        </w:rPr>
        <w:t xml:space="preserve">Findings and </w:t>
      </w:r>
      <w:r>
        <w:rPr>
          <w:i/>
          <w:iCs/>
        </w:rPr>
        <w:t>Comments</w:t>
      </w:r>
      <w:r w:rsidRPr="00EC5712">
        <w:rPr>
          <w:i/>
          <w:iCs/>
        </w:rPr>
        <w:t xml:space="preserve"> of Coroner </w:t>
      </w:r>
      <w:r>
        <w:rPr>
          <w:i/>
          <w:iCs/>
        </w:rPr>
        <w:t>Simon Cooper</w:t>
      </w:r>
      <w:r w:rsidRPr="00EC5712">
        <w:rPr>
          <w:i/>
          <w:iCs/>
        </w:rPr>
        <w:t xml:space="preserve"> Following the Holding of an Inquest under the Coroners Act 1995 into the Death</w:t>
      </w:r>
      <w:r>
        <w:rPr>
          <w:i/>
          <w:iCs/>
        </w:rPr>
        <w:t>s</w:t>
      </w:r>
      <w:r w:rsidRPr="00EC5712">
        <w:rPr>
          <w:i/>
          <w:iCs/>
        </w:rPr>
        <w:t xml:space="preserve"> of </w:t>
      </w:r>
      <w:r>
        <w:rPr>
          <w:i/>
          <w:iCs/>
        </w:rPr>
        <w:t>David Godfrey Edwards and Nelda Mavis Edwards</w:t>
      </w:r>
      <w:r w:rsidRPr="00EC5712">
        <w:rPr>
          <w:i/>
          <w:iCs/>
        </w:rPr>
        <w:t>: Record of Investigation into Death (With Inquest)</w:t>
      </w:r>
      <w:r>
        <w:t xml:space="preserve"> (Magistrates Court of Tasmania, Coronial Division, 26 July 2024).</w:t>
      </w:r>
    </w:p>
  </w:footnote>
  <w:footnote w:id="904">
    <w:p w14:paraId="0D6E7B19" w14:textId="4ED04CEF" w:rsidR="00F81E28" w:rsidRDefault="00F81E28">
      <w:pPr>
        <w:pStyle w:val="FootnoteText"/>
      </w:pPr>
      <w:r>
        <w:rPr>
          <w:rStyle w:val="FootnoteReference"/>
        </w:rPr>
        <w:footnoteRef/>
      </w:r>
      <w:r>
        <w:t xml:space="preserve"> </w:t>
      </w:r>
      <w:r w:rsidRPr="00771340">
        <w:rPr>
          <w:i/>
          <w:iCs/>
        </w:rPr>
        <w:t>Maher</w:t>
      </w:r>
      <w:r w:rsidRPr="003C4B61">
        <w:t>, 8 November 2021 (Pearce J).</w:t>
      </w:r>
    </w:p>
  </w:footnote>
  <w:footnote w:id="905">
    <w:p w14:paraId="08593874" w14:textId="6518F4BF" w:rsidR="00F81E28" w:rsidRDefault="00F81E28">
      <w:pPr>
        <w:pStyle w:val="FootnoteText"/>
      </w:pPr>
      <w:r>
        <w:rPr>
          <w:rStyle w:val="FootnoteReference"/>
        </w:rPr>
        <w:footnoteRef/>
      </w:r>
      <w:r>
        <w:t xml:space="preserve"> </w:t>
      </w:r>
      <w:r w:rsidRPr="00EC5712">
        <w:rPr>
          <w:i/>
          <w:iCs/>
        </w:rPr>
        <w:t>Record of Investigation into Death of (Without Inquest): Veronica Corstorphine</w:t>
      </w:r>
      <w:r w:rsidRPr="003C4B61">
        <w:t xml:space="preserve"> </w:t>
      </w:r>
      <w:r>
        <w:t xml:space="preserve">(Magistrates Court of Tasmania, Coronial Division, 4 March </w:t>
      </w:r>
      <w:r w:rsidRPr="003C4B61">
        <w:t>2024).</w:t>
      </w:r>
    </w:p>
  </w:footnote>
  <w:footnote w:id="906">
    <w:p w14:paraId="304CA005" w14:textId="61034F51" w:rsidR="00F81E28" w:rsidRDefault="00F81E28">
      <w:pPr>
        <w:pStyle w:val="FootnoteText"/>
      </w:pPr>
      <w:r>
        <w:rPr>
          <w:rStyle w:val="FootnoteReference"/>
        </w:rPr>
        <w:footnoteRef/>
      </w:r>
      <w:r>
        <w:t xml:space="preserve"> </w:t>
      </w:r>
      <w:r w:rsidRPr="00771340">
        <w:rPr>
          <w:i/>
          <w:iCs/>
        </w:rPr>
        <w:t>FKD (Review of an Administration Order</w:t>
      </w:r>
      <w:r w:rsidRPr="003C4B61">
        <w:t>) [2024] TASCAT 56</w:t>
      </w:r>
      <w:r>
        <w:t>.</w:t>
      </w:r>
    </w:p>
  </w:footnote>
  <w:footnote w:id="907">
    <w:p w14:paraId="3325F47C" w14:textId="4EABC7DC" w:rsidR="00F81E28" w:rsidRDefault="00F81E28">
      <w:pPr>
        <w:pStyle w:val="FootnoteText"/>
      </w:pPr>
      <w:r>
        <w:rPr>
          <w:rStyle w:val="FootnoteReference"/>
        </w:rPr>
        <w:footnoteRef/>
      </w:r>
      <w:r>
        <w:t xml:space="preserve"> </w:t>
      </w:r>
      <w:r w:rsidRPr="00771340">
        <w:rPr>
          <w:i/>
          <w:iCs/>
        </w:rPr>
        <w:t>GBL (Application for Guardianship and Administration</w:t>
      </w:r>
      <w:r w:rsidRPr="003C4B61">
        <w:t>) [2022] TASCAT 100</w:t>
      </w:r>
      <w:r>
        <w:t>.</w:t>
      </w:r>
    </w:p>
  </w:footnote>
  <w:footnote w:id="908">
    <w:p w14:paraId="505D38DA" w14:textId="27C74CDF" w:rsidR="00CC2941" w:rsidRDefault="00CC2941">
      <w:pPr>
        <w:pStyle w:val="FootnoteText"/>
      </w:pPr>
      <w:r>
        <w:rPr>
          <w:rStyle w:val="FootnoteReference"/>
        </w:rPr>
        <w:footnoteRef/>
      </w:r>
      <w:r>
        <w:t xml:space="preserve"> </w:t>
      </w:r>
      <w:r w:rsidRPr="00771340">
        <w:rPr>
          <w:i/>
          <w:iCs/>
        </w:rPr>
        <w:t>CT (Review of Enduring Powers)</w:t>
      </w:r>
      <w:r w:rsidRPr="003C4B61">
        <w:t xml:space="preserve"> [2022] TASCAT 103</w:t>
      </w:r>
      <w:r>
        <w:t>.</w:t>
      </w:r>
    </w:p>
  </w:footnote>
  <w:footnote w:id="909">
    <w:p w14:paraId="09B25696" w14:textId="5FB49DBA" w:rsidR="00CC2941" w:rsidRDefault="00CC2941">
      <w:pPr>
        <w:pStyle w:val="FootnoteText"/>
      </w:pPr>
      <w:r>
        <w:rPr>
          <w:rStyle w:val="FootnoteReference"/>
        </w:rPr>
        <w:footnoteRef/>
      </w:r>
      <w:r>
        <w:t xml:space="preserve"> </w:t>
      </w:r>
      <w:r w:rsidRPr="00771340">
        <w:rPr>
          <w:i/>
          <w:iCs/>
        </w:rPr>
        <w:t>OU (Application for Review of Administration</w:t>
      </w:r>
      <w:r w:rsidRPr="003C4B61">
        <w:t>) [2022] TASCAT 156</w:t>
      </w:r>
      <w:r>
        <w:t>.</w:t>
      </w:r>
    </w:p>
  </w:footnote>
  <w:footnote w:id="910">
    <w:p w14:paraId="49B12A48" w14:textId="766BE72A" w:rsidR="00CC2941" w:rsidRDefault="00CC2941">
      <w:pPr>
        <w:pStyle w:val="FootnoteText"/>
      </w:pPr>
      <w:r>
        <w:rPr>
          <w:rStyle w:val="FootnoteReference"/>
        </w:rPr>
        <w:footnoteRef/>
      </w:r>
      <w:r>
        <w:t xml:space="preserve"> </w:t>
      </w:r>
      <w:r w:rsidRPr="00771340">
        <w:rPr>
          <w:i/>
          <w:iCs/>
        </w:rPr>
        <w:t>XBD (Application for Administration)</w:t>
      </w:r>
      <w:r w:rsidRPr="003C4B61">
        <w:t xml:space="preserve"> [2023] </w:t>
      </w:r>
      <w:r w:rsidRPr="00771340">
        <w:t>TASCAT</w:t>
      </w:r>
      <w:r w:rsidRPr="003C4B61">
        <w:t xml:space="preserve"> 65</w:t>
      </w:r>
      <w:r>
        <w:t>.</w:t>
      </w:r>
    </w:p>
  </w:footnote>
  <w:footnote w:id="911">
    <w:p w14:paraId="4AD57E9B" w14:textId="70735305" w:rsidR="00CC2941" w:rsidRDefault="00CC2941">
      <w:pPr>
        <w:pStyle w:val="FootnoteText"/>
      </w:pPr>
      <w:r>
        <w:rPr>
          <w:rStyle w:val="FootnoteReference"/>
        </w:rPr>
        <w:footnoteRef/>
      </w:r>
      <w:r>
        <w:t xml:space="preserve"> </w:t>
      </w:r>
      <w:r w:rsidRPr="00771340">
        <w:rPr>
          <w:i/>
          <w:iCs/>
        </w:rPr>
        <w:t>IFE (Emergency Request)</w:t>
      </w:r>
      <w:r w:rsidRPr="003C4B61">
        <w:t xml:space="preserve"> [2023] </w:t>
      </w:r>
      <w:r w:rsidRPr="00771340">
        <w:t>TASCAT</w:t>
      </w:r>
      <w:r w:rsidRPr="003C4B61">
        <w:t xml:space="preserve"> 80</w:t>
      </w:r>
      <w:r>
        <w:t>.</w:t>
      </w:r>
    </w:p>
  </w:footnote>
  <w:footnote w:id="912">
    <w:p w14:paraId="0E7EF0E6" w14:textId="36F6A72E" w:rsidR="00CC2941" w:rsidRDefault="00CC2941">
      <w:pPr>
        <w:pStyle w:val="FootnoteText"/>
      </w:pPr>
      <w:r>
        <w:rPr>
          <w:rStyle w:val="FootnoteReference"/>
        </w:rPr>
        <w:footnoteRef/>
      </w:r>
      <w:r>
        <w:t xml:space="preserve"> </w:t>
      </w:r>
      <w:r w:rsidRPr="00771340">
        <w:rPr>
          <w:i/>
          <w:iCs/>
        </w:rPr>
        <w:t>IET (Review of Guardianship)</w:t>
      </w:r>
      <w:r w:rsidRPr="003C4B61">
        <w:t xml:space="preserve"> [</w:t>
      </w:r>
      <w:r w:rsidRPr="00771340">
        <w:t>2023</w:t>
      </w:r>
      <w:r w:rsidRPr="003C4B61">
        <w:t>] TASCAT 160</w:t>
      </w:r>
      <w:r>
        <w:t>.</w:t>
      </w:r>
    </w:p>
  </w:footnote>
  <w:footnote w:id="913">
    <w:p w14:paraId="2F75F049" w14:textId="47F84909" w:rsidR="00CC2941" w:rsidRDefault="00CC2941">
      <w:pPr>
        <w:pStyle w:val="FootnoteText"/>
      </w:pPr>
      <w:r>
        <w:rPr>
          <w:rStyle w:val="FootnoteReference"/>
        </w:rPr>
        <w:footnoteRef/>
      </w:r>
      <w:r>
        <w:t xml:space="preserve"> </w:t>
      </w:r>
      <w:r w:rsidRPr="00771340">
        <w:rPr>
          <w:i/>
          <w:iCs/>
        </w:rPr>
        <w:t>OX (Application for Emergency Orders)</w:t>
      </w:r>
      <w:r w:rsidRPr="003C4B61">
        <w:t xml:space="preserve"> [</w:t>
      </w:r>
      <w:r w:rsidRPr="00771340">
        <w:t>2023</w:t>
      </w:r>
      <w:r w:rsidRPr="003C4B61">
        <w:t>] TASCAT 207</w:t>
      </w:r>
      <w:r>
        <w:t>.</w:t>
      </w:r>
    </w:p>
  </w:footnote>
  <w:footnote w:id="914">
    <w:p w14:paraId="745CA970" w14:textId="6D8F5EBD" w:rsidR="00CC2941" w:rsidRDefault="00CC2941">
      <w:pPr>
        <w:pStyle w:val="FootnoteText"/>
      </w:pPr>
      <w:r>
        <w:rPr>
          <w:rStyle w:val="FootnoteReference"/>
        </w:rPr>
        <w:footnoteRef/>
      </w:r>
      <w:r>
        <w:t xml:space="preserve"> </w:t>
      </w:r>
      <w:r w:rsidRPr="00771340">
        <w:rPr>
          <w:i/>
          <w:iCs/>
        </w:rPr>
        <w:t>SFK (Application for Guardianship and Administration)</w:t>
      </w:r>
      <w:r w:rsidRPr="003C4B61">
        <w:t xml:space="preserve"> </w:t>
      </w:r>
      <w:r w:rsidRPr="00771340">
        <w:t>TASCAT</w:t>
      </w:r>
      <w:r w:rsidRPr="003C4B61">
        <w:t xml:space="preserve"> [2024] 57</w:t>
      </w:r>
      <w:r>
        <w:t>.</w:t>
      </w:r>
    </w:p>
  </w:footnote>
  <w:footnote w:id="915">
    <w:p w14:paraId="3DF0CA28" w14:textId="46A1F2FA" w:rsidR="00CC2941" w:rsidRDefault="00CC2941">
      <w:pPr>
        <w:pStyle w:val="FootnoteText"/>
      </w:pPr>
      <w:r>
        <w:rPr>
          <w:rStyle w:val="FootnoteReference"/>
        </w:rPr>
        <w:footnoteRef/>
      </w:r>
      <w:r>
        <w:t xml:space="preserve"> </w:t>
      </w:r>
      <w:r w:rsidRPr="00771340">
        <w:rPr>
          <w:i/>
          <w:iCs/>
        </w:rPr>
        <w:t>KT (Emergency Request for Administration Order)</w:t>
      </w:r>
      <w:r w:rsidRPr="003C4B61">
        <w:t xml:space="preserve"> [2024] </w:t>
      </w:r>
      <w:r w:rsidRPr="00771340">
        <w:t>TASCAT</w:t>
      </w:r>
      <w:r w:rsidRPr="003C4B61">
        <w:t xml:space="preserve"> 59</w:t>
      </w:r>
      <w:r>
        <w:t>.</w:t>
      </w:r>
    </w:p>
  </w:footnote>
  <w:footnote w:id="916">
    <w:p w14:paraId="7F114B2D" w14:textId="46DF25BE" w:rsidR="00CC2941" w:rsidRDefault="00CC2941">
      <w:pPr>
        <w:pStyle w:val="FootnoteText"/>
      </w:pPr>
      <w:r>
        <w:rPr>
          <w:rStyle w:val="FootnoteReference"/>
        </w:rPr>
        <w:footnoteRef/>
      </w:r>
      <w:r>
        <w:t xml:space="preserve"> </w:t>
      </w:r>
      <w:r w:rsidRPr="00771340">
        <w:rPr>
          <w:i/>
          <w:iCs/>
        </w:rPr>
        <w:t>HBI (Application to Review Enduring Power of Attorney)</w:t>
      </w:r>
      <w:r w:rsidRPr="003C4B61">
        <w:t xml:space="preserve"> [2024] TASCAT 103</w:t>
      </w:r>
      <w:r>
        <w:t>.</w:t>
      </w:r>
    </w:p>
  </w:footnote>
  <w:footnote w:id="917">
    <w:p w14:paraId="4DA5828C" w14:textId="5605375D" w:rsidR="009379A7" w:rsidRDefault="009379A7">
      <w:pPr>
        <w:pStyle w:val="FootnoteText"/>
      </w:pPr>
      <w:r>
        <w:rPr>
          <w:rStyle w:val="FootnoteReference"/>
        </w:rPr>
        <w:footnoteRef/>
      </w:r>
      <w:r>
        <w:t xml:space="preserve"> </w:t>
      </w:r>
      <w:r w:rsidR="00931146" w:rsidRPr="00D715B3">
        <w:rPr>
          <w:rFonts w:cs="Times New Roman"/>
        </w:rPr>
        <w:t>ALRC</w:t>
      </w:r>
      <w:r w:rsidR="00931146">
        <w:rPr>
          <w:rFonts w:cs="Times New Roman"/>
        </w:rPr>
        <w:t>,</w:t>
      </w:r>
      <w:r w:rsidR="00931146" w:rsidRPr="00D715B3">
        <w:rPr>
          <w:rFonts w:cs="Times New Roman"/>
          <w:i/>
          <w:iCs/>
        </w:rPr>
        <w:t xml:space="preserve"> Elder Abuse</w:t>
      </w:r>
      <w:r w:rsidR="00931146" w:rsidRPr="00D715B3">
        <w:rPr>
          <w:rFonts w:cs="Times New Roman"/>
        </w:rPr>
        <w:t xml:space="preserve"> (n 6)</w:t>
      </w:r>
      <w:r w:rsidR="00F31193" w:rsidRPr="003C4B61">
        <w:t>.</w:t>
      </w:r>
    </w:p>
  </w:footnote>
  <w:footnote w:id="918">
    <w:p w14:paraId="09EB1E04" w14:textId="4E3F91B1" w:rsidR="00F31193" w:rsidRDefault="00F31193">
      <w:pPr>
        <w:pStyle w:val="FootnoteText"/>
      </w:pPr>
      <w:r>
        <w:rPr>
          <w:rStyle w:val="FootnoteReference"/>
        </w:rPr>
        <w:footnoteRef/>
      </w:r>
      <w:r>
        <w:t xml:space="preserve"> </w:t>
      </w:r>
      <w:r w:rsidR="00931146">
        <w:t>Ibid</w:t>
      </w:r>
      <w:r w:rsidRPr="003C4B61">
        <w:t xml:space="preserve"> ch 3</w:t>
      </w:r>
      <w:r>
        <w:t>.</w:t>
      </w:r>
    </w:p>
  </w:footnote>
  <w:footnote w:id="919">
    <w:p w14:paraId="49781E77" w14:textId="33963122" w:rsidR="00F31193" w:rsidRDefault="00F31193">
      <w:pPr>
        <w:pStyle w:val="FootnoteText"/>
      </w:pPr>
      <w:r>
        <w:rPr>
          <w:rStyle w:val="FootnoteReference"/>
        </w:rPr>
        <w:footnoteRef/>
      </w:r>
      <w:r>
        <w:t xml:space="preserve"> </w:t>
      </w:r>
      <w:r w:rsidRPr="003C4B61">
        <w:t xml:space="preserve">The review also identified (and </w:t>
      </w:r>
      <w:r w:rsidRPr="00771340">
        <w:t>defined</w:t>
      </w:r>
      <w:r w:rsidRPr="003C4B61">
        <w:t>) key concepts such as the types of behaviour that may amount to abuse of elder people and identified risk factors for abuse.</w:t>
      </w:r>
    </w:p>
  </w:footnote>
  <w:footnote w:id="920">
    <w:p w14:paraId="0EEF3245" w14:textId="4205FDA5" w:rsidR="00F31193" w:rsidRDefault="00F31193">
      <w:pPr>
        <w:pStyle w:val="FootnoteText"/>
      </w:pPr>
      <w:r>
        <w:rPr>
          <w:rStyle w:val="FootnoteReference"/>
        </w:rPr>
        <w:footnoteRef/>
      </w:r>
      <w:r>
        <w:t xml:space="preserve"> </w:t>
      </w:r>
      <w:r w:rsidR="00D560FB" w:rsidRPr="00D715B3">
        <w:rPr>
          <w:rFonts w:cs="Times New Roman"/>
        </w:rPr>
        <w:t>ALRC</w:t>
      </w:r>
      <w:r w:rsidR="00D560FB">
        <w:rPr>
          <w:rFonts w:cs="Times New Roman"/>
        </w:rPr>
        <w:t>,</w:t>
      </w:r>
      <w:r w:rsidR="00D560FB" w:rsidRPr="00D715B3">
        <w:rPr>
          <w:rFonts w:cs="Times New Roman"/>
          <w:i/>
          <w:iCs/>
        </w:rPr>
        <w:t xml:space="preserve"> Elder Abuse</w:t>
      </w:r>
      <w:r w:rsidR="00D560FB" w:rsidRPr="00D715B3">
        <w:rPr>
          <w:rFonts w:cs="Times New Roman"/>
        </w:rPr>
        <w:t xml:space="preserve"> (n 6)</w:t>
      </w:r>
      <w:r w:rsidR="00D560FB">
        <w:t xml:space="preserve"> </w:t>
      </w:r>
      <w:r w:rsidRPr="003C4B61">
        <w:t>20.</w:t>
      </w:r>
    </w:p>
  </w:footnote>
  <w:footnote w:id="921">
    <w:p w14:paraId="32446230" w14:textId="53111283" w:rsidR="00F31193" w:rsidRDefault="00F31193">
      <w:pPr>
        <w:pStyle w:val="FootnoteText"/>
      </w:pPr>
      <w:r>
        <w:rPr>
          <w:rStyle w:val="FootnoteReference"/>
        </w:rPr>
        <w:footnoteRef/>
      </w:r>
      <w:r>
        <w:t xml:space="preserve"> </w:t>
      </w:r>
      <w:r w:rsidR="00D560FB" w:rsidRPr="00D715B3">
        <w:rPr>
          <w:rFonts w:cs="Times New Roman"/>
        </w:rPr>
        <w:t>ALRC</w:t>
      </w:r>
      <w:r w:rsidR="00D560FB">
        <w:rPr>
          <w:rFonts w:cs="Times New Roman"/>
        </w:rPr>
        <w:t>,</w:t>
      </w:r>
      <w:r w:rsidR="00D560FB" w:rsidRPr="00D715B3">
        <w:rPr>
          <w:rFonts w:cs="Times New Roman"/>
          <w:i/>
          <w:iCs/>
        </w:rPr>
        <w:t xml:space="preserve"> Elder Abuse</w:t>
      </w:r>
      <w:r w:rsidR="00D560FB" w:rsidRPr="00D715B3">
        <w:rPr>
          <w:rFonts w:cs="Times New Roman"/>
        </w:rPr>
        <w:t xml:space="preserve"> (n 6)</w:t>
      </w:r>
      <w:r w:rsidR="009A0F54">
        <w:t xml:space="preserve"> </w:t>
      </w:r>
      <w:r w:rsidR="00314DD2">
        <w:t>382–4</w:t>
      </w:r>
      <w:r w:rsidR="001538F4">
        <w:t xml:space="preserve"> [13.33]–[14.40</w:t>
      </w:r>
      <w:r w:rsidR="001538F4" w:rsidRPr="001538F4">
        <w:t>]</w:t>
      </w:r>
      <w:r w:rsidR="00314DD2" w:rsidRPr="001538F4">
        <w:t>, c</w:t>
      </w:r>
      <w:r w:rsidRPr="001538F4">
        <w:t>iting other reviews and reports in Australian states and territories</w:t>
      </w:r>
      <w:r w:rsidR="001538F4" w:rsidRPr="001538F4">
        <w:t>.</w:t>
      </w:r>
    </w:p>
  </w:footnote>
  <w:footnote w:id="922">
    <w:p w14:paraId="5A780C57" w14:textId="361FA53A" w:rsidR="00F31193" w:rsidRDefault="00F31193">
      <w:pPr>
        <w:pStyle w:val="FootnoteText"/>
      </w:pPr>
      <w:r>
        <w:rPr>
          <w:rStyle w:val="FootnoteReference"/>
        </w:rPr>
        <w:footnoteRef/>
      </w:r>
      <w:r>
        <w:t xml:space="preserve"> </w:t>
      </w:r>
      <w:r w:rsidR="00D560FB" w:rsidRPr="00D715B3">
        <w:rPr>
          <w:rFonts w:cs="Times New Roman"/>
        </w:rPr>
        <w:t>ALRC</w:t>
      </w:r>
      <w:r w:rsidR="00D560FB">
        <w:rPr>
          <w:rFonts w:cs="Times New Roman"/>
        </w:rPr>
        <w:t>,</w:t>
      </w:r>
      <w:r w:rsidR="00D560FB" w:rsidRPr="00D715B3">
        <w:rPr>
          <w:rFonts w:cs="Times New Roman"/>
          <w:i/>
          <w:iCs/>
        </w:rPr>
        <w:t xml:space="preserve"> Elder Abuse</w:t>
      </w:r>
      <w:r w:rsidR="00D560FB" w:rsidRPr="00D715B3">
        <w:rPr>
          <w:rFonts w:cs="Times New Roman"/>
        </w:rPr>
        <w:t xml:space="preserve"> (n 6)</w:t>
      </w:r>
      <w:r w:rsidR="00D560FB">
        <w:t xml:space="preserve"> </w:t>
      </w:r>
      <w:r w:rsidRPr="003C4B61">
        <w:t>375–417, Recommendations 14.1–14.8.</w:t>
      </w:r>
    </w:p>
  </w:footnote>
  <w:footnote w:id="923">
    <w:p w14:paraId="43E4E3AD" w14:textId="027FF250" w:rsidR="00F31193" w:rsidRDefault="00F31193">
      <w:pPr>
        <w:pStyle w:val="FootnoteText"/>
      </w:pPr>
      <w:r>
        <w:rPr>
          <w:rStyle w:val="FootnoteReference"/>
        </w:rPr>
        <w:footnoteRef/>
      </w:r>
      <w:r>
        <w:t xml:space="preserve"> </w:t>
      </w:r>
      <w:r w:rsidR="001538F4" w:rsidRPr="00D715B3">
        <w:rPr>
          <w:rFonts w:cs="Times New Roman"/>
        </w:rPr>
        <w:t>ALRC</w:t>
      </w:r>
      <w:r w:rsidR="001538F4">
        <w:rPr>
          <w:rFonts w:cs="Times New Roman"/>
        </w:rPr>
        <w:t>,</w:t>
      </w:r>
      <w:r w:rsidR="001538F4" w:rsidRPr="00D715B3">
        <w:rPr>
          <w:rFonts w:cs="Times New Roman"/>
          <w:i/>
          <w:iCs/>
        </w:rPr>
        <w:t xml:space="preserve"> Elder Abuse</w:t>
      </w:r>
      <w:r w:rsidR="001538F4" w:rsidRPr="00D715B3">
        <w:rPr>
          <w:rFonts w:cs="Times New Roman"/>
        </w:rPr>
        <w:t xml:space="preserve"> (n 6)</w:t>
      </w:r>
      <w:r w:rsidRPr="003C4B61">
        <w:t xml:space="preserve"> 363–73.</w:t>
      </w:r>
    </w:p>
  </w:footnote>
  <w:footnote w:id="924">
    <w:p w14:paraId="211C1341" w14:textId="2ECAA398" w:rsidR="00F31193" w:rsidRDefault="00F31193">
      <w:pPr>
        <w:pStyle w:val="FootnoteText"/>
      </w:pPr>
      <w:r>
        <w:rPr>
          <w:rStyle w:val="FootnoteReference"/>
        </w:rPr>
        <w:footnoteRef/>
      </w:r>
      <w:r>
        <w:t xml:space="preserve"> </w:t>
      </w:r>
      <w:r w:rsidRPr="003C4B61">
        <w:t xml:space="preserve">See </w:t>
      </w:r>
      <w:r w:rsidRPr="001538F4">
        <w:rPr>
          <w:b/>
          <w:bCs/>
        </w:rPr>
        <w:t xml:space="preserve">Part </w:t>
      </w:r>
      <w:r w:rsidR="001538F4">
        <w:rPr>
          <w:b/>
          <w:bCs/>
        </w:rPr>
        <w:t>4</w:t>
      </w:r>
      <w:r w:rsidRPr="003C4B61">
        <w:t xml:space="preserve"> regarding safeguarding and </w:t>
      </w:r>
      <w:r w:rsidRPr="001538F4">
        <w:rPr>
          <w:b/>
          <w:bCs/>
        </w:rPr>
        <w:t xml:space="preserve">Part </w:t>
      </w:r>
      <w:r w:rsidR="00AF746F">
        <w:rPr>
          <w:b/>
          <w:bCs/>
        </w:rPr>
        <w:t>5</w:t>
      </w:r>
      <w:r w:rsidRPr="003C4B61">
        <w:t xml:space="preserve"> </w:t>
      </w:r>
      <w:r w:rsidRPr="00771340">
        <w:t>regarding</w:t>
      </w:r>
      <w:r w:rsidRPr="003C4B61">
        <w:t xml:space="preserve"> </w:t>
      </w:r>
      <w:r w:rsidR="00AF746F">
        <w:t xml:space="preserve">other </w:t>
      </w:r>
      <w:r w:rsidRPr="003C4B61">
        <w:t>responses</w:t>
      </w:r>
      <w:r w:rsidR="00AF746F">
        <w:t xml:space="preserve"> under criminal and civil </w:t>
      </w:r>
      <w:r w:rsidR="00FE6AAA">
        <w:t>laws (including legislation, and common law and equity.</w:t>
      </w:r>
    </w:p>
  </w:footnote>
  <w:footnote w:id="925">
    <w:p w14:paraId="74D026D8" w14:textId="49EC3BD5" w:rsidR="00F31193" w:rsidRDefault="00F31193">
      <w:pPr>
        <w:pStyle w:val="FootnoteText"/>
      </w:pPr>
      <w:r>
        <w:rPr>
          <w:rStyle w:val="FootnoteReference"/>
        </w:rPr>
        <w:footnoteRef/>
      </w:r>
      <w:r>
        <w:t xml:space="preserve"> </w:t>
      </w:r>
      <w:r w:rsidR="00884363" w:rsidRPr="00D715B3">
        <w:rPr>
          <w:rFonts w:eastAsia="Aptos" w:cs="Times New Roman"/>
        </w:rPr>
        <w:t xml:space="preserve">Council of Attorneys-General, </w:t>
      </w:r>
      <w:r w:rsidR="00884363" w:rsidRPr="00D715B3">
        <w:rPr>
          <w:rFonts w:eastAsia="Aptos" w:cs="Times New Roman"/>
          <w:i/>
          <w:iCs/>
        </w:rPr>
        <w:t>National Plan 2019–2023</w:t>
      </w:r>
      <w:r w:rsidR="00884363" w:rsidRPr="00D715B3">
        <w:rPr>
          <w:rFonts w:eastAsia="Aptos" w:cs="Times New Roman"/>
        </w:rPr>
        <w:t xml:space="preserve"> </w:t>
      </w:r>
      <w:r w:rsidR="00884363" w:rsidRPr="00D715B3">
        <w:rPr>
          <w:rFonts w:cs="Times New Roman"/>
        </w:rPr>
        <w:t>(n 1)</w:t>
      </w:r>
      <w:r w:rsidRPr="003C4B61">
        <w:t xml:space="preserve"> 10. </w:t>
      </w:r>
    </w:p>
  </w:footnote>
  <w:footnote w:id="926">
    <w:p w14:paraId="1082163C" w14:textId="7523F2F7" w:rsidR="00F31193" w:rsidRDefault="00F31193">
      <w:pPr>
        <w:pStyle w:val="FootnoteText"/>
      </w:pPr>
      <w:r>
        <w:rPr>
          <w:rStyle w:val="FootnoteReference"/>
        </w:rPr>
        <w:footnoteRef/>
      </w:r>
      <w:r>
        <w:t xml:space="preserve"> </w:t>
      </w:r>
      <w:r w:rsidR="00884363" w:rsidRPr="00884363">
        <w:t>Ibid</w:t>
      </w:r>
      <w:r w:rsidRPr="00884363">
        <w:t xml:space="preserve"> </w:t>
      </w:r>
      <w:r w:rsidRPr="003C4B61">
        <w:t>(</w:t>
      </w:r>
      <w:r w:rsidRPr="00623FBB">
        <w:t>medium</w:t>
      </w:r>
      <w:r w:rsidRPr="003C4B61">
        <w:t xml:space="preserve"> to long term timeframe)</w:t>
      </w:r>
      <w:r w:rsidR="00884363">
        <w:t>.</w:t>
      </w:r>
      <w:r w:rsidRPr="003C4B61">
        <w:t xml:space="preserve"> </w:t>
      </w:r>
      <w:r w:rsidR="00F065A1">
        <w:t>I</w:t>
      </w:r>
      <w:r w:rsidRPr="003C4B61">
        <w:t>nitiative</w:t>
      </w:r>
      <w:r w:rsidR="00F065A1">
        <w:t xml:space="preserve"> </w:t>
      </w:r>
      <w:r w:rsidRPr="003C4B61">
        <w:t xml:space="preserve">5.2 </w:t>
      </w:r>
      <w:r w:rsidR="00F065A1">
        <w:t>is: ‘</w:t>
      </w:r>
      <w:r w:rsidRPr="003C4B61">
        <w:t>Continue to reform the Commonwealth’s regulatory framework for aged care to protect and enhance the safety, health and well-being and quality of life of aged care consumers.</w:t>
      </w:r>
      <w:r w:rsidR="00F065A1">
        <w:t>’</w:t>
      </w:r>
    </w:p>
  </w:footnote>
  <w:footnote w:id="927">
    <w:p w14:paraId="2E1AFF58" w14:textId="191853C2" w:rsidR="00F31193" w:rsidRDefault="00F31193">
      <w:pPr>
        <w:pStyle w:val="FootnoteText"/>
      </w:pPr>
      <w:r>
        <w:rPr>
          <w:rStyle w:val="FootnoteReference"/>
        </w:rPr>
        <w:footnoteRef/>
      </w:r>
      <w:r>
        <w:t xml:space="preserve"> </w:t>
      </w:r>
      <w:r w:rsidRPr="00BC1737">
        <w:t xml:space="preserve">See </w:t>
      </w:r>
      <w:r w:rsidR="00BC1737" w:rsidRPr="00BC1737">
        <w:t xml:space="preserve">‘About Us’, </w:t>
      </w:r>
      <w:r w:rsidR="00BC1737" w:rsidRPr="00023827">
        <w:rPr>
          <w:i/>
          <w:iCs/>
        </w:rPr>
        <w:t>Elder Abuse Action Australia (‘EAAA’)</w:t>
      </w:r>
      <w:r w:rsidR="00BC1737" w:rsidRPr="00BC1737">
        <w:t xml:space="preserve"> </w:t>
      </w:r>
      <w:r w:rsidR="00023827">
        <w:t xml:space="preserve">(Web Page, </w:t>
      </w:r>
      <w:r w:rsidR="00F14443">
        <w:t xml:space="preserve">2025) </w:t>
      </w:r>
      <w:r w:rsidR="00BC1737" w:rsidRPr="00BC1737">
        <w:t>&lt;</w:t>
      </w:r>
      <w:hyperlink r:id="rId139" w:history="1">
        <w:r w:rsidR="00BC1737" w:rsidRPr="00523D14">
          <w:rPr>
            <w:rStyle w:val="Hyperlink"/>
          </w:rPr>
          <w:t>https://eaaa.org.au/about-us/</w:t>
        </w:r>
      </w:hyperlink>
      <w:r w:rsidR="00BC1737">
        <w:t>&gt;.</w:t>
      </w:r>
    </w:p>
  </w:footnote>
  <w:footnote w:id="928">
    <w:p w14:paraId="5D1AF576" w14:textId="6005E9E2" w:rsidR="00F31193" w:rsidRDefault="00F31193">
      <w:pPr>
        <w:pStyle w:val="FootnoteText"/>
      </w:pPr>
      <w:r>
        <w:rPr>
          <w:rStyle w:val="FootnoteReference"/>
        </w:rPr>
        <w:footnoteRef/>
      </w:r>
      <w:r>
        <w:t xml:space="preserve"> </w:t>
      </w:r>
      <w:r w:rsidR="00DF42C3">
        <w:t xml:space="preserve">See </w:t>
      </w:r>
      <w:r w:rsidR="00023827">
        <w:t>‘</w:t>
      </w:r>
      <w:r w:rsidR="00023827" w:rsidRPr="00DF42C3">
        <w:t xml:space="preserve">What is Compass’, </w:t>
      </w:r>
      <w:r w:rsidR="00023827" w:rsidRPr="00DF42C3">
        <w:rPr>
          <w:i/>
          <w:iCs/>
        </w:rPr>
        <w:t>Compass</w:t>
      </w:r>
      <w:r w:rsidR="00023827" w:rsidRPr="00DF42C3">
        <w:t xml:space="preserve"> </w:t>
      </w:r>
      <w:r w:rsidR="00023827" w:rsidRPr="00DF42C3">
        <w:rPr>
          <w:i/>
          <w:iCs/>
        </w:rPr>
        <w:t>Elder Abuse Action Australia (‘EAAA’)</w:t>
      </w:r>
      <w:r w:rsidR="00023827" w:rsidRPr="00DF42C3">
        <w:t xml:space="preserve"> (Web Page, </w:t>
      </w:r>
      <w:r w:rsidR="00F14443" w:rsidRPr="00DF42C3">
        <w:t xml:space="preserve">2025) </w:t>
      </w:r>
      <w:r w:rsidR="00DF42C3" w:rsidRPr="00DF42C3">
        <w:t>&lt;</w:t>
      </w:r>
      <w:hyperlink r:id="rId140" w:anchor="section-our-mission " w:history="1">
        <w:r w:rsidR="00DF42C3" w:rsidRPr="00DF42C3">
          <w:rPr>
            <w:rStyle w:val="Hyperlink"/>
          </w:rPr>
          <w:t xml:space="preserve">https://www.compass.info/about/#section-our-mission </w:t>
        </w:r>
      </w:hyperlink>
      <w:r w:rsidR="00DF42C3" w:rsidRPr="00DF42C3">
        <w:t>&gt;.</w:t>
      </w:r>
    </w:p>
  </w:footnote>
  <w:footnote w:id="929">
    <w:p w14:paraId="04F73348" w14:textId="3EFB4531" w:rsidR="00987433" w:rsidRDefault="00987433">
      <w:pPr>
        <w:pStyle w:val="FootnoteText"/>
      </w:pPr>
      <w:r>
        <w:rPr>
          <w:rStyle w:val="FootnoteReference"/>
        </w:rPr>
        <w:footnoteRef/>
      </w:r>
      <w:r>
        <w:t xml:space="preserve"> </w:t>
      </w:r>
      <w:r w:rsidR="007B5A8B">
        <w:t xml:space="preserve">Australian Human Rights Commission, </w:t>
      </w:r>
      <w:r w:rsidR="00C81599">
        <w:t>‘</w:t>
      </w:r>
      <w:r w:rsidR="00C81599" w:rsidRPr="00C81599">
        <w:t>Robert Fitzgerald commences as Age Discrimination Commissioner</w:t>
      </w:r>
      <w:r w:rsidR="00C81599">
        <w:t>’ (Media Release, 2 April 2024) &lt;</w:t>
      </w:r>
      <w:hyperlink r:id="rId141" w:history="1">
        <w:r w:rsidR="009963E6" w:rsidRPr="00523D14">
          <w:rPr>
            <w:rStyle w:val="Hyperlink"/>
          </w:rPr>
          <w:t>https://humanrights.gov.au/about/news/robert-fitzgerald-commences-age-discrimination-commissioner</w:t>
        </w:r>
      </w:hyperlink>
      <w:r w:rsidR="00C81599">
        <w:t xml:space="preserve">&gt;. </w:t>
      </w:r>
    </w:p>
  </w:footnote>
  <w:footnote w:id="930">
    <w:p w14:paraId="5C6F7520" w14:textId="262E9B8D" w:rsidR="00987433" w:rsidRDefault="00987433">
      <w:pPr>
        <w:pStyle w:val="FootnoteText"/>
      </w:pPr>
      <w:r>
        <w:rPr>
          <w:rStyle w:val="FootnoteReference"/>
        </w:rPr>
        <w:footnoteRef/>
      </w:r>
      <w:r>
        <w:t xml:space="preserve"> </w:t>
      </w:r>
      <w:r w:rsidR="00425CE9">
        <w:t xml:space="preserve">AIFS and NARI, </w:t>
      </w:r>
      <w:r w:rsidR="00425CE9" w:rsidRPr="00544B11">
        <w:rPr>
          <w:i/>
          <w:iCs/>
        </w:rPr>
        <w:t>Evaluation of the National Plan</w:t>
      </w:r>
      <w:r w:rsidR="00425CE9">
        <w:t xml:space="preserve"> (n 235) </w:t>
      </w:r>
      <w:r w:rsidRPr="003C4B61">
        <w:t xml:space="preserve">2. It also identified the need to better identify and </w:t>
      </w:r>
      <w:r w:rsidRPr="00623FBB">
        <w:t>respond</w:t>
      </w:r>
      <w:r w:rsidRPr="003C4B61">
        <w:t xml:space="preserve"> to abuse of older people as a strong theme to come from the community survey.</w:t>
      </w:r>
    </w:p>
  </w:footnote>
  <w:footnote w:id="931">
    <w:p w14:paraId="60678CE0" w14:textId="2FC942BF" w:rsidR="00987433" w:rsidRDefault="00987433">
      <w:pPr>
        <w:pStyle w:val="FootnoteText"/>
      </w:pPr>
      <w:r>
        <w:rPr>
          <w:rStyle w:val="FootnoteReference"/>
        </w:rPr>
        <w:footnoteRef/>
      </w:r>
      <w:r>
        <w:t xml:space="preserve"> </w:t>
      </w:r>
      <w:r w:rsidR="00425CE9">
        <w:t xml:space="preserve">AIFS and NARI, </w:t>
      </w:r>
      <w:r w:rsidR="00425CE9" w:rsidRPr="00544B11">
        <w:rPr>
          <w:i/>
          <w:iCs/>
        </w:rPr>
        <w:t>Evaluation of the National Plan</w:t>
      </w:r>
      <w:r w:rsidR="00425CE9">
        <w:t xml:space="preserve"> (n 235) </w:t>
      </w:r>
      <w:r w:rsidR="0011062D">
        <w:t>128–31</w:t>
      </w:r>
      <w:r w:rsidRPr="00932A6B">
        <w:t xml:space="preserve"> for these themes and issues.</w:t>
      </w:r>
      <w:r w:rsidRPr="003C4B61">
        <w:t xml:space="preserve"> The remaining </w:t>
      </w:r>
      <w:r w:rsidR="0011062D">
        <w:t>five</w:t>
      </w:r>
      <w:r w:rsidRPr="003C4B61">
        <w:t xml:space="preserve"> themes related to Commonwealth matters, including residential aged care and home care packages and matters relating to Public Trustee and Guardianship agencies</w:t>
      </w:r>
    </w:p>
  </w:footnote>
  <w:footnote w:id="932">
    <w:p w14:paraId="5DAC3E05" w14:textId="449C0588" w:rsidR="00987433" w:rsidRDefault="00987433">
      <w:pPr>
        <w:pStyle w:val="FootnoteText"/>
      </w:pPr>
      <w:r>
        <w:rPr>
          <w:rStyle w:val="FootnoteReference"/>
        </w:rPr>
        <w:footnoteRef/>
      </w:r>
      <w:r>
        <w:t xml:space="preserve"> </w:t>
      </w:r>
      <w:r w:rsidRPr="003C4B61">
        <w:t>Issues: Safeguarding units in SA and NSW and progress in developing safeguarding model in Queensland were welcomed. Safeguarding units a ‘powerful tool in combating elder abuse, as they hold protective powers to investigate suspected abuse or neglect</w:t>
      </w:r>
      <w:r w:rsidR="00317571">
        <w:t xml:space="preserve">: ibid 128. </w:t>
      </w:r>
    </w:p>
  </w:footnote>
  <w:footnote w:id="933">
    <w:p w14:paraId="29CA8898" w14:textId="34C98658" w:rsidR="00987433" w:rsidRDefault="00987433">
      <w:pPr>
        <w:pStyle w:val="FootnoteText"/>
      </w:pPr>
      <w:r>
        <w:rPr>
          <w:rStyle w:val="FootnoteReference"/>
        </w:rPr>
        <w:footnoteRef/>
      </w:r>
      <w:r>
        <w:t xml:space="preserve"> </w:t>
      </w:r>
      <w:r w:rsidRPr="003C4B61">
        <w:t xml:space="preserve">Issues: Banks should be drawn into safeguarding with mandatory referral obligations to relevant agencies to improve detection of financial abuse and other forms of abuse that may be </w:t>
      </w:r>
      <w:r w:rsidRPr="00D932CA">
        <w:t>simultaneously</w:t>
      </w:r>
      <w:r w:rsidRPr="003C4B61">
        <w:t xml:space="preserve"> occurring</w:t>
      </w:r>
      <w:r w:rsidR="00317571">
        <w:t>: ibid.</w:t>
      </w:r>
    </w:p>
  </w:footnote>
  <w:footnote w:id="934">
    <w:p w14:paraId="437BE9EB" w14:textId="6ED38C22" w:rsidR="00987433" w:rsidRDefault="00987433">
      <w:pPr>
        <w:pStyle w:val="FootnoteText"/>
      </w:pPr>
      <w:r>
        <w:rPr>
          <w:rStyle w:val="FootnoteReference"/>
        </w:rPr>
        <w:footnoteRef/>
      </w:r>
      <w:r>
        <w:t xml:space="preserve"> </w:t>
      </w:r>
      <w:r w:rsidRPr="003C4B61">
        <w:t xml:space="preserve">Issues: Two participants supported ‘across-the-board’ mandatory reporting. However, mandatory reporting </w:t>
      </w:r>
      <w:r w:rsidRPr="00D932CA">
        <w:t>was</w:t>
      </w:r>
      <w:r w:rsidRPr="003C4B61">
        <w:t xml:space="preserve"> not supported by all participants (especially without consultation with victim/survivors). Concerns included: mandatory reporting not acting in best interests of older people experiencing abuse; and safeguarding should not override self-determination for older people</w:t>
      </w:r>
      <w:r w:rsidR="00317571">
        <w:t xml:space="preserve">: </w:t>
      </w:r>
      <w:r w:rsidR="007B5FB0">
        <w:t>ibid.</w:t>
      </w:r>
      <w:r w:rsidRPr="003C4B61">
        <w:t xml:space="preserve"> </w:t>
      </w:r>
    </w:p>
  </w:footnote>
  <w:footnote w:id="935">
    <w:p w14:paraId="77C87AE8" w14:textId="77777777" w:rsidR="00987433" w:rsidRPr="003C4B61" w:rsidRDefault="00987433" w:rsidP="00987433">
      <w:pPr>
        <w:pStyle w:val="FootnoteText"/>
      </w:pPr>
      <w:r>
        <w:rPr>
          <w:rStyle w:val="FootnoteReference"/>
        </w:rPr>
        <w:footnoteRef/>
      </w:r>
      <w:r>
        <w:t xml:space="preserve"> </w:t>
      </w:r>
      <w:r w:rsidRPr="003C4B61">
        <w:t xml:space="preserve">Issues: Criminalisation viewed to be a ‘critical component of safeguarding </w:t>
      </w:r>
      <w:r w:rsidRPr="00D932CA">
        <w:t>practices</w:t>
      </w:r>
      <w:r w:rsidRPr="003C4B61">
        <w:t xml:space="preserve"> … as a stronger deterrent for would-be perpetrators … particularly important within professions such as aged care, as well as the wider community, thereby helping to protect the rights of older people to be treated with dignity, safety and respect.’</w:t>
      </w:r>
    </w:p>
    <w:p w14:paraId="5A951C52" w14:textId="256ED137" w:rsidR="00987433" w:rsidRDefault="00987433" w:rsidP="00987433">
      <w:pPr>
        <w:pStyle w:val="FootnoteText"/>
      </w:pPr>
      <w:r w:rsidRPr="003C4B61">
        <w:t xml:space="preserve">In jurisdictions where coercive control is criminalised within intimate relationships it should be extended to relationships between a parent and adult child. Under this theme, it was also noted that eight participants were also concerned about a lack of options for people harmed in residential care to seek reparations or redress, and wanted to see the development of principles focused on this in the next National Plan, and further that a register for aged care providers was also suggested, in which facilities are listed that provide care ‘well below acceptable levels and where abuse, violence and neglect is occurring’: </w:t>
      </w:r>
      <w:r w:rsidR="007B5FB0">
        <w:t>ibid</w:t>
      </w:r>
      <w:r w:rsidRPr="003C4B61">
        <w:t>.</w:t>
      </w:r>
    </w:p>
  </w:footnote>
  <w:footnote w:id="936">
    <w:p w14:paraId="06B079C0" w14:textId="01940387" w:rsidR="00987433" w:rsidRDefault="00987433">
      <w:pPr>
        <w:pStyle w:val="FootnoteText"/>
      </w:pPr>
      <w:r>
        <w:rPr>
          <w:rStyle w:val="FootnoteReference"/>
        </w:rPr>
        <w:footnoteRef/>
      </w:r>
      <w:r>
        <w:t xml:space="preserve"> </w:t>
      </w:r>
      <w:r w:rsidRPr="003C4B61">
        <w:t xml:space="preserve">Issues: ‘[C]ountering social isolation should be viewed as a means of </w:t>
      </w:r>
      <w:r w:rsidRPr="00D932CA">
        <w:t>safeguarding’</w:t>
      </w:r>
      <w:r w:rsidR="007B5FB0">
        <w:t xml:space="preserve">: </w:t>
      </w:r>
      <w:r w:rsidR="00C5770B">
        <w:t xml:space="preserve">ibid </w:t>
      </w:r>
      <w:r w:rsidR="007B5FB0">
        <w:t>130.</w:t>
      </w:r>
    </w:p>
  </w:footnote>
  <w:footnote w:id="937">
    <w:p w14:paraId="66D1CE1B" w14:textId="25D1F765" w:rsidR="00987433" w:rsidRDefault="00987433">
      <w:pPr>
        <w:pStyle w:val="FootnoteText"/>
      </w:pPr>
      <w:r>
        <w:rPr>
          <w:rStyle w:val="FootnoteReference"/>
        </w:rPr>
        <w:footnoteRef/>
      </w:r>
      <w:r>
        <w:t xml:space="preserve"> </w:t>
      </w:r>
      <w:r w:rsidRPr="003C4B61">
        <w:t xml:space="preserve">Issues: Abuse of older people, particularly financial abuse, is exacerbated by socio-economic hardship (eg COVID-19 lockdown conditions) and a lack of adequate social welfare provisions (eg </w:t>
      </w:r>
      <w:r w:rsidRPr="00D932CA">
        <w:t>income</w:t>
      </w:r>
      <w:r w:rsidRPr="003C4B61">
        <w:t xml:space="preserve"> support, addiction treatment) may also prevent older people from reporting or ‘holding perpetrators accountable, particularly as victims may not wish to have perpetrators removed and potentially face homelessness’</w:t>
      </w:r>
      <w:r w:rsidR="007B5FB0">
        <w:t xml:space="preserve">: </w:t>
      </w:r>
      <w:r w:rsidR="0077296A">
        <w:t>ibid.</w:t>
      </w:r>
    </w:p>
  </w:footnote>
  <w:footnote w:id="938">
    <w:p w14:paraId="71B51364" w14:textId="163C5945" w:rsidR="00987433" w:rsidRDefault="00987433">
      <w:pPr>
        <w:pStyle w:val="FootnoteText"/>
      </w:pPr>
      <w:r>
        <w:rPr>
          <w:rStyle w:val="FootnoteReference"/>
        </w:rPr>
        <w:footnoteRef/>
      </w:r>
      <w:r>
        <w:t xml:space="preserve"> </w:t>
      </w:r>
      <w:r w:rsidRPr="003C4B61">
        <w:t xml:space="preserve">Issues: Commercial predation identified as an ongoing problem that targets vulnerable </w:t>
      </w:r>
      <w:r w:rsidRPr="00D932CA">
        <w:t>older</w:t>
      </w:r>
      <w:r w:rsidRPr="003C4B61">
        <w:t xml:space="preserve"> adults</w:t>
      </w:r>
      <w:r w:rsidR="00C5770B">
        <w:t>: ibid</w:t>
      </w:r>
    </w:p>
  </w:footnote>
  <w:footnote w:id="939">
    <w:p w14:paraId="0843C6CD" w14:textId="679CA7E9" w:rsidR="00987433" w:rsidRDefault="00987433">
      <w:pPr>
        <w:pStyle w:val="FootnoteText"/>
      </w:pPr>
      <w:r>
        <w:rPr>
          <w:rStyle w:val="FootnoteReference"/>
        </w:rPr>
        <w:footnoteRef/>
      </w:r>
      <w:r>
        <w:t xml:space="preserve"> </w:t>
      </w:r>
      <w:r w:rsidR="00E91066" w:rsidRPr="00D715B3">
        <w:rPr>
          <w:rFonts w:cs="Times New Roman"/>
        </w:rPr>
        <w:t>Council of Attorneys-General, ‘</w:t>
      </w:r>
      <w:r w:rsidR="00E91066" w:rsidRPr="00D715B3">
        <w:rPr>
          <w:rFonts w:cs="Times New Roman"/>
          <w:i/>
          <w:iCs/>
        </w:rPr>
        <w:t>National Plan 2024–2034: Public Consultation Draft</w:t>
      </w:r>
      <w:r w:rsidR="00E91066" w:rsidRPr="00D715B3">
        <w:rPr>
          <w:rFonts w:cs="Times New Roman"/>
        </w:rPr>
        <w:t xml:space="preserve"> (n 40)</w:t>
      </w:r>
      <w:r w:rsidR="00E91066">
        <w:rPr>
          <w:rFonts w:cs="Times New Roman"/>
        </w:rPr>
        <w:t xml:space="preserve"> </w:t>
      </w:r>
      <w:r w:rsidRPr="003C4B61">
        <w:t>31.</w:t>
      </w:r>
    </w:p>
  </w:footnote>
  <w:footnote w:id="940">
    <w:p w14:paraId="499E7187" w14:textId="192C3AF9" w:rsidR="00987433" w:rsidRDefault="00987433">
      <w:pPr>
        <w:pStyle w:val="FootnoteText"/>
      </w:pPr>
      <w:r>
        <w:rPr>
          <w:rStyle w:val="FootnoteReference"/>
        </w:rPr>
        <w:footnoteRef/>
      </w:r>
      <w:r>
        <w:t xml:space="preserve"> </w:t>
      </w:r>
      <w:r w:rsidR="00060158">
        <w:t xml:space="preserve">AIFS and NARI, </w:t>
      </w:r>
      <w:r w:rsidR="00060158" w:rsidRPr="00544B11">
        <w:rPr>
          <w:i/>
          <w:iCs/>
        </w:rPr>
        <w:t>Evaluation of the National Plan</w:t>
      </w:r>
      <w:r w:rsidR="00060158">
        <w:t xml:space="preserve"> (n 235) </w:t>
      </w:r>
      <w:r w:rsidRPr="003C4B61">
        <w:t>4.</w:t>
      </w:r>
    </w:p>
  </w:footnote>
  <w:footnote w:id="941">
    <w:p w14:paraId="431C87F1" w14:textId="03C01E24" w:rsidR="00191ADF" w:rsidRDefault="00191ADF">
      <w:pPr>
        <w:pStyle w:val="FootnoteText"/>
      </w:pPr>
      <w:r>
        <w:rPr>
          <w:rStyle w:val="FootnoteReference"/>
        </w:rPr>
        <w:footnoteRef/>
      </w:r>
      <w:r>
        <w:t xml:space="preserve"> </w:t>
      </w:r>
      <w:r w:rsidRPr="003C4B61">
        <w:t xml:space="preserve">These are: physical abuse; sexual abuse; psychological or </w:t>
      </w:r>
      <w:r w:rsidRPr="00D932CA">
        <w:t>emotional</w:t>
      </w:r>
      <w:r w:rsidRPr="003C4B61">
        <w:t xml:space="preserve"> abuse – with a spotlight on the emerging term of ‘grandparental alienation’; financial abuse – with a spotlight on an emerging term of ‘inheritance impatience’; and neglect: </w:t>
      </w:r>
      <w:r w:rsidR="00922408" w:rsidRPr="00D715B3">
        <w:rPr>
          <w:rFonts w:cs="Times New Roman"/>
        </w:rPr>
        <w:t>Council of Attorneys-General, ‘</w:t>
      </w:r>
      <w:r w:rsidR="00922408" w:rsidRPr="00D715B3">
        <w:rPr>
          <w:rFonts w:cs="Times New Roman"/>
          <w:i/>
          <w:iCs/>
        </w:rPr>
        <w:t>National Plan 2024–2034: Public Consultation Draft</w:t>
      </w:r>
      <w:r w:rsidR="00922408" w:rsidRPr="00D715B3">
        <w:rPr>
          <w:rFonts w:cs="Times New Roman"/>
        </w:rPr>
        <w:t xml:space="preserve"> (n 40)</w:t>
      </w:r>
      <w:r w:rsidR="00922408">
        <w:rPr>
          <w:rFonts w:cs="Times New Roman"/>
        </w:rPr>
        <w:t xml:space="preserve"> </w:t>
      </w:r>
      <w:r w:rsidRPr="003C4B61">
        <w:t>11–13.</w:t>
      </w:r>
    </w:p>
  </w:footnote>
  <w:footnote w:id="942">
    <w:p w14:paraId="1D6DD8D9" w14:textId="1F39EFC9" w:rsidR="00191ADF" w:rsidRPr="00E43742" w:rsidRDefault="00191ADF">
      <w:pPr>
        <w:pStyle w:val="FootnoteText"/>
      </w:pPr>
      <w:r>
        <w:rPr>
          <w:rStyle w:val="FootnoteReference"/>
        </w:rPr>
        <w:footnoteRef/>
      </w:r>
      <w:r>
        <w:t xml:space="preserve"> </w:t>
      </w:r>
      <w:r w:rsidR="00922408">
        <w:t>C</w:t>
      </w:r>
      <w:r w:rsidRPr="003C4B61">
        <w:t xml:space="preserve">ultural abuse and spiritual abuse </w:t>
      </w:r>
      <w:r w:rsidR="00922408">
        <w:t xml:space="preserve">are described as </w:t>
      </w:r>
      <w:r w:rsidRPr="003C4B61">
        <w:t xml:space="preserve">emerging and </w:t>
      </w:r>
      <w:r w:rsidRPr="00D932CA">
        <w:t>distinct</w:t>
      </w:r>
      <w:r w:rsidRPr="003C4B61">
        <w:t xml:space="preserve"> form</w:t>
      </w:r>
      <w:r w:rsidR="00922408">
        <w:t>s</w:t>
      </w:r>
      <w:r w:rsidRPr="003C4B61">
        <w:t xml:space="preserve"> of abuse to be considered. This includes, but is not limited to, abuse against First Nations Peoples, people of faith and people from culturally and linguistic diverse backgrounds (CALD)</w:t>
      </w:r>
      <w:r w:rsidR="00922408">
        <w:t>:</w:t>
      </w:r>
      <w:r w:rsidRPr="003C4B61">
        <w:t xml:space="preserve"> </w:t>
      </w:r>
      <w:r w:rsidR="00922408" w:rsidRPr="00D715B3">
        <w:rPr>
          <w:rFonts w:cs="Times New Roman"/>
        </w:rPr>
        <w:t>Council of Attorneys-General, ‘</w:t>
      </w:r>
      <w:r w:rsidR="00922408" w:rsidRPr="00D715B3">
        <w:rPr>
          <w:rFonts w:cs="Times New Roman"/>
          <w:i/>
          <w:iCs/>
        </w:rPr>
        <w:t>National Plan 2024–2034: Public Consultation Draft</w:t>
      </w:r>
      <w:r w:rsidR="00922408" w:rsidRPr="00D715B3">
        <w:rPr>
          <w:rFonts w:cs="Times New Roman"/>
        </w:rPr>
        <w:t xml:space="preserve"> (n 40)</w:t>
      </w:r>
      <w:r w:rsidR="00922408">
        <w:rPr>
          <w:rFonts w:cs="Times New Roman"/>
        </w:rPr>
        <w:t xml:space="preserve"> </w:t>
      </w:r>
      <w:r w:rsidRPr="003C4B61">
        <w:t xml:space="preserve">14. It is noted that this form of abuse is recognised as a distinct subtype of abuse in Tasmania’s current strategy: </w:t>
      </w:r>
      <w:r w:rsidR="00E43742" w:rsidRPr="0068201D">
        <w:t>Tasmania</w:t>
      </w:r>
      <w:r w:rsidR="00E43742">
        <w:t>n</w:t>
      </w:r>
      <w:r w:rsidR="00E43742" w:rsidRPr="0068201D">
        <w:t xml:space="preserve"> Government, </w:t>
      </w:r>
      <w:r w:rsidR="00E43742" w:rsidRPr="00FA6AEB">
        <w:rPr>
          <w:i/>
          <w:iCs/>
        </w:rPr>
        <w:t>Lifelong Respect Strategy 2023–2029</w:t>
      </w:r>
      <w:r w:rsidR="00E43742" w:rsidRPr="0068201D">
        <w:t xml:space="preserve"> (n 19</w:t>
      </w:r>
      <w:r w:rsidR="00E43742">
        <w:t xml:space="preserve">) </w:t>
      </w:r>
      <w:r w:rsidR="00E43742" w:rsidRPr="003C4B61">
        <w:t>9</w:t>
      </w:r>
      <w:r w:rsidR="00E43742">
        <w:t xml:space="preserve">; see further </w:t>
      </w:r>
      <w:r w:rsidRPr="00E43742">
        <w:rPr>
          <w:b/>
          <w:bCs/>
        </w:rPr>
        <w:t>Part 2</w:t>
      </w:r>
      <w:r w:rsidR="00E43742">
        <w:t xml:space="preserve"> at </w:t>
      </w:r>
      <w:r w:rsidR="008E75CB">
        <w:t>[2.2.3] and Table 2.1</w:t>
      </w:r>
    </w:p>
  </w:footnote>
  <w:footnote w:id="943">
    <w:p w14:paraId="36C3C77E" w14:textId="71206D28" w:rsidR="00191ADF" w:rsidRDefault="00191ADF">
      <w:pPr>
        <w:pStyle w:val="FootnoteText"/>
      </w:pPr>
      <w:r>
        <w:rPr>
          <w:rStyle w:val="FootnoteReference"/>
        </w:rPr>
        <w:footnoteRef/>
      </w:r>
      <w:r>
        <w:t xml:space="preserve"> </w:t>
      </w:r>
      <w:r w:rsidRPr="003C4B61">
        <w:t xml:space="preserve">The other three Focus Areas identify important related areas as follows: Focus </w:t>
      </w:r>
      <w:r w:rsidRPr="00D932CA">
        <w:t>Area</w:t>
      </w:r>
      <w:r w:rsidRPr="003C4B61">
        <w:t xml:space="preserve"> 1: ‘Increase whole of community awareness, education and engagement’: </w:t>
      </w:r>
      <w:r w:rsidR="00C5770B" w:rsidRPr="00D715B3">
        <w:rPr>
          <w:rFonts w:cs="Times New Roman"/>
        </w:rPr>
        <w:t>Council of Attorneys-General, ‘</w:t>
      </w:r>
      <w:r w:rsidR="00C5770B" w:rsidRPr="00D715B3">
        <w:rPr>
          <w:rFonts w:cs="Times New Roman"/>
          <w:i/>
          <w:iCs/>
        </w:rPr>
        <w:t>National Plan 2024–2034: Public Consultation Draft</w:t>
      </w:r>
      <w:r w:rsidR="00C5770B" w:rsidRPr="00D715B3">
        <w:rPr>
          <w:rFonts w:cs="Times New Roman"/>
        </w:rPr>
        <w:t xml:space="preserve"> (n 40)</w:t>
      </w:r>
      <w:r w:rsidR="00C5770B">
        <w:rPr>
          <w:rFonts w:cs="Times New Roman"/>
        </w:rPr>
        <w:t xml:space="preserve"> </w:t>
      </w:r>
      <w:r w:rsidRPr="003C4B61">
        <w:t>46</w:t>
      </w:r>
      <w:r w:rsidR="00950CBD">
        <w:t>–</w:t>
      </w:r>
      <w:r w:rsidRPr="003C4B61">
        <w:t xml:space="preserve">8; Focus Area 3: ‘Strengthen the capacity and capability of services, including through targeted education and training for professionals’: </w:t>
      </w:r>
      <w:r w:rsidR="00C5770B">
        <w:t xml:space="preserve">at </w:t>
      </w:r>
      <w:r w:rsidRPr="003C4B61">
        <w:t>54</w:t>
      </w:r>
      <w:r w:rsidR="00950CBD">
        <w:t>–</w:t>
      </w:r>
      <w:r w:rsidRPr="003C4B61">
        <w:t xml:space="preserve">6; Focus Area 4: ‘Address gaps in the evidence base and increase collaboration’: </w:t>
      </w:r>
      <w:r w:rsidR="00950CBD">
        <w:rPr>
          <w:rFonts w:cs="Times New Roman"/>
        </w:rPr>
        <w:t xml:space="preserve">at </w:t>
      </w:r>
      <w:r w:rsidRPr="003C4B61">
        <w:t>57</w:t>
      </w:r>
      <w:r w:rsidR="00922408">
        <w:t>–</w:t>
      </w:r>
      <w:r w:rsidRPr="003C4B61">
        <w:t>8.</w:t>
      </w:r>
    </w:p>
  </w:footnote>
  <w:footnote w:id="944">
    <w:p w14:paraId="324C6787" w14:textId="04088528" w:rsidR="00191ADF" w:rsidRDefault="00191ADF">
      <w:pPr>
        <w:pStyle w:val="FootnoteText"/>
      </w:pPr>
      <w:r>
        <w:rPr>
          <w:rStyle w:val="FootnoteReference"/>
        </w:rPr>
        <w:footnoteRef/>
      </w:r>
      <w:r>
        <w:t xml:space="preserve"> </w:t>
      </w:r>
      <w:r w:rsidR="00922408" w:rsidRPr="00D715B3">
        <w:rPr>
          <w:rFonts w:cs="Times New Roman"/>
        </w:rPr>
        <w:t>Council of Attorneys-General, ‘</w:t>
      </w:r>
      <w:r w:rsidR="00922408" w:rsidRPr="00D715B3">
        <w:rPr>
          <w:rFonts w:cs="Times New Roman"/>
          <w:i/>
          <w:iCs/>
        </w:rPr>
        <w:t>National Plan 2024–2034: Public Consultation Draft</w:t>
      </w:r>
      <w:r w:rsidR="00922408" w:rsidRPr="00D715B3">
        <w:rPr>
          <w:rFonts w:cs="Times New Roman"/>
        </w:rPr>
        <w:t xml:space="preserve"> (n 40)</w:t>
      </w:r>
      <w:r w:rsidR="00950CBD">
        <w:rPr>
          <w:rFonts w:cs="Times New Roman"/>
        </w:rPr>
        <w:t xml:space="preserve"> </w:t>
      </w:r>
      <w:r w:rsidRPr="003C4B61">
        <w:t>53.</w:t>
      </w:r>
    </w:p>
  </w:footnote>
  <w:footnote w:id="945">
    <w:p w14:paraId="2ADBFB4A" w14:textId="285ED1EF" w:rsidR="00191ADF" w:rsidRDefault="00191ADF">
      <w:pPr>
        <w:pStyle w:val="FootnoteText"/>
      </w:pPr>
      <w:r>
        <w:rPr>
          <w:rStyle w:val="FootnoteReference"/>
        </w:rPr>
        <w:footnoteRef/>
      </w:r>
      <w:r>
        <w:t xml:space="preserve"> </w:t>
      </w:r>
      <w:r w:rsidR="00922408">
        <w:t>Ibid</w:t>
      </w:r>
      <w:r w:rsidRPr="003C4B61">
        <w:t>.</w:t>
      </w:r>
    </w:p>
  </w:footnote>
  <w:footnote w:id="946">
    <w:p w14:paraId="1C059548" w14:textId="3399DC37" w:rsidR="00191ADF" w:rsidRDefault="00191ADF">
      <w:pPr>
        <w:pStyle w:val="FootnoteText"/>
      </w:pPr>
      <w:r>
        <w:rPr>
          <w:rStyle w:val="FootnoteReference"/>
        </w:rPr>
        <w:footnoteRef/>
      </w:r>
      <w:r>
        <w:t xml:space="preserve"> </w:t>
      </w:r>
      <w:r w:rsidR="008913A8" w:rsidRPr="006A45A0">
        <w:t>Australian Human Rights Commission</w:t>
      </w:r>
      <w:r w:rsidR="008913A8">
        <w:t xml:space="preserve">, </w:t>
      </w:r>
      <w:r w:rsidR="008913A8" w:rsidRPr="006A45A0">
        <w:rPr>
          <w:i/>
          <w:iCs/>
        </w:rPr>
        <w:t>New Project to Tackle Financial Elder Abuse</w:t>
      </w:r>
      <w:r w:rsidR="008913A8">
        <w:t xml:space="preserve"> (n 237). </w:t>
      </w:r>
      <w:r w:rsidRPr="008913A8">
        <w:t>The project is due to run for 14 months from late November 2024. To inform the work of this Collaborative, the Australian Human Rights Commission is engaging with various sectors, including ‘banking and financial, legal, advocacy and mediation services, adult safeguarding entities, peak bodies and relevant government agencies who engage in responding to financial elder abuse’. This has included activities such as a survey to ‘gather information about what works well, where more work needs to be done and what actions to take to support the safety, dignity and well-being of older people at risk of or experiencing financial abuse’.</w:t>
      </w:r>
    </w:p>
  </w:footnote>
  <w:footnote w:id="947">
    <w:p w14:paraId="1A52AB53" w14:textId="10A15BA3" w:rsidR="00191ADF" w:rsidRDefault="00191ADF">
      <w:pPr>
        <w:pStyle w:val="FootnoteText"/>
      </w:pPr>
      <w:r>
        <w:rPr>
          <w:rStyle w:val="FootnoteReference"/>
        </w:rPr>
        <w:footnoteRef/>
      </w:r>
      <w:r>
        <w:t xml:space="preserve"> </w:t>
      </w:r>
      <w:r w:rsidR="00013524">
        <w:t>Australian Institute of Family Studies (‘AIFS’),</w:t>
      </w:r>
      <w:r w:rsidR="006373DC">
        <w:t xml:space="preserve"> Australian Government ‘Abuse and </w:t>
      </w:r>
      <w:r w:rsidR="005570BC">
        <w:t>Mistreatment</w:t>
      </w:r>
      <w:r w:rsidR="006373DC">
        <w:t xml:space="preserve"> of LGBTIQA+ people’, AIFS (Web Page, </w:t>
      </w:r>
      <w:r w:rsidR="005570BC">
        <w:t>2025) &lt;</w:t>
      </w:r>
      <w:hyperlink r:id="rId142" w:history="1">
        <w:r w:rsidR="005570BC" w:rsidRPr="00523D14">
          <w:rPr>
            <w:rStyle w:val="Hyperlink"/>
          </w:rPr>
          <w:t>https://aifs.gov.au/research_programs/elder-abuse-research/LBGTIQA</w:t>
        </w:r>
      </w:hyperlink>
      <w:r w:rsidR="005570BC">
        <w:t>&gt;.</w:t>
      </w:r>
    </w:p>
  </w:footnote>
  <w:footnote w:id="948">
    <w:p w14:paraId="716A0F56" w14:textId="0FE1585A" w:rsidR="00191ADF" w:rsidRDefault="00191ADF">
      <w:pPr>
        <w:pStyle w:val="FootnoteText"/>
      </w:pPr>
      <w:r>
        <w:rPr>
          <w:rStyle w:val="FootnoteReference"/>
        </w:rPr>
        <w:footnoteRef/>
      </w:r>
      <w:r>
        <w:t xml:space="preserve"> </w:t>
      </w:r>
      <w:r w:rsidR="00922408" w:rsidRPr="00D715B3">
        <w:rPr>
          <w:rFonts w:cs="Times New Roman"/>
        </w:rPr>
        <w:t>Council of Attorneys-General, ‘</w:t>
      </w:r>
      <w:r w:rsidR="00922408" w:rsidRPr="00D715B3">
        <w:rPr>
          <w:rFonts w:cs="Times New Roman"/>
          <w:i/>
          <w:iCs/>
        </w:rPr>
        <w:t>National Plan 2024–2034: Public Consultation Draft</w:t>
      </w:r>
      <w:r w:rsidR="00922408" w:rsidRPr="00D715B3">
        <w:rPr>
          <w:rFonts w:cs="Times New Roman"/>
        </w:rPr>
        <w:t xml:space="preserve"> (n 40)</w:t>
      </w:r>
      <w:r w:rsidR="00922408">
        <w:rPr>
          <w:rFonts w:cs="Times New Roman"/>
        </w:rPr>
        <w:t xml:space="preserve"> </w:t>
      </w:r>
      <w:r w:rsidRPr="003C4B61">
        <w:t>57</w:t>
      </w:r>
      <w:r w:rsidR="005570BC">
        <w:t>.</w:t>
      </w:r>
    </w:p>
  </w:footnote>
  <w:footnote w:id="949">
    <w:p w14:paraId="59AC87FD" w14:textId="3BF92BA5" w:rsidR="005340F7" w:rsidRDefault="005340F7">
      <w:pPr>
        <w:pStyle w:val="FootnoteText"/>
      </w:pPr>
      <w:r>
        <w:rPr>
          <w:rStyle w:val="FootnoteReference"/>
        </w:rPr>
        <w:footnoteRef/>
      </w:r>
      <w:r>
        <w:t xml:space="preserve"> </w:t>
      </w:r>
      <w:r w:rsidR="00A60DAC">
        <w:t xml:space="preserve">Tasmanian Government, </w:t>
      </w:r>
      <w:r w:rsidR="00A60DAC" w:rsidRPr="008E12D2">
        <w:rPr>
          <w:i/>
          <w:iCs/>
        </w:rPr>
        <w:t>Respect and Protect</w:t>
      </w:r>
      <w:r w:rsidR="00A60DAC">
        <w:t xml:space="preserve"> (n 224) </w:t>
      </w:r>
      <w:r w:rsidRPr="003C4B61">
        <w:t xml:space="preserve">3; </w:t>
      </w:r>
      <w:r w:rsidRPr="0068201D">
        <w:t>Tasmania</w:t>
      </w:r>
      <w:r>
        <w:t>n</w:t>
      </w:r>
      <w:r w:rsidRPr="0068201D">
        <w:t xml:space="preserve"> Government, </w:t>
      </w:r>
      <w:r w:rsidRPr="00FA6AEB">
        <w:rPr>
          <w:i/>
          <w:iCs/>
        </w:rPr>
        <w:t>Lifelong Respect Strategy 2023–2029</w:t>
      </w:r>
      <w:r w:rsidRPr="0068201D">
        <w:t xml:space="preserve"> (n 19</w:t>
      </w:r>
      <w:r>
        <w:t xml:space="preserve">) </w:t>
      </w:r>
      <w:r w:rsidRPr="003C4B61">
        <w:t>6.</w:t>
      </w:r>
    </w:p>
  </w:footnote>
  <w:footnote w:id="950">
    <w:p w14:paraId="2476D9A6" w14:textId="48F8ACD8" w:rsidR="004D1F32" w:rsidRDefault="004D1F32">
      <w:pPr>
        <w:pStyle w:val="FootnoteText"/>
      </w:pPr>
      <w:r>
        <w:rPr>
          <w:rStyle w:val="FootnoteReference"/>
        </w:rPr>
        <w:footnoteRef/>
      </w:r>
      <w:r>
        <w:t xml:space="preserve"> </w:t>
      </w:r>
      <w:r w:rsidRPr="003C4B61">
        <w:t xml:space="preserve">For example, this has included development of the Tasmanian elder abuse awareness campaign called </w:t>
      </w:r>
      <w:r w:rsidRPr="003C4B61">
        <w:rPr>
          <w:i/>
          <w:iCs/>
        </w:rPr>
        <w:t>‘It’s OK to ask the question’</w:t>
      </w:r>
      <w:r w:rsidRPr="003C4B61">
        <w:t xml:space="preserve"> </w:t>
      </w:r>
      <w:r w:rsidR="00D9174F">
        <w:t>(</w:t>
      </w:r>
      <w:hyperlink r:id="rId143" w:history="1">
        <w:r w:rsidR="0038058B" w:rsidRPr="00523D14">
          <w:rPr>
            <w:rStyle w:val="Hyperlink"/>
          </w:rPr>
          <w:t>https://www.elderabuse.tas.gov.au/</w:t>
        </w:r>
      </w:hyperlink>
      <w:r w:rsidR="001A738B">
        <w:t xml:space="preserve">) </w:t>
      </w:r>
      <w:r w:rsidRPr="003C4B61">
        <w:t>as the primary awareness raising tool, which has been promoted on television, social media and radio. The campaign also includes a website, which provides detailed information and links to the Elder Abuse Helpline</w:t>
      </w:r>
      <w:r w:rsidR="00F103DB">
        <w:t xml:space="preserve">: </w:t>
      </w:r>
      <w:r w:rsidRPr="003C4B61">
        <w:t>see</w:t>
      </w:r>
      <w:r w:rsidR="00F103DB">
        <w:t xml:space="preserve"> Department of Premier and Cabinet, </w:t>
      </w:r>
      <w:r w:rsidR="00F103DB">
        <w:rPr>
          <w:i/>
          <w:iCs/>
        </w:rPr>
        <w:t>Elder Abuse Tasmania: It’s OK to Ask the Question</w:t>
      </w:r>
      <w:r w:rsidR="00F103DB">
        <w:t xml:space="preserve"> (n 458)</w:t>
      </w:r>
      <w:r w:rsidRPr="003C4B61">
        <w:t xml:space="preserve">. </w:t>
      </w:r>
    </w:p>
  </w:footnote>
  <w:footnote w:id="951">
    <w:p w14:paraId="43EE2874" w14:textId="20BB3F04" w:rsidR="004D1F32" w:rsidRDefault="004D1F32">
      <w:pPr>
        <w:pStyle w:val="FootnoteText"/>
      </w:pPr>
      <w:r>
        <w:rPr>
          <w:rStyle w:val="FootnoteReference"/>
        </w:rPr>
        <w:footnoteRef/>
      </w:r>
      <w:r>
        <w:t xml:space="preserve"> </w:t>
      </w:r>
      <w:r w:rsidR="00A60DAC">
        <w:t xml:space="preserve">Tasmanian Government, </w:t>
      </w:r>
      <w:r w:rsidR="00A60DAC" w:rsidRPr="008E12D2">
        <w:rPr>
          <w:i/>
          <w:iCs/>
        </w:rPr>
        <w:t>Respect and Protect</w:t>
      </w:r>
      <w:r w:rsidR="00A60DAC">
        <w:t xml:space="preserve"> (n 224) </w:t>
      </w:r>
      <w:r w:rsidRPr="003C4B61">
        <w:t>3.</w:t>
      </w:r>
    </w:p>
  </w:footnote>
  <w:footnote w:id="952">
    <w:p w14:paraId="7548CAE2" w14:textId="0BC24127" w:rsidR="004D1F32" w:rsidRDefault="004D1F32">
      <w:pPr>
        <w:pStyle w:val="FootnoteText"/>
      </w:pPr>
      <w:r>
        <w:rPr>
          <w:rStyle w:val="FootnoteReference"/>
        </w:rPr>
        <w:footnoteRef/>
      </w:r>
      <w:r>
        <w:t xml:space="preserve"> </w:t>
      </w:r>
      <w:r w:rsidR="00A60DAC">
        <w:t xml:space="preserve">Ibid </w:t>
      </w:r>
      <w:r>
        <w:t>2.</w:t>
      </w:r>
    </w:p>
  </w:footnote>
  <w:footnote w:id="953">
    <w:p w14:paraId="64D057C1" w14:textId="7044F66C" w:rsidR="004D1F32" w:rsidRDefault="004D1F32">
      <w:pPr>
        <w:pStyle w:val="FootnoteText"/>
      </w:pPr>
      <w:r>
        <w:rPr>
          <w:rStyle w:val="FootnoteReference"/>
        </w:rPr>
        <w:footnoteRef/>
      </w:r>
      <w:r>
        <w:t xml:space="preserve"> </w:t>
      </w:r>
      <w:r w:rsidR="00A60DAC">
        <w:t>Ibid</w:t>
      </w:r>
      <w:r w:rsidRPr="003C4B61">
        <w:t xml:space="preserve"> 3</w:t>
      </w:r>
      <w:r>
        <w:t>.</w:t>
      </w:r>
    </w:p>
  </w:footnote>
  <w:footnote w:id="954">
    <w:p w14:paraId="5BF44A09" w14:textId="7F30659E" w:rsidR="004D1F32" w:rsidRDefault="004D1F32">
      <w:pPr>
        <w:pStyle w:val="FootnoteText"/>
      </w:pPr>
      <w:r>
        <w:rPr>
          <w:rStyle w:val="FootnoteReference"/>
        </w:rPr>
        <w:footnoteRef/>
      </w:r>
      <w:r>
        <w:t xml:space="preserve"> </w:t>
      </w:r>
      <w:r w:rsidR="00A60DAC">
        <w:t>Ibid</w:t>
      </w:r>
      <w:r w:rsidRPr="003C4B61">
        <w:t>.</w:t>
      </w:r>
    </w:p>
  </w:footnote>
  <w:footnote w:id="955">
    <w:p w14:paraId="212A0BD5" w14:textId="21DDCB06" w:rsidR="004D1F32" w:rsidRDefault="004D1F32">
      <w:pPr>
        <w:pStyle w:val="FootnoteText"/>
      </w:pPr>
      <w:r>
        <w:rPr>
          <w:rStyle w:val="FootnoteReference"/>
        </w:rPr>
        <w:footnoteRef/>
      </w:r>
      <w:r>
        <w:t xml:space="preserve"> </w:t>
      </w:r>
      <w:r w:rsidRPr="0068201D">
        <w:t>Tasmania</w:t>
      </w:r>
      <w:r>
        <w:t>n</w:t>
      </w:r>
      <w:r w:rsidRPr="0068201D">
        <w:t xml:space="preserve"> Government, </w:t>
      </w:r>
      <w:r w:rsidRPr="00FA6AEB">
        <w:rPr>
          <w:i/>
          <w:iCs/>
        </w:rPr>
        <w:t>Lifelong Respect Strategy 2023–2029</w:t>
      </w:r>
      <w:r w:rsidRPr="0068201D">
        <w:t xml:space="preserve"> (n 19</w:t>
      </w:r>
      <w:r>
        <w:t xml:space="preserve">) </w:t>
      </w:r>
      <w:r w:rsidRPr="003C4B61">
        <w:t>3.</w:t>
      </w:r>
    </w:p>
  </w:footnote>
  <w:footnote w:id="956">
    <w:p w14:paraId="4532F0CE" w14:textId="03E4C5ED" w:rsidR="004D1F32" w:rsidRDefault="004D1F32">
      <w:pPr>
        <w:pStyle w:val="FootnoteText"/>
      </w:pPr>
      <w:r>
        <w:rPr>
          <w:rStyle w:val="FootnoteReference"/>
        </w:rPr>
        <w:footnoteRef/>
      </w:r>
      <w:r>
        <w:t xml:space="preserve"> </w:t>
      </w:r>
      <w:r w:rsidR="00A60DAC">
        <w:t>Ibid</w:t>
      </w:r>
      <w:r>
        <w:t xml:space="preserve"> </w:t>
      </w:r>
      <w:r w:rsidRPr="003C4B61">
        <w:t>14.</w:t>
      </w:r>
    </w:p>
  </w:footnote>
  <w:footnote w:id="957">
    <w:p w14:paraId="576653C9" w14:textId="4E6F8818" w:rsidR="004D1F32" w:rsidRDefault="004D1F32">
      <w:pPr>
        <w:pStyle w:val="FootnoteText"/>
      </w:pPr>
      <w:r>
        <w:rPr>
          <w:rStyle w:val="FootnoteReference"/>
        </w:rPr>
        <w:footnoteRef/>
      </w:r>
      <w:r>
        <w:t xml:space="preserve"> </w:t>
      </w:r>
      <w:r w:rsidR="003312E2">
        <w:t>Ibid: ‘</w:t>
      </w:r>
      <w:r w:rsidRPr="003C4B61">
        <w:t>Older Tasmanians live free from harm, have the right to family life, self-</w:t>
      </w:r>
      <w:r w:rsidRPr="00D932CA">
        <w:t>fulfilment</w:t>
      </w:r>
      <w:r w:rsidRPr="003C4B61">
        <w:t>, are respected and can freely and fully participate in their communities socially, culturally, economically, spiritually, and recreationally</w:t>
      </w:r>
      <w:r w:rsidR="003312E2">
        <w:t>.’</w:t>
      </w:r>
    </w:p>
  </w:footnote>
  <w:footnote w:id="958">
    <w:p w14:paraId="79B9BD77" w14:textId="71AFF92E" w:rsidR="004D1F32" w:rsidRDefault="004D1F32">
      <w:pPr>
        <w:pStyle w:val="FootnoteText"/>
      </w:pPr>
      <w:r>
        <w:rPr>
          <w:rStyle w:val="FootnoteReference"/>
        </w:rPr>
        <w:footnoteRef/>
      </w:r>
      <w:r>
        <w:t xml:space="preserve"> </w:t>
      </w:r>
      <w:r w:rsidR="003312E2">
        <w:t>Ibid: ‘</w:t>
      </w:r>
      <w:r w:rsidRPr="003C4B61">
        <w:t>Older Tasmanians are empowered and have the confidence, means and ability to have choice and self-determination about their future. They are safe and free from exploitation and physical, emotional, financial, social, or spiritual abuse. Older Tasmanians have access to the appropriate supports to participate in decisions that affect their own lives. The inherent dignity of older Tasmanians is respected, including individual autonomy and freedom and right to independence and choices</w:t>
      </w:r>
      <w:r>
        <w:t>.</w:t>
      </w:r>
      <w:r w:rsidR="003312E2">
        <w:t>’</w:t>
      </w:r>
    </w:p>
  </w:footnote>
  <w:footnote w:id="959">
    <w:p w14:paraId="577D7E46" w14:textId="47E397D4" w:rsidR="004D1F32" w:rsidRDefault="004D1F32">
      <w:pPr>
        <w:pStyle w:val="FootnoteText"/>
      </w:pPr>
      <w:r>
        <w:rPr>
          <w:rStyle w:val="FootnoteReference"/>
        </w:rPr>
        <w:footnoteRef/>
      </w:r>
      <w:r>
        <w:t xml:space="preserve"> </w:t>
      </w:r>
      <w:r w:rsidR="003312E2">
        <w:t>Ibid: ‘</w:t>
      </w:r>
      <w:r w:rsidRPr="003C4B61">
        <w:t xml:space="preserve">Older Tasmanians experience independence, dignity, and the ability to make decisions about their own lives. They are respected by their family, the community and not discriminated </w:t>
      </w:r>
      <w:r w:rsidRPr="00D932CA">
        <w:t>against</w:t>
      </w:r>
      <w:r w:rsidRPr="003C4B61">
        <w:t xml:space="preserve"> due to their age. Older Tasmanians have the appropriate supports, services and the means to promote their physical, mental and emotional wellbeing, enabling them to retain independence, dignity and the ability to make decisions about their own lives.</w:t>
      </w:r>
      <w:r w:rsidR="003312E2">
        <w:t>’</w:t>
      </w:r>
    </w:p>
  </w:footnote>
  <w:footnote w:id="960">
    <w:p w14:paraId="3025C715" w14:textId="402C9E70" w:rsidR="004D1F32" w:rsidRPr="004D1F32" w:rsidRDefault="004D1F32">
      <w:pPr>
        <w:pStyle w:val="FootnoteText"/>
      </w:pPr>
      <w:r>
        <w:rPr>
          <w:rStyle w:val="FootnoteReference"/>
        </w:rPr>
        <w:footnoteRef/>
      </w:r>
      <w:r>
        <w:t xml:space="preserve"> </w:t>
      </w:r>
      <w:r w:rsidR="003312E2">
        <w:t>Ibid: ‘</w:t>
      </w:r>
      <w:r w:rsidRPr="004D1F32">
        <w:t>Respect for older Tasmanians’ rights to express and present themselves relative to their culture, community and identity.</w:t>
      </w:r>
      <w:r w:rsidR="003312E2">
        <w:t>’</w:t>
      </w:r>
    </w:p>
  </w:footnote>
  <w:footnote w:id="961">
    <w:p w14:paraId="081320F3" w14:textId="06EFB189" w:rsidR="004D1F32" w:rsidRDefault="004D1F32">
      <w:pPr>
        <w:pStyle w:val="FootnoteText"/>
      </w:pPr>
      <w:r>
        <w:rPr>
          <w:rStyle w:val="FootnoteReference"/>
        </w:rPr>
        <w:footnoteRef/>
      </w:r>
      <w:r>
        <w:t xml:space="preserve"> </w:t>
      </w:r>
      <w:r w:rsidR="00660C15">
        <w:t xml:space="preserve">Department of Premier and Cabinet, ‘Information for Service Providers’, </w:t>
      </w:r>
      <w:r w:rsidR="00660C15">
        <w:rPr>
          <w:i/>
          <w:iCs/>
        </w:rPr>
        <w:t xml:space="preserve">Elder Abuse Tasmania: It’s OK to Ask the Question </w:t>
      </w:r>
      <w:r w:rsidR="00660C15">
        <w:t>(</w:t>
      </w:r>
      <w:r w:rsidR="008C014F">
        <w:t>n 231)</w:t>
      </w:r>
      <w:r w:rsidR="00660C15">
        <w:t>. Regarding the ‘</w:t>
      </w:r>
      <w:r w:rsidR="00660C15" w:rsidRPr="003947DA">
        <w:t>United Nations Principles for Older Persons</w:t>
      </w:r>
      <w:r w:rsidR="00660C15">
        <w:t xml:space="preserve">’, see </w:t>
      </w:r>
      <w:r w:rsidR="00660C15" w:rsidRPr="00E507F8">
        <w:rPr>
          <w:b/>
          <w:bCs/>
        </w:rPr>
        <w:t>Appendix D</w:t>
      </w:r>
      <w:r w:rsidR="00660C15" w:rsidRPr="00E53919">
        <w:t>.</w:t>
      </w:r>
      <w:r w:rsidR="00660C15">
        <w:t xml:space="preserve"> </w:t>
      </w:r>
      <w:r w:rsidR="0038004D">
        <w:t>Regarding the ‘</w:t>
      </w:r>
      <w:r w:rsidR="0038004D" w:rsidRPr="003947DA">
        <w:t xml:space="preserve">South Australian </w:t>
      </w:r>
      <w:r w:rsidR="0038004D">
        <w:t>Charter</w:t>
      </w:r>
      <w:r w:rsidR="0038004D" w:rsidRPr="003947DA">
        <w:t xml:space="preserve"> of the Rights and Freedom</w:t>
      </w:r>
      <w:r w:rsidR="0038004D">
        <w:t>s</w:t>
      </w:r>
      <w:r w:rsidR="0038004D" w:rsidRPr="003947DA">
        <w:t xml:space="preserve"> of Older People</w:t>
      </w:r>
      <w:r w:rsidR="0038004D">
        <w:t xml:space="preserve">’, see: </w:t>
      </w:r>
      <w:r w:rsidR="0038004D" w:rsidRPr="0038004D">
        <w:rPr>
          <w:b/>
          <w:bCs/>
        </w:rPr>
        <w:t>Part 3</w:t>
      </w:r>
      <w:r w:rsidR="0038004D">
        <w:t xml:space="preserve"> at [3.2.1]</w:t>
      </w:r>
      <w:r w:rsidR="008C014F">
        <w:t xml:space="preserve"> and</w:t>
      </w:r>
      <w:r w:rsidR="0038004D">
        <w:t xml:space="preserve"> n 231.</w:t>
      </w:r>
    </w:p>
  </w:footnote>
  <w:footnote w:id="962">
    <w:p w14:paraId="7AC66811" w14:textId="0AC715A4" w:rsidR="004D1F32" w:rsidRDefault="004D1F32">
      <w:pPr>
        <w:pStyle w:val="FootnoteText"/>
      </w:pPr>
      <w:r>
        <w:rPr>
          <w:rStyle w:val="FootnoteReference"/>
        </w:rPr>
        <w:footnoteRef/>
      </w:r>
      <w:r>
        <w:t xml:space="preserve"> </w:t>
      </w:r>
      <w:r w:rsidR="005C302D" w:rsidRPr="00D715B3">
        <w:rPr>
          <w:rFonts w:cs="Times New Roman"/>
        </w:rPr>
        <w:t xml:space="preserve">Tasmanian Government, </w:t>
      </w:r>
      <w:r w:rsidR="005C302D" w:rsidRPr="00D715B3">
        <w:rPr>
          <w:rFonts w:cs="Times New Roman"/>
          <w:i/>
          <w:iCs/>
        </w:rPr>
        <w:t>Action Plan 2025–2029</w:t>
      </w:r>
      <w:r w:rsidR="005C302D" w:rsidRPr="00D715B3">
        <w:rPr>
          <w:rFonts w:cs="Times New Roman"/>
        </w:rPr>
        <w:t xml:space="preserve"> (n 18)</w:t>
      </w:r>
      <w:r w:rsidR="005C302D">
        <w:rPr>
          <w:rFonts w:cs="Times New Roman"/>
        </w:rPr>
        <w:t xml:space="preserve"> </w:t>
      </w:r>
      <w:r w:rsidRPr="00D932CA">
        <w:t>24</w:t>
      </w:r>
      <w:r w:rsidR="003312E2">
        <w:t>.</w:t>
      </w:r>
    </w:p>
  </w:footnote>
  <w:footnote w:id="963">
    <w:p w14:paraId="56E704E9" w14:textId="5581D2CA" w:rsidR="004D1F32" w:rsidRDefault="004D1F32">
      <w:pPr>
        <w:pStyle w:val="FootnoteText"/>
      </w:pPr>
      <w:r>
        <w:rPr>
          <w:rStyle w:val="FootnoteReference"/>
        </w:rPr>
        <w:footnoteRef/>
      </w:r>
      <w:r>
        <w:t xml:space="preserve"> </w:t>
      </w:r>
      <w:r w:rsidR="005C302D">
        <w:t>Ibid</w:t>
      </w:r>
      <w:r w:rsidRPr="003C4B61">
        <w:t xml:space="preserve"> </w:t>
      </w:r>
      <w:r>
        <w:t>8.</w:t>
      </w:r>
    </w:p>
  </w:footnote>
  <w:footnote w:id="964">
    <w:p w14:paraId="4BBE2CB8" w14:textId="1F892702" w:rsidR="004D1F32" w:rsidRDefault="004D1F32">
      <w:pPr>
        <w:pStyle w:val="FootnoteText"/>
      </w:pPr>
      <w:r>
        <w:rPr>
          <w:rStyle w:val="FootnoteReference"/>
        </w:rPr>
        <w:footnoteRef/>
      </w:r>
      <w:r>
        <w:t xml:space="preserve"> </w:t>
      </w:r>
      <w:r w:rsidR="005C302D">
        <w:rPr>
          <w:rFonts w:cs="Times New Roman"/>
        </w:rPr>
        <w:t xml:space="preserve">Ibid </w:t>
      </w:r>
      <w:r w:rsidRPr="003C4B61">
        <w:t xml:space="preserve">9. </w:t>
      </w:r>
    </w:p>
  </w:footnote>
  <w:footnote w:id="965">
    <w:p w14:paraId="5927F2AA" w14:textId="0E60874D" w:rsidR="004D1F32" w:rsidRDefault="004D1F32">
      <w:pPr>
        <w:pStyle w:val="FootnoteText"/>
      </w:pPr>
      <w:r>
        <w:rPr>
          <w:rStyle w:val="FootnoteReference"/>
        </w:rPr>
        <w:footnoteRef/>
      </w:r>
      <w:r>
        <w:t xml:space="preserve"> </w:t>
      </w:r>
      <w:r w:rsidR="005C302D">
        <w:t>Ibid</w:t>
      </w:r>
      <w:r w:rsidRPr="003C4B61">
        <w:t xml:space="preserve"> </w:t>
      </w:r>
      <w:r w:rsidRPr="00D932CA">
        <w:t>27</w:t>
      </w:r>
      <w:r>
        <w:t>.</w:t>
      </w:r>
    </w:p>
  </w:footnote>
  <w:footnote w:id="966">
    <w:p w14:paraId="53EB3AA4" w14:textId="666C9A59" w:rsidR="004D1F32" w:rsidRDefault="004D1F32">
      <w:pPr>
        <w:pStyle w:val="FootnoteText"/>
      </w:pPr>
      <w:r>
        <w:rPr>
          <w:rStyle w:val="FootnoteReference"/>
        </w:rPr>
        <w:footnoteRef/>
      </w:r>
      <w:r>
        <w:t xml:space="preserve"> </w:t>
      </w:r>
      <w:r w:rsidR="005C302D" w:rsidRPr="005C302D">
        <w:t>Ibid</w:t>
      </w:r>
      <w:r w:rsidRPr="005C302D">
        <w:t>.</w:t>
      </w:r>
    </w:p>
  </w:footnote>
  <w:footnote w:id="967">
    <w:p w14:paraId="1FD8652F" w14:textId="170C8787" w:rsidR="004D1F32" w:rsidRDefault="004D1F32">
      <w:pPr>
        <w:pStyle w:val="FootnoteText"/>
      </w:pPr>
      <w:r>
        <w:rPr>
          <w:rStyle w:val="FootnoteReference"/>
        </w:rPr>
        <w:footnoteRef/>
      </w:r>
      <w:r>
        <w:t xml:space="preserve"> </w:t>
      </w:r>
      <w:r w:rsidR="005C302D" w:rsidRPr="005C302D">
        <w:t>Ibid</w:t>
      </w:r>
      <w:r w:rsidRPr="003C4B61">
        <w:t xml:space="preserve"> </w:t>
      </w:r>
      <w:r>
        <w:t>20</w:t>
      </w:r>
      <w:r w:rsidR="00CF647D">
        <w:t>–1.</w:t>
      </w:r>
    </w:p>
  </w:footnote>
  <w:footnote w:id="968">
    <w:p w14:paraId="731B3AF7" w14:textId="36411F32" w:rsidR="004D1F32" w:rsidRDefault="004D1F32">
      <w:pPr>
        <w:pStyle w:val="FootnoteText"/>
      </w:pPr>
      <w:r>
        <w:rPr>
          <w:rStyle w:val="FootnoteReference"/>
        </w:rPr>
        <w:footnoteRef/>
      </w:r>
      <w:r>
        <w:t xml:space="preserve"> </w:t>
      </w:r>
      <w:r w:rsidRPr="003C4B61">
        <w:t xml:space="preserve">The Action Plan also identifies that Tasmanian Government’s commitment </w:t>
      </w:r>
      <w:r w:rsidRPr="00D932CA">
        <w:t>to</w:t>
      </w:r>
      <w:r w:rsidRPr="003C4B61">
        <w:t xml:space="preserve"> achieving Closing the Gap outcomes is reflected in priority reforms being reflected across the plan’s actions and initiatives being ‘culturally respectful and inclusive of Aboriginal people, including by acknowledging Aboriginal people are considered “older” at the age of 50 years, and adjusting policies and practices, including eligibility criteria, accordingly</w:t>
      </w:r>
      <w:r>
        <w:t>: ibid at 9</w:t>
      </w:r>
      <w:r w:rsidR="00EB3818">
        <w:t>.</w:t>
      </w:r>
      <w:r w:rsidRPr="003C4B61">
        <w:t xml:space="preserve">  </w:t>
      </w:r>
    </w:p>
  </w:footnote>
  <w:footnote w:id="969">
    <w:p w14:paraId="441743F1" w14:textId="2D78C730" w:rsidR="00DA013F" w:rsidRDefault="00DA013F" w:rsidP="00DA013F">
      <w:pPr>
        <w:pStyle w:val="FootnoteText"/>
      </w:pPr>
      <w:r>
        <w:rPr>
          <w:rStyle w:val="FootnoteReference"/>
        </w:rPr>
        <w:footnoteRef/>
      </w:r>
      <w:r>
        <w:t xml:space="preserve"> </w:t>
      </w:r>
      <w:r w:rsidR="00EB3818" w:rsidRPr="00EB3818">
        <w:t xml:space="preserve">Ibid </w:t>
      </w:r>
      <w:r>
        <w:t xml:space="preserve">32, </w:t>
      </w:r>
      <w:r w:rsidRPr="00D932CA">
        <w:t>34</w:t>
      </w:r>
      <w:r>
        <w:t>.</w:t>
      </w:r>
    </w:p>
  </w:footnote>
  <w:footnote w:id="970">
    <w:p w14:paraId="7DBE5EC2" w14:textId="12FDE097" w:rsidR="004D1F32" w:rsidRDefault="004D1F32">
      <w:pPr>
        <w:pStyle w:val="FootnoteText"/>
      </w:pPr>
      <w:r>
        <w:rPr>
          <w:rStyle w:val="FootnoteReference"/>
        </w:rPr>
        <w:footnoteRef/>
      </w:r>
      <w:r>
        <w:t xml:space="preserve"> </w:t>
      </w:r>
      <w:r w:rsidR="00027FA1">
        <w:t xml:space="preserve">OHCHR (n 349). </w:t>
      </w:r>
      <w:r w:rsidRPr="003C4B61">
        <w:t xml:space="preserve">The </w:t>
      </w:r>
      <w:r w:rsidR="00241A0E">
        <w:t>‘</w:t>
      </w:r>
      <w:r w:rsidR="00241A0E" w:rsidRPr="004F2B36">
        <w:t>United Nations Principles for Older Persons</w:t>
      </w:r>
      <w:r w:rsidR="00241A0E">
        <w:t xml:space="preserve">’ </w:t>
      </w:r>
      <w:r w:rsidRPr="003C4B61">
        <w:t>also refer to</w:t>
      </w:r>
      <w:r w:rsidR="002244E7">
        <w:t xml:space="preserve">: United Nations, </w:t>
      </w:r>
      <w:r w:rsidR="002244E7" w:rsidRPr="008D57A4">
        <w:rPr>
          <w:i/>
          <w:iCs/>
        </w:rPr>
        <w:t>Political Declaration and Madrid</w:t>
      </w:r>
      <w:r w:rsidRPr="008D57A4">
        <w:rPr>
          <w:i/>
          <w:iCs/>
        </w:rPr>
        <w:t xml:space="preserve"> International Plan of </w:t>
      </w:r>
      <w:r w:rsidR="002244E7" w:rsidRPr="008D57A4">
        <w:rPr>
          <w:i/>
          <w:iCs/>
        </w:rPr>
        <w:t>Action on Ageing</w:t>
      </w:r>
      <w:r w:rsidR="002244E7">
        <w:t xml:space="preserve"> </w:t>
      </w:r>
      <w:r w:rsidR="008D57A4">
        <w:t xml:space="preserve">(Second World Assembly on Ageing, Madrid, Spain, 8–12 April 2002). </w:t>
      </w:r>
    </w:p>
  </w:footnote>
  <w:footnote w:id="971">
    <w:p w14:paraId="0AC67762" w14:textId="13FC159C" w:rsidR="004D1F32" w:rsidRDefault="004D1F32">
      <w:pPr>
        <w:pStyle w:val="FootnoteText"/>
      </w:pPr>
      <w:r>
        <w:rPr>
          <w:rStyle w:val="FootnoteReference"/>
        </w:rPr>
        <w:footnoteRef/>
      </w:r>
      <w:r>
        <w:t xml:space="preserve"> </w:t>
      </w:r>
      <w:r w:rsidRPr="003C4B61">
        <w:t xml:space="preserve">Prior to October 2022, the </w:t>
      </w:r>
      <w:r w:rsidRPr="003C4B61">
        <w:rPr>
          <w:i/>
          <w:iCs/>
        </w:rPr>
        <w:t>Ageing and Adult Safeguarding Act 1995</w:t>
      </w:r>
      <w:r w:rsidRPr="003C4B61">
        <w:t xml:space="preserve"> (SA) </w:t>
      </w:r>
      <w:r w:rsidRPr="00D932CA">
        <w:t>applied</w:t>
      </w:r>
      <w:r w:rsidRPr="003C4B61">
        <w:t xml:space="preserve"> only to vulnerable adults aged 65</w:t>
      </w:r>
      <w:r w:rsidR="00432AE3">
        <w:t xml:space="preserve"> years and over</w:t>
      </w:r>
      <w:r w:rsidRPr="003C4B61">
        <w:t xml:space="preserve"> and 5</w:t>
      </w:r>
      <w:r w:rsidR="00432AE3">
        <w:t>0 years and over</w:t>
      </w:r>
      <w:r w:rsidRPr="003C4B61">
        <w:t xml:space="preserve"> for Aboriginal and Torres Strait Islander vulnerable adults. The Act now applies to all vulnerable adults irrespective of age.</w:t>
      </w:r>
    </w:p>
  </w:footnote>
  <w:footnote w:id="972">
    <w:p w14:paraId="3B91175D" w14:textId="609DA0B8" w:rsidR="004D1F32" w:rsidRDefault="004D1F32">
      <w:pPr>
        <w:pStyle w:val="FootnoteText"/>
      </w:pPr>
      <w:r>
        <w:rPr>
          <w:rStyle w:val="FootnoteReference"/>
        </w:rPr>
        <w:footnoteRef/>
      </w:r>
      <w:r>
        <w:t xml:space="preserve"> </w:t>
      </w:r>
      <w:r w:rsidRPr="003C4B61">
        <w:t>Amendment</w:t>
      </w:r>
      <w:r w:rsidR="006B4E90">
        <w:t>s</w:t>
      </w:r>
      <w:r w:rsidRPr="003C4B61">
        <w:t xml:space="preserve"> made by COVID-19 Emergency Bill </w:t>
      </w:r>
      <w:r w:rsidR="005E2232">
        <w:t xml:space="preserve">2020 (ACT) </w:t>
      </w:r>
      <w:r w:rsidRPr="003C4B61">
        <w:t xml:space="preserve">to extend application of the </w:t>
      </w:r>
      <w:r w:rsidRPr="003C4B61">
        <w:rPr>
          <w:i/>
          <w:iCs/>
        </w:rPr>
        <w:t>Human Rights Commission Act 2005</w:t>
      </w:r>
      <w:r w:rsidRPr="003C4B61">
        <w:t xml:space="preserve"> (ACT) to </w:t>
      </w:r>
      <w:r w:rsidRPr="003F1A88">
        <w:t>include</w:t>
      </w:r>
      <w:r w:rsidRPr="003C4B61">
        <w:t xml:space="preserve"> people aged 60 years and over.</w:t>
      </w:r>
    </w:p>
  </w:footnote>
  <w:footnote w:id="973">
    <w:p w14:paraId="5E580905" w14:textId="2706C82F" w:rsidR="004D1F32" w:rsidRDefault="004D1F32" w:rsidP="00793439">
      <w:pPr>
        <w:pStyle w:val="FootnoteText"/>
      </w:pPr>
      <w:r>
        <w:rPr>
          <w:rStyle w:val="FootnoteReference"/>
        </w:rPr>
        <w:footnoteRef/>
      </w:r>
      <w:r>
        <w:t xml:space="preserve"> </w:t>
      </w:r>
      <w:r w:rsidR="00793439">
        <w:t xml:space="preserve">Department of Families, Fairness and Housing, </w:t>
      </w:r>
      <w:r w:rsidR="00D65361">
        <w:t xml:space="preserve">Victorian Government, </w:t>
      </w:r>
      <w:r w:rsidR="00D65361">
        <w:rPr>
          <w:i/>
          <w:iCs/>
        </w:rPr>
        <w:t>Our Equal State</w:t>
      </w:r>
      <w:r w:rsidR="00336B6D">
        <w:rPr>
          <w:i/>
          <w:iCs/>
        </w:rPr>
        <w:t>: Victoria’s Gender Equality Strategy</w:t>
      </w:r>
      <w:r w:rsidR="00C61641">
        <w:rPr>
          <w:i/>
          <w:iCs/>
        </w:rPr>
        <w:t xml:space="preserve"> </w:t>
      </w:r>
      <w:r w:rsidR="00444BC7">
        <w:rPr>
          <w:i/>
          <w:iCs/>
        </w:rPr>
        <w:t xml:space="preserve">and Action Plan </w:t>
      </w:r>
      <w:r w:rsidR="00C61641">
        <w:rPr>
          <w:i/>
          <w:iCs/>
        </w:rPr>
        <w:t>2023–2027</w:t>
      </w:r>
      <w:r w:rsidR="004856BE">
        <w:t xml:space="preserve"> </w:t>
      </w:r>
      <w:r w:rsidR="00793439">
        <w:t>(2023</w:t>
      </w:r>
      <w:r w:rsidR="003F2A23">
        <w:t xml:space="preserve">) </w:t>
      </w:r>
      <w:r w:rsidR="00336B6D">
        <w:t>&lt;</w:t>
      </w:r>
      <w:hyperlink r:id="rId144" w:history="1">
        <w:r w:rsidR="00336B6D" w:rsidRPr="00523D14">
          <w:rPr>
            <w:rStyle w:val="Hyperlink"/>
          </w:rPr>
          <w:t>https://www.vic.gov.au/our-equal-state-victorias-gender-equality-strategy-and-action-plan-2023-2027/older-age/ending-gendered-violence-elder-abuse</w:t>
        </w:r>
      </w:hyperlink>
      <w:r w:rsidR="00336B6D">
        <w:t>&gt;</w:t>
      </w:r>
      <w:r w:rsidR="004856BE">
        <w:t xml:space="preserve"> 54</w:t>
      </w:r>
      <w:r w:rsidR="00B25F6A">
        <w:t>: ‘Ending gendered violence and elder abuse’.</w:t>
      </w:r>
    </w:p>
  </w:footnote>
  <w:footnote w:id="974">
    <w:p w14:paraId="72BC0DDB" w14:textId="3C0ED6C9" w:rsidR="004D1F32" w:rsidRDefault="004D1F32">
      <w:pPr>
        <w:pStyle w:val="FootnoteText"/>
      </w:pPr>
      <w:r>
        <w:rPr>
          <w:rStyle w:val="FootnoteReference"/>
        </w:rPr>
        <w:footnoteRef/>
      </w:r>
      <w:r>
        <w:t xml:space="preserve"> </w:t>
      </w:r>
      <w:r w:rsidR="00A345B8">
        <w:t xml:space="preserve">Department of Communities, </w:t>
      </w:r>
      <w:r w:rsidR="00CF7D36">
        <w:t xml:space="preserve">Government of Western Australia, </w:t>
      </w:r>
      <w:r w:rsidR="00CF7D36" w:rsidRPr="00470915">
        <w:rPr>
          <w:i/>
          <w:iCs/>
        </w:rPr>
        <w:t>WA Strategy to Respond to the Abuse of Older People (Elder Abuse) 2019</w:t>
      </w:r>
      <w:r w:rsidR="00A345B8" w:rsidRPr="00470915">
        <w:rPr>
          <w:i/>
          <w:iCs/>
        </w:rPr>
        <w:t>–</w:t>
      </w:r>
      <w:r w:rsidR="00CF7D36" w:rsidRPr="00470915">
        <w:rPr>
          <w:i/>
          <w:iCs/>
        </w:rPr>
        <w:t>20</w:t>
      </w:r>
      <w:r w:rsidR="00A345B8" w:rsidRPr="00470915">
        <w:rPr>
          <w:i/>
          <w:iCs/>
        </w:rPr>
        <w:t>29</w:t>
      </w:r>
      <w:r w:rsidR="00A345B8">
        <w:t xml:space="preserve"> (</w:t>
      </w:r>
      <w:r w:rsidR="00310311">
        <w:t>2017–2025</w:t>
      </w:r>
      <w:r w:rsidR="00A345B8">
        <w:t>) &lt;</w:t>
      </w:r>
      <w:hyperlink r:id="rId145" w:history="1">
        <w:r w:rsidR="00470915" w:rsidRPr="00523D14">
          <w:rPr>
            <w:rStyle w:val="Hyperlink"/>
          </w:rPr>
          <w:t>https://www.wa.gov.au/government/publications/wa-strategy-respond-the-abuse-of-older-people-elder-abuse-2019-2029</w:t>
        </w:r>
      </w:hyperlink>
      <w:r w:rsidR="00A345B8">
        <w:t>&gt;.</w:t>
      </w:r>
    </w:p>
  </w:footnote>
  <w:footnote w:id="975">
    <w:p w14:paraId="412F8397" w14:textId="3BC56086" w:rsidR="004D1F32" w:rsidRDefault="004D1F32">
      <w:pPr>
        <w:pStyle w:val="FootnoteText"/>
      </w:pPr>
      <w:r>
        <w:rPr>
          <w:rStyle w:val="FootnoteReference"/>
        </w:rPr>
        <w:footnoteRef/>
      </w:r>
      <w:r>
        <w:t xml:space="preserve"> </w:t>
      </w:r>
      <w:r w:rsidR="001C7D92">
        <w:t xml:space="preserve">South Australian Adult Safeguarding Unit, </w:t>
      </w:r>
      <w:r w:rsidR="001C7D92" w:rsidRPr="006302D0">
        <w:rPr>
          <w:i/>
          <w:iCs/>
        </w:rPr>
        <w:t>Annual Report 2021–2022</w:t>
      </w:r>
      <w:r w:rsidR="001C7D92">
        <w:t xml:space="preserve"> (n 529) </w:t>
      </w:r>
      <w:r w:rsidRPr="003C4B61">
        <w:t>11, 16.</w:t>
      </w:r>
    </w:p>
  </w:footnote>
  <w:footnote w:id="976">
    <w:p w14:paraId="5323E361" w14:textId="6C8C4BC6" w:rsidR="004D1F32" w:rsidRDefault="004D1F32">
      <w:pPr>
        <w:pStyle w:val="FootnoteText"/>
      </w:pPr>
      <w:r>
        <w:rPr>
          <w:rStyle w:val="FootnoteReference"/>
        </w:rPr>
        <w:footnoteRef/>
      </w:r>
      <w:r>
        <w:t xml:space="preserve"> </w:t>
      </w:r>
      <w:r w:rsidR="001C7D92">
        <w:t>Ibid</w:t>
      </w:r>
      <w:r w:rsidRPr="003C4B61">
        <w:t xml:space="preserve"> 19</w:t>
      </w:r>
      <w:r w:rsidR="001C7D92">
        <w:t>.</w:t>
      </w:r>
    </w:p>
  </w:footnote>
  <w:footnote w:id="977">
    <w:p w14:paraId="34C7EE64" w14:textId="4175D0FB" w:rsidR="00B2619C" w:rsidRDefault="00B2619C">
      <w:pPr>
        <w:pStyle w:val="FootnoteText"/>
      </w:pPr>
      <w:r>
        <w:rPr>
          <w:rStyle w:val="FootnoteReference"/>
        </w:rPr>
        <w:footnoteRef/>
      </w:r>
      <w:r>
        <w:t xml:space="preserve"> </w:t>
      </w:r>
      <w:r w:rsidR="00DD203A">
        <w:t xml:space="preserve">NSW Ageing and Disability Commission, </w:t>
      </w:r>
      <w:r w:rsidR="00DD203A" w:rsidRPr="006000A3">
        <w:rPr>
          <w:i/>
          <w:iCs/>
        </w:rPr>
        <w:t>ADC Summary Report Card—2019–2024</w:t>
      </w:r>
      <w:r w:rsidR="00DD203A">
        <w:rPr>
          <w:i/>
          <w:iCs/>
        </w:rPr>
        <w:t xml:space="preserve"> </w:t>
      </w:r>
      <w:r w:rsidR="00DD203A">
        <w:t xml:space="preserve">(n 550); </w:t>
      </w:r>
      <w:r w:rsidR="0005519A">
        <w:t xml:space="preserve">NSW Ageing and Disability Commission, </w:t>
      </w:r>
      <w:r w:rsidR="0005519A" w:rsidRPr="00F14E33">
        <w:rPr>
          <w:i/>
          <w:iCs/>
        </w:rPr>
        <w:t>ADC Data: January–March 2025</w:t>
      </w:r>
      <w:r w:rsidR="0005519A">
        <w:t xml:space="preserve"> (n 554).</w:t>
      </w:r>
    </w:p>
  </w:footnote>
  <w:footnote w:id="978">
    <w:p w14:paraId="7BFCBAFC" w14:textId="79646614" w:rsidR="00B2619C" w:rsidRDefault="00B2619C" w:rsidP="005E0E27">
      <w:pPr>
        <w:pStyle w:val="FootnoteText"/>
      </w:pPr>
      <w:r>
        <w:rPr>
          <w:rStyle w:val="FootnoteReference"/>
        </w:rPr>
        <w:footnoteRef/>
      </w:r>
      <w:r>
        <w:t xml:space="preserve"> </w:t>
      </w:r>
      <w:r w:rsidRPr="003C4B61">
        <w:t xml:space="preserve">It </w:t>
      </w:r>
      <w:r w:rsidR="00654EF3">
        <w:t xml:space="preserve">is </w:t>
      </w:r>
      <w:r w:rsidRPr="003C4B61">
        <w:t xml:space="preserve">noted that the definition of fraud in Tasmania is </w:t>
      </w:r>
      <w:r w:rsidR="00D66B1E">
        <w:t xml:space="preserve">potentially </w:t>
      </w:r>
      <w:r w:rsidRPr="003C4B61">
        <w:t xml:space="preserve">broad </w:t>
      </w:r>
      <w:r w:rsidR="00633709">
        <w:t xml:space="preserve">(relative to </w:t>
      </w:r>
      <w:r w:rsidRPr="003C4B61">
        <w:t>other jurisdictions</w:t>
      </w:r>
      <w:r w:rsidR="00633709">
        <w:t>)</w:t>
      </w:r>
      <w:r w:rsidRPr="003C4B61">
        <w:t xml:space="preserve"> and may therefore cover circumstances that may be</w:t>
      </w:r>
      <w:r w:rsidR="00033EC5">
        <w:t xml:space="preserve"> involved</w:t>
      </w:r>
      <w:r w:rsidRPr="003C4B61">
        <w:t xml:space="preserve"> in cases of financial abuse of an older person</w:t>
      </w:r>
      <w:r w:rsidR="00E23ADC">
        <w:t xml:space="preserve">. </w:t>
      </w:r>
      <w:r w:rsidR="001C6E67">
        <w:t xml:space="preserve">The offence </w:t>
      </w:r>
      <w:r w:rsidR="005B7D9D">
        <w:t>relates to a person who ‘</w:t>
      </w:r>
      <w:r w:rsidR="005E0E27">
        <w:t>with intent to defraud, or by deceit or any fraudulent means – (a) obtains property from a person; or (b) induces a person to –</w:t>
      </w:r>
      <w:r w:rsidR="005B7D9D">
        <w:t xml:space="preserve"> </w:t>
      </w:r>
      <w:r w:rsidR="005E0E27">
        <w:t>(i) deliver, transfer, or assign, property to another person; or (ii) cause property to be delivered, transferred, or assigned, to another person; or (c) gains a benefit, pecuniary or otherwise, for any person; or (d) causes a detriment, pecuniary or otherwise, to any person; or (e) induces any person to do an act that the person is lawfully entitled to abstain from doing; or (f) induces any person to abstain from doing any act that the person is lawfully entitled to d behaviour</w:t>
      </w:r>
      <w:r w:rsidRPr="003C4B61">
        <w:t xml:space="preserve"> ‘covering causing a detriment to another person even if there is no advantage to the perpetrator, as well as inducing someone to do or abstain from doing something’</w:t>
      </w:r>
      <w:r w:rsidR="004012BF">
        <w:t>:</w:t>
      </w:r>
      <w:r w:rsidRPr="003C4B61">
        <w:t xml:space="preserve"> </w:t>
      </w:r>
      <w:r w:rsidR="005E0E27" w:rsidRPr="001C6E67">
        <w:rPr>
          <w:i/>
          <w:iCs/>
        </w:rPr>
        <w:t>Criminal Code Act 1924</w:t>
      </w:r>
      <w:r w:rsidR="005E0E27">
        <w:t xml:space="preserve"> (Tas) s </w:t>
      </w:r>
      <w:r w:rsidR="001C6E67">
        <w:t>253A.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A734" w14:textId="6BA23C57" w:rsidR="00A619FE" w:rsidRPr="009E2501" w:rsidRDefault="000951DF" w:rsidP="00A619FE">
    <w:pPr>
      <w:pStyle w:val="Header"/>
      <w:pBdr>
        <w:bottom w:val="single" w:sz="4" w:space="1" w:color="auto"/>
      </w:pBdr>
      <w:rPr>
        <w:i/>
        <w:iCs/>
      </w:rPr>
    </w:pPr>
    <w:r>
      <w:rPr>
        <w:i/>
        <w:iCs/>
      </w:rPr>
      <w:t>Safeguarding Against the Abuse of Older Tasmanians Research Paper No 9</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A101E" w14:textId="3652FBBB" w:rsidR="00590A3C" w:rsidRPr="007C773B" w:rsidRDefault="00590A3C" w:rsidP="000F18A7">
    <w:pPr>
      <w:pStyle w:val="Header"/>
      <w:pBdr>
        <w:bottom w:val="single" w:sz="4" w:space="1" w:color="auto"/>
      </w:pBdr>
      <w:jc w:val="right"/>
      <w:rPr>
        <w:i/>
        <w:iCs/>
      </w:rPr>
    </w:pPr>
    <w:r w:rsidRPr="00EC1E7C">
      <w:rPr>
        <w:i/>
        <w:iCs/>
      </w:rPr>
      <w:t xml:space="preserve">Part </w:t>
    </w:r>
    <w:r w:rsidR="001C6D1A">
      <w:rPr>
        <w:i/>
        <w:iCs/>
      </w:rPr>
      <w:t>5</w:t>
    </w:r>
    <w:r w:rsidRPr="00EC1E7C">
      <w:rPr>
        <w:i/>
        <w:iCs/>
      </w:rPr>
      <w:t xml:space="preserve">: </w:t>
    </w:r>
    <w:r w:rsidR="001C6D1A">
      <w:rPr>
        <w:i/>
        <w:iCs/>
      </w:rPr>
      <w:t xml:space="preserve">Reforms to Existing Laws for Safeguarding </w:t>
    </w:r>
    <w:r>
      <w:rPr>
        <w:i/>
        <w:iCs/>
      </w:rPr>
      <w:t>Against the Abuse of Older Tasmanians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BAF0" w14:textId="335DCC5B" w:rsidR="005F26BF" w:rsidRPr="007C773B" w:rsidRDefault="005F26BF" w:rsidP="000F18A7">
    <w:pPr>
      <w:pStyle w:val="Header"/>
      <w:pBdr>
        <w:bottom w:val="single" w:sz="4" w:space="1" w:color="auto"/>
      </w:pBdr>
      <w:jc w:val="right"/>
      <w:rPr>
        <w:i/>
        <w:iCs/>
      </w:rPr>
    </w:pPr>
    <w:r>
      <w:rPr>
        <w:i/>
        <w:iCs/>
      </w:rPr>
      <w:t>Appendices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470C" w14:textId="381E1D82" w:rsidR="000F18A7" w:rsidRPr="007C773B" w:rsidRDefault="000F18A7" w:rsidP="000F18A7">
    <w:pPr>
      <w:pStyle w:val="Header"/>
      <w:pBdr>
        <w:bottom w:val="single" w:sz="4" w:space="1" w:color="auto"/>
      </w:pBdr>
      <w:jc w:val="right"/>
      <w:rPr>
        <w:i/>
        <w:iCs/>
      </w:rPr>
    </w:pPr>
    <w:r w:rsidRPr="00EC1E7C">
      <w:rPr>
        <w:i/>
        <w:iCs/>
      </w:rPr>
      <w:t>Part 1: Introduction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1B92" w14:textId="226CF756" w:rsidR="000951DF" w:rsidRPr="000951DF" w:rsidRDefault="000951DF" w:rsidP="000951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E238" w14:textId="31D095F3" w:rsidR="000F18A7" w:rsidRPr="000F18A7" w:rsidRDefault="000F18A7" w:rsidP="000F18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6532" w14:textId="76065DC9" w:rsidR="000951DF" w:rsidRPr="009E2501" w:rsidRDefault="000951DF" w:rsidP="00A619FE">
    <w:pPr>
      <w:pStyle w:val="Header"/>
      <w:pBdr>
        <w:bottom w:val="single" w:sz="4" w:space="1" w:color="auto"/>
      </w:pBdr>
      <w:rPr>
        <w:i/>
        <w:iCs/>
      </w:rPr>
    </w:pPr>
    <w:r>
      <w:rPr>
        <w:i/>
        <w:iCs/>
      </w:rPr>
      <w:t>Safeguarding Against the Abuse of Older Tasmanians</w:t>
    </w:r>
    <w:r w:rsidR="009F79D0">
      <w:rPr>
        <w:i/>
        <w:iCs/>
      </w:rPr>
      <w:t>:</w:t>
    </w:r>
    <w:r>
      <w:rPr>
        <w:i/>
        <w:iCs/>
      </w:rPr>
      <w:t xml:space="preserve"> Research Paper No 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5574B" w14:textId="77777777" w:rsidR="000F18A7" w:rsidRPr="007C773B" w:rsidRDefault="000F18A7" w:rsidP="000F18A7">
    <w:pPr>
      <w:pStyle w:val="Header"/>
      <w:pBdr>
        <w:bottom w:val="single" w:sz="4" w:space="1" w:color="auto"/>
      </w:pBdr>
      <w:jc w:val="right"/>
      <w:rPr>
        <w:i/>
        <w:iCs/>
      </w:rPr>
    </w:pPr>
    <w:r w:rsidRPr="00EC1E7C">
      <w:rPr>
        <w:i/>
        <w:iCs/>
      </w:rPr>
      <w:t>Part 1: Introduction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8F81" w14:textId="3A36D39D" w:rsidR="00047BD3" w:rsidRPr="007C773B" w:rsidRDefault="00047BD3" w:rsidP="000F18A7">
    <w:pPr>
      <w:pStyle w:val="Header"/>
      <w:pBdr>
        <w:bottom w:val="single" w:sz="4" w:space="1" w:color="auto"/>
      </w:pBdr>
      <w:jc w:val="right"/>
      <w:rPr>
        <w:i/>
        <w:iCs/>
      </w:rPr>
    </w:pPr>
    <w:r w:rsidRPr="00EC1E7C">
      <w:rPr>
        <w:i/>
        <w:iCs/>
      </w:rPr>
      <w:t xml:space="preserve">Part </w:t>
    </w:r>
    <w:r w:rsidR="00045101">
      <w:rPr>
        <w:i/>
        <w:iCs/>
      </w:rPr>
      <w:t>2</w:t>
    </w:r>
    <w:r w:rsidRPr="00EC1E7C">
      <w:rPr>
        <w:i/>
        <w:iCs/>
      </w:rPr>
      <w:t xml:space="preserve">: </w:t>
    </w:r>
    <w:r w:rsidR="00045101">
      <w:rPr>
        <w:i/>
        <w:iCs/>
      </w:rPr>
      <w:t>The Nature of Abuse of Older People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9A18" w14:textId="31A9EB53" w:rsidR="002B2B5D" w:rsidRPr="007C773B" w:rsidRDefault="002B2B5D" w:rsidP="000F18A7">
    <w:pPr>
      <w:pStyle w:val="Header"/>
      <w:pBdr>
        <w:bottom w:val="single" w:sz="4" w:space="1" w:color="auto"/>
      </w:pBdr>
      <w:jc w:val="right"/>
      <w:rPr>
        <w:i/>
        <w:iCs/>
      </w:rPr>
    </w:pPr>
    <w:r w:rsidRPr="00EC1E7C">
      <w:rPr>
        <w:i/>
        <w:iCs/>
      </w:rPr>
      <w:t xml:space="preserve">Part </w:t>
    </w:r>
    <w:r>
      <w:rPr>
        <w:i/>
        <w:iCs/>
      </w:rPr>
      <w:t>3</w:t>
    </w:r>
    <w:r w:rsidRPr="00EC1E7C">
      <w:rPr>
        <w:i/>
        <w:iCs/>
      </w:rPr>
      <w:t xml:space="preserve">: </w:t>
    </w:r>
    <w:r>
      <w:rPr>
        <w:i/>
        <w:iCs/>
      </w:rPr>
      <w:t>Addressing the Abuse of Older Tasmanians: Current Approaches in Tasmania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7825" w14:textId="3BEF7E48" w:rsidR="00590A3C" w:rsidRPr="007C773B" w:rsidRDefault="00590A3C" w:rsidP="000F18A7">
    <w:pPr>
      <w:pStyle w:val="Header"/>
      <w:pBdr>
        <w:bottom w:val="single" w:sz="4" w:space="1" w:color="auto"/>
      </w:pBdr>
      <w:jc w:val="right"/>
      <w:rPr>
        <w:i/>
        <w:iCs/>
      </w:rPr>
    </w:pPr>
    <w:r w:rsidRPr="00EC1E7C">
      <w:rPr>
        <w:i/>
        <w:iCs/>
      </w:rPr>
      <w:t xml:space="preserve">Part </w:t>
    </w:r>
    <w:r>
      <w:rPr>
        <w:i/>
        <w:iCs/>
      </w:rPr>
      <w:t>4</w:t>
    </w:r>
    <w:r w:rsidRPr="00EC1E7C">
      <w:rPr>
        <w:i/>
        <w:iCs/>
      </w:rPr>
      <w:t xml:space="preserve">: </w:t>
    </w:r>
    <w:r>
      <w:rPr>
        <w:i/>
        <w:iCs/>
      </w:rPr>
      <w:t>An Overarching Approach to Safeguarding Against the Abuse of Older Tasmanians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D63"/>
    <w:multiLevelType w:val="hybridMultilevel"/>
    <w:tmpl w:val="A18278F6"/>
    <w:lvl w:ilvl="0" w:tplc="E23CC8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1349BD"/>
    <w:multiLevelType w:val="hybridMultilevel"/>
    <w:tmpl w:val="DB4A548E"/>
    <w:lvl w:ilvl="0" w:tplc="508A4F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7561134"/>
    <w:multiLevelType w:val="hybridMultilevel"/>
    <w:tmpl w:val="53925B1E"/>
    <w:lvl w:ilvl="0" w:tplc="8C74BE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336F2D"/>
    <w:multiLevelType w:val="hybridMultilevel"/>
    <w:tmpl w:val="78CA707A"/>
    <w:lvl w:ilvl="0" w:tplc="1C58A1F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1143A9"/>
    <w:multiLevelType w:val="hybridMultilevel"/>
    <w:tmpl w:val="724C46E0"/>
    <w:lvl w:ilvl="0" w:tplc="6B6C7352">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5" w15:restartNumberingAfterBreak="0">
    <w:nsid w:val="0BF43293"/>
    <w:multiLevelType w:val="hybridMultilevel"/>
    <w:tmpl w:val="23ACF9C6"/>
    <w:lvl w:ilvl="0" w:tplc="43F6853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4F674A"/>
    <w:multiLevelType w:val="hybridMultilevel"/>
    <w:tmpl w:val="221CEB1C"/>
    <w:lvl w:ilvl="0" w:tplc="7C3685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EA57B7"/>
    <w:multiLevelType w:val="hybridMultilevel"/>
    <w:tmpl w:val="0C404848"/>
    <w:lvl w:ilvl="0" w:tplc="9B94EC7C">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8" w15:restartNumberingAfterBreak="0">
    <w:nsid w:val="225A1B16"/>
    <w:multiLevelType w:val="hybridMultilevel"/>
    <w:tmpl w:val="7A626D04"/>
    <w:lvl w:ilvl="0" w:tplc="6C580B6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09F027A"/>
    <w:multiLevelType w:val="hybridMultilevel"/>
    <w:tmpl w:val="7434488E"/>
    <w:lvl w:ilvl="0" w:tplc="8D580F9A">
      <w:start w:val="1"/>
      <w:numFmt w:val="bullet"/>
      <w:pStyle w:val="DotPointTLRI"/>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4E0DBB"/>
    <w:multiLevelType w:val="hybridMultilevel"/>
    <w:tmpl w:val="D6B69D28"/>
    <w:lvl w:ilvl="0" w:tplc="E23CC80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4AB0C59"/>
    <w:multiLevelType w:val="hybridMultilevel"/>
    <w:tmpl w:val="15744474"/>
    <w:lvl w:ilvl="0" w:tplc="0D7E09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B52822"/>
    <w:multiLevelType w:val="hybridMultilevel"/>
    <w:tmpl w:val="7CFEBA6E"/>
    <w:lvl w:ilvl="0" w:tplc="B068F64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F6D4916"/>
    <w:multiLevelType w:val="hybridMultilevel"/>
    <w:tmpl w:val="3822D19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25379B2"/>
    <w:multiLevelType w:val="hybridMultilevel"/>
    <w:tmpl w:val="DFA2F180"/>
    <w:lvl w:ilvl="0" w:tplc="E23CC8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7AF0AA1"/>
    <w:multiLevelType w:val="hybridMultilevel"/>
    <w:tmpl w:val="2AA091F6"/>
    <w:lvl w:ilvl="0" w:tplc="A5E0F358">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16" w15:restartNumberingAfterBreak="0">
    <w:nsid w:val="5C3A7917"/>
    <w:multiLevelType w:val="hybridMultilevel"/>
    <w:tmpl w:val="05B8E266"/>
    <w:lvl w:ilvl="0" w:tplc="0E44AAAA">
      <w:start w:val="1"/>
      <w:numFmt w:val="bullet"/>
      <w:pStyle w:val="RecommendationBoxText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7" w15:restartNumberingAfterBreak="0">
    <w:nsid w:val="5F3425E0"/>
    <w:multiLevelType w:val="hybridMultilevel"/>
    <w:tmpl w:val="1786C56A"/>
    <w:lvl w:ilvl="0" w:tplc="BEF41454">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18" w15:restartNumberingAfterBreak="0">
    <w:nsid w:val="5FFC22AB"/>
    <w:multiLevelType w:val="hybridMultilevel"/>
    <w:tmpl w:val="DFA2F1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AA261A"/>
    <w:multiLevelType w:val="hybridMultilevel"/>
    <w:tmpl w:val="DFA2F1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D643C6"/>
    <w:multiLevelType w:val="hybridMultilevel"/>
    <w:tmpl w:val="8EC49DAE"/>
    <w:lvl w:ilvl="0" w:tplc="0809001B">
      <w:start w:val="1"/>
      <w:numFmt w:val="low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1" w15:restartNumberingAfterBreak="0">
    <w:nsid w:val="60F27B68"/>
    <w:multiLevelType w:val="hybridMultilevel"/>
    <w:tmpl w:val="D5801810"/>
    <w:lvl w:ilvl="0" w:tplc="3310343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32C6DFE"/>
    <w:multiLevelType w:val="hybridMultilevel"/>
    <w:tmpl w:val="4D922B4A"/>
    <w:lvl w:ilvl="0" w:tplc="903CF91C">
      <w:start w:val="1"/>
      <w:numFmt w:val="lowerLetter"/>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44E5269"/>
    <w:multiLevelType w:val="hybridMultilevel"/>
    <w:tmpl w:val="B92E974E"/>
    <w:lvl w:ilvl="0" w:tplc="2A520972">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24" w15:restartNumberingAfterBreak="0">
    <w:nsid w:val="68623BD0"/>
    <w:multiLevelType w:val="hybridMultilevel"/>
    <w:tmpl w:val="29A27B1A"/>
    <w:lvl w:ilvl="0" w:tplc="E23CC80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BAD2647"/>
    <w:multiLevelType w:val="hybridMultilevel"/>
    <w:tmpl w:val="274C0AC0"/>
    <w:lvl w:ilvl="0" w:tplc="DAA2153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F056126"/>
    <w:multiLevelType w:val="multilevel"/>
    <w:tmpl w:val="CF906AD4"/>
    <w:lvl w:ilvl="0">
      <w:start w:val="1"/>
      <w:numFmt w:val="decimal"/>
      <w:pStyle w:val="PartNoTLRI"/>
      <w:suff w:val="nothing"/>
      <w:lvlText w:val="Part %1"/>
      <w:lvlJc w:val="left"/>
      <w:pPr>
        <w:ind w:left="432" w:hanging="432"/>
      </w:pPr>
      <w:rPr>
        <w:rFonts w:ascii="Times New Roman" w:hAnsi="Times New Roman" w:hint="default"/>
        <w:b/>
        <w:i w:val="0"/>
        <w:sz w:val="32"/>
      </w:rPr>
    </w:lvl>
    <w:lvl w:ilvl="1">
      <w:start w:val="1"/>
      <w:numFmt w:val="decimal"/>
      <w:pStyle w:val="NumberedHeadingTLRI"/>
      <w:lvlText w:val="%1.%2"/>
      <w:lvlJc w:val="left"/>
      <w:pPr>
        <w:tabs>
          <w:tab w:val="num" w:pos="1571"/>
        </w:tabs>
        <w:ind w:left="720" w:hanging="720"/>
      </w:pPr>
      <w:rPr>
        <w:rFonts w:ascii="Arial" w:hAnsi="Arial"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 w15:restartNumberingAfterBreak="0">
    <w:nsid w:val="703169D1"/>
    <w:multiLevelType w:val="hybridMultilevel"/>
    <w:tmpl w:val="1ACA32BC"/>
    <w:lvl w:ilvl="0" w:tplc="3DF2DE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168060C"/>
    <w:multiLevelType w:val="hybridMultilevel"/>
    <w:tmpl w:val="41B889F0"/>
    <w:lvl w:ilvl="0" w:tplc="AF58464C">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29" w15:restartNumberingAfterBreak="0">
    <w:nsid w:val="79FA47CA"/>
    <w:multiLevelType w:val="hybridMultilevel"/>
    <w:tmpl w:val="A36CDE60"/>
    <w:lvl w:ilvl="0" w:tplc="6E3A21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191883"/>
    <w:multiLevelType w:val="hybridMultilevel"/>
    <w:tmpl w:val="7F7085E6"/>
    <w:lvl w:ilvl="0" w:tplc="3E7696F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8A1FC1"/>
    <w:multiLevelType w:val="hybridMultilevel"/>
    <w:tmpl w:val="0ECAC052"/>
    <w:lvl w:ilvl="0" w:tplc="E20CA30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525443494">
    <w:abstractNumId w:val="9"/>
  </w:num>
  <w:num w:numId="2" w16cid:durableId="309100369">
    <w:abstractNumId w:val="26"/>
    <w:lvlOverride w:ilvl="0">
      <w:lvl w:ilvl="0">
        <w:start w:val="1"/>
        <w:numFmt w:val="decimal"/>
        <w:pStyle w:val="PartNoTLRI"/>
        <w:suff w:val="nothing"/>
        <w:lvlText w:val="Part %1"/>
        <w:lvlJc w:val="left"/>
        <w:pPr>
          <w:ind w:left="432" w:hanging="432"/>
        </w:pPr>
      </w:lvl>
    </w:lvlOverride>
    <w:lvlOverride w:ilv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lvl w:ilvl="3">
        <w:start w:val="2"/>
        <w:numFmt w:val="none"/>
        <w:lvlText w:val=""/>
        <w:lvlJc w:val="left"/>
        <w:pPr>
          <w:tabs>
            <w:tab w:val="num" w:pos="1211"/>
          </w:tabs>
          <w:ind w:left="851" w:firstLine="0"/>
        </w:pPr>
        <w:rPr>
          <w:rFonts w:hint="default"/>
        </w:rPr>
      </w:lvl>
    </w:lvlOverride>
    <w:lvlOverride w:ilvl="4">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lvl w:ilvl="5">
        <w:start w:val="1"/>
        <w:numFmt w:val="none"/>
        <w:lvlRestart w:val="1"/>
        <w:lvlText w:val=""/>
        <w:lvlJc w:val="left"/>
        <w:pPr>
          <w:tabs>
            <w:tab w:val="num" w:pos="1152"/>
          </w:tabs>
          <w:ind w:left="1152" w:hanging="1152"/>
        </w:pPr>
        <w:rPr>
          <w:rFonts w:hint="default"/>
        </w:rPr>
      </w:lvl>
    </w:lvlOverride>
    <w:lvlOverride w:ilvl="6">
      <w:lvl w:ilvl="6">
        <w:start w:val="1"/>
        <w:numFmt w:val="none"/>
        <w:lvlText w:val=""/>
        <w:lvlJc w:val="left"/>
        <w:pPr>
          <w:tabs>
            <w:tab w:val="num" w:pos="1296"/>
          </w:tabs>
          <w:ind w:left="1296" w:hanging="1296"/>
        </w:pPr>
        <w:rPr>
          <w:rFonts w:hint="default"/>
        </w:rPr>
      </w:lvl>
    </w:lvlOverride>
    <w:lvlOverride w:ilvl="7">
      <w:lvl w:ilvl="7">
        <w:start w:val="1"/>
        <w:numFmt w:val="none"/>
        <w:lvlText w:val=""/>
        <w:lvlJc w:val="left"/>
        <w:pPr>
          <w:tabs>
            <w:tab w:val="num" w:pos="1440"/>
          </w:tabs>
          <w:ind w:left="1440" w:hanging="1440"/>
        </w:pPr>
        <w:rPr>
          <w:rFonts w:hint="default"/>
        </w:rPr>
      </w:lvl>
    </w:lvlOverride>
    <w:lvlOverride w:ilvl="8">
      <w:lvl w:ilvl="8">
        <w:start w:val="1"/>
        <w:numFmt w:val="none"/>
        <w:lvlText w:val=""/>
        <w:lvlJc w:val="left"/>
        <w:pPr>
          <w:tabs>
            <w:tab w:val="num" w:pos="1584"/>
          </w:tabs>
          <w:ind w:left="1584" w:hanging="1584"/>
        </w:pPr>
        <w:rPr>
          <w:rFonts w:hint="default"/>
        </w:rPr>
      </w:lvl>
    </w:lvlOverride>
  </w:num>
  <w:num w:numId="3" w16cid:durableId="1328558765">
    <w:abstractNumId w:val="20"/>
  </w:num>
  <w:num w:numId="4" w16cid:durableId="1534999037">
    <w:abstractNumId w:val="24"/>
  </w:num>
  <w:num w:numId="5" w16cid:durableId="1077089985">
    <w:abstractNumId w:val="10"/>
  </w:num>
  <w:num w:numId="6" w16cid:durableId="2012489027">
    <w:abstractNumId w:val="5"/>
  </w:num>
  <w:num w:numId="7" w16cid:durableId="1766922516">
    <w:abstractNumId w:val="2"/>
  </w:num>
  <w:num w:numId="8" w16cid:durableId="440152277">
    <w:abstractNumId w:val="30"/>
  </w:num>
  <w:num w:numId="9" w16cid:durableId="1486505966">
    <w:abstractNumId w:val="29"/>
  </w:num>
  <w:num w:numId="10" w16cid:durableId="1283534499">
    <w:abstractNumId w:val="0"/>
  </w:num>
  <w:num w:numId="11" w16cid:durableId="702558219">
    <w:abstractNumId w:val="16"/>
  </w:num>
  <w:num w:numId="12" w16cid:durableId="794107003">
    <w:abstractNumId w:val="26"/>
    <w:lvlOverride w:ilvl="0">
      <w:startOverride w:val="1"/>
      <w:lvl w:ilvl="0">
        <w:start w:val="1"/>
        <w:numFmt w:val="decimal"/>
        <w:pStyle w:val="PartNoTLRI"/>
        <w:suff w:val="nothing"/>
        <w:lvlText w:val="Part %1"/>
        <w:lvlJc w:val="left"/>
        <w:pPr>
          <w:ind w:left="432" w:hanging="432"/>
        </w:pPr>
      </w:lvl>
    </w:lvlOverride>
    <w:lvlOverride w:ilvl="1">
      <w:startOverride w:val="1"/>
      <w:lvl w:ilvl="1">
        <w:start w:val="1"/>
        <w:numFmt w:val="decimal"/>
        <w:pStyle w:val="NumberedHeadingTLRI"/>
        <w:lvlText w:val="%1.%2"/>
        <w:lvlJc w:val="left"/>
        <w:pPr>
          <w:tabs>
            <w:tab w:val="num" w:pos="1571"/>
          </w:tabs>
          <w:ind w:left="720" w:hanging="720"/>
        </w:pPr>
        <w:rPr>
          <w:rFonts w:ascii="Times New Roman" w:hAnsi="Times New Roman" w:hint="default"/>
          <w:b/>
          <w:i w:val="0"/>
          <w:sz w:val="32"/>
        </w:rPr>
      </w:lvl>
    </w:lvlOverride>
    <w:lvlOverride w:ilvl="2">
      <w:startOverride w:val="1"/>
      <w:lvl w:ilvl="2">
        <w:start w:val="1"/>
        <w:numFmt w:val="decimal"/>
        <w:pStyle w:val="NormalNumberedTextTLRI"/>
        <w:lvlText w:val="%1.%2.%3"/>
        <w:lvlJc w:val="left"/>
        <w:pPr>
          <w:tabs>
            <w:tab w:val="num" w:pos="720"/>
          </w:tabs>
          <w:ind w:left="0" w:firstLine="0"/>
        </w:pPr>
        <w:rPr>
          <w:rFonts w:ascii="Times New Roman" w:hAnsi="Times New Roman" w:hint="default"/>
          <w:b w:val="0"/>
          <w:i/>
          <w:sz w:val="24"/>
        </w:rPr>
      </w:lvl>
    </w:lvlOverride>
    <w:lvlOverride w:ilvl="3">
      <w:startOverride w:val="2"/>
      <w:lvl w:ilvl="3">
        <w:start w:val="2"/>
        <w:numFmt w:val="none"/>
        <w:lvlText w:val=""/>
        <w:lvlJc w:val="left"/>
        <w:pPr>
          <w:tabs>
            <w:tab w:val="num" w:pos="1211"/>
          </w:tabs>
          <w:ind w:left="851" w:firstLine="0"/>
        </w:pPr>
        <w:rPr>
          <w:rFonts w:hint="default"/>
        </w:rPr>
      </w:lvl>
    </w:lvlOverride>
    <w:lvlOverride w:ilvl="4">
      <w:startOverride w:val="1"/>
      <w:lvl w:ilvl="4">
        <w:start w:val="1"/>
        <w:numFmt w:val="none"/>
        <w:lvlText w:val=""/>
        <w:lvlJc w:val="left"/>
        <w:pPr>
          <w:tabs>
            <w:tab w:val="num" w:pos="1008"/>
          </w:tabs>
          <w:ind w:left="1008" w:hanging="1008"/>
        </w:pPr>
        <w:rPr>
          <w:rFonts w:ascii="Times New Roman" w:hAnsi="Times New Roman" w:hint="default"/>
          <w:b/>
          <w:i w:val="0"/>
          <w:sz w:val="52"/>
        </w:rPr>
      </w:lvl>
    </w:lvlOverride>
    <w:lvlOverride w:ilvl="5">
      <w:startOverride w:val="1"/>
      <w:lvl w:ilvl="5">
        <w:start w:val="1"/>
        <w:numFmt w:val="none"/>
        <w:lvlRestart w:val="1"/>
        <w:lvlText w:val=""/>
        <w:lvlJc w:val="left"/>
        <w:pPr>
          <w:tabs>
            <w:tab w:val="num" w:pos="1152"/>
          </w:tabs>
          <w:ind w:left="1152" w:hanging="1152"/>
        </w:pPr>
        <w:rPr>
          <w:rFonts w:hint="default"/>
        </w:rPr>
      </w:lvl>
    </w:lvlOverride>
    <w:lvlOverride w:ilvl="6">
      <w:startOverride w:val="1"/>
      <w:lvl w:ilvl="6">
        <w:start w:val="1"/>
        <w:numFmt w:val="none"/>
        <w:lvlText w:val=""/>
        <w:lvlJc w:val="left"/>
        <w:pPr>
          <w:tabs>
            <w:tab w:val="num" w:pos="1296"/>
          </w:tabs>
          <w:ind w:left="1296" w:hanging="1296"/>
        </w:pPr>
        <w:rPr>
          <w:rFonts w:hint="default"/>
        </w:rPr>
      </w:lvl>
    </w:lvlOverride>
    <w:lvlOverride w:ilvl="7">
      <w:startOverride w:val="1"/>
      <w:lvl w:ilvl="7">
        <w:start w:val="1"/>
        <w:numFmt w:val="none"/>
        <w:lvlText w:val=""/>
        <w:lvlJc w:val="left"/>
        <w:pPr>
          <w:tabs>
            <w:tab w:val="num" w:pos="1440"/>
          </w:tabs>
          <w:ind w:left="1440" w:hanging="1440"/>
        </w:pPr>
        <w:rPr>
          <w:rFonts w:hint="default"/>
        </w:rPr>
      </w:lvl>
    </w:lvlOverride>
    <w:lvlOverride w:ilvl="8">
      <w:startOverride w:val="1"/>
      <w:lvl w:ilvl="8">
        <w:start w:val="1"/>
        <w:numFmt w:val="none"/>
        <w:lvlText w:val=""/>
        <w:lvlJc w:val="left"/>
        <w:pPr>
          <w:tabs>
            <w:tab w:val="num" w:pos="1584"/>
          </w:tabs>
          <w:ind w:left="1584" w:hanging="1584"/>
        </w:pPr>
        <w:rPr>
          <w:rFonts w:hint="default"/>
        </w:rPr>
      </w:lvl>
    </w:lvlOverride>
  </w:num>
  <w:num w:numId="13" w16cid:durableId="1060328228">
    <w:abstractNumId w:val="13"/>
  </w:num>
  <w:num w:numId="14" w16cid:durableId="1539929402">
    <w:abstractNumId w:val="14"/>
  </w:num>
  <w:num w:numId="15" w16cid:durableId="800150180">
    <w:abstractNumId w:val="18"/>
  </w:num>
  <w:num w:numId="16" w16cid:durableId="1285575736">
    <w:abstractNumId w:val="6"/>
  </w:num>
  <w:num w:numId="17" w16cid:durableId="1888377442">
    <w:abstractNumId w:val="19"/>
  </w:num>
  <w:num w:numId="18" w16cid:durableId="465398326">
    <w:abstractNumId w:val="31"/>
  </w:num>
  <w:num w:numId="19" w16cid:durableId="1631590852">
    <w:abstractNumId w:val="1"/>
  </w:num>
  <w:num w:numId="20" w16cid:durableId="1682927740">
    <w:abstractNumId w:val="27"/>
  </w:num>
  <w:num w:numId="21" w16cid:durableId="1660113849">
    <w:abstractNumId w:val="21"/>
  </w:num>
  <w:num w:numId="22" w16cid:durableId="273943874">
    <w:abstractNumId w:val="12"/>
  </w:num>
  <w:num w:numId="23" w16cid:durableId="521554987">
    <w:abstractNumId w:val="22"/>
  </w:num>
  <w:num w:numId="24" w16cid:durableId="611666331">
    <w:abstractNumId w:val="3"/>
  </w:num>
  <w:num w:numId="25" w16cid:durableId="1031415119">
    <w:abstractNumId w:val="11"/>
  </w:num>
  <w:num w:numId="26" w16cid:durableId="847868820">
    <w:abstractNumId w:val="15"/>
  </w:num>
  <w:num w:numId="27" w16cid:durableId="554782273">
    <w:abstractNumId w:val="17"/>
  </w:num>
  <w:num w:numId="28" w16cid:durableId="149564804">
    <w:abstractNumId w:val="7"/>
  </w:num>
  <w:num w:numId="29" w16cid:durableId="577834957">
    <w:abstractNumId w:val="28"/>
  </w:num>
  <w:num w:numId="30" w16cid:durableId="1874071562">
    <w:abstractNumId w:val="23"/>
  </w:num>
  <w:num w:numId="31" w16cid:durableId="1235167889">
    <w:abstractNumId w:val="4"/>
  </w:num>
  <w:num w:numId="32" w16cid:durableId="2109815297">
    <w:abstractNumId w:val="25"/>
  </w:num>
  <w:num w:numId="33" w16cid:durableId="1476986847">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proofState w:spelling="clean" w:grammar="clean"/>
  <w:documentProtection w:edit="readOnly" w:formatting="1" w:enforcement="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GLC4 (UT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fvp2ptcadfssess0bxaapgfd0rwp0pd220&quot;&gt;My EndNote Library&lt;record-ids&gt;&lt;item&gt;927&lt;/item&gt;&lt;/record-ids&gt;&lt;/item&gt;&lt;/Libraries&gt;"/>
  </w:docVars>
  <w:rsids>
    <w:rsidRoot w:val="001703F6"/>
    <w:rsid w:val="000000B1"/>
    <w:rsid w:val="00000113"/>
    <w:rsid w:val="00000149"/>
    <w:rsid w:val="000001E1"/>
    <w:rsid w:val="00000336"/>
    <w:rsid w:val="000003A0"/>
    <w:rsid w:val="000003AF"/>
    <w:rsid w:val="000003D4"/>
    <w:rsid w:val="00000443"/>
    <w:rsid w:val="00000512"/>
    <w:rsid w:val="000007EE"/>
    <w:rsid w:val="0000082E"/>
    <w:rsid w:val="00000BDD"/>
    <w:rsid w:val="00000C68"/>
    <w:rsid w:val="00000E5E"/>
    <w:rsid w:val="00000F47"/>
    <w:rsid w:val="00000FF7"/>
    <w:rsid w:val="00001040"/>
    <w:rsid w:val="0000106F"/>
    <w:rsid w:val="000010BB"/>
    <w:rsid w:val="00001113"/>
    <w:rsid w:val="000012A4"/>
    <w:rsid w:val="000013E5"/>
    <w:rsid w:val="0000146C"/>
    <w:rsid w:val="000014CF"/>
    <w:rsid w:val="0000150F"/>
    <w:rsid w:val="000015DB"/>
    <w:rsid w:val="00001657"/>
    <w:rsid w:val="00001661"/>
    <w:rsid w:val="000016E3"/>
    <w:rsid w:val="000018CF"/>
    <w:rsid w:val="00001A14"/>
    <w:rsid w:val="00001B8E"/>
    <w:rsid w:val="00001C2A"/>
    <w:rsid w:val="00001D4D"/>
    <w:rsid w:val="00001D6D"/>
    <w:rsid w:val="00001D84"/>
    <w:rsid w:val="00001E67"/>
    <w:rsid w:val="00001ECB"/>
    <w:rsid w:val="00001EFC"/>
    <w:rsid w:val="00001FC2"/>
    <w:rsid w:val="00001FDC"/>
    <w:rsid w:val="0000212B"/>
    <w:rsid w:val="00002139"/>
    <w:rsid w:val="00002273"/>
    <w:rsid w:val="00002275"/>
    <w:rsid w:val="0000229B"/>
    <w:rsid w:val="000022B1"/>
    <w:rsid w:val="00002334"/>
    <w:rsid w:val="0000255C"/>
    <w:rsid w:val="00002565"/>
    <w:rsid w:val="00002620"/>
    <w:rsid w:val="00002635"/>
    <w:rsid w:val="0000267C"/>
    <w:rsid w:val="00002764"/>
    <w:rsid w:val="000027AF"/>
    <w:rsid w:val="000028E6"/>
    <w:rsid w:val="00002A6B"/>
    <w:rsid w:val="00002B9A"/>
    <w:rsid w:val="00002C14"/>
    <w:rsid w:val="00002C18"/>
    <w:rsid w:val="00002D46"/>
    <w:rsid w:val="00002E73"/>
    <w:rsid w:val="00002EDA"/>
    <w:rsid w:val="00002F41"/>
    <w:rsid w:val="00002FA8"/>
    <w:rsid w:val="000030DB"/>
    <w:rsid w:val="0000330B"/>
    <w:rsid w:val="00003362"/>
    <w:rsid w:val="000034BA"/>
    <w:rsid w:val="000034C6"/>
    <w:rsid w:val="00003626"/>
    <w:rsid w:val="00003636"/>
    <w:rsid w:val="0000372C"/>
    <w:rsid w:val="00003742"/>
    <w:rsid w:val="00003858"/>
    <w:rsid w:val="000038C5"/>
    <w:rsid w:val="000038CD"/>
    <w:rsid w:val="00003939"/>
    <w:rsid w:val="00003BCD"/>
    <w:rsid w:val="00003DAD"/>
    <w:rsid w:val="00003E8E"/>
    <w:rsid w:val="000043A7"/>
    <w:rsid w:val="00004412"/>
    <w:rsid w:val="00004430"/>
    <w:rsid w:val="00004449"/>
    <w:rsid w:val="00004468"/>
    <w:rsid w:val="00004861"/>
    <w:rsid w:val="00004A73"/>
    <w:rsid w:val="00004AD1"/>
    <w:rsid w:val="00004B06"/>
    <w:rsid w:val="00004B5E"/>
    <w:rsid w:val="00004B9C"/>
    <w:rsid w:val="00004C7F"/>
    <w:rsid w:val="00004D62"/>
    <w:rsid w:val="00004D99"/>
    <w:rsid w:val="00004E3E"/>
    <w:rsid w:val="00004E45"/>
    <w:rsid w:val="00004ED4"/>
    <w:rsid w:val="00004ED6"/>
    <w:rsid w:val="00005078"/>
    <w:rsid w:val="00005143"/>
    <w:rsid w:val="00005178"/>
    <w:rsid w:val="00005203"/>
    <w:rsid w:val="0000521A"/>
    <w:rsid w:val="0000528D"/>
    <w:rsid w:val="00005466"/>
    <w:rsid w:val="00005492"/>
    <w:rsid w:val="000054AC"/>
    <w:rsid w:val="00005572"/>
    <w:rsid w:val="000055B1"/>
    <w:rsid w:val="0000560B"/>
    <w:rsid w:val="00005651"/>
    <w:rsid w:val="0000577E"/>
    <w:rsid w:val="00005788"/>
    <w:rsid w:val="00005967"/>
    <w:rsid w:val="000059E0"/>
    <w:rsid w:val="00005A2D"/>
    <w:rsid w:val="00005C00"/>
    <w:rsid w:val="00005C0F"/>
    <w:rsid w:val="00005C98"/>
    <w:rsid w:val="00005F1E"/>
    <w:rsid w:val="0000606A"/>
    <w:rsid w:val="0000607E"/>
    <w:rsid w:val="000060DF"/>
    <w:rsid w:val="00006191"/>
    <w:rsid w:val="0000623B"/>
    <w:rsid w:val="0000626D"/>
    <w:rsid w:val="0000631C"/>
    <w:rsid w:val="00006516"/>
    <w:rsid w:val="00006592"/>
    <w:rsid w:val="00006639"/>
    <w:rsid w:val="00006758"/>
    <w:rsid w:val="00006ADC"/>
    <w:rsid w:val="00006BBA"/>
    <w:rsid w:val="00006C37"/>
    <w:rsid w:val="00006C6A"/>
    <w:rsid w:val="00006D9D"/>
    <w:rsid w:val="00006DF6"/>
    <w:rsid w:val="00006E49"/>
    <w:rsid w:val="00006E4F"/>
    <w:rsid w:val="00006E57"/>
    <w:rsid w:val="00006EBB"/>
    <w:rsid w:val="00006FBA"/>
    <w:rsid w:val="000070B0"/>
    <w:rsid w:val="00007225"/>
    <w:rsid w:val="0000731C"/>
    <w:rsid w:val="00007337"/>
    <w:rsid w:val="000074A4"/>
    <w:rsid w:val="00007507"/>
    <w:rsid w:val="0000761E"/>
    <w:rsid w:val="00007673"/>
    <w:rsid w:val="000077E1"/>
    <w:rsid w:val="00007895"/>
    <w:rsid w:val="0000789F"/>
    <w:rsid w:val="0000795C"/>
    <w:rsid w:val="00007CCE"/>
    <w:rsid w:val="00007D03"/>
    <w:rsid w:val="00007E69"/>
    <w:rsid w:val="00007F42"/>
    <w:rsid w:val="00010035"/>
    <w:rsid w:val="0001004E"/>
    <w:rsid w:val="00010067"/>
    <w:rsid w:val="000100A3"/>
    <w:rsid w:val="00010163"/>
    <w:rsid w:val="00010180"/>
    <w:rsid w:val="0001019D"/>
    <w:rsid w:val="000101E7"/>
    <w:rsid w:val="0001025F"/>
    <w:rsid w:val="00010291"/>
    <w:rsid w:val="00010294"/>
    <w:rsid w:val="0001038B"/>
    <w:rsid w:val="00010392"/>
    <w:rsid w:val="00010412"/>
    <w:rsid w:val="00010560"/>
    <w:rsid w:val="00010666"/>
    <w:rsid w:val="0001071C"/>
    <w:rsid w:val="0001075C"/>
    <w:rsid w:val="00010783"/>
    <w:rsid w:val="000107A1"/>
    <w:rsid w:val="000107CE"/>
    <w:rsid w:val="0001080D"/>
    <w:rsid w:val="0001087F"/>
    <w:rsid w:val="00010B26"/>
    <w:rsid w:val="00010CEF"/>
    <w:rsid w:val="00010D60"/>
    <w:rsid w:val="00010D94"/>
    <w:rsid w:val="00010F30"/>
    <w:rsid w:val="00011000"/>
    <w:rsid w:val="000110A2"/>
    <w:rsid w:val="00011129"/>
    <w:rsid w:val="0001117C"/>
    <w:rsid w:val="0001117D"/>
    <w:rsid w:val="000111D6"/>
    <w:rsid w:val="00011235"/>
    <w:rsid w:val="00011267"/>
    <w:rsid w:val="000113CF"/>
    <w:rsid w:val="00011445"/>
    <w:rsid w:val="00011575"/>
    <w:rsid w:val="00011666"/>
    <w:rsid w:val="000119FC"/>
    <w:rsid w:val="00011A2B"/>
    <w:rsid w:val="00011AAD"/>
    <w:rsid w:val="00011B56"/>
    <w:rsid w:val="00011B6C"/>
    <w:rsid w:val="00011E34"/>
    <w:rsid w:val="0001203C"/>
    <w:rsid w:val="000120D8"/>
    <w:rsid w:val="000121B7"/>
    <w:rsid w:val="000121EE"/>
    <w:rsid w:val="00012203"/>
    <w:rsid w:val="00012250"/>
    <w:rsid w:val="00012279"/>
    <w:rsid w:val="00012370"/>
    <w:rsid w:val="0001237B"/>
    <w:rsid w:val="000124AA"/>
    <w:rsid w:val="000124CB"/>
    <w:rsid w:val="00012575"/>
    <w:rsid w:val="00012607"/>
    <w:rsid w:val="000126B0"/>
    <w:rsid w:val="000126DA"/>
    <w:rsid w:val="00012705"/>
    <w:rsid w:val="000127C4"/>
    <w:rsid w:val="0001290A"/>
    <w:rsid w:val="00012A2D"/>
    <w:rsid w:val="00012ADE"/>
    <w:rsid w:val="00012B72"/>
    <w:rsid w:val="00012BBC"/>
    <w:rsid w:val="00012CBD"/>
    <w:rsid w:val="00012CD3"/>
    <w:rsid w:val="00012CE6"/>
    <w:rsid w:val="00012D8C"/>
    <w:rsid w:val="00012DEA"/>
    <w:rsid w:val="00012E3A"/>
    <w:rsid w:val="00012EEA"/>
    <w:rsid w:val="00012FB9"/>
    <w:rsid w:val="00012FE0"/>
    <w:rsid w:val="00012FFA"/>
    <w:rsid w:val="000130B8"/>
    <w:rsid w:val="00013151"/>
    <w:rsid w:val="000131CE"/>
    <w:rsid w:val="00013224"/>
    <w:rsid w:val="00013243"/>
    <w:rsid w:val="000133EC"/>
    <w:rsid w:val="0001343C"/>
    <w:rsid w:val="000134F8"/>
    <w:rsid w:val="00013524"/>
    <w:rsid w:val="00013777"/>
    <w:rsid w:val="00013785"/>
    <w:rsid w:val="000137BF"/>
    <w:rsid w:val="0001386A"/>
    <w:rsid w:val="000139A4"/>
    <w:rsid w:val="000139DE"/>
    <w:rsid w:val="00013BD6"/>
    <w:rsid w:val="00013BEF"/>
    <w:rsid w:val="00013C3C"/>
    <w:rsid w:val="00013C40"/>
    <w:rsid w:val="00013C70"/>
    <w:rsid w:val="00013D9B"/>
    <w:rsid w:val="00013DCE"/>
    <w:rsid w:val="00013E75"/>
    <w:rsid w:val="00013F6C"/>
    <w:rsid w:val="0001405E"/>
    <w:rsid w:val="00014063"/>
    <w:rsid w:val="0001406B"/>
    <w:rsid w:val="00014082"/>
    <w:rsid w:val="00014190"/>
    <w:rsid w:val="000143D3"/>
    <w:rsid w:val="0001445C"/>
    <w:rsid w:val="00014497"/>
    <w:rsid w:val="000144F9"/>
    <w:rsid w:val="00014562"/>
    <w:rsid w:val="000146B9"/>
    <w:rsid w:val="000146F0"/>
    <w:rsid w:val="00014751"/>
    <w:rsid w:val="00014820"/>
    <w:rsid w:val="0001486C"/>
    <w:rsid w:val="000148BB"/>
    <w:rsid w:val="000148CB"/>
    <w:rsid w:val="00014914"/>
    <w:rsid w:val="000149EB"/>
    <w:rsid w:val="00014A7F"/>
    <w:rsid w:val="00014C0F"/>
    <w:rsid w:val="00014CAF"/>
    <w:rsid w:val="00014D3F"/>
    <w:rsid w:val="00014D8C"/>
    <w:rsid w:val="00014EEE"/>
    <w:rsid w:val="00014F0F"/>
    <w:rsid w:val="0001500A"/>
    <w:rsid w:val="0001505C"/>
    <w:rsid w:val="000150BD"/>
    <w:rsid w:val="0001510E"/>
    <w:rsid w:val="000151A9"/>
    <w:rsid w:val="00015230"/>
    <w:rsid w:val="00015275"/>
    <w:rsid w:val="00015319"/>
    <w:rsid w:val="00015338"/>
    <w:rsid w:val="000155B0"/>
    <w:rsid w:val="000157D2"/>
    <w:rsid w:val="00015825"/>
    <w:rsid w:val="000158A9"/>
    <w:rsid w:val="000158D0"/>
    <w:rsid w:val="00015B52"/>
    <w:rsid w:val="00015C33"/>
    <w:rsid w:val="00015CD3"/>
    <w:rsid w:val="00015D00"/>
    <w:rsid w:val="00015D99"/>
    <w:rsid w:val="00015DC9"/>
    <w:rsid w:val="00015E6B"/>
    <w:rsid w:val="00015ECD"/>
    <w:rsid w:val="00015FCF"/>
    <w:rsid w:val="0001602D"/>
    <w:rsid w:val="000161D9"/>
    <w:rsid w:val="000161E1"/>
    <w:rsid w:val="000163BD"/>
    <w:rsid w:val="0001653A"/>
    <w:rsid w:val="00016553"/>
    <w:rsid w:val="000166C3"/>
    <w:rsid w:val="000168DA"/>
    <w:rsid w:val="00016A9A"/>
    <w:rsid w:val="00016B2C"/>
    <w:rsid w:val="00016BD7"/>
    <w:rsid w:val="00016C34"/>
    <w:rsid w:val="00016C57"/>
    <w:rsid w:val="00016CBB"/>
    <w:rsid w:val="00016E25"/>
    <w:rsid w:val="00016E6A"/>
    <w:rsid w:val="00016F54"/>
    <w:rsid w:val="00017010"/>
    <w:rsid w:val="0001715A"/>
    <w:rsid w:val="000171A9"/>
    <w:rsid w:val="00017267"/>
    <w:rsid w:val="00017367"/>
    <w:rsid w:val="0001739D"/>
    <w:rsid w:val="00017439"/>
    <w:rsid w:val="0001748C"/>
    <w:rsid w:val="000175A1"/>
    <w:rsid w:val="000176BC"/>
    <w:rsid w:val="000176F9"/>
    <w:rsid w:val="00017781"/>
    <w:rsid w:val="000177A9"/>
    <w:rsid w:val="00017899"/>
    <w:rsid w:val="00017A00"/>
    <w:rsid w:val="00017ACB"/>
    <w:rsid w:val="00017C6A"/>
    <w:rsid w:val="00017D08"/>
    <w:rsid w:val="00017D0C"/>
    <w:rsid w:val="00017E61"/>
    <w:rsid w:val="00017EF5"/>
    <w:rsid w:val="0002003F"/>
    <w:rsid w:val="000200AC"/>
    <w:rsid w:val="000200CD"/>
    <w:rsid w:val="00020216"/>
    <w:rsid w:val="000202B8"/>
    <w:rsid w:val="00020318"/>
    <w:rsid w:val="00020398"/>
    <w:rsid w:val="000203CA"/>
    <w:rsid w:val="000203D5"/>
    <w:rsid w:val="000205B3"/>
    <w:rsid w:val="000205F1"/>
    <w:rsid w:val="00020758"/>
    <w:rsid w:val="00020796"/>
    <w:rsid w:val="00020849"/>
    <w:rsid w:val="00020925"/>
    <w:rsid w:val="0002099D"/>
    <w:rsid w:val="000209B1"/>
    <w:rsid w:val="00020B27"/>
    <w:rsid w:val="00020DF8"/>
    <w:rsid w:val="00020E53"/>
    <w:rsid w:val="00020EAC"/>
    <w:rsid w:val="00020EFE"/>
    <w:rsid w:val="00020F4A"/>
    <w:rsid w:val="00021073"/>
    <w:rsid w:val="000210ED"/>
    <w:rsid w:val="00021245"/>
    <w:rsid w:val="0002136D"/>
    <w:rsid w:val="0002147B"/>
    <w:rsid w:val="00021569"/>
    <w:rsid w:val="000215CD"/>
    <w:rsid w:val="00021686"/>
    <w:rsid w:val="000216D0"/>
    <w:rsid w:val="000216EE"/>
    <w:rsid w:val="000218D4"/>
    <w:rsid w:val="00021927"/>
    <w:rsid w:val="00021974"/>
    <w:rsid w:val="000219AD"/>
    <w:rsid w:val="00021A7F"/>
    <w:rsid w:val="00021B68"/>
    <w:rsid w:val="00021BA5"/>
    <w:rsid w:val="00021BC7"/>
    <w:rsid w:val="00021E7B"/>
    <w:rsid w:val="0002200A"/>
    <w:rsid w:val="000221D1"/>
    <w:rsid w:val="000222AB"/>
    <w:rsid w:val="000222B6"/>
    <w:rsid w:val="00022341"/>
    <w:rsid w:val="00022686"/>
    <w:rsid w:val="000226EF"/>
    <w:rsid w:val="00022771"/>
    <w:rsid w:val="000228CE"/>
    <w:rsid w:val="00022902"/>
    <w:rsid w:val="00022907"/>
    <w:rsid w:val="00022A13"/>
    <w:rsid w:val="00022BA4"/>
    <w:rsid w:val="00022CB7"/>
    <w:rsid w:val="00022CBE"/>
    <w:rsid w:val="00022E5A"/>
    <w:rsid w:val="00022EE1"/>
    <w:rsid w:val="0002305A"/>
    <w:rsid w:val="00023083"/>
    <w:rsid w:val="00023085"/>
    <w:rsid w:val="000231B6"/>
    <w:rsid w:val="0002327B"/>
    <w:rsid w:val="000233BF"/>
    <w:rsid w:val="0002342B"/>
    <w:rsid w:val="0002352C"/>
    <w:rsid w:val="00023612"/>
    <w:rsid w:val="000236A9"/>
    <w:rsid w:val="000237A1"/>
    <w:rsid w:val="00023827"/>
    <w:rsid w:val="00023844"/>
    <w:rsid w:val="000238C6"/>
    <w:rsid w:val="000238DF"/>
    <w:rsid w:val="000239DD"/>
    <w:rsid w:val="00023A65"/>
    <w:rsid w:val="00023A97"/>
    <w:rsid w:val="00023BCB"/>
    <w:rsid w:val="00023BDC"/>
    <w:rsid w:val="00023C36"/>
    <w:rsid w:val="00023D85"/>
    <w:rsid w:val="00023E24"/>
    <w:rsid w:val="00023EC0"/>
    <w:rsid w:val="00023F4E"/>
    <w:rsid w:val="00023F61"/>
    <w:rsid w:val="00023FEA"/>
    <w:rsid w:val="000240D2"/>
    <w:rsid w:val="00024109"/>
    <w:rsid w:val="0002413E"/>
    <w:rsid w:val="00024231"/>
    <w:rsid w:val="00024246"/>
    <w:rsid w:val="000242A5"/>
    <w:rsid w:val="000242D1"/>
    <w:rsid w:val="0002431C"/>
    <w:rsid w:val="00024373"/>
    <w:rsid w:val="000243CD"/>
    <w:rsid w:val="00024506"/>
    <w:rsid w:val="000245C9"/>
    <w:rsid w:val="000245F5"/>
    <w:rsid w:val="00024674"/>
    <w:rsid w:val="000246E8"/>
    <w:rsid w:val="00024894"/>
    <w:rsid w:val="00024A38"/>
    <w:rsid w:val="00024C15"/>
    <w:rsid w:val="00024C67"/>
    <w:rsid w:val="00024CA4"/>
    <w:rsid w:val="00024D5C"/>
    <w:rsid w:val="00024E5A"/>
    <w:rsid w:val="00024EB7"/>
    <w:rsid w:val="00024FEF"/>
    <w:rsid w:val="00025012"/>
    <w:rsid w:val="00025084"/>
    <w:rsid w:val="0002508A"/>
    <w:rsid w:val="0002511E"/>
    <w:rsid w:val="00025126"/>
    <w:rsid w:val="0002515B"/>
    <w:rsid w:val="0002519E"/>
    <w:rsid w:val="000251F8"/>
    <w:rsid w:val="0002529F"/>
    <w:rsid w:val="0002541D"/>
    <w:rsid w:val="00025484"/>
    <w:rsid w:val="00025715"/>
    <w:rsid w:val="00025847"/>
    <w:rsid w:val="000259DB"/>
    <w:rsid w:val="000259DF"/>
    <w:rsid w:val="00025A44"/>
    <w:rsid w:val="00025BC0"/>
    <w:rsid w:val="00025D8D"/>
    <w:rsid w:val="00025E4F"/>
    <w:rsid w:val="00026007"/>
    <w:rsid w:val="00026054"/>
    <w:rsid w:val="00026161"/>
    <w:rsid w:val="000261A3"/>
    <w:rsid w:val="000261B9"/>
    <w:rsid w:val="00026401"/>
    <w:rsid w:val="00026405"/>
    <w:rsid w:val="000265E5"/>
    <w:rsid w:val="00026716"/>
    <w:rsid w:val="00026871"/>
    <w:rsid w:val="000268EA"/>
    <w:rsid w:val="00026949"/>
    <w:rsid w:val="00026966"/>
    <w:rsid w:val="00026A11"/>
    <w:rsid w:val="00026A6A"/>
    <w:rsid w:val="00026AE5"/>
    <w:rsid w:val="00026AE7"/>
    <w:rsid w:val="00026BA6"/>
    <w:rsid w:val="00026DB2"/>
    <w:rsid w:val="00026ECC"/>
    <w:rsid w:val="0002708F"/>
    <w:rsid w:val="00027104"/>
    <w:rsid w:val="0002711E"/>
    <w:rsid w:val="00027170"/>
    <w:rsid w:val="00027193"/>
    <w:rsid w:val="000273C6"/>
    <w:rsid w:val="00027483"/>
    <w:rsid w:val="0002756B"/>
    <w:rsid w:val="000275EA"/>
    <w:rsid w:val="000279A3"/>
    <w:rsid w:val="00027B2B"/>
    <w:rsid w:val="00027C04"/>
    <w:rsid w:val="00027C55"/>
    <w:rsid w:val="00027C90"/>
    <w:rsid w:val="00027CB4"/>
    <w:rsid w:val="00027CF2"/>
    <w:rsid w:val="00027D56"/>
    <w:rsid w:val="00027DE2"/>
    <w:rsid w:val="00027F87"/>
    <w:rsid w:val="00027FA1"/>
    <w:rsid w:val="0002BCA2"/>
    <w:rsid w:val="0003004A"/>
    <w:rsid w:val="0003031B"/>
    <w:rsid w:val="0003036B"/>
    <w:rsid w:val="0003041C"/>
    <w:rsid w:val="00030426"/>
    <w:rsid w:val="000305A6"/>
    <w:rsid w:val="00030616"/>
    <w:rsid w:val="000306B1"/>
    <w:rsid w:val="000307C2"/>
    <w:rsid w:val="000309A0"/>
    <w:rsid w:val="00030BA1"/>
    <w:rsid w:val="00030BBF"/>
    <w:rsid w:val="00030C01"/>
    <w:rsid w:val="00030C76"/>
    <w:rsid w:val="00030CE7"/>
    <w:rsid w:val="00030E69"/>
    <w:rsid w:val="00030F43"/>
    <w:rsid w:val="00030FB6"/>
    <w:rsid w:val="0003135E"/>
    <w:rsid w:val="000313C5"/>
    <w:rsid w:val="000313C7"/>
    <w:rsid w:val="000313DE"/>
    <w:rsid w:val="0003142F"/>
    <w:rsid w:val="0003143B"/>
    <w:rsid w:val="00031490"/>
    <w:rsid w:val="00031663"/>
    <w:rsid w:val="00031742"/>
    <w:rsid w:val="0003177E"/>
    <w:rsid w:val="00031786"/>
    <w:rsid w:val="000318A0"/>
    <w:rsid w:val="00031933"/>
    <w:rsid w:val="000319F5"/>
    <w:rsid w:val="000319FE"/>
    <w:rsid w:val="00031A44"/>
    <w:rsid w:val="00031A6C"/>
    <w:rsid w:val="00031AB8"/>
    <w:rsid w:val="00031ACB"/>
    <w:rsid w:val="00031AD1"/>
    <w:rsid w:val="00031B46"/>
    <w:rsid w:val="00031BCE"/>
    <w:rsid w:val="00031E41"/>
    <w:rsid w:val="00031E89"/>
    <w:rsid w:val="00031FEA"/>
    <w:rsid w:val="0003219D"/>
    <w:rsid w:val="0003230E"/>
    <w:rsid w:val="0003243A"/>
    <w:rsid w:val="0003251A"/>
    <w:rsid w:val="00032700"/>
    <w:rsid w:val="00032821"/>
    <w:rsid w:val="00032966"/>
    <w:rsid w:val="000329AF"/>
    <w:rsid w:val="000329BB"/>
    <w:rsid w:val="00032A7E"/>
    <w:rsid w:val="00032AA1"/>
    <w:rsid w:val="00032AEC"/>
    <w:rsid w:val="00032DEE"/>
    <w:rsid w:val="00032E71"/>
    <w:rsid w:val="00032E9A"/>
    <w:rsid w:val="00032E9C"/>
    <w:rsid w:val="00032EA9"/>
    <w:rsid w:val="00032EB9"/>
    <w:rsid w:val="00032F82"/>
    <w:rsid w:val="00033059"/>
    <w:rsid w:val="000330CE"/>
    <w:rsid w:val="000331D6"/>
    <w:rsid w:val="00033246"/>
    <w:rsid w:val="00033255"/>
    <w:rsid w:val="00033300"/>
    <w:rsid w:val="00033405"/>
    <w:rsid w:val="00033414"/>
    <w:rsid w:val="00033466"/>
    <w:rsid w:val="00033512"/>
    <w:rsid w:val="00033568"/>
    <w:rsid w:val="000335A3"/>
    <w:rsid w:val="000335AB"/>
    <w:rsid w:val="0003378F"/>
    <w:rsid w:val="0003388A"/>
    <w:rsid w:val="00033932"/>
    <w:rsid w:val="00033BD6"/>
    <w:rsid w:val="00033BF8"/>
    <w:rsid w:val="00033C55"/>
    <w:rsid w:val="00033C9E"/>
    <w:rsid w:val="00033D31"/>
    <w:rsid w:val="00033E48"/>
    <w:rsid w:val="00033E82"/>
    <w:rsid w:val="00033EA4"/>
    <w:rsid w:val="00033EC5"/>
    <w:rsid w:val="00033F9E"/>
    <w:rsid w:val="00034067"/>
    <w:rsid w:val="000340DC"/>
    <w:rsid w:val="0003410A"/>
    <w:rsid w:val="000341BC"/>
    <w:rsid w:val="000341BE"/>
    <w:rsid w:val="00034289"/>
    <w:rsid w:val="0003431F"/>
    <w:rsid w:val="00034434"/>
    <w:rsid w:val="000344F5"/>
    <w:rsid w:val="00034524"/>
    <w:rsid w:val="000346F2"/>
    <w:rsid w:val="0003472E"/>
    <w:rsid w:val="0003474B"/>
    <w:rsid w:val="0003478B"/>
    <w:rsid w:val="000347C9"/>
    <w:rsid w:val="00034805"/>
    <w:rsid w:val="00034997"/>
    <w:rsid w:val="00034A5F"/>
    <w:rsid w:val="00034B27"/>
    <w:rsid w:val="00034B40"/>
    <w:rsid w:val="00034B46"/>
    <w:rsid w:val="00034B4F"/>
    <w:rsid w:val="00034B98"/>
    <w:rsid w:val="00034EBF"/>
    <w:rsid w:val="00034F36"/>
    <w:rsid w:val="00034FF9"/>
    <w:rsid w:val="0003506C"/>
    <w:rsid w:val="000350E2"/>
    <w:rsid w:val="000351D2"/>
    <w:rsid w:val="00035241"/>
    <w:rsid w:val="0003530E"/>
    <w:rsid w:val="0003531B"/>
    <w:rsid w:val="000353D7"/>
    <w:rsid w:val="0003544E"/>
    <w:rsid w:val="000354B0"/>
    <w:rsid w:val="00035507"/>
    <w:rsid w:val="000355A2"/>
    <w:rsid w:val="00035669"/>
    <w:rsid w:val="00035743"/>
    <w:rsid w:val="000357B3"/>
    <w:rsid w:val="0003583D"/>
    <w:rsid w:val="000359FA"/>
    <w:rsid w:val="00035A68"/>
    <w:rsid w:val="00035A82"/>
    <w:rsid w:val="00035AA7"/>
    <w:rsid w:val="00035AB7"/>
    <w:rsid w:val="00035B49"/>
    <w:rsid w:val="00035C7C"/>
    <w:rsid w:val="00035CB0"/>
    <w:rsid w:val="00035DE1"/>
    <w:rsid w:val="00035E66"/>
    <w:rsid w:val="00035EAE"/>
    <w:rsid w:val="00035ED6"/>
    <w:rsid w:val="00035EE2"/>
    <w:rsid w:val="00035F2E"/>
    <w:rsid w:val="00035FA8"/>
    <w:rsid w:val="00035FE5"/>
    <w:rsid w:val="000360AC"/>
    <w:rsid w:val="000360E4"/>
    <w:rsid w:val="000361F1"/>
    <w:rsid w:val="00036400"/>
    <w:rsid w:val="0003643F"/>
    <w:rsid w:val="000364A8"/>
    <w:rsid w:val="000365B4"/>
    <w:rsid w:val="000367A8"/>
    <w:rsid w:val="000367E0"/>
    <w:rsid w:val="00036804"/>
    <w:rsid w:val="000368D6"/>
    <w:rsid w:val="00036984"/>
    <w:rsid w:val="00036C9E"/>
    <w:rsid w:val="00036CB4"/>
    <w:rsid w:val="00036D66"/>
    <w:rsid w:val="00036E25"/>
    <w:rsid w:val="00036EFB"/>
    <w:rsid w:val="00036EFD"/>
    <w:rsid w:val="00036FA0"/>
    <w:rsid w:val="00036FC6"/>
    <w:rsid w:val="00037022"/>
    <w:rsid w:val="000370DD"/>
    <w:rsid w:val="000370FF"/>
    <w:rsid w:val="0003717D"/>
    <w:rsid w:val="000371A9"/>
    <w:rsid w:val="000374BB"/>
    <w:rsid w:val="000374DD"/>
    <w:rsid w:val="0003752F"/>
    <w:rsid w:val="00037685"/>
    <w:rsid w:val="0003783A"/>
    <w:rsid w:val="000378B5"/>
    <w:rsid w:val="0003792C"/>
    <w:rsid w:val="00037A1D"/>
    <w:rsid w:val="00037A2A"/>
    <w:rsid w:val="00037C01"/>
    <w:rsid w:val="00037C4B"/>
    <w:rsid w:val="00037CD9"/>
    <w:rsid w:val="00037D2C"/>
    <w:rsid w:val="00037D70"/>
    <w:rsid w:val="00037DD9"/>
    <w:rsid w:val="00037E68"/>
    <w:rsid w:val="00037F3E"/>
    <w:rsid w:val="0004003A"/>
    <w:rsid w:val="00040051"/>
    <w:rsid w:val="000400A3"/>
    <w:rsid w:val="000400F8"/>
    <w:rsid w:val="00040137"/>
    <w:rsid w:val="000401B9"/>
    <w:rsid w:val="000401DC"/>
    <w:rsid w:val="00040425"/>
    <w:rsid w:val="0004044D"/>
    <w:rsid w:val="0004047E"/>
    <w:rsid w:val="000404C8"/>
    <w:rsid w:val="00040629"/>
    <w:rsid w:val="00040639"/>
    <w:rsid w:val="00040750"/>
    <w:rsid w:val="0004075B"/>
    <w:rsid w:val="00040935"/>
    <w:rsid w:val="0004095D"/>
    <w:rsid w:val="00040970"/>
    <w:rsid w:val="0004099E"/>
    <w:rsid w:val="000409F7"/>
    <w:rsid w:val="00040AF7"/>
    <w:rsid w:val="00040B0A"/>
    <w:rsid w:val="00040B56"/>
    <w:rsid w:val="00040BD7"/>
    <w:rsid w:val="00040CFE"/>
    <w:rsid w:val="00041012"/>
    <w:rsid w:val="00041063"/>
    <w:rsid w:val="000410D7"/>
    <w:rsid w:val="00041129"/>
    <w:rsid w:val="0004128A"/>
    <w:rsid w:val="000413F7"/>
    <w:rsid w:val="000414BD"/>
    <w:rsid w:val="00041535"/>
    <w:rsid w:val="00041573"/>
    <w:rsid w:val="000415C0"/>
    <w:rsid w:val="000415DF"/>
    <w:rsid w:val="000415E1"/>
    <w:rsid w:val="0004160B"/>
    <w:rsid w:val="00041617"/>
    <w:rsid w:val="00041846"/>
    <w:rsid w:val="00041940"/>
    <w:rsid w:val="0004196F"/>
    <w:rsid w:val="00041A19"/>
    <w:rsid w:val="00041A59"/>
    <w:rsid w:val="00041AD9"/>
    <w:rsid w:val="00041ADF"/>
    <w:rsid w:val="00041B26"/>
    <w:rsid w:val="00041BB4"/>
    <w:rsid w:val="00041C31"/>
    <w:rsid w:val="00041CC5"/>
    <w:rsid w:val="00041D16"/>
    <w:rsid w:val="00041EF2"/>
    <w:rsid w:val="00041FD6"/>
    <w:rsid w:val="00042041"/>
    <w:rsid w:val="00042100"/>
    <w:rsid w:val="000421AD"/>
    <w:rsid w:val="000421E3"/>
    <w:rsid w:val="00042442"/>
    <w:rsid w:val="000424F1"/>
    <w:rsid w:val="000425E7"/>
    <w:rsid w:val="0004284D"/>
    <w:rsid w:val="000428A4"/>
    <w:rsid w:val="00042942"/>
    <w:rsid w:val="00042953"/>
    <w:rsid w:val="00042D63"/>
    <w:rsid w:val="00042D7B"/>
    <w:rsid w:val="00042DBE"/>
    <w:rsid w:val="000430D1"/>
    <w:rsid w:val="00043240"/>
    <w:rsid w:val="000433B3"/>
    <w:rsid w:val="000433B4"/>
    <w:rsid w:val="0004340B"/>
    <w:rsid w:val="00043430"/>
    <w:rsid w:val="00043582"/>
    <w:rsid w:val="00043586"/>
    <w:rsid w:val="000436D9"/>
    <w:rsid w:val="00043723"/>
    <w:rsid w:val="000437DD"/>
    <w:rsid w:val="000438A7"/>
    <w:rsid w:val="000438B1"/>
    <w:rsid w:val="00043922"/>
    <w:rsid w:val="0004397B"/>
    <w:rsid w:val="000439FA"/>
    <w:rsid w:val="00043AC0"/>
    <w:rsid w:val="00043B32"/>
    <w:rsid w:val="00043C32"/>
    <w:rsid w:val="00043D80"/>
    <w:rsid w:val="00043D93"/>
    <w:rsid w:val="00043DCB"/>
    <w:rsid w:val="00043FFB"/>
    <w:rsid w:val="0004406E"/>
    <w:rsid w:val="000440CA"/>
    <w:rsid w:val="000440E3"/>
    <w:rsid w:val="00044262"/>
    <w:rsid w:val="000442F0"/>
    <w:rsid w:val="000443AA"/>
    <w:rsid w:val="000444B5"/>
    <w:rsid w:val="00044650"/>
    <w:rsid w:val="000446DA"/>
    <w:rsid w:val="000446FE"/>
    <w:rsid w:val="00044708"/>
    <w:rsid w:val="00044783"/>
    <w:rsid w:val="0004482D"/>
    <w:rsid w:val="0004485D"/>
    <w:rsid w:val="000448B4"/>
    <w:rsid w:val="000448CE"/>
    <w:rsid w:val="00044930"/>
    <w:rsid w:val="0004496F"/>
    <w:rsid w:val="000449BF"/>
    <w:rsid w:val="000449D4"/>
    <w:rsid w:val="00044AB4"/>
    <w:rsid w:val="00044CE7"/>
    <w:rsid w:val="00044E1C"/>
    <w:rsid w:val="00044FCA"/>
    <w:rsid w:val="00044FF4"/>
    <w:rsid w:val="0004503A"/>
    <w:rsid w:val="00045101"/>
    <w:rsid w:val="000451B6"/>
    <w:rsid w:val="0004527E"/>
    <w:rsid w:val="000454CE"/>
    <w:rsid w:val="00045691"/>
    <w:rsid w:val="0004574B"/>
    <w:rsid w:val="00045812"/>
    <w:rsid w:val="00045824"/>
    <w:rsid w:val="00045837"/>
    <w:rsid w:val="0004598D"/>
    <w:rsid w:val="000459DF"/>
    <w:rsid w:val="000459E1"/>
    <w:rsid w:val="00045A12"/>
    <w:rsid w:val="00045A82"/>
    <w:rsid w:val="00045B1E"/>
    <w:rsid w:val="00045CEA"/>
    <w:rsid w:val="00045CFD"/>
    <w:rsid w:val="00045E1C"/>
    <w:rsid w:val="00045E27"/>
    <w:rsid w:val="00045E39"/>
    <w:rsid w:val="00045EFA"/>
    <w:rsid w:val="00046007"/>
    <w:rsid w:val="0004601D"/>
    <w:rsid w:val="0004609F"/>
    <w:rsid w:val="00046228"/>
    <w:rsid w:val="00046269"/>
    <w:rsid w:val="000462B4"/>
    <w:rsid w:val="00046417"/>
    <w:rsid w:val="00046455"/>
    <w:rsid w:val="000465AB"/>
    <w:rsid w:val="00046605"/>
    <w:rsid w:val="0004666C"/>
    <w:rsid w:val="000466FD"/>
    <w:rsid w:val="000467E6"/>
    <w:rsid w:val="00046860"/>
    <w:rsid w:val="00046A33"/>
    <w:rsid w:val="00046A3C"/>
    <w:rsid w:val="00046A7D"/>
    <w:rsid w:val="00046A91"/>
    <w:rsid w:val="00046A9C"/>
    <w:rsid w:val="00046B03"/>
    <w:rsid w:val="00046CC8"/>
    <w:rsid w:val="00046E78"/>
    <w:rsid w:val="00046F23"/>
    <w:rsid w:val="00046F7A"/>
    <w:rsid w:val="00046F8F"/>
    <w:rsid w:val="00047021"/>
    <w:rsid w:val="000470B4"/>
    <w:rsid w:val="0004711D"/>
    <w:rsid w:val="0004716E"/>
    <w:rsid w:val="0004717D"/>
    <w:rsid w:val="00047242"/>
    <w:rsid w:val="00047290"/>
    <w:rsid w:val="00047342"/>
    <w:rsid w:val="00047364"/>
    <w:rsid w:val="0004743B"/>
    <w:rsid w:val="00047472"/>
    <w:rsid w:val="000474EE"/>
    <w:rsid w:val="00047580"/>
    <w:rsid w:val="0004758F"/>
    <w:rsid w:val="000475A5"/>
    <w:rsid w:val="000476AA"/>
    <w:rsid w:val="00047863"/>
    <w:rsid w:val="000478D1"/>
    <w:rsid w:val="000479A3"/>
    <w:rsid w:val="00047A8B"/>
    <w:rsid w:val="00047AAD"/>
    <w:rsid w:val="00047BC7"/>
    <w:rsid w:val="00047BD3"/>
    <w:rsid w:val="00047C30"/>
    <w:rsid w:val="00047D0D"/>
    <w:rsid w:val="00047E13"/>
    <w:rsid w:val="00047E53"/>
    <w:rsid w:val="00047EC5"/>
    <w:rsid w:val="00047FB6"/>
    <w:rsid w:val="00047FE6"/>
    <w:rsid w:val="00050079"/>
    <w:rsid w:val="000500A2"/>
    <w:rsid w:val="000500CF"/>
    <w:rsid w:val="000501E8"/>
    <w:rsid w:val="00050270"/>
    <w:rsid w:val="00050306"/>
    <w:rsid w:val="000503D2"/>
    <w:rsid w:val="000503F5"/>
    <w:rsid w:val="000504DE"/>
    <w:rsid w:val="000506B6"/>
    <w:rsid w:val="000506F0"/>
    <w:rsid w:val="000508A0"/>
    <w:rsid w:val="00050A4C"/>
    <w:rsid w:val="00050B93"/>
    <w:rsid w:val="00050CA0"/>
    <w:rsid w:val="00050D50"/>
    <w:rsid w:val="00050DB8"/>
    <w:rsid w:val="00050ED9"/>
    <w:rsid w:val="00050FF9"/>
    <w:rsid w:val="00051042"/>
    <w:rsid w:val="0005151E"/>
    <w:rsid w:val="000516AE"/>
    <w:rsid w:val="000516B4"/>
    <w:rsid w:val="0005173B"/>
    <w:rsid w:val="000517C9"/>
    <w:rsid w:val="00051870"/>
    <w:rsid w:val="000518F8"/>
    <w:rsid w:val="00051B40"/>
    <w:rsid w:val="00051C27"/>
    <w:rsid w:val="00051CAB"/>
    <w:rsid w:val="00051CF8"/>
    <w:rsid w:val="00051D6A"/>
    <w:rsid w:val="00051E36"/>
    <w:rsid w:val="00051EB8"/>
    <w:rsid w:val="00051F67"/>
    <w:rsid w:val="00051FC0"/>
    <w:rsid w:val="00052060"/>
    <w:rsid w:val="00052078"/>
    <w:rsid w:val="000520A8"/>
    <w:rsid w:val="000520CE"/>
    <w:rsid w:val="0005215A"/>
    <w:rsid w:val="0005223D"/>
    <w:rsid w:val="0005226B"/>
    <w:rsid w:val="00052299"/>
    <w:rsid w:val="000522A8"/>
    <w:rsid w:val="00052377"/>
    <w:rsid w:val="0005240F"/>
    <w:rsid w:val="0005249B"/>
    <w:rsid w:val="000524CD"/>
    <w:rsid w:val="000524D1"/>
    <w:rsid w:val="00052570"/>
    <w:rsid w:val="00052597"/>
    <w:rsid w:val="00052732"/>
    <w:rsid w:val="0005277F"/>
    <w:rsid w:val="00052829"/>
    <w:rsid w:val="0005284B"/>
    <w:rsid w:val="000528B2"/>
    <w:rsid w:val="000528C5"/>
    <w:rsid w:val="00052948"/>
    <w:rsid w:val="0005297B"/>
    <w:rsid w:val="00052A41"/>
    <w:rsid w:val="00052CFB"/>
    <w:rsid w:val="00052DA2"/>
    <w:rsid w:val="00052EDC"/>
    <w:rsid w:val="00052EE0"/>
    <w:rsid w:val="00052EF8"/>
    <w:rsid w:val="00052F54"/>
    <w:rsid w:val="000531D9"/>
    <w:rsid w:val="00053504"/>
    <w:rsid w:val="00053559"/>
    <w:rsid w:val="00053664"/>
    <w:rsid w:val="000536A6"/>
    <w:rsid w:val="000537CA"/>
    <w:rsid w:val="00053818"/>
    <w:rsid w:val="00053999"/>
    <w:rsid w:val="000539C5"/>
    <w:rsid w:val="00053AB2"/>
    <w:rsid w:val="00053B15"/>
    <w:rsid w:val="00053C32"/>
    <w:rsid w:val="00053DE9"/>
    <w:rsid w:val="00053ECA"/>
    <w:rsid w:val="00053ED6"/>
    <w:rsid w:val="00054225"/>
    <w:rsid w:val="0005423A"/>
    <w:rsid w:val="0005430D"/>
    <w:rsid w:val="000545FC"/>
    <w:rsid w:val="000546E6"/>
    <w:rsid w:val="00054AD0"/>
    <w:rsid w:val="00054B0C"/>
    <w:rsid w:val="00054B4E"/>
    <w:rsid w:val="00054B4F"/>
    <w:rsid w:val="00054B92"/>
    <w:rsid w:val="00054BEB"/>
    <w:rsid w:val="00054C94"/>
    <w:rsid w:val="00054CD3"/>
    <w:rsid w:val="00054D8C"/>
    <w:rsid w:val="00054E32"/>
    <w:rsid w:val="00055025"/>
    <w:rsid w:val="00055149"/>
    <w:rsid w:val="0005514E"/>
    <w:rsid w:val="00055177"/>
    <w:rsid w:val="0005519A"/>
    <w:rsid w:val="00055254"/>
    <w:rsid w:val="0005536C"/>
    <w:rsid w:val="00055401"/>
    <w:rsid w:val="000554F3"/>
    <w:rsid w:val="0005553A"/>
    <w:rsid w:val="0005553B"/>
    <w:rsid w:val="000555E2"/>
    <w:rsid w:val="0005573B"/>
    <w:rsid w:val="000557B8"/>
    <w:rsid w:val="00055898"/>
    <w:rsid w:val="00055904"/>
    <w:rsid w:val="00055ACA"/>
    <w:rsid w:val="00055ACE"/>
    <w:rsid w:val="00055BA0"/>
    <w:rsid w:val="00055BAD"/>
    <w:rsid w:val="00055C12"/>
    <w:rsid w:val="00055C75"/>
    <w:rsid w:val="00055CA7"/>
    <w:rsid w:val="00055CED"/>
    <w:rsid w:val="00055E0D"/>
    <w:rsid w:val="00055E30"/>
    <w:rsid w:val="00055FB8"/>
    <w:rsid w:val="00055FCE"/>
    <w:rsid w:val="0005609F"/>
    <w:rsid w:val="00056176"/>
    <w:rsid w:val="00056199"/>
    <w:rsid w:val="000561A5"/>
    <w:rsid w:val="000562CE"/>
    <w:rsid w:val="000562F5"/>
    <w:rsid w:val="0005635E"/>
    <w:rsid w:val="00056465"/>
    <w:rsid w:val="000564FF"/>
    <w:rsid w:val="0005651E"/>
    <w:rsid w:val="00056732"/>
    <w:rsid w:val="00056734"/>
    <w:rsid w:val="000567BD"/>
    <w:rsid w:val="000568E7"/>
    <w:rsid w:val="000568ED"/>
    <w:rsid w:val="000568F9"/>
    <w:rsid w:val="00056934"/>
    <w:rsid w:val="000569F9"/>
    <w:rsid w:val="00056A08"/>
    <w:rsid w:val="00056A2E"/>
    <w:rsid w:val="00056AD6"/>
    <w:rsid w:val="00056AE6"/>
    <w:rsid w:val="00056B0F"/>
    <w:rsid w:val="00056B48"/>
    <w:rsid w:val="00056BE9"/>
    <w:rsid w:val="00056CF6"/>
    <w:rsid w:val="00056CFA"/>
    <w:rsid w:val="00056D8D"/>
    <w:rsid w:val="00056FCB"/>
    <w:rsid w:val="00057157"/>
    <w:rsid w:val="00057276"/>
    <w:rsid w:val="00057336"/>
    <w:rsid w:val="000574D5"/>
    <w:rsid w:val="000577B8"/>
    <w:rsid w:val="000577F5"/>
    <w:rsid w:val="00057848"/>
    <w:rsid w:val="00057AD5"/>
    <w:rsid w:val="00057BA2"/>
    <w:rsid w:val="00057C94"/>
    <w:rsid w:val="00057CEC"/>
    <w:rsid w:val="00057D35"/>
    <w:rsid w:val="00057D56"/>
    <w:rsid w:val="00057D5A"/>
    <w:rsid w:val="00057E2C"/>
    <w:rsid w:val="00057E7B"/>
    <w:rsid w:val="00057F2C"/>
    <w:rsid w:val="00057F7B"/>
    <w:rsid w:val="00060032"/>
    <w:rsid w:val="00060158"/>
    <w:rsid w:val="000602B2"/>
    <w:rsid w:val="000602B8"/>
    <w:rsid w:val="00060327"/>
    <w:rsid w:val="000604BA"/>
    <w:rsid w:val="000605B8"/>
    <w:rsid w:val="00060677"/>
    <w:rsid w:val="00060750"/>
    <w:rsid w:val="000607D7"/>
    <w:rsid w:val="00060826"/>
    <w:rsid w:val="00060852"/>
    <w:rsid w:val="000608A9"/>
    <w:rsid w:val="000608FA"/>
    <w:rsid w:val="00060AC7"/>
    <w:rsid w:val="00060B69"/>
    <w:rsid w:val="00060BAC"/>
    <w:rsid w:val="00060DC5"/>
    <w:rsid w:val="00060E4C"/>
    <w:rsid w:val="00060EAC"/>
    <w:rsid w:val="00060F89"/>
    <w:rsid w:val="00060FF6"/>
    <w:rsid w:val="000610B4"/>
    <w:rsid w:val="000610EA"/>
    <w:rsid w:val="000611F0"/>
    <w:rsid w:val="000612C7"/>
    <w:rsid w:val="00061329"/>
    <w:rsid w:val="000614BF"/>
    <w:rsid w:val="000614F7"/>
    <w:rsid w:val="00061563"/>
    <w:rsid w:val="00061571"/>
    <w:rsid w:val="00061642"/>
    <w:rsid w:val="0006167E"/>
    <w:rsid w:val="000618B2"/>
    <w:rsid w:val="00061A24"/>
    <w:rsid w:val="00061A6D"/>
    <w:rsid w:val="00061B5F"/>
    <w:rsid w:val="00061B75"/>
    <w:rsid w:val="00061C08"/>
    <w:rsid w:val="00061CB9"/>
    <w:rsid w:val="00061CC0"/>
    <w:rsid w:val="00061D73"/>
    <w:rsid w:val="00061DC5"/>
    <w:rsid w:val="00061DF4"/>
    <w:rsid w:val="00061E7C"/>
    <w:rsid w:val="00061ED0"/>
    <w:rsid w:val="00061FD8"/>
    <w:rsid w:val="000620C1"/>
    <w:rsid w:val="000621FC"/>
    <w:rsid w:val="0006225F"/>
    <w:rsid w:val="00062471"/>
    <w:rsid w:val="00062482"/>
    <w:rsid w:val="0006249E"/>
    <w:rsid w:val="000624C3"/>
    <w:rsid w:val="0006259F"/>
    <w:rsid w:val="00062734"/>
    <w:rsid w:val="00062837"/>
    <w:rsid w:val="00062956"/>
    <w:rsid w:val="00062A3F"/>
    <w:rsid w:val="00062B32"/>
    <w:rsid w:val="00062B3A"/>
    <w:rsid w:val="00062B6A"/>
    <w:rsid w:val="00062B97"/>
    <w:rsid w:val="00062C79"/>
    <w:rsid w:val="00062C81"/>
    <w:rsid w:val="00062D49"/>
    <w:rsid w:val="0006311E"/>
    <w:rsid w:val="00063132"/>
    <w:rsid w:val="00063199"/>
    <w:rsid w:val="00063334"/>
    <w:rsid w:val="0006335F"/>
    <w:rsid w:val="000634AF"/>
    <w:rsid w:val="00063615"/>
    <w:rsid w:val="00063738"/>
    <w:rsid w:val="000637BE"/>
    <w:rsid w:val="000638DE"/>
    <w:rsid w:val="0006397A"/>
    <w:rsid w:val="00063A3F"/>
    <w:rsid w:val="00063B02"/>
    <w:rsid w:val="00063B7A"/>
    <w:rsid w:val="00063C0E"/>
    <w:rsid w:val="00063C3B"/>
    <w:rsid w:val="00063C66"/>
    <w:rsid w:val="00063D16"/>
    <w:rsid w:val="00063D1C"/>
    <w:rsid w:val="00063DDD"/>
    <w:rsid w:val="00063E3B"/>
    <w:rsid w:val="00063F7E"/>
    <w:rsid w:val="000641E9"/>
    <w:rsid w:val="0006428F"/>
    <w:rsid w:val="000642B5"/>
    <w:rsid w:val="000642D7"/>
    <w:rsid w:val="000647E4"/>
    <w:rsid w:val="000648D0"/>
    <w:rsid w:val="0006495F"/>
    <w:rsid w:val="00064990"/>
    <w:rsid w:val="00064A21"/>
    <w:rsid w:val="00064A5A"/>
    <w:rsid w:val="00064B84"/>
    <w:rsid w:val="00064B8A"/>
    <w:rsid w:val="00064D94"/>
    <w:rsid w:val="00064DAD"/>
    <w:rsid w:val="00064E58"/>
    <w:rsid w:val="00064F59"/>
    <w:rsid w:val="000650F5"/>
    <w:rsid w:val="0006519F"/>
    <w:rsid w:val="0006556F"/>
    <w:rsid w:val="0006574E"/>
    <w:rsid w:val="00065768"/>
    <w:rsid w:val="00065865"/>
    <w:rsid w:val="0006589A"/>
    <w:rsid w:val="0006593A"/>
    <w:rsid w:val="00065A98"/>
    <w:rsid w:val="00065C6F"/>
    <w:rsid w:val="00065C77"/>
    <w:rsid w:val="00065CD7"/>
    <w:rsid w:val="00065EBA"/>
    <w:rsid w:val="00065F57"/>
    <w:rsid w:val="0006600F"/>
    <w:rsid w:val="0006616A"/>
    <w:rsid w:val="000661B9"/>
    <w:rsid w:val="00066241"/>
    <w:rsid w:val="00066290"/>
    <w:rsid w:val="000662B4"/>
    <w:rsid w:val="000662E4"/>
    <w:rsid w:val="00066316"/>
    <w:rsid w:val="000664D3"/>
    <w:rsid w:val="000665A6"/>
    <w:rsid w:val="000665C2"/>
    <w:rsid w:val="0006662E"/>
    <w:rsid w:val="00066636"/>
    <w:rsid w:val="00066739"/>
    <w:rsid w:val="000667B9"/>
    <w:rsid w:val="00066918"/>
    <w:rsid w:val="00066D22"/>
    <w:rsid w:val="00066DE6"/>
    <w:rsid w:val="00066DE8"/>
    <w:rsid w:val="00066DEF"/>
    <w:rsid w:val="00066E6F"/>
    <w:rsid w:val="00066EC7"/>
    <w:rsid w:val="00066F04"/>
    <w:rsid w:val="0006702D"/>
    <w:rsid w:val="000673A1"/>
    <w:rsid w:val="000673B1"/>
    <w:rsid w:val="000673B9"/>
    <w:rsid w:val="000673CD"/>
    <w:rsid w:val="0006748B"/>
    <w:rsid w:val="000674FB"/>
    <w:rsid w:val="000675E4"/>
    <w:rsid w:val="0006760D"/>
    <w:rsid w:val="000676D5"/>
    <w:rsid w:val="00067757"/>
    <w:rsid w:val="00067844"/>
    <w:rsid w:val="00067907"/>
    <w:rsid w:val="000679DA"/>
    <w:rsid w:val="00067AD6"/>
    <w:rsid w:val="00067B8C"/>
    <w:rsid w:val="00067BD8"/>
    <w:rsid w:val="00070038"/>
    <w:rsid w:val="0007010F"/>
    <w:rsid w:val="000701C9"/>
    <w:rsid w:val="0007020F"/>
    <w:rsid w:val="0007025D"/>
    <w:rsid w:val="000702C4"/>
    <w:rsid w:val="000702F3"/>
    <w:rsid w:val="000703B9"/>
    <w:rsid w:val="0007074C"/>
    <w:rsid w:val="000707C5"/>
    <w:rsid w:val="00070900"/>
    <w:rsid w:val="00070A5D"/>
    <w:rsid w:val="00070B52"/>
    <w:rsid w:val="00070B6C"/>
    <w:rsid w:val="00070C45"/>
    <w:rsid w:val="00070E10"/>
    <w:rsid w:val="00070F87"/>
    <w:rsid w:val="00071016"/>
    <w:rsid w:val="000710AF"/>
    <w:rsid w:val="000710DC"/>
    <w:rsid w:val="000710E9"/>
    <w:rsid w:val="000710F4"/>
    <w:rsid w:val="0007113A"/>
    <w:rsid w:val="00071497"/>
    <w:rsid w:val="00071498"/>
    <w:rsid w:val="000715DE"/>
    <w:rsid w:val="00071684"/>
    <w:rsid w:val="0007192C"/>
    <w:rsid w:val="00071A08"/>
    <w:rsid w:val="00071AA0"/>
    <w:rsid w:val="00071B75"/>
    <w:rsid w:val="00071CC8"/>
    <w:rsid w:val="00071CF5"/>
    <w:rsid w:val="00071F9F"/>
    <w:rsid w:val="00072031"/>
    <w:rsid w:val="00072135"/>
    <w:rsid w:val="00072160"/>
    <w:rsid w:val="00072166"/>
    <w:rsid w:val="000721F4"/>
    <w:rsid w:val="0007228E"/>
    <w:rsid w:val="000723B6"/>
    <w:rsid w:val="00072409"/>
    <w:rsid w:val="0007248D"/>
    <w:rsid w:val="000725EB"/>
    <w:rsid w:val="00072609"/>
    <w:rsid w:val="0007288D"/>
    <w:rsid w:val="000728BC"/>
    <w:rsid w:val="00072983"/>
    <w:rsid w:val="00072A79"/>
    <w:rsid w:val="00072AB4"/>
    <w:rsid w:val="00072B35"/>
    <w:rsid w:val="00072BAA"/>
    <w:rsid w:val="00072C4A"/>
    <w:rsid w:val="00072DAC"/>
    <w:rsid w:val="00073251"/>
    <w:rsid w:val="00073286"/>
    <w:rsid w:val="0007328D"/>
    <w:rsid w:val="0007332B"/>
    <w:rsid w:val="0007336F"/>
    <w:rsid w:val="00073375"/>
    <w:rsid w:val="000733B9"/>
    <w:rsid w:val="000734D1"/>
    <w:rsid w:val="0007354B"/>
    <w:rsid w:val="000735CA"/>
    <w:rsid w:val="00073617"/>
    <w:rsid w:val="0007362B"/>
    <w:rsid w:val="00073AF1"/>
    <w:rsid w:val="00073B1A"/>
    <w:rsid w:val="00073B47"/>
    <w:rsid w:val="00073CFF"/>
    <w:rsid w:val="00073D93"/>
    <w:rsid w:val="00073F3B"/>
    <w:rsid w:val="00074019"/>
    <w:rsid w:val="00074113"/>
    <w:rsid w:val="000741F3"/>
    <w:rsid w:val="000742AA"/>
    <w:rsid w:val="000743AD"/>
    <w:rsid w:val="00074429"/>
    <w:rsid w:val="0007453F"/>
    <w:rsid w:val="00074580"/>
    <w:rsid w:val="00074606"/>
    <w:rsid w:val="00074642"/>
    <w:rsid w:val="00074731"/>
    <w:rsid w:val="000747B2"/>
    <w:rsid w:val="000747BD"/>
    <w:rsid w:val="00074937"/>
    <w:rsid w:val="000749BF"/>
    <w:rsid w:val="00074A1F"/>
    <w:rsid w:val="00074B7B"/>
    <w:rsid w:val="00074BD2"/>
    <w:rsid w:val="00074C06"/>
    <w:rsid w:val="00074C35"/>
    <w:rsid w:val="00074C51"/>
    <w:rsid w:val="00074D0F"/>
    <w:rsid w:val="00074E3E"/>
    <w:rsid w:val="00074E86"/>
    <w:rsid w:val="00074F91"/>
    <w:rsid w:val="00075086"/>
    <w:rsid w:val="000750DD"/>
    <w:rsid w:val="00075218"/>
    <w:rsid w:val="0007523E"/>
    <w:rsid w:val="000752F0"/>
    <w:rsid w:val="00075349"/>
    <w:rsid w:val="00075386"/>
    <w:rsid w:val="000753F6"/>
    <w:rsid w:val="000754D3"/>
    <w:rsid w:val="000756A1"/>
    <w:rsid w:val="000757B4"/>
    <w:rsid w:val="000757B8"/>
    <w:rsid w:val="000758F1"/>
    <w:rsid w:val="000759F9"/>
    <w:rsid w:val="00075C0D"/>
    <w:rsid w:val="00075EB2"/>
    <w:rsid w:val="00075EC3"/>
    <w:rsid w:val="00075F1B"/>
    <w:rsid w:val="00075F74"/>
    <w:rsid w:val="00076043"/>
    <w:rsid w:val="0007612F"/>
    <w:rsid w:val="00076176"/>
    <w:rsid w:val="00076213"/>
    <w:rsid w:val="000762A3"/>
    <w:rsid w:val="00076300"/>
    <w:rsid w:val="00076366"/>
    <w:rsid w:val="000763E9"/>
    <w:rsid w:val="000764DA"/>
    <w:rsid w:val="0007655D"/>
    <w:rsid w:val="000766D2"/>
    <w:rsid w:val="0007672D"/>
    <w:rsid w:val="000767CA"/>
    <w:rsid w:val="00076885"/>
    <w:rsid w:val="00076890"/>
    <w:rsid w:val="00076892"/>
    <w:rsid w:val="000768E6"/>
    <w:rsid w:val="000768F8"/>
    <w:rsid w:val="000768F9"/>
    <w:rsid w:val="00076A9F"/>
    <w:rsid w:val="00076AE3"/>
    <w:rsid w:val="00076C53"/>
    <w:rsid w:val="00076C64"/>
    <w:rsid w:val="00076CC5"/>
    <w:rsid w:val="00076DD7"/>
    <w:rsid w:val="00076E36"/>
    <w:rsid w:val="00076E67"/>
    <w:rsid w:val="00076F2A"/>
    <w:rsid w:val="00076FF9"/>
    <w:rsid w:val="00077018"/>
    <w:rsid w:val="0007704D"/>
    <w:rsid w:val="0007704E"/>
    <w:rsid w:val="0007723A"/>
    <w:rsid w:val="00077253"/>
    <w:rsid w:val="00077396"/>
    <w:rsid w:val="000773C2"/>
    <w:rsid w:val="000774AE"/>
    <w:rsid w:val="00077568"/>
    <w:rsid w:val="0007756D"/>
    <w:rsid w:val="00077676"/>
    <w:rsid w:val="0007767B"/>
    <w:rsid w:val="00077830"/>
    <w:rsid w:val="00077914"/>
    <w:rsid w:val="00077941"/>
    <w:rsid w:val="0007799E"/>
    <w:rsid w:val="00077A3A"/>
    <w:rsid w:val="00077A7B"/>
    <w:rsid w:val="00077B33"/>
    <w:rsid w:val="00077B55"/>
    <w:rsid w:val="00077C56"/>
    <w:rsid w:val="00077C90"/>
    <w:rsid w:val="00077E4C"/>
    <w:rsid w:val="00077E86"/>
    <w:rsid w:val="00077E89"/>
    <w:rsid w:val="00077F9A"/>
    <w:rsid w:val="00077FD9"/>
    <w:rsid w:val="00080031"/>
    <w:rsid w:val="000800F8"/>
    <w:rsid w:val="00080136"/>
    <w:rsid w:val="00080161"/>
    <w:rsid w:val="0008021A"/>
    <w:rsid w:val="000802AF"/>
    <w:rsid w:val="000803B3"/>
    <w:rsid w:val="00080507"/>
    <w:rsid w:val="00080600"/>
    <w:rsid w:val="000806E3"/>
    <w:rsid w:val="00080827"/>
    <w:rsid w:val="000808D8"/>
    <w:rsid w:val="00080903"/>
    <w:rsid w:val="0008091A"/>
    <w:rsid w:val="00080A40"/>
    <w:rsid w:val="00080AA6"/>
    <w:rsid w:val="00080B20"/>
    <w:rsid w:val="00080B81"/>
    <w:rsid w:val="00080CD5"/>
    <w:rsid w:val="00080D19"/>
    <w:rsid w:val="00080D1B"/>
    <w:rsid w:val="00080D73"/>
    <w:rsid w:val="00080DA8"/>
    <w:rsid w:val="00080E85"/>
    <w:rsid w:val="00080EC1"/>
    <w:rsid w:val="00080FF2"/>
    <w:rsid w:val="00081129"/>
    <w:rsid w:val="0008119E"/>
    <w:rsid w:val="00081432"/>
    <w:rsid w:val="000814C8"/>
    <w:rsid w:val="00081514"/>
    <w:rsid w:val="00081515"/>
    <w:rsid w:val="00081523"/>
    <w:rsid w:val="0008153A"/>
    <w:rsid w:val="0008161B"/>
    <w:rsid w:val="00081690"/>
    <w:rsid w:val="000816A5"/>
    <w:rsid w:val="0008178B"/>
    <w:rsid w:val="00081809"/>
    <w:rsid w:val="000819A1"/>
    <w:rsid w:val="000819F8"/>
    <w:rsid w:val="00081A7D"/>
    <w:rsid w:val="00081A82"/>
    <w:rsid w:val="00081B97"/>
    <w:rsid w:val="00081C6F"/>
    <w:rsid w:val="00081CB0"/>
    <w:rsid w:val="00081D4B"/>
    <w:rsid w:val="00081D82"/>
    <w:rsid w:val="00081D95"/>
    <w:rsid w:val="00081E12"/>
    <w:rsid w:val="00081F58"/>
    <w:rsid w:val="00081FCD"/>
    <w:rsid w:val="0008213D"/>
    <w:rsid w:val="00082193"/>
    <w:rsid w:val="0008226E"/>
    <w:rsid w:val="00082359"/>
    <w:rsid w:val="000823A6"/>
    <w:rsid w:val="00082417"/>
    <w:rsid w:val="0008253C"/>
    <w:rsid w:val="000825B9"/>
    <w:rsid w:val="000825C8"/>
    <w:rsid w:val="0008260B"/>
    <w:rsid w:val="000826EC"/>
    <w:rsid w:val="0008276A"/>
    <w:rsid w:val="0008287D"/>
    <w:rsid w:val="000829E5"/>
    <w:rsid w:val="00082BAF"/>
    <w:rsid w:val="00082BE0"/>
    <w:rsid w:val="00082CF1"/>
    <w:rsid w:val="00082DDA"/>
    <w:rsid w:val="00082EE4"/>
    <w:rsid w:val="00082FD2"/>
    <w:rsid w:val="00083011"/>
    <w:rsid w:val="000830E7"/>
    <w:rsid w:val="000831A8"/>
    <w:rsid w:val="0008321E"/>
    <w:rsid w:val="0008325F"/>
    <w:rsid w:val="000833FF"/>
    <w:rsid w:val="0008354B"/>
    <w:rsid w:val="00083618"/>
    <w:rsid w:val="0008367E"/>
    <w:rsid w:val="000836CF"/>
    <w:rsid w:val="000837D6"/>
    <w:rsid w:val="00083879"/>
    <w:rsid w:val="00083A73"/>
    <w:rsid w:val="00083B45"/>
    <w:rsid w:val="00083B6A"/>
    <w:rsid w:val="00083BC9"/>
    <w:rsid w:val="00083BD1"/>
    <w:rsid w:val="00083CC0"/>
    <w:rsid w:val="00083DC1"/>
    <w:rsid w:val="00083E26"/>
    <w:rsid w:val="00083EBD"/>
    <w:rsid w:val="00083F13"/>
    <w:rsid w:val="00083FB1"/>
    <w:rsid w:val="000840A5"/>
    <w:rsid w:val="00084268"/>
    <w:rsid w:val="0008429B"/>
    <w:rsid w:val="00084313"/>
    <w:rsid w:val="00084333"/>
    <w:rsid w:val="000843A4"/>
    <w:rsid w:val="000843AA"/>
    <w:rsid w:val="000843E1"/>
    <w:rsid w:val="000843FB"/>
    <w:rsid w:val="0008459C"/>
    <w:rsid w:val="000846C7"/>
    <w:rsid w:val="0008474D"/>
    <w:rsid w:val="0008475F"/>
    <w:rsid w:val="000847E0"/>
    <w:rsid w:val="00084832"/>
    <w:rsid w:val="000848AD"/>
    <w:rsid w:val="00084959"/>
    <w:rsid w:val="000849CD"/>
    <w:rsid w:val="00084A8B"/>
    <w:rsid w:val="00084B90"/>
    <w:rsid w:val="00084BB4"/>
    <w:rsid w:val="00084CE8"/>
    <w:rsid w:val="00084DB1"/>
    <w:rsid w:val="00084E8F"/>
    <w:rsid w:val="0008507A"/>
    <w:rsid w:val="000850D4"/>
    <w:rsid w:val="0008520B"/>
    <w:rsid w:val="0008531A"/>
    <w:rsid w:val="00085546"/>
    <w:rsid w:val="00085597"/>
    <w:rsid w:val="0008559F"/>
    <w:rsid w:val="00085832"/>
    <w:rsid w:val="00085884"/>
    <w:rsid w:val="000858EF"/>
    <w:rsid w:val="0008595B"/>
    <w:rsid w:val="00085A12"/>
    <w:rsid w:val="00085A51"/>
    <w:rsid w:val="00085BB0"/>
    <w:rsid w:val="00085BEF"/>
    <w:rsid w:val="00085C2C"/>
    <w:rsid w:val="00085C73"/>
    <w:rsid w:val="00085C74"/>
    <w:rsid w:val="00085E5D"/>
    <w:rsid w:val="00085F75"/>
    <w:rsid w:val="0008602A"/>
    <w:rsid w:val="00086090"/>
    <w:rsid w:val="00086127"/>
    <w:rsid w:val="0008615D"/>
    <w:rsid w:val="000861D0"/>
    <w:rsid w:val="000863F9"/>
    <w:rsid w:val="00086646"/>
    <w:rsid w:val="000866E6"/>
    <w:rsid w:val="00086754"/>
    <w:rsid w:val="000867D6"/>
    <w:rsid w:val="000867E7"/>
    <w:rsid w:val="0008691A"/>
    <w:rsid w:val="000869F1"/>
    <w:rsid w:val="00086A49"/>
    <w:rsid w:val="00086A6C"/>
    <w:rsid w:val="00086B51"/>
    <w:rsid w:val="00086BB9"/>
    <w:rsid w:val="00086BE4"/>
    <w:rsid w:val="00086C50"/>
    <w:rsid w:val="00086C7E"/>
    <w:rsid w:val="00086C7F"/>
    <w:rsid w:val="00086DBC"/>
    <w:rsid w:val="00086F84"/>
    <w:rsid w:val="00087092"/>
    <w:rsid w:val="00087123"/>
    <w:rsid w:val="00087189"/>
    <w:rsid w:val="000871A5"/>
    <w:rsid w:val="000873AA"/>
    <w:rsid w:val="00087502"/>
    <w:rsid w:val="0008757B"/>
    <w:rsid w:val="00087690"/>
    <w:rsid w:val="000876C6"/>
    <w:rsid w:val="000876DE"/>
    <w:rsid w:val="000877BF"/>
    <w:rsid w:val="00087893"/>
    <w:rsid w:val="0008796C"/>
    <w:rsid w:val="00087A96"/>
    <w:rsid w:val="00087DB2"/>
    <w:rsid w:val="00087DEB"/>
    <w:rsid w:val="00087E58"/>
    <w:rsid w:val="0009001E"/>
    <w:rsid w:val="00090140"/>
    <w:rsid w:val="0009039A"/>
    <w:rsid w:val="00090477"/>
    <w:rsid w:val="00090486"/>
    <w:rsid w:val="00090581"/>
    <w:rsid w:val="000907EC"/>
    <w:rsid w:val="00090802"/>
    <w:rsid w:val="000909AD"/>
    <w:rsid w:val="000909ED"/>
    <w:rsid w:val="00090B48"/>
    <w:rsid w:val="00090C50"/>
    <w:rsid w:val="00090DB7"/>
    <w:rsid w:val="00090DCA"/>
    <w:rsid w:val="00090E3D"/>
    <w:rsid w:val="00090E98"/>
    <w:rsid w:val="00090EF4"/>
    <w:rsid w:val="00090F17"/>
    <w:rsid w:val="00090FE8"/>
    <w:rsid w:val="0009109D"/>
    <w:rsid w:val="00091104"/>
    <w:rsid w:val="0009117B"/>
    <w:rsid w:val="0009117D"/>
    <w:rsid w:val="00091237"/>
    <w:rsid w:val="00091260"/>
    <w:rsid w:val="00091292"/>
    <w:rsid w:val="000912A7"/>
    <w:rsid w:val="000913F1"/>
    <w:rsid w:val="000914AE"/>
    <w:rsid w:val="000914FC"/>
    <w:rsid w:val="00091654"/>
    <w:rsid w:val="000916D5"/>
    <w:rsid w:val="00091752"/>
    <w:rsid w:val="00091795"/>
    <w:rsid w:val="0009181E"/>
    <w:rsid w:val="00091869"/>
    <w:rsid w:val="0009189D"/>
    <w:rsid w:val="000918E6"/>
    <w:rsid w:val="0009195D"/>
    <w:rsid w:val="00091A2A"/>
    <w:rsid w:val="00091A6D"/>
    <w:rsid w:val="00091F19"/>
    <w:rsid w:val="00091F98"/>
    <w:rsid w:val="0009220A"/>
    <w:rsid w:val="0009233B"/>
    <w:rsid w:val="0009234A"/>
    <w:rsid w:val="000923AE"/>
    <w:rsid w:val="000923B0"/>
    <w:rsid w:val="00092458"/>
    <w:rsid w:val="00092499"/>
    <w:rsid w:val="000924AA"/>
    <w:rsid w:val="00092517"/>
    <w:rsid w:val="0009262D"/>
    <w:rsid w:val="00092750"/>
    <w:rsid w:val="00092774"/>
    <w:rsid w:val="00092828"/>
    <w:rsid w:val="00092911"/>
    <w:rsid w:val="000929F1"/>
    <w:rsid w:val="00092A1E"/>
    <w:rsid w:val="00092AEE"/>
    <w:rsid w:val="00092B42"/>
    <w:rsid w:val="00092BD1"/>
    <w:rsid w:val="00092BF2"/>
    <w:rsid w:val="00092C99"/>
    <w:rsid w:val="00092D66"/>
    <w:rsid w:val="00092EFF"/>
    <w:rsid w:val="00093181"/>
    <w:rsid w:val="000931A7"/>
    <w:rsid w:val="000932A5"/>
    <w:rsid w:val="000932A8"/>
    <w:rsid w:val="00093422"/>
    <w:rsid w:val="00093437"/>
    <w:rsid w:val="000934BE"/>
    <w:rsid w:val="0009357E"/>
    <w:rsid w:val="00093759"/>
    <w:rsid w:val="000938A6"/>
    <w:rsid w:val="00093914"/>
    <w:rsid w:val="0009393A"/>
    <w:rsid w:val="000939A0"/>
    <w:rsid w:val="000939CE"/>
    <w:rsid w:val="00093A28"/>
    <w:rsid w:val="00093A7C"/>
    <w:rsid w:val="00093BAC"/>
    <w:rsid w:val="00093C6F"/>
    <w:rsid w:val="00093DAE"/>
    <w:rsid w:val="00093E1A"/>
    <w:rsid w:val="00093EC9"/>
    <w:rsid w:val="00093F08"/>
    <w:rsid w:val="00094117"/>
    <w:rsid w:val="000941BD"/>
    <w:rsid w:val="00094245"/>
    <w:rsid w:val="000944AD"/>
    <w:rsid w:val="00094623"/>
    <w:rsid w:val="00094654"/>
    <w:rsid w:val="00094686"/>
    <w:rsid w:val="000946B1"/>
    <w:rsid w:val="0009498B"/>
    <w:rsid w:val="00094ACF"/>
    <w:rsid w:val="00094B2B"/>
    <w:rsid w:val="00094BAD"/>
    <w:rsid w:val="00094C26"/>
    <w:rsid w:val="00094C36"/>
    <w:rsid w:val="00094C9A"/>
    <w:rsid w:val="00094D69"/>
    <w:rsid w:val="00094D78"/>
    <w:rsid w:val="00094DA2"/>
    <w:rsid w:val="00094F4C"/>
    <w:rsid w:val="00094F94"/>
    <w:rsid w:val="0009500A"/>
    <w:rsid w:val="0009505D"/>
    <w:rsid w:val="0009507D"/>
    <w:rsid w:val="000950A3"/>
    <w:rsid w:val="000950E7"/>
    <w:rsid w:val="000951D5"/>
    <w:rsid w:val="000951D8"/>
    <w:rsid w:val="000951DF"/>
    <w:rsid w:val="000951FC"/>
    <w:rsid w:val="0009536D"/>
    <w:rsid w:val="0009543E"/>
    <w:rsid w:val="00095516"/>
    <w:rsid w:val="000955AE"/>
    <w:rsid w:val="000955DD"/>
    <w:rsid w:val="000959B1"/>
    <w:rsid w:val="00095A90"/>
    <w:rsid w:val="00095C3D"/>
    <w:rsid w:val="00095CE8"/>
    <w:rsid w:val="00095D77"/>
    <w:rsid w:val="00095DD9"/>
    <w:rsid w:val="00095EE6"/>
    <w:rsid w:val="00095F22"/>
    <w:rsid w:val="00095F2B"/>
    <w:rsid w:val="00095FA5"/>
    <w:rsid w:val="000960B1"/>
    <w:rsid w:val="0009610D"/>
    <w:rsid w:val="0009641A"/>
    <w:rsid w:val="0009646D"/>
    <w:rsid w:val="000964AF"/>
    <w:rsid w:val="00096564"/>
    <w:rsid w:val="000965F8"/>
    <w:rsid w:val="00096629"/>
    <w:rsid w:val="00096630"/>
    <w:rsid w:val="0009664B"/>
    <w:rsid w:val="00096693"/>
    <w:rsid w:val="000969DF"/>
    <w:rsid w:val="00096A11"/>
    <w:rsid w:val="00096AC1"/>
    <w:rsid w:val="00096B32"/>
    <w:rsid w:val="00096C7E"/>
    <w:rsid w:val="00096CC7"/>
    <w:rsid w:val="00096FB4"/>
    <w:rsid w:val="00097048"/>
    <w:rsid w:val="000970F1"/>
    <w:rsid w:val="000971F5"/>
    <w:rsid w:val="0009721C"/>
    <w:rsid w:val="000972BE"/>
    <w:rsid w:val="000972E0"/>
    <w:rsid w:val="000972E8"/>
    <w:rsid w:val="0009742A"/>
    <w:rsid w:val="0009762D"/>
    <w:rsid w:val="000976BF"/>
    <w:rsid w:val="000976F2"/>
    <w:rsid w:val="00097752"/>
    <w:rsid w:val="00097871"/>
    <w:rsid w:val="0009789C"/>
    <w:rsid w:val="00097BAC"/>
    <w:rsid w:val="00097BBC"/>
    <w:rsid w:val="00097BD0"/>
    <w:rsid w:val="00097BE9"/>
    <w:rsid w:val="00097D53"/>
    <w:rsid w:val="00097DDF"/>
    <w:rsid w:val="00097E4D"/>
    <w:rsid w:val="00097E76"/>
    <w:rsid w:val="00097E77"/>
    <w:rsid w:val="00097EAC"/>
    <w:rsid w:val="000A0079"/>
    <w:rsid w:val="000A007B"/>
    <w:rsid w:val="000A0153"/>
    <w:rsid w:val="000A0231"/>
    <w:rsid w:val="000A0369"/>
    <w:rsid w:val="000A03FA"/>
    <w:rsid w:val="000A0454"/>
    <w:rsid w:val="000A04E1"/>
    <w:rsid w:val="000A0643"/>
    <w:rsid w:val="000A067C"/>
    <w:rsid w:val="000A0681"/>
    <w:rsid w:val="000A0812"/>
    <w:rsid w:val="000A081E"/>
    <w:rsid w:val="000A0840"/>
    <w:rsid w:val="000A08F9"/>
    <w:rsid w:val="000A09D8"/>
    <w:rsid w:val="000A0A07"/>
    <w:rsid w:val="000A0B38"/>
    <w:rsid w:val="000A0B6F"/>
    <w:rsid w:val="000A0B81"/>
    <w:rsid w:val="000A0BDD"/>
    <w:rsid w:val="000A0D54"/>
    <w:rsid w:val="000A0DA5"/>
    <w:rsid w:val="000A1024"/>
    <w:rsid w:val="000A1069"/>
    <w:rsid w:val="000A1412"/>
    <w:rsid w:val="000A141A"/>
    <w:rsid w:val="000A151E"/>
    <w:rsid w:val="000A152E"/>
    <w:rsid w:val="000A15D9"/>
    <w:rsid w:val="000A185F"/>
    <w:rsid w:val="000A18A7"/>
    <w:rsid w:val="000A18FC"/>
    <w:rsid w:val="000A1966"/>
    <w:rsid w:val="000A1A20"/>
    <w:rsid w:val="000A1B10"/>
    <w:rsid w:val="000A1B7A"/>
    <w:rsid w:val="000A1BF4"/>
    <w:rsid w:val="000A1C8F"/>
    <w:rsid w:val="000A1D99"/>
    <w:rsid w:val="000A1EC9"/>
    <w:rsid w:val="000A1FFB"/>
    <w:rsid w:val="000A201B"/>
    <w:rsid w:val="000A202C"/>
    <w:rsid w:val="000A210F"/>
    <w:rsid w:val="000A2272"/>
    <w:rsid w:val="000A228F"/>
    <w:rsid w:val="000A23D9"/>
    <w:rsid w:val="000A23EA"/>
    <w:rsid w:val="000A23FA"/>
    <w:rsid w:val="000A2584"/>
    <w:rsid w:val="000A2605"/>
    <w:rsid w:val="000A2695"/>
    <w:rsid w:val="000A271E"/>
    <w:rsid w:val="000A27D5"/>
    <w:rsid w:val="000A2904"/>
    <w:rsid w:val="000A29AC"/>
    <w:rsid w:val="000A2A00"/>
    <w:rsid w:val="000A2A88"/>
    <w:rsid w:val="000A2AB8"/>
    <w:rsid w:val="000A2AE7"/>
    <w:rsid w:val="000A2B40"/>
    <w:rsid w:val="000A2B90"/>
    <w:rsid w:val="000A2BFD"/>
    <w:rsid w:val="000A2C30"/>
    <w:rsid w:val="000A2EA4"/>
    <w:rsid w:val="000A2F07"/>
    <w:rsid w:val="000A2F7D"/>
    <w:rsid w:val="000A2F9D"/>
    <w:rsid w:val="000A2FA2"/>
    <w:rsid w:val="000A2FCE"/>
    <w:rsid w:val="000A3231"/>
    <w:rsid w:val="000A34ED"/>
    <w:rsid w:val="000A3504"/>
    <w:rsid w:val="000A35F8"/>
    <w:rsid w:val="000A36A8"/>
    <w:rsid w:val="000A3710"/>
    <w:rsid w:val="000A3940"/>
    <w:rsid w:val="000A394C"/>
    <w:rsid w:val="000A3B75"/>
    <w:rsid w:val="000A3BB4"/>
    <w:rsid w:val="000A3C63"/>
    <w:rsid w:val="000A3CC7"/>
    <w:rsid w:val="000A3DC3"/>
    <w:rsid w:val="000A3E50"/>
    <w:rsid w:val="000A3EC1"/>
    <w:rsid w:val="000A3EC4"/>
    <w:rsid w:val="000A3F6E"/>
    <w:rsid w:val="000A40E7"/>
    <w:rsid w:val="000A40F3"/>
    <w:rsid w:val="000A41C3"/>
    <w:rsid w:val="000A41D6"/>
    <w:rsid w:val="000A4257"/>
    <w:rsid w:val="000A4270"/>
    <w:rsid w:val="000A4349"/>
    <w:rsid w:val="000A436E"/>
    <w:rsid w:val="000A4479"/>
    <w:rsid w:val="000A4557"/>
    <w:rsid w:val="000A463A"/>
    <w:rsid w:val="000A4752"/>
    <w:rsid w:val="000A47D0"/>
    <w:rsid w:val="000A4909"/>
    <w:rsid w:val="000A49D6"/>
    <w:rsid w:val="000A4A2E"/>
    <w:rsid w:val="000A4AC2"/>
    <w:rsid w:val="000A4AD3"/>
    <w:rsid w:val="000A4AD6"/>
    <w:rsid w:val="000A4AF4"/>
    <w:rsid w:val="000A4AF6"/>
    <w:rsid w:val="000A4B0C"/>
    <w:rsid w:val="000A4B22"/>
    <w:rsid w:val="000A4C43"/>
    <w:rsid w:val="000A4CD6"/>
    <w:rsid w:val="000A4D58"/>
    <w:rsid w:val="000A4DBC"/>
    <w:rsid w:val="000A4F02"/>
    <w:rsid w:val="000A4F60"/>
    <w:rsid w:val="000A5071"/>
    <w:rsid w:val="000A511C"/>
    <w:rsid w:val="000A52C9"/>
    <w:rsid w:val="000A539D"/>
    <w:rsid w:val="000A53A0"/>
    <w:rsid w:val="000A53F2"/>
    <w:rsid w:val="000A541B"/>
    <w:rsid w:val="000A550E"/>
    <w:rsid w:val="000A556A"/>
    <w:rsid w:val="000A5597"/>
    <w:rsid w:val="000A55E1"/>
    <w:rsid w:val="000A57AA"/>
    <w:rsid w:val="000A58D2"/>
    <w:rsid w:val="000A59BB"/>
    <w:rsid w:val="000A59C3"/>
    <w:rsid w:val="000A5AA6"/>
    <w:rsid w:val="000A5B43"/>
    <w:rsid w:val="000A5C02"/>
    <w:rsid w:val="000A5D9B"/>
    <w:rsid w:val="000A63A7"/>
    <w:rsid w:val="000A63E0"/>
    <w:rsid w:val="000A644F"/>
    <w:rsid w:val="000A66A9"/>
    <w:rsid w:val="000A6797"/>
    <w:rsid w:val="000A67ED"/>
    <w:rsid w:val="000A693E"/>
    <w:rsid w:val="000A6958"/>
    <w:rsid w:val="000A69C7"/>
    <w:rsid w:val="000A6C33"/>
    <w:rsid w:val="000A6D81"/>
    <w:rsid w:val="000A6DC8"/>
    <w:rsid w:val="000A6F7F"/>
    <w:rsid w:val="000A6FC1"/>
    <w:rsid w:val="000A718C"/>
    <w:rsid w:val="000A722A"/>
    <w:rsid w:val="000A7273"/>
    <w:rsid w:val="000A7407"/>
    <w:rsid w:val="000A75FE"/>
    <w:rsid w:val="000A7711"/>
    <w:rsid w:val="000A77D5"/>
    <w:rsid w:val="000A7845"/>
    <w:rsid w:val="000A7860"/>
    <w:rsid w:val="000A788C"/>
    <w:rsid w:val="000A792C"/>
    <w:rsid w:val="000A7945"/>
    <w:rsid w:val="000A79BE"/>
    <w:rsid w:val="000A7A2C"/>
    <w:rsid w:val="000A7A54"/>
    <w:rsid w:val="000A7A75"/>
    <w:rsid w:val="000A7B05"/>
    <w:rsid w:val="000A7B7A"/>
    <w:rsid w:val="000A7C47"/>
    <w:rsid w:val="000A7C9F"/>
    <w:rsid w:val="000A7D20"/>
    <w:rsid w:val="000A7D2E"/>
    <w:rsid w:val="000A7EF2"/>
    <w:rsid w:val="000B01B7"/>
    <w:rsid w:val="000B034E"/>
    <w:rsid w:val="000B04FB"/>
    <w:rsid w:val="000B0521"/>
    <w:rsid w:val="000B06D4"/>
    <w:rsid w:val="000B08E7"/>
    <w:rsid w:val="000B0933"/>
    <w:rsid w:val="000B09A1"/>
    <w:rsid w:val="000B09A7"/>
    <w:rsid w:val="000B0A5C"/>
    <w:rsid w:val="000B0B08"/>
    <w:rsid w:val="000B0B55"/>
    <w:rsid w:val="000B0C93"/>
    <w:rsid w:val="000B0DAA"/>
    <w:rsid w:val="000B0DAF"/>
    <w:rsid w:val="000B0DD3"/>
    <w:rsid w:val="000B10BD"/>
    <w:rsid w:val="000B11AE"/>
    <w:rsid w:val="000B1267"/>
    <w:rsid w:val="000B12D4"/>
    <w:rsid w:val="000B1375"/>
    <w:rsid w:val="000B13CA"/>
    <w:rsid w:val="000B1451"/>
    <w:rsid w:val="000B1490"/>
    <w:rsid w:val="000B1601"/>
    <w:rsid w:val="000B16BC"/>
    <w:rsid w:val="000B1837"/>
    <w:rsid w:val="000B1A03"/>
    <w:rsid w:val="000B1A89"/>
    <w:rsid w:val="000B1AC7"/>
    <w:rsid w:val="000B1B17"/>
    <w:rsid w:val="000B1D27"/>
    <w:rsid w:val="000B1D3B"/>
    <w:rsid w:val="000B1EE8"/>
    <w:rsid w:val="000B1F0B"/>
    <w:rsid w:val="000B1F0F"/>
    <w:rsid w:val="000B1F26"/>
    <w:rsid w:val="000B1F8F"/>
    <w:rsid w:val="000B20F2"/>
    <w:rsid w:val="000B2137"/>
    <w:rsid w:val="000B2154"/>
    <w:rsid w:val="000B215A"/>
    <w:rsid w:val="000B231A"/>
    <w:rsid w:val="000B233F"/>
    <w:rsid w:val="000B237C"/>
    <w:rsid w:val="000B23F2"/>
    <w:rsid w:val="000B240E"/>
    <w:rsid w:val="000B2430"/>
    <w:rsid w:val="000B2457"/>
    <w:rsid w:val="000B248E"/>
    <w:rsid w:val="000B26C6"/>
    <w:rsid w:val="000B27C7"/>
    <w:rsid w:val="000B27F1"/>
    <w:rsid w:val="000B28FC"/>
    <w:rsid w:val="000B29EB"/>
    <w:rsid w:val="000B29F7"/>
    <w:rsid w:val="000B29FF"/>
    <w:rsid w:val="000B2CBC"/>
    <w:rsid w:val="000B2CDD"/>
    <w:rsid w:val="000B2CFD"/>
    <w:rsid w:val="000B2D99"/>
    <w:rsid w:val="000B2E7B"/>
    <w:rsid w:val="000B2EF1"/>
    <w:rsid w:val="000B2FB4"/>
    <w:rsid w:val="000B3043"/>
    <w:rsid w:val="000B3071"/>
    <w:rsid w:val="000B30B4"/>
    <w:rsid w:val="000B30D5"/>
    <w:rsid w:val="000B3116"/>
    <w:rsid w:val="000B31D0"/>
    <w:rsid w:val="000B31E0"/>
    <w:rsid w:val="000B32C1"/>
    <w:rsid w:val="000B3323"/>
    <w:rsid w:val="000B34C3"/>
    <w:rsid w:val="000B34DC"/>
    <w:rsid w:val="000B356D"/>
    <w:rsid w:val="000B3643"/>
    <w:rsid w:val="000B3691"/>
    <w:rsid w:val="000B3793"/>
    <w:rsid w:val="000B37F9"/>
    <w:rsid w:val="000B3879"/>
    <w:rsid w:val="000B38A8"/>
    <w:rsid w:val="000B3908"/>
    <w:rsid w:val="000B3A28"/>
    <w:rsid w:val="000B3A5E"/>
    <w:rsid w:val="000B3AE7"/>
    <w:rsid w:val="000B3AFE"/>
    <w:rsid w:val="000B3B8E"/>
    <w:rsid w:val="000B3B91"/>
    <w:rsid w:val="000B3C31"/>
    <w:rsid w:val="000B3C5A"/>
    <w:rsid w:val="000B3D10"/>
    <w:rsid w:val="000B3DF6"/>
    <w:rsid w:val="000B3E22"/>
    <w:rsid w:val="000B3E91"/>
    <w:rsid w:val="000B3E9E"/>
    <w:rsid w:val="000B3ED0"/>
    <w:rsid w:val="000B3ED5"/>
    <w:rsid w:val="000B4027"/>
    <w:rsid w:val="000B402F"/>
    <w:rsid w:val="000B410E"/>
    <w:rsid w:val="000B4139"/>
    <w:rsid w:val="000B41F4"/>
    <w:rsid w:val="000B428A"/>
    <w:rsid w:val="000B431E"/>
    <w:rsid w:val="000B434B"/>
    <w:rsid w:val="000B43BA"/>
    <w:rsid w:val="000B443A"/>
    <w:rsid w:val="000B4462"/>
    <w:rsid w:val="000B459E"/>
    <w:rsid w:val="000B47D8"/>
    <w:rsid w:val="000B4823"/>
    <w:rsid w:val="000B4849"/>
    <w:rsid w:val="000B4B5F"/>
    <w:rsid w:val="000B4B61"/>
    <w:rsid w:val="000B4B88"/>
    <w:rsid w:val="000B4C45"/>
    <w:rsid w:val="000B4DF2"/>
    <w:rsid w:val="000B4DFD"/>
    <w:rsid w:val="000B4F23"/>
    <w:rsid w:val="000B4F9F"/>
    <w:rsid w:val="000B504E"/>
    <w:rsid w:val="000B509A"/>
    <w:rsid w:val="000B5161"/>
    <w:rsid w:val="000B525E"/>
    <w:rsid w:val="000B52FD"/>
    <w:rsid w:val="000B5301"/>
    <w:rsid w:val="000B548B"/>
    <w:rsid w:val="000B567D"/>
    <w:rsid w:val="000B574E"/>
    <w:rsid w:val="000B57D7"/>
    <w:rsid w:val="000B5884"/>
    <w:rsid w:val="000B593E"/>
    <w:rsid w:val="000B594B"/>
    <w:rsid w:val="000B59E6"/>
    <w:rsid w:val="000B59E7"/>
    <w:rsid w:val="000B59F4"/>
    <w:rsid w:val="000B5A6F"/>
    <w:rsid w:val="000B5A79"/>
    <w:rsid w:val="000B5AF2"/>
    <w:rsid w:val="000B5CD8"/>
    <w:rsid w:val="000B5D35"/>
    <w:rsid w:val="000B5DA1"/>
    <w:rsid w:val="000B5DAD"/>
    <w:rsid w:val="000B5E20"/>
    <w:rsid w:val="000B5E45"/>
    <w:rsid w:val="000B5E60"/>
    <w:rsid w:val="000B5F5C"/>
    <w:rsid w:val="000B6055"/>
    <w:rsid w:val="000B6065"/>
    <w:rsid w:val="000B6488"/>
    <w:rsid w:val="000B6750"/>
    <w:rsid w:val="000B6751"/>
    <w:rsid w:val="000B677E"/>
    <w:rsid w:val="000B67A7"/>
    <w:rsid w:val="000B681D"/>
    <w:rsid w:val="000B6918"/>
    <w:rsid w:val="000B6945"/>
    <w:rsid w:val="000B6AA0"/>
    <w:rsid w:val="000B6B13"/>
    <w:rsid w:val="000B6C7D"/>
    <w:rsid w:val="000B6FE2"/>
    <w:rsid w:val="000B7016"/>
    <w:rsid w:val="000B70A9"/>
    <w:rsid w:val="000B725B"/>
    <w:rsid w:val="000B72D0"/>
    <w:rsid w:val="000B72FD"/>
    <w:rsid w:val="000B73DE"/>
    <w:rsid w:val="000B741C"/>
    <w:rsid w:val="000B7509"/>
    <w:rsid w:val="000B765F"/>
    <w:rsid w:val="000B76B2"/>
    <w:rsid w:val="000B76D8"/>
    <w:rsid w:val="000B7747"/>
    <w:rsid w:val="000B77E0"/>
    <w:rsid w:val="000B780B"/>
    <w:rsid w:val="000B78B5"/>
    <w:rsid w:val="000B7983"/>
    <w:rsid w:val="000B7B6B"/>
    <w:rsid w:val="000B7C68"/>
    <w:rsid w:val="000B7C6B"/>
    <w:rsid w:val="000B7CFD"/>
    <w:rsid w:val="000B7E93"/>
    <w:rsid w:val="000B7E95"/>
    <w:rsid w:val="000C0012"/>
    <w:rsid w:val="000C0134"/>
    <w:rsid w:val="000C0157"/>
    <w:rsid w:val="000C02B7"/>
    <w:rsid w:val="000C0366"/>
    <w:rsid w:val="000C0381"/>
    <w:rsid w:val="000C045B"/>
    <w:rsid w:val="000C04E0"/>
    <w:rsid w:val="000C05FC"/>
    <w:rsid w:val="000C065B"/>
    <w:rsid w:val="000C0714"/>
    <w:rsid w:val="000C07BB"/>
    <w:rsid w:val="000C0895"/>
    <w:rsid w:val="000C08F8"/>
    <w:rsid w:val="000C09CF"/>
    <w:rsid w:val="000C0AC4"/>
    <w:rsid w:val="000C0ACE"/>
    <w:rsid w:val="000C0B65"/>
    <w:rsid w:val="000C0B67"/>
    <w:rsid w:val="000C0B88"/>
    <w:rsid w:val="000C0C11"/>
    <w:rsid w:val="000C0C87"/>
    <w:rsid w:val="000C0C94"/>
    <w:rsid w:val="000C0DD8"/>
    <w:rsid w:val="000C0FA3"/>
    <w:rsid w:val="000C0FCB"/>
    <w:rsid w:val="000C1071"/>
    <w:rsid w:val="000C10A0"/>
    <w:rsid w:val="000C1187"/>
    <w:rsid w:val="000C124E"/>
    <w:rsid w:val="000C12EA"/>
    <w:rsid w:val="000C139F"/>
    <w:rsid w:val="000C14D8"/>
    <w:rsid w:val="000C14D9"/>
    <w:rsid w:val="000C14F5"/>
    <w:rsid w:val="000C15A1"/>
    <w:rsid w:val="000C15A9"/>
    <w:rsid w:val="000C164B"/>
    <w:rsid w:val="000C182A"/>
    <w:rsid w:val="000C18A9"/>
    <w:rsid w:val="000C18FF"/>
    <w:rsid w:val="000C192D"/>
    <w:rsid w:val="000C1A89"/>
    <w:rsid w:val="000C1BD9"/>
    <w:rsid w:val="000C1C08"/>
    <w:rsid w:val="000C1D1B"/>
    <w:rsid w:val="000C1DFE"/>
    <w:rsid w:val="000C1E5F"/>
    <w:rsid w:val="000C1E90"/>
    <w:rsid w:val="000C1EBF"/>
    <w:rsid w:val="000C1F27"/>
    <w:rsid w:val="000C1FC7"/>
    <w:rsid w:val="000C219B"/>
    <w:rsid w:val="000C21E5"/>
    <w:rsid w:val="000C225D"/>
    <w:rsid w:val="000C23F3"/>
    <w:rsid w:val="000C2505"/>
    <w:rsid w:val="000C2732"/>
    <w:rsid w:val="000C2734"/>
    <w:rsid w:val="000C275D"/>
    <w:rsid w:val="000C27CA"/>
    <w:rsid w:val="000C2852"/>
    <w:rsid w:val="000C298F"/>
    <w:rsid w:val="000C2A13"/>
    <w:rsid w:val="000C2A1A"/>
    <w:rsid w:val="000C2A4F"/>
    <w:rsid w:val="000C2B26"/>
    <w:rsid w:val="000C2B4C"/>
    <w:rsid w:val="000C2B7E"/>
    <w:rsid w:val="000C2B8E"/>
    <w:rsid w:val="000C2D0A"/>
    <w:rsid w:val="000C2D4B"/>
    <w:rsid w:val="000C2D72"/>
    <w:rsid w:val="000C2E3C"/>
    <w:rsid w:val="000C2EE1"/>
    <w:rsid w:val="000C2F7F"/>
    <w:rsid w:val="000C3101"/>
    <w:rsid w:val="000C3106"/>
    <w:rsid w:val="000C3120"/>
    <w:rsid w:val="000C3138"/>
    <w:rsid w:val="000C31D8"/>
    <w:rsid w:val="000C3337"/>
    <w:rsid w:val="000C336F"/>
    <w:rsid w:val="000C343D"/>
    <w:rsid w:val="000C34A6"/>
    <w:rsid w:val="000C3517"/>
    <w:rsid w:val="000C352A"/>
    <w:rsid w:val="000C3540"/>
    <w:rsid w:val="000C3715"/>
    <w:rsid w:val="000C3756"/>
    <w:rsid w:val="000C3825"/>
    <w:rsid w:val="000C38FF"/>
    <w:rsid w:val="000C3904"/>
    <w:rsid w:val="000C391E"/>
    <w:rsid w:val="000C3926"/>
    <w:rsid w:val="000C3941"/>
    <w:rsid w:val="000C3A59"/>
    <w:rsid w:val="000C3ADE"/>
    <w:rsid w:val="000C3B59"/>
    <w:rsid w:val="000C3B5C"/>
    <w:rsid w:val="000C3BFB"/>
    <w:rsid w:val="000C3E2A"/>
    <w:rsid w:val="000C3E93"/>
    <w:rsid w:val="000C3F45"/>
    <w:rsid w:val="000C40C7"/>
    <w:rsid w:val="000C4252"/>
    <w:rsid w:val="000C428E"/>
    <w:rsid w:val="000C4309"/>
    <w:rsid w:val="000C4330"/>
    <w:rsid w:val="000C4567"/>
    <w:rsid w:val="000C45B5"/>
    <w:rsid w:val="000C45B9"/>
    <w:rsid w:val="000C45FC"/>
    <w:rsid w:val="000C46E0"/>
    <w:rsid w:val="000C4767"/>
    <w:rsid w:val="000C47A2"/>
    <w:rsid w:val="000C4831"/>
    <w:rsid w:val="000C48E2"/>
    <w:rsid w:val="000C4925"/>
    <w:rsid w:val="000C4ACB"/>
    <w:rsid w:val="000C4B89"/>
    <w:rsid w:val="000C4C4B"/>
    <w:rsid w:val="000C4CE2"/>
    <w:rsid w:val="000C4DC5"/>
    <w:rsid w:val="000C4E0F"/>
    <w:rsid w:val="000C4EF7"/>
    <w:rsid w:val="000C5008"/>
    <w:rsid w:val="000C515F"/>
    <w:rsid w:val="000C533D"/>
    <w:rsid w:val="000C5342"/>
    <w:rsid w:val="000C5599"/>
    <w:rsid w:val="000C57CC"/>
    <w:rsid w:val="000C57EE"/>
    <w:rsid w:val="000C5801"/>
    <w:rsid w:val="000C586E"/>
    <w:rsid w:val="000C5888"/>
    <w:rsid w:val="000C58AD"/>
    <w:rsid w:val="000C598D"/>
    <w:rsid w:val="000C59C3"/>
    <w:rsid w:val="000C5A9B"/>
    <w:rsid w:val="000C5B22"/>
    <w:rsid w:val="000C5B8C"/>
    <w:rsid w:val="000C5B8F"/>
    <w:rsid w:val="000C5CEE"/>
    <w:rsid w:val="000C5D28"/>
    <w:rsid w:val="000C611B"/>
    <w:rsid w:val="000C61F1"/>
    <w:rsid w:val="000C6273"/>
    <w:rsid w:val="000C6428"/>
    <w:rsid w:val="000C64DD"/>
    <w:rsid w:val="000C6658"/>
    <w:rsid w:val="000C667D"/>
    <w:rsid w:val="000C6702"/>
    <w:rsid w:val="000C6739"/>
    <w:rsid w:val="000C67EC"/>
    <w:rsid w:val="000C6823"/>
    <w:rsid w:val="000C684C"/>
    <w:rsid w:val="000C689C"/>
    <w:rsid w:val="000C68E0"/>
    <w:rsid w:val="000C6AE7"/>
    <w:rsid w:val="000C6B3E"/>
    <w:rsid w:val="000C6C28"/>
    <w:rsid w:val="000C6C95"/>
    <w:rsid w:val="000C6F2F"/>
    <w:rsid w:val="000C6F80"/>
    <w:rsid w:val="000C6FE7"/>
    <w:rsid w:val="000C7341"/>
    <w:rsid w:val="000C75A5"/>
    <w:rsid w:val="000C76C0"/>
    <w:rsid w:val="000C76E5"/>
    <w:rsid w:val="000C7716"/>
    <w:rsid w:val="000C774A"/>
    <w:rsid w:val="000C7826"/>
    <w:rsid w:val="000C7AF1"/>
    <w:rsid w:val="000C7C6A"/>
    <w:rsid w:val="000C7CDB"/>
    <w:rsid w:val="000C7FFA"/>
    <w:rsid w:val="000D002C"/>
    <w:rsid w:val="000D018C"/>
    <w:rsid w:val="000D0418"/>
    <w:rsid w:val="000D0472"/>
    <w:rsid w:val="000D0615"/>
    <w:rsid w:val="000D0654"/>
    <w:rsid w:val="000D067D"/>
    <w:rsid w:val="000D0775"/>
    <w:rsid w:val="000D07A2"/>
    <w:rsid w:val="000D07B6"/>
    <w:rsid w:val="000D082F"/>
    <w:rsid w:val="000D0886"/>
    <w:rsid w:val="000D09CB"/>
    <w:rsid w:val="000D0AD6"/>
    <w:rsid w:val="000D0BDF"/>
    <w:rsid w:val="000D0C3A"/>
    <w:rsid w:val="000D0C68"/>
    <w:rsid w:val="000D0CD2"/>
    <w:rsid w:val="000D0CFD"/>
    <w:rsid w:val="000D0D50"/>
    <w:rsid w:val="000D0EA9"/>
    <w:rsid w:val="000D101B"/>
    <w:rsid w:val="000D10A0"/>
    <w:rsid w:val="000D11DA"/>
    <w:rsid w:val="000D12E7"/>
    <w:rsid w:val="000D1414"/>
    <w:rsid w:val="000D14C6"/>
    <w:rsid w:val="000D1554"/>
    <w:rsid w:val="000D155C"/>
    <w:rsid w:val="000D197A"/>
    <w:rsid w:val="000D19DF"/>
    <w:rsid w:val="000D1A6D"/>
    <w:rsid w:val="000D1A81"/>
    <w:rsid w:val="000D1B03"/>
    <w:rsid w:val="000D1C65"/>
    <w:rsid w:val="000D1CB4"/>
    <w:rsid w:val="000D1CE3"/>
    <w:rsid w:val="000D1EC3"/>
    <w:rsid w:val="000D1EC5"/>
    <w:rsid w:val="000D1F29"/>
    <w:rsid w:val="000D1F56"/>
    <w:rsid w:val="000D1FAE"/>
    <w:rsid w:val="000D2155"/>
    <w:rsid w:val="000D241F"/>
    <w:rsid w:val="000D2516"/>
    <w:rsid w:val="000D2518"/>
    <w:rsid w:val="000D25CE"/>
    <w:rsid w:val="000D278F"/>
    <w:rsid w:val="000D2799"/>
    <w:rsid w:val="000D2867"/>
    <w:rsid w:val="000D28C1"/>
    <w:rsid w:val="000D2A28"/>
    <w:rsid w:val="000D2A94"/>
    <w:rsid w:val="000D2AB4"/>
    <w:rsid w:val="000D2BB7"/>
    <w:rsid w:val="000D2BEF"/>
    <w:rsid w:val="000D2C36"/>
    <w:rsid w:val="000D2D77"/>
    <w:rsid w:val="000D2D8D"/>
    <w:rsid w:val="000D2EE2"/>
    <w:rsid w:val="000D2F9B"/>
    <w:rsid w:val="000D2FE6"/>
    <w:rsid w:val="000D3094"/>
    <w:rsid w:val="000D30ED"/>
    <w:rsid w:val="000D310A"/>
    <w:rsid w:val="000D32ED"/>
    <w:rsid w:val="000D3368"/>
    <w:rsid w:val="000D3528"/>
    <w:rsid w:val="000D35FD"/>
    <w:rsid w:val="000D366F"/>
    <w:rsid w:val="000D3697"/>
    <w:rsid w:val="000D36E4"/>
    <w:rsid w:val="000D37C9"/>
    <w:rsid w:val="000D37FF"/>
    <w:rsid w:val="000D3813"/>
    <w:rsid w:val="000D3828"/>
    <w:rsid w:val="000D385A"/>
    <w:rsid w:val="000D3888"/>
    <w:rsid w:val="000D3951"/>
    <w:rsid w:val="000D39A2"/>
    <w:rsid w:val="000D3A3A"/>
    <w:rsid w:val="000D3B20"/>
    <w:rsid w:val="000D3BBA"/>
    <w:rsid w:val="000D3BFE"/>
    <w:rsid w:val="000D3C37"/>
    <w:rsid w:val="000D3C7F"/>
    <w:rsid w:val="000D3D1D"/>
    <w:rsid w:val="000D3FC6"/>
    <w:rsid w:val="000D4072"/>
    <w:rsid w:val="000D410E"/>
    <w:rsid w:val="000D418B"/>
    <w:rsid w:val="000D41A9"/>
    <w:rsid w:val="000D41F4"/>
    <w:rsid w:val="000D4220"/>
    <w:rsid w:val="000D42E0"/>
    <w:rsid w:val="000D42EE"/>
    <w:rsid w:val="000D4302"/>
    <w:rsid w:val="000D430E"/>
    <w:rsid w:val="000D4352"/>
    <w:rsid w:val="000D4524"/>
    <w:rsid w:val="000D4615"/>
    <w:rsid w:val="000D4621"/>
    <w:rsid w:val="000D4683"/>
    <w:rsid w:val="000D48D3"/>
    <w:rsid w:val="000D492B"/>
    <w:rsid w:val="000D4A21"/>
    <w:rsid w:val="000D4AF8"/>
    <w:rsid w:val="000D4B45"/>
    <w:rsid w:val="000D4BAA"/>
    <w:rsid w:val="000D4BCC"/>
    <w:rsid w:val="000D4CB6"/>
    <w:rsid w:val="000D4D62"/>
    <w:rsid w:val="000D4DAF"/>
    <w:rsid w:val="000D4DC7"/>
    <w:rsid w:val="000D4E04"/>
    <w:rsid w:val="000D4F6A"/>
    <w:rsid w:val="000D50D4"/>
    <w:rsid w:val="000D54DD"/>
    <w:rsid w:val="000D5501"/>
    <w:rsid w:val="000D5505"/>
    <w:rsid w:val="000D5570"/>
    <w:rsid w:val="000D55A4"/>
    <w:rsid w:val="000D55CD"/>
    <w:rsid w:val="000D5763"/>
    <w:rsid w:val="000D5867"/>
    <w:rsid w:val="000D59E2"/>
    <w:rsid w:val="000D5A45"/>
    <w:rsid w:val="000D5AA0"/>
    <w:rsid w:val="000D5C06"/>
    <w:rsid w:val="000D5CEE"/>
    <w:rsid w:val="000D5D82"/>
    <w:rsid w:val="000D5DE5"/>
    <w:rsid w:val="000D5EE1"/>
    <w:rsid w:val="000D5F64"/>
    <w:rsid w:val="000D6058"/>
    <w:rsid w:val="000D60FB"/>
    <w:rsid w:val="000D6105"/>
    <w:rsid w:val="000D61A0"/>
    <w:rsid w:val="000D62A0"/>
    <w:rsid w:val="000D62FB"/>
    <w:rsid w:val="000D63A4"/>
    <w:rsid w:val="000D640A"/>
    <w:rsid w:val="000D6526"/>
    <w:rsid w:val="000D655A"/>
    <w:rsid w:val="000D65C7"/>
    <w:rsid w:val="000D65C8"/>
    <w:rsid w:val="000D6646"/>
    <w:rsid w:val="000D6790"/>
    <w:rsid w:val="000D67A9"/>
    <w:rsid w:val="000D6814"/>
    <w:rsid w:val="000D6927"/>
    <w:rsid w:val="000D69CC"/>
    <w:rsid w:val="000D6A18"/>
    <w:rsid w:val="000D6A3C"/>
    <w:rsid w:val="000D6A6F"/>
    <w:rsid w:val="000D6B47"/>
    <w:rsid w:val="000D6B79"/>
    <w:rsid w:val="000D6D26"/>
    <w:rsid w:val="000D6DAB"/>
    <w:rsid w:val="000D6DED"/>
    <w:rsid w:val="000D6E3E"/>
    <w:rsid w:val="000D6E6A"/>
    <w:rsid w:val="000D6F15"/>
    <w:rsid w:val="000D6F3C"/>
    <w:rsid w:val="000D6F8F"/>
    <w:rsid w:val="000D7020"/>
    <w:rsid w:val="000D7038"/>
    <w:rsid w:val="000D7230"/>
    <w:rsid w:val="000D72DE"/>
    <w:rsid w:val="000D744A"/>
    <w:rsid w:val="000D744E"/>
    <w:rsid w:val="000D74A9"/>
    <w:rsid w:val="000D74D2"/>
    <w:rsid w:val="000D74DC"/>
    <w:rsid w:val="000D765F"/>
    <w:rsid w:val="000D76EB"/>
    <w:rsid w:val="000D7925"/>
    <w:rsid w:val="000D7990"/>
    <w:rsid w:val="000D79A7"/>
    <w:rsid w:val="000D79D3"/>
    <w:rsid w:val="000D79DD"/>
    <w:rsid w:val="000D79E5"/>
    <w:rsid w:val="000D7A2A"/>
    <w:rsid w:val="000D7B0A"/>
    <w:rsid w:val="000D7CB9"/>
    <w:rsid w:val="000D7FD9"/>
    <w:rsid w:val="000E00FC"/>
    <w:rsid w:val="000E0131"/>
    <w:rsid w:val="000E017B"/>
    <w:rsid w:val="000E022A"/>
    <w:rsid w:val="000E0257"/>
    <w:rsid w:val="000E02B2"/>
    <w:rsid w:val="000E0339"/>
    <w:rsid w:val="000E0524"/>
    <w:rsid w:val="000E05B1"/>
    <w:rsid w:val="000E0681"/>
    <w:rsid w:val="000E06A4"/>
    <w:rsid w:val="000E07A3"/>
    <w:rsid w:val="000E0A22"/>
    <w:rsid w:val="000E0B46"/>
    <w:rsid w:val="000E0B8C"/>
    <w:rsid w:val="000E0C41"/>
    <w:rsid w:val="000E0C90"/>
    <w:rsid w:val="000E0D32"/>
    <w:rsid w:val="000E0D33"/>
    <w:rsid w:val="000E0E07"/>
    <w:rsid w:val="000E0E58"/>
    <w:rsid w:val="000E0E6D"/>
    <w:rsid w:val="000E0E85"/>
    <w:rsid w:val="000E0EB8"/>
    <w:rsid w:val="000E0EBD"/>
    <w:rsid w:val="000E0FFF"/>
    <w:rsid w:val="000E1050"/>
    <w:rsid w:val="000E1087"/>
    <w:rsid w:val="000E122C"/>
    <w:rsid w:val="000E123F"/>
    <w:rsid w:val="000E137F"/>
    <w:rsid w:val="000E13CA"/>
    <w:rsid w:val="000E13DF"/>
    <w:rsid w:val="000E1449"/>
    <w:rsid w:val="000E15E1"/>
    <w:rsid w:val="000E16A4"/>
    <w:rsid w:val="000E175B"/>
    <w:rsid w:val="000E19C0"/>
    <w:rsid w:val="000E19F4"/>
    <w:rsid w:val="000E1A44"/>
    <w:rsid w:val="000E1A56"/>
    <w:rsid w:val="000E1A75"/>
    <w:rsid w:val="000E1B6E"/>
    <w:rsid w:val="000E1D63"/>
    <w:rsid w:val="000E1D7C"/>
    <w:rsid w:val="000E1F04"/>
    <w:rsid w:val="000E1F33"/>
    <w:rsid w:val="000E2083"/>
    <w:rsid w:val="000E208C"/>
    <w:rsid w:val="000E2166"/>
    <w:rsid w:val="000E2224"/>
    <w:rsid w:val="000E2330"/>
    <w:rsid w:val="000E23B7"/>
    <w:rsid w:val="000E245B"/>
    <w:rsid w:val="000E257E"/>
    <w:rsid w:val="000E2607"/>
    <w:rsid w:val="000E270D"/>
    <w:rsid w:val="000E27D8"/>
    <w:rsid w:val="000E2884"/>
    <w:rsid w:val="000E2970"/>
    <w:rsid w:val="000E2B08"/>
    <w:rsid w:val="000E2B2E"/>
    <w:rsid w:val="000E2B56"/>
    <w:rsid w:val="000E2C4A"/>
    <w:rsid w:val="000E2C6E"/>
    <w:rsid w:val="000E2E07"/>
    <w:rsid w:val="000E2E16"/>
    <w:rsid w:val="000E2F0D"/>
    <w:rsid w:val="000E30FE"/>
    <w:rsid w:val="000E3137"/>
    <w:rsid w:val="000E31D7"/>
    <w:rsid w:val="000E31E1"/>
    <w:rsid w:val="000E3225"/>
    <w:rsid w:val="000E32C8"/>
    <w:rsid w:val="000E32F8"/>
    <w:rsid w:val="000E338B"/>
    <w:rsid w:val="000E3411"/>
    <w:rsid w:val="000E34A7"/>
    <w:rsid w:val="000E34DD"/>
    <w:rsid w:val="000E34E3"/>
    <w:rsid w:val="000E3516"/>
    <w:rsid w:val="000E3592"/>
    <w:rsid w:val="000E3988"/>
    <w:rsid w:val="000E3ABB"/>
    <w:rsid w:val="000E3AD6"/>
    <w:rsid w:val="000E3BFA"/>
    <w:rsid w:val="000E3C89"/>
    <w:rsid w:val="000E3E38"/>
    <w:rsid w:val="000E3F3D"/>
    <w:rsid w:val="000E3F71"/>
    <w:rsid w:val="000E3F90"/>
    <w:rsid w:val="000E3FC7"/>
    <w:rsid w:val="000E405C"/>
    <w:rsid w:val="000E4237"/>
    <w:rsid w:val="000E473C"/>
    <w:rsid w:val="000E480F"/>
    <w:rsid w:val="000E4843"/>
    <w:rsid w:val="000E487A"/>
    <w:rsid w:val="000E4912"/>
    <w:rsid w:val="000E4957"/>
    <w:rsid w:val="000E4A40"/>
    <w:rsid w:val="000E4B4A"/>
    <w:rsid w:val="000E4C6F"/>
    <w:rsid w:val="000E4CB1"/>
    <w:rsid w:val="000E4DCD"/>
    <w:rsid w:val="000E4DF9"/>
    <w:rsid w:val="000E51E2"/>
    <w:rsid w:val="000E520C"/>
    <w:rsid w:val="000E5414"/>
    <w:rsid w:val="000E552A"/>
    <w:rsid w:val="000E55A6"/>
    <w:rsid w:val="000E5674"/>
    <w:rsid w:val="000E56BB"/>
    <w:rsid w:val="000E5823"/>
    <w:rsid w:val="000E5846"/>
    <w:rsid w:val="000E5879"/>
    <w:rsid w:val="000E597B"/>
    <w:rsid w:val="000E5A12"/>
    <w:rsid w:val="000E5A45"/>
    <w:rsid w:val="000E5AB9"/>
    <w:rsid w:val="000E5ABA"/>
    <w:rsid w:val="000E5AC3"/>
    <w:rsid w:val="000E5AD4"/>
    <w:rsid w:val="000E5C0C"/>
    <w:rsid w:val="000E5C39"/>
    <w:rsid w:val="000E5D03"/>
    <w:rsid w:val="000E5E44"/>
    <w:rsid w:val="000E5E59"/>
    <w:rsid w:val="000E5E85"/>
    <w:rsid w:val="000E5F4C"/>
    <w:rsid w:val="000E6091"/>
    <w:rsid w:val="000E60A0"/>
    <w:rsid w:val="000E61DD"/>
    <w:rsid w:val="000E6280"/>
    <w:rsid w:val="000E6296"/>
    <w:rsid w:val="000E62A0"/>
    <w:rsid w:val="000E62BF"/>
    <w:rsid w:val="000E639C"/>
    <w:rsid w:val="000E63C7"/>
    <w:rsid w:val="000E65A2"/>
    <w:rsid w:val="000E65E1"/>
    <w:rsid w:val="000E6659"/>
    <w:rsid w:val="000E6838"/>
    <w:rsid w:val="000E68EB"/>
    <w:rsid w:val="000E6933"/>
    <w:rsid w:val="000E6969"/>
    <w:rsid w:val="000E69A8"/>
    <w:rsid w:val="000E69F0"/>
    <w:rsid w:val="000E6B7D"/>
    <w:rsid w:val="000E6E6F"/>
    <w:rsid w:val="000E6EA7"/>
    <w:rsid w:val="000E6FBB"/>
    <w:rsid w:val="000E6FBE"/>
    <w:rsid w:val="000E6FC0"/>
    <w:rsid w:val="000E70D0"/>
    <w:rsid w:val="000E70DB"/>
    <w:rsid w:val="000E7112"/>
    <w:rsid w:val="000E71D0"/>
    <w:rsid w:val="000E72D1"/>
    <w:rsid w:val="000E733D"/>
    <w:rsid w:val="000E74A9"/>
    <w:rsid w:val="000E7591"/>
    <w:rsid w:val="000E75CD"/>
    <w:rsid w:val="000E75E1"/>
    <w:rsid w:val="000E7750"/>
    <w:rsid w:val="000E78A8"/>
    <w:rsid w:val="000E79A0"/>
    <w:rsid w:val="000E7A70"/>
    <w:rsid w:val="000E7A8F"/>
    <w:rsid w:val="000E7B71"/>
    <w:rsid w:val="000E7BB1"/>
    <w:rsid w:val="000E7C51"/>
    <w:rsid w:val="000E7CFE"/>
    <w:rsid w:val="000E7E99"/>
    <w:rsid w:val="000E7EAB"/>
    <w:rsid w:val="000E7FD5"/>
    <w:rsid w:val="000F00AA"/>
    <w:rsid w:val="000F0178"/>
    <w:rsid w:val="000F0262"/>
    <w:rsid w:val="000F026D"/>
    <w:rsid w:val="000F02A5"/>
    <w:rsid w:val="000F0481"/>
    <w:rsid w:val="000F05AF"/>
    <w:rsid w:val="000F0607"/>
    <w:rsid w:val="000F064A"/>
    <w:rsid w:val="000F067E"/>
    <w:rsid w:val="000F073D"/>
    <w:rsid w:val="000F0758"/>
    <w:rsid w:val="000F0949"/>
    <w:rsid w:val="000F0975"/>
    <w:rsid w:val="000F09F4"/>
    <w:rsid w:val="000F0A44"/>
    <w:rsid w:val="000F0A76"/>
    <w:rsid w:val="000F0A7A"/>
    <w:rsid w:val="000F0B68"/>
    <w:rsid w:val="000F0D3E"/>
    <w:rsid w:val="000F0EB5"/>
    <w:rsid w:val="000F1025"/>
    <w:rsid w:val="000F10B4"/>
    <w:rsid w:val="000F117A"/>
    <w:rsid w:val="000F11F1"/>
    <w:rsid w:val="000F125A"/>
    <w:rsid w:val="000F1390"/>
    <w:rsid w:val="000F142D"/>
    <w:rsid w:val="000F1447"/>
    <w:rsid w:val="000F1483"/>
    <w:rsid w:val="000F14E0"/>
    <w:rsid w:val="000F1765"/>
    <w:rsid w:val="000F1792"/>
    <w:rsid w:val="000F18A7"/>
    <w:rsid w:val="000F18AE"/>
    <w:rsid w:val="000F19EC"/>
    <w:rsid w:val="000F1A0E"/>
    <w:rsid w:val="000F1B74"/>
    <w:rsid w:val="000F1BF5"/>
    <w:rsid w:val="000F1C46"/>
    <w:rsid w:val="000F1CA6"/>
    <w:rsid w:val="000F1CDB"/>
    <w:rsid w:val="000F1D46"/>
    <w:rsid w:val="000F1DBA"/>
    <w:rsid w:val="000F1E1D"/>
    <w:rsid w:val="000F1E30"/>
    <w:rsid w:val="000F1EA5"/>
    <w:rsid w:val="000F1F0F"/>
    <w:rsid w:val="000F2076"/>
    <w:rsid w:val="000F21A0"/>
    <w:rsid w:val="000F21E7"/>
    <w:rsid w:val="000F2216"/>
    <w:rsid w:val="000F2220"/>
    <w:rsid w:val="000F2721"/>
    <w:rsid w:val="000F2766"/>
    <w:rsid w:val="000F2798"/>
    <w:rsid w:val="000F2830"/>
    <w:rsid w:val="000F289E"/>
    <w:rsid w:val="000F28CC"/>
    <w:rsid w:val="000F2907"/>
    <w:rsid w:val="000F29EB"/>
    <w:rsid w:val="000F2A1A"/>
    <w:rsid w:val="000F2A73"/>
    <w:rsid w:val="000F2AC1"/>
    <w:rsid w:val="000F2ADF"/>
    <w:rsid w:val="000F2BB0"/>
    <w:rsid w:val="000F2BE1"/>
    <w:rsid w:val="000F2C41"/>
    <w:rsid w:val="000F2C53"/>
    <w:rsid w:val="000F2E46"/>
    <w:rsid w:val="000F2F7D"/>
    <w:rsid w:val="000F3061"/>
    <w:rsid w:val="000F30DC"/>
    <w:rsid w:val="000F319D"/>
    <w:rsid w:val="000F3244"/>
    <w:rsid w:val="000F33DB"/>
    <w:rsid w:val="000F33F1"/>
    <w:rsid w:val="000F33FE"/>
    <w:rsid w:val="000F3451"/>
    <w:rsid w:val="000F3560"/>
    <w:rsid w:val="000F3674"/>
    <w:rsid w:val="000F36EB"/>
    <w:rsid w:val="000F36F3"/>
    <w:rsid w:val="000F38E8"/>
    <w:rsid w:val="000F38FA"/>
    <w:rsid w:val="000F398E"/>
    <w:rsid w:val="000F3A34"/>
    <w:rsid w:val="000F3AC5"/>
    <w:rsid w:val="000F3C12"/>
    <w:rsid w:val="000F3C6C"/>
    <w:rsid w:val="000F3D37"/>
    <w:rsid w:val="000F3EA6"/>
    <w:rsid w:val="000F3FE8"/>
    <w:rsid w:val="000F4181"/>
    <w:rsid w:val="000F41EC"/>
    <w:rsid w:val="000F4329"/>
    <w:rsid w:val="000F44FB"/>
    <w:rsid w:val="000F4573"/>
    <w:rsid w:val="000F4602"/>
    <w:rsid w:val="000F4697"/>
    <w:rsid w:val="000F46F8"/>
    <w:rsid w:val="000F477B"/>
    <w:rsid w:val="000F4930"/>
    <w:rsid w:val="000F4A09"/>
    <w:rsid w:val="000F4A6C"/>
    <w:rsid w:val="000F4AA5"/>
    <w:rsid w:val="000F4B70"/>
    <w:rsid w:val="000F4DD0"/>
    <w:rsid w:val="000F4FFA"/>
    <w:rsid w:val="000F5156"/>
    <w:rsid w:val="000F533F"/>
    <w:rsid w:val="000F53F3"/>
    <w:rsid w:val="000F542E"/>
    <w:rsid w:val="000F56E3"/>
    <w:rsid w:val="000F57CC"/>
    <w:rsid w:val="000F596D"/>
    <w:rsid w:val="000F59B1"/>
    <w:rsid w:val="000F5BC3"/>
    <w:rsid w:val="000F5C85"/>
    <w:rsid w:val="000F5CC2"/>
    <w:rsid w:val="000F5D92"/>
    <w:rsid w:val="000F5DF0"/>
    <w:rsid w:val="000F5E18"/>
    <w:rsid w:val="000F5E1D"/>
    <w:rsid w:val="000F5EA5"/>
    <w:rsid w:val="000F5EC1"/>
    <w:rsid w:val="000F5FD9"/>
    <w:rsid w:val="000F6062"/>
    <w:rsid w:val="000F60FB"/>
    <w:rsid w:val="000F6134"/>
    <w:rsid w:val="000F61D6"/>
    <w:rsid w:val="000F624F"/>
    <w:rsid w:val="000F62E9"/>
    <w:rsid w:val="000F64EF"/>
    <w:rsid w:val="000F6503"/>
    <w:rsid w:val="000F658B"/>
    <w:rsid w:val="000F660F"/>
    <w:rsid w:val="000F6627"/>
    <w:rsid w:val="000F6653"/>
    <w:rsid w:val="000F6794"/>
    <w:rsid w:val="000F67D7"/>
    <w:rsid w:val="000F6841"/>
    <w:rsid w:val="000F6931"/>
    <w:rsid w:val="000F6A22"/>
    <w:rsid w:val="000F6A9A"/>
    <w:rsid w:val="000F6C90"/>
    <w:rsid w:val="000F6D4E"/>
    <w:rsid w:val="000F6D7B"/>
    <w:rsid w:val="000F6E15"/>
    <w:rsid w:val="000F6EE4"/>
    <w:rsid w:val="000F6EFF"/>
    <w:rsid w:val="000F7195"/>
    <w:rsid w:val="000F7210"/>
    <w:rsid w:val="000F7275"/>
    <w:rsid w:val="000F7303"/>
    <w:rsid w:val="000F740C"/>
    <w:rsid w:val="000F7448"/>
    <w:rsid w:val="000F7475"/>
    <w:rsid w:val="000F756B"/>
    <w:rsid w:val="000F7570"/>
    <w:rsid w:val="000F757A"/>
    <w:rsid w:val="000F7677"/>
    <w:rsid w:val="000F7736"/>
    <w:rsid w:val="000F782F"/>
    <w:rsid w:val="000F793D"/>
    <w:rsid w:val="000F7982"/>
    <w:rsid w:val="000F7B18"/>
    <w:rsid w:val="000F7BFE"/>
    <w:rsid w:val="000F7C01"/>
    <w:rsid w:val="000F7C35"/>
    <w:rsid w:val="000F7C5C"/>
    <w:rsid w:val="000F7F0F"/>
    <w:rsid w:val="000F7F38"/>
    <w:rsid w:val="00100010"/>
    <w:rsid w:val="00100056"/>
    <w:rsid w:val="00100075"/>
    <w:rsid w:val="00100169"/>
    <w:rsid w:val="0010016A"/>
    <w:rsid w:val="00100321"/>
    <w:rsid w:val="001003C3"/>
    <w:rsid w:val="00100499"/>
    <w:rsid w:val="001005B6"/>
    <w:rsid w:val="001005C1"/>
    <w:rsid w:val="001006DE"/>
    <w:rsid w:val="001006FE"/>
    <w:rsid w:val="00100702"/>
    <w:rsid w:val="0010073A"/>
    <w:rsid w:val="00100762"/>
    <w:rsid w:val="001007A0"/>
    <w:rsid w:val="00100974"/>
    <w:rsid w:val="001009AA"/>
    <w:rsid w:val="00100A25"/>
    <w:rsid w:val="00100C5B"/>
    <w:rsid w:val="00100F08"/>
    <w:rsid w:val="00100FB7"/>
    <w:rsid w:val="001010DA"/>
    <w:rsid w:val="0010120E"/>
    <w:rsid w:val="0010125B"/>
    <w:rsid w:val="00101311"/>
    <w:rsid w:val="001014E0"/>
    <w:rsid w:val="00101528"/>
    <w:rsid w:val="00101575"/>
    <w:rsid w:val="00101582"/>
    <w:rsid w:val="00101666"/>
    <w:rsid w:val="001018CB"/>
    <w:rsid w:val="00101920"/>
    <w:rsid w:val="00101953"/>
    <w:rsid w:val="00101A6A"/>
    <w:rsid w:val="00101AC2"/>
    <w:rsid w:val="00101ADD"/>
    <w:rsid w:val="00101B68"/>
    <w:rsid w:val="00101C58"/>
    <w:rsid w:val="00101D53"/>
    <w:rsid w:val="00101E1D"/>
    <w:rsid w:val="00101E83"/>
    <w:rsid w:val="00101F3E"/>
    <w:rsid w:val="00101F97"/>
    <w:rsid w:val="00102095"/>
    <w:rsid w:val="0010216C"/>
    <w:rsid w:val="00102294"/>
    <w:rsid w:val="001022B7"/>
    <w:rsid w:val="0010237F"/>
    <w:rsid w:val="001024B7"/>
    <w:rsid w:val="001024F0"/>
    <w:rsid w:val="00102582"/>
    <w:rsid w:val="0010261D"/>
    <w:rsid w:val="00102955"/>
    <w:rsid w:val="00102A34"/>
    <w:rsid w:val="00102A49"/>
    <w:rsid w:val="00102AC2"/>
    <w:rsid w:val="00102ACC"/>
    <w:rsid w:val="00102AD7"/>
    <w:rsid w:val="00102BC8"/>
    <w:rsid w:val="00102BD7"/>
    <w:rsid w:val="00102D2E"/>
    <w:rsid w:val="00102E91"/>
    <w:rsid w:val="00102EED"/>
    <w:rsid w:val="00103007"/>
    <w:rsid w:val="00103053"/>
    <w:rsid w:val="0010307D"/>
    <w:rsid w:val="001030C1"/>
    <w:rsid w:val="00103224"/>
    <w:rsid w:val="00103270"/>
    <w:rsid w:val="001033F9"/>
    <w:rsid w:val="001034CD"/>
    <w:rsid w:val="00103928"/>
    <w:rsid w:val="00103A2B"/>
    <w:rsid w:val="00103A4B"/>
    <w:rsid w:val="00103AC7"/>
    <w:rsid w:val="00103B0A"/>
    <w:rsid w:val="00103B11"/>
    <w:rsid w:val="00103B8B"/>
    <w:rsid w:val="00103C5F"/>
    <w:rsid w:val="00103CD3"/>
    <w:rsid w:val="00103D05"/>
    <w:rsid w:val="00103E26"/>
    <w:rsid w:val="00103F45"/>
    <w:rsid w:val="0010400E"/>
    <w:rsid w:val="001043BC"/>
    <w:rsid w:val="00104463"/>
    <w:rsid w:val="00104500"/>
    <w:rsid w:val="00104556"/>
    <w:rsid w:val="001045D5"/>
    <w:rsid w:val="0010461D"/>
    <w:rsid w:val="0010465F"/>
    <w:rsid w:val="00104680"/>
    <w:rsid w:val="0010479F"/>
    <w:rsid w:val="001047F8"/>
    <w:rsid w:val="00104864"/>
    <w:rsid w:val="00104A2D"/>
    <w:rsid w:val="00104B0C"/>
    <w:rsid w:val="00104B79"/>
    <w:rsid w:val="00104DC9"/>
    <w:rsid w:val="00104ED1"/>
    <w:rsid w:val="00104F2E"/>
    <w:rsid w:val="00105195"/>
    <w:rsid w:val="0010520D"/>
    <w:rsid w:val="00105323"/>
    <w:rsid w:val="001053DB"/>
    <w:rsid w:val="001054A2"/>
    <w:rsid w:val="0010550D"/>
    <w:rsid w:val="00105593"/>
    <w:rsid w:val="001056D4"/>
    <w:rsid w:val="001056F2"/>
    <w:rsid w:val="001057AE"/>
    <w:rsid w:val="001057C8"/>
    <w:rsid w:val="00105846"/>
    <w:rsid w:val="0010586A"/>
    <w:rsid w:val="00105882"/>
    <w:rsid w:val="00105912"/>
    <w:rsid w:val="00105922"/>
    <w:rsid w:val="00105A46"/>
    <w:rsid w:val="00105B3B"/>
    <w:rsid w:val="00105C72"/>
    <w:rsid w:val="00105CD4"/>
    <w:rsid w:val="00105D08"/>
    <w:rsid w:val="00105D1D"/>
    <w:rsid w:val="00105D70"/>
    <w:rsid w:val="00105EA6"/>
    <w:rsid w:val="00105F58"/>
    <w:rsid w:val="00105F8F"/>
    <w:rsid w:val="0010607D"/>
    <w:rsid w:val="00106090"/>
    <w:rsid w:val="001060BE"/>
    <w:rsid w:val="001060C2"/>
    <w:rsid w:val="00106117"/>
    <w:rsid w:val="00106255"/>
    <w:rsid w:val="00106295"/>
    <w:rsid w:val="001063F5"/>
    <w:rsid w:val="00106474"/>
    <w:rsid w:val="00106481"/>
    <w:rsid w:val="001064B4"/>
    <w:rsid w:val="00106539"/>
    <w:rsid w:val="00106547"/>
    <w:rsid w:val="001065EE"/>
    <w:rsid w:val="0010660E"/>
    <w:rsid w:val="00106763"/>
    <w:rsid w:val="001067BC"/>
    <w:rsid w:val="00106870"/>
    <w:rsid w:val="001068FC"/>
    <w:rsid w:val="00106A7A"/>
    <w:rsid w:val="00106A9C"/>
    <w:rsid w:val="00106ACD"/>
    <w:rsid w:val="00106B36"/>
    <w:rsid w:val="00106B7A"/>
    <w:rsid w:val="00106CC6"/>
    <w:rsid w:val="00106D72"/>
    <w:rsid w:val="00106E2E"/>
    <w:rsid w:val="00106F5A"/>
    <w:rsid w:val="00106FD1"/>
    <w:rsid w:val="00107021"/>
    <w:rsid w:val="001072F1"/>
    <w:rsid w:val="00107328"/>
    <w:rsid w:val="001074E6"/>
    <w:rsid w:val="0010757C"/>
    <w:rsid w:val="001075B1"/>
    <w:rsid w:val="00107603"/>
    <w:rsid w:val="0010779E"/>
    <w:rsid w:val="001077EF"/>
    <w:rsid w:val="001079BA"/>
    <w:rsid w:val="001079BC"/>
    <w:rsid w:val="00107A93"/>
    <w:rsid w:val="00107BFD"/>
    <w:rsid w:val="00107EEC"/>
    <w:rsid w:val="0011002F"/>
    <w:rsid w:val="00110052"/>
    <w:rsid w:val="00110193"/>
    <w:rsid w:val="0011021B"/>
    <w:rsid w:val="001102AD"/>
    <w:rsid w:val="001103A8"/>
    <w:rsid w:val="0011051C"/>
    <w:rsid w:val="001105DB"/>
    <w:rsid w:val="0011062D"/>
    <w:rsid w:val="0011065D"/>
    <w:rsid w:val="001108BB"/>
    <w:rsid w:val="001108D3"/>
    <w:rsid w:val="001109F5"/>
    <w:rsid w:val="00110A00"/>
    <w:rsid w:val="00110AC3"/>
    <w:rsid w:val="00110B37"/>
    <w:rsid w:val="00110B3D"/>
    <w:rsid w:val="00110B65"/>
    <w:rsid w:val="00110C1B"/>
    <w:rsid w:val="00110C51"/>
    <w:rsid w:val="00110C9E"/>
    <w:rsid w:val="00110DA2"/>
    <w:rsid w:val="00110F0E"/>
    <w:rsid w:val="00110F2A"/>
    <w:rsid w:val="00111039"/>
    <w:rsid w:val="00111208"/>
    <w:rsid w:val="001112C7"/>
    <w:rsid w:val="0011132C"/>
    <w:rsid w:val="00111366"/>
    <w:rsid w:val="00111546"/>
    <w:rsid w:val="001115CB"/>
    <w:rsid w:val="001116B3"/>
    <w:rsid w:val="001116FA"/>
    <w:rsid w:val="0011172F"/>
    <w:rsid w:val="00111775"/>
    <w:rsid w:val="0011180C"/>
    <w:rsid w:val="0011182F"/>
    <w:rsid w:val="0011185B"/>
    <w:rsid w:val="0011199F"/>
    <w:rsid w:val="00111A81"/>
    <w:rsid w:val="00111B32"/>
    <w:rsid w:val="00111B98"/>
    <w:rsid w:val="00111C92"/>
    <w:rsid w:val="00111D7B"/>
    <w:rsid w:val="00111E79"/>
    <w:rsid w:val="0011200F"/>
    <w:rsid w:val="0011202F"/>
    <w:rsid w:val="00112115"/>
    <w:rsid w:val="0011226D"/>
    <w:rsid w:val="0011229E"/>
    <w:rsid w:val="00112321"/>
    <w:rsid w:val="001123B4"/>
    <w:rsid w:val="001126C0"/>
    <w:rsid w:val="001126E3"/>
    <w:rsid w:val="001128B3"/>
    <w:rsid w:val="001128D8"/>
    <w:rsid w:val="00112940"/>
    <w:rsid w:val="00112959"/>
    <w:rsid w:val="001129A0"/>
    <w:rsid w:val="00112C31"/>
    <w:rsid w:val="00112C9F"/>
    <w:rsid w:val="00112CB6"/>
    <w:rsid w:val="00112D61"/>
    <w:rsid w:val="001133DC"/>
    <w:rsid w:val="00113419"/>
    <w:rsid w:val="00113430"/>
    <w:rsid w:val="001134D1"/>
    <w:rsid w:val="001135E9"/>
    <w:rsid w:val="0011361B"/>
    <w:rsid w:val="00113660"/>
    <w:rsid w:val="00113693"/>
    <w:rsid w:val="00113758"/>
    <w:rsid w:val="001137A9"/>
    <w:rsid w:val="0011381D"/>
    <w:rsid w:val="001138BA"/>
    <w:rsid w:val="00113954"/>
    <w:rsid w:val="001139C3"/>
    <w:rsid w:val="00113AE4"/>
    <w:rsid w:val="00113B27"/>
    <w:rsid w:val="00113BC5"/>
    <w:rsid w:val="00113BCE"/>
    <w:rsid w:val="00113C0E"/>
    <w:rsid w:val="00113DAB"/>
    <w:rsid w:val="00113DBF"/>
    <w:rsid w:val="00113E1E"/>
    <w:rsid w:val="00113F7E"/>
    <w:rsid w:val="00113FC1"/>
    <w:rsid w:val="00113FD3"/>
    <w:rsid w:val="001141C8"/>
    <w:rsid w:val="001141DF"/>
    <w:rsid w:val="001141FD"/>
    <w:rsid w:val="0011428A"/>
    <w:rsid w:val="001142D7"/>
    <w:rsid w:val="0011435E"/>
    <w:rsid w:val="00114396"/>
    <w:rsid w:val="001143CA"/>
    <w:rsid w:val="0011441C"/>
    <w:rsid w:val="0011456C"/>
    <w:rsid w:val="0011460D"/>
    <w:rsid w:val="00114613"/>
    <w:rsid w:val="0011461B"/>
    <w:rsid w:val="00114622"/>
    <w:rsid w:val="00114631"/>
    <w:rsid w:val="00114690"/>
    <w:rsid w:val="00114712"/>
    <w:rsid w:val="001148D1"/>
    <w:rsid w:val="00114B2D"/>
    <w:rsid w:val="00114B3B"/>
    <w:rsid w:val="00114BE7"/>
    <w:rsid w:val="00114CC5"/>
    <w:rsid w:val="00114E33"/>
    <w:rsid w:val="00114E5C"/>
    <w:rsid w:val="00115044"/>
    <w:rsid w:val="001150BE"/>
    <w:rsid w:val="00115155"/>
    <w:rsid w:val="001151F4"/>
    <w:rsid w:val="00115204"/>
    <w:rsid w:val="00115469"/>
    <w:rsid w:val="0011566A"/>
    <w:rsid w:val="00115681"/>
    <w:rsid w:val="001158A5"/>
    <w:rsid w:val="00115AA8"/>
    <w:rsid w:val="00115B1E"/>
    <w:rsid w:val="00115B9A"/>
    <w:rsid w:val="00115BD5"/>
    <w:rsid w:val="00115DCB"/>
    <w:rsid w:val="00115F81"/>
    <w:rsid w:val="00115FD2"/>
    <w:rsid w:val="00115FDD"/>
    <w:rsid w:val="0011601E"/>
    <w:rsid w:val="001161AC"/>
    <w:rsid w:val="0011622B"/>
    <w:rsid w:val="00116287"/>
    <w:rsid w:val="001163A7"/>
    <w:rsid w:val="00116468"/>
    <w:rsid w:val="00116500"/>
    <w:rsid w:val="0011651B"/>
    <w:rsid w:val="001165E6"/>
    <w:rsid w:val="00116631"/>
    <w:rsid w:val="0011664F"/>
    <w:rsid w:val="001166C0"/>
    <w:rsid w:val="0011678D"/>
    <w:rsid w:val="001167A2"/>
    <w:rsid w:val="00116845"/>
    <w:rsid w:val="00116853"/>
    <w:rsid w:val="001169BA"/>
    <w:rsid w:val="001169EF"/>
    <w:rsid w:val="001169FC"/>
    <w:rsid w:val="00116B03"/>
    <w:rsid w:val="00116B93"/>
    <w:rsid w:val="00116B97"/>
    <w:rsid w:val="00116C8F"/>
    <w:rsid w:val="00116CC3"/>
    <w:rsid w:val="00116D17"/>
    <w:rsid w:val="0011704D"/>
    <w:rsid w:val="00117061"/>
    <w:rsid w:val="00117066"/>
    <w:rsid w:val="001170C1"/>
    <w:rsid w:val="0011713B"/>
    <w:rsid w:val="0011717B"/>
    <w:rsid w:val="0011718F"/>
    <w:rsid w:val="001171ED"/>
    <w:rsid w:val="0011735B"/>
    <w:rsid w:val="001176C5"/>
    <w:rsid w:val="00117723"/>
    <w:rsid w:val="0011778F"/>
    <w:rsid w:val="00117868"/>
    <w:rsid w:val="001178C9"/>
    <w:rsid w:val="00117934"/>
    <w:rsid w:val="00117A7F"/>
    <w:rsid w:val="00117AC0"/>
    <w:rsid w:val="00117BA2"/>
    <w:rsid w:val="00117CD8"/>
    <w:rsid w:val="00117D2E"/>
    <w:rsid w:val="00117DE3"/>
    <w:rsid w:val="00117E05"/>
    <w:rsid w:val="00117ECA"/>
    <w:rsid w:val="00117F23"/>
    <w:rsid w:val="00117F25"/>
    <w:rsid w:val="00117FF5"/>
    <w:rsid w:val="00120159"/>
    <w:rsid w:val="0012027A"/>
    <w:rsid w:val="00120320"/>
    <w:rsid w:val="00120388"/>
    <w:rsid w:val="001203ED"/>
    <w:rsid w:val="00120487"/>
    <w:rsid w:val="001204C3"/>
    <w:rsid w:val="00120551"/>
    <w:rsid w:val="0012072F"/>
    <w:rsid w:val="00120863"/>
    <w:rsid w:val="0012097E"/>
    <w:rsid w:val="00120B2C"/>
    <w:rsid w:val="00120B6B"/>
    <w:rsid w:val="00120B72"/>
    <w:rsid w:val="00120B8E"/>
    <w:rsid w:val="00120C1D"/>
    <w:rsid w:val="00120C9E"/>
    <w:rsid w:val="001210ED"/>
    <w:rsid w:val="0012110B"/>
    <w:rsid w:val="00121150"/>
    <w:rsid w:val="00121337"/>
    <w:rsid w:val="0012159D"/>
    <w:rsid w:val="00121692"/>
    <w:rsid w:val="0012170D"/>
    <w:rsid w:val="00121825"/>
    <w:rsid w:val="001218E7"/>
    <w:rsid w:val="0012190E"/>
    <w:rsid w:val="00121936"/>
    <w:rsid w:val="00121938"/>
    <w:rsid w:val="001219CD"/>
    <w:rsid w:val="001219F9"/>
    <w:rsid w:val="00121A5C"/>
    <w:rsid w:val="00121A69"/>
    <w:rsid w:val="00121AC4"/>
    <w:rsid w:val="00121B85"/>
    <w:rsid w:val="00121C82"/>
    <w:rsid w:val="00121CAA"/>
    <w:rsid w:val="00121D09"/>
    <w:rsid w:val="00121E81"/>
    <w:rsid w:val="00121EA3"/>
    <w:rsid w:val="00121F1E"/>
    <w:rsid w:val="00121F8B"/>
    <w:rsid w:val="00121FC7"/>
    <w:rsid w:val="0012208B"/>
    <w:rsid w:val="001220E7"/>
    <w:rsid w:val="001221EF"/>
    <w:rsid w:val="00122253"/>
    <w:rsid w:val="0012225F"/>
    <w:rsid w:val="001223D0"/>
    <w:rsid w:val="00122451"/>
    <w:rsid w:val="001224EB"/>
    <w:rsid w:val="0012252B"/>
    <w:rsid w:val="001225E3"/>
    <w:rsid w:val="001225F1"/>
    <w:rsid w:val="0012271F"/>
    <w:rsid w:val="0012272E"/>
    <w:rsid w:val="0012287A"/>
    <w:rsid w:val="00122889"/>
    <w:rsid w:val="0012293E"/>
    <w:rsid w:val="001229B4"/>
    <w:rsid w:val="001229C7"/>
    <w:rsid w:val="00122A40"/>
    <w:rsid w:val="00122A66"/>
    <w:rsid w:val="00122AD5"/>
    <w:rsid w:val="00122B8F"/>
    <w:rsid w:val="00122C7A"/>
    <w:rsid w:val="00122EFC"/>
    <w:rsid w:val="00123180"/>
    <w:rsid w:val="001232D8"/>
    <w:rsid w:val="00123315"/>
    <w:rsid w:val="0012343E"/>
    <w:rsid w:val="001234E8"/>
    <w:rsid w:val="00123544"/>
    <w:rsid w:val="001236A1"/>
    <w:rsid w:val="001236B6"/>
    <w:rsid w:val="00123716"/>
    <w:rsid w:val="0012385F"/>
    <w:rsid w:val="00123897"/>
    <w:rsid w:val="00123919"/>
    <w:rsid w:val="0012391C"/>
    <w:rsid w:val="00123975"/>
    <w:rsid w:val="00123997"/>
    <w:rsid w:val="001239D4"/>
    <w:rsid w:val="00123A20"/>
    <w:rsid w:val="00123A2C"/>
    <w:rsid w:val="00123B51"/>
    <w:rsid w:val="00123C53"/>
    <w:rsid w:val="00123CC9"/>
    <w:rsid w:val="00123D2B"/>
    <w:rsid w:val="00123E3A"/>
    <w:rsid w:val="00123EE0"/>
    <w:rsid w:val="00123F07"/>
    <w:rsid w:val="00123FA2"/>
    <w:rsid w:val="00123FB6"/>
    <w:rsid w:val="00123FCA"/>
    <w:rsid w:val="0012430B"/>
    <w:rsid w:val="0012436B"/>
    <w:rsid w:val="00124371"/>
    <w:rsid w:val="0012443B"/>
    <w:rsid w:val="001244E1"/>
    <w:rsid w:val="0012457B"/>
    <w:rsid w:val="00124582"/>
    <w:rsid w:val="001245AD"/>
    <w:rsid w:val="0012465F"/>
    <w:rsid w:val="001246C1"/>
    <w:rsid w:val="001246F2"/>
    <w:rsid w:val="00124883"/>
    <w:rsid w:val="001248DC"/>
    <w:rsid w:val="00124976"/>
    <w:rsid w:val="00124978"/>
    <w:rsid w:val="00124BC1"/>
    <w:rsid w:val="00124C5F"/>
    <w:rsid w:val="00124C73"/>
    <w:rsid w:val="00124C83"/>
    <w:rsid w:val="00124C96"/>
    <w:rsid w:val="00124DFA"/>
    <w:rsid w:val="00124ED3"/>
    <w:rsid w:val="00125012"/>
    <w:rsid w:val="001250A0"/>
    <w:rsid w:val="00125179"/>
    <w:rsid w:val="00125285"/>
    <w:rsid w:val="001252FF"/>
    <w:rsid w:val="0012531D"/>
    <w:rsid w:val="001253F0"/>
    <w:rsid w:val="00125452"/>
    <w:rsid w:val="0012547F"/>
    <w:rsid w:val="001256C4"/>
    <w:rsid w:val="001257C4"/>
    <w:rsid w:val="00125914"/>
    <w:rsid w:val="00125BFF"/>
    <w:rsid w:val="00125CAA"/>
    <w:rsid w:val="00125CB5"/>
    <w:rsid w:val="00125CC7"/>
    <w:rsid w:val="00125EC9"/>
    <w:rsid w:val="00126011"/>
    <w:rsid w:val="001261DE"/>
    <w:rsid w:val="001263AE"/>
    <w:rsid w:val="001263BC"/>
    <w:rsid w:val="001267B5"/>
    <w:rsid w:val="0012681E"/>
    <w:rsid w:val="00126878"/>
    <w:rsid w:val="0012699E"/>
    <w:rsid w:val="001269B7"/>
    <w:rsid w:val="001269FA"/>
    <w:rsid w:val="00126A11"/>
    <w:rsid w:val="00126B04"/>
    <w:rsid w:val="00126B59"/>
    <w:rsid w:val="00126C92"/>
    <w:rsid w:val="00126C9E"/>
    <w:rsid w:val="00126CA1"/>
    <w:rsid w:val="00126CEF"/>
    <w:rsid w:val="00126D37"/>
    <w:rsid w:val="00126E12"/>
    <w:rsid w:val="00126E16"/>
    <w:rsid w:val="00126E43"/>
    <w:rsid w:val="00126E6C"/>
    <w:rsid w:val="00126F84"/>
    <w:rsid w:val="00126FB9"/>
    <w:rsid w:val="00126FCF"/>
    <w:rsid w:val="00126FE2"/>
    <w:rsid w:val="001270BC"/>
    <w:rsid w:val="0012715A"/>
    <w:rsid w:val="001272A3"/>
    <w:rsid w:val="00127336"/>
    <w:rsid w:val="00127343"/>
    <w:rsid w:val="00127612"/>
    <w:rsid w:val="00127692"/>
    <w:rsid w:val="001277EC"/>
    <w:rsid w:val="00127895"/>
    <w:rsid w:val="00127943"/>
    <w:rsid w:val="00127A22"/>
    <w:rsid w:val="00127A3A"/>
    <w:rsid w:val="00127A9F"/>
    <w:rsid w:val="00127BB7"/>
    <w:rsid w:val="00127DC6"/>
    <w:rsid w:val="00127DCE"/>
    <w:rsid w:val="00127E5F"/>
    <w:rsid w:val="00130066"/>
    <w:rsid w:val="0013010A"/>
    <w:rsid w:val="0013010C"/>
    <w:rsid w:val="00130124"/>
    <w:rsid w:val="00130142"/>
    <w:rsid w:val="0013018F"/>
    <w:rsid w:val="001301AD"/>
    <w:rsid w:val="001301EA"/>
    <w:rsid w:val="001303A2"/>
    <w:rsid w:val="001306A2"/>
    <w:rsid w:val="001306BF"/>
    <w:rsid w:val="001307BF"/>
    <w:rsid w:val="00130817"/>
    <w:rsid w:val="00130838"/>
    <w:rsid w:val="001309C3"/>
    <w:rsid w:val="00130CCF"/>
    <w:rsid w:val="00130D3E"/>
    <w:rsid w:val="00130DBE"/>
    <w:rsid w:val="00130DDB"/>
    <w:rsid w:val="00130DE4"/>
    <w:rsid w:val="00130DF7"/>
    <w:rsid w:val="00130DF9"/>
    <w:rsid w:val="00130EDB"/>
    <w:rsid w:val="00130F20"/>
    <w:rsid w:val="0013109C"/>
    <w:rsid w:val="001310C2"/>
    <w:rsid w:val="0013117F"/>
    <w:rsid w:val="001312B3"/>
    <w:rsid w:val="00131310"/>
    <w:rsid w:val="0013137E"/>
    <w:rsid w:val="0013141E"/>
    <w:rsid w:val="0013149C"/>
    <w:rsid w:val="001315AB"/>
    <w:rsid w:val="001315C8"/>
    <w:rsid w:val="001316C8"/>
    <w:rsid w:val="001316E2"/>
    <w:rsid w:val="001317D6"/>
    <w:rsid w:val="00131818"/>
    <w:rsid w:val="0013197E"/>
    <w:rsid w:val="00131997"/>
    <w:rsid w:val="001319D6"/>
    <w:rsid w:val="00131AC7"/>
    <w:rsid w:val="00131B22"/>
    <w:rsid w:val="00131C0B"/>
    <w:rsid w:val="00131DAA"/>
    <w:rsid w:val="00131DDE"/>
    <w:rsid w:val="00131E45"/>
    <w:rsid w:val="00131F45"/>
    <w:rsid w:val="0013216B"/>
    <w:rsid w:val="001321F4"/>
    <w:rsid w:val="0013232B"/>
    <w:rsid w:val="00132407"/>
    <w:rsid w:val="001324BA"/>
    <w:rsid w:val="0013259D"/>
    <w:rsid w:val="001325CF"/>
    <w:rsid w:val="001325DE"/>
    <w:rsid w:val="00132618"/>
    <w:rsid w:val="00132627"/>
    <w:rsid w:val="001326BE"/>
    <w:rsid w:val="001327F4"/>
    <w:rsid w:val="0013282F"/>
    <w:rsid w:val="001328D1"/>
    <w:rsid w:val="00132914"/>
    <w:rsid w:val="00132A64"/>
    <w:rsid w:val="00132A69"/>
    <w:rsid w:val="00132AC3"/>
    <w:rsid w:val="00132ACB"/>
    <w:rsid w:val="00132BDC"/>
    <w:rsid w:val="00132BFF"/>
    <w:rsid w:val="00132CB6"/>
    <w:rsid w:val="00132D48"/>
    <w:rsid w:val="00132F39"/>
    <w:rsid w:val="00132F68"/>
    <w:rsid w:val="00133009"/>
    <w:rsid w:val="0013304D"/>
    <w:rsid w:val="001330A6"/>
    <w:rsid w:val="001331E4"/>
    <w:rsid w:val="001332E4"/>
    <w:rsid w:val="00133315"/>
    <w:rsid w:val="001333D7"/>
    <w:rsid w:val="00133537"/>
    <w:rsid w:val="001335C6"/>
    <w:rsid w:val="001335E8"/>
    <w:rsid w:val="0013374F"/>
    <w:rsid w:val="0013378A"/>
    <w:rsid w:val="00133798"/>
    <w:rsid w:val="001337A3"/>
    <w:rsid w:val="00133A1B"/>
    <w:rsid w:val="00133B70"/>
    <w:rsid w:val="00133BB8"/>
    <w:rsid w:val="00133BE4"/>
    <w:rsid w:val="00133CB0"/>
    <w:rsid w:val="00133D15"/>
    <w:rsid w:val="00133EE7"/>
    <w:rsid w:val="00134025"/>
    <w:rsid w:val="00134049"/>
    <w:rsid w:val="001341B6"/>
    <w:rsid w:val="00134246"/>
    <w:rsid w:val="00134340"/>
    <w:rsid w:val="001343E0"/>
    <w:rsid w:val="00134530"/>
    <w:rsid w:val="00134622"/>
    <w:rsid w:val="001346E7"/>
    <w:rsid w:val="00134759"/>
    <w:rsid w:val="001347F5"/>
    <w:rsid w:val="00134820"/>
    <w:rsid w:val="00134840"/>
    <w:rsid w:val="0013494C"/>
    <w:rsid w:val="00134A31"/>
    <w:rsid w:val="00134BFA"/>
    <w:rsid w:val="00134C3B"/>
    <w:rsid w:val="00134C62"/>
    <w:rsid w:val="00134D72"/>
    <w:rsid w:val="00134E83"/>
    <w:rsid w:val="00134E9C"/>
    <w:rsid w:val="00134EF7"/>
    <w:rsid w:val="00134F70"/>
    <w:rsid w:val="001350DD"/>
    <w:rsid w:val="00135208"/>
    <w:rsid w:val="0013524E"/>
    <w:rsid w:val="0013527A"/>
    <w:rsid w:val="00135354"/>
    <w:rsid w:val="00135406"/>
    <w:rsid w:val="00135440"/>
    <w:rsid w:val="00135488"/>
    <w:rsid w:val="00135489"/>
    <w:rsid w:val="001355DA"/>
    <w:rsid w:val="0013560C"/>
    <w:rsid w:val="00135639"/>
    <w:rsid w:val="0013565F"/>
    <w:rsid w:val="0013577C"/>
    <w:rsid w:val="00135780"/>
    <w:rsid w:val="001357B1"/>
    <w:rsid w:val="001357CC"/>
    <w:rsid w:val="001358C3"/>
    <w:rsid w:val="00135B3B"/>
    <w:rsid w:val="00135BC3"/>
    <w:rsid w:val="00135BE8"/>
    <w:rsid w:val="00135C13"/>
    <w:rsid w:val="00135CB4"/>
    <w:rsid w:val="00135D0B"/>
    <w:rsid w:val="00135D14"/>
    <w:rsid w:val="00135D43"/>
    <w:rsid w:val="00135F31"/>
    <w:rsid w:val="00135F75"/>
    <w:rsid w:val="00135FB4"/>
    <w:rsid w:val="00135FD7"/>
    <w:rsid w:val="001360DD"/>
    <w:rsid w:val="00136108"/>
    <w:rsid w:val="0013619A"/>
    <w:rsid w:val="001361D8"/>
    <w:rsid w:val="001361F7"/>
    <w:rsid w:val="001363E8"/>
    <w:rsid w:val="00136443"/>
    <w:rsid w:val="0013653D"/>
    <w:rsid w:val="00136560"/>
    <w:rsid w:val="00136876"/>
    <w:rsid w:val="001368FF"/>
    <w:rsid w:val="00136938"/>
    <w:rsid w:val="0013693C"/>
    <w:rsid w:val="00136AD6"/>
    <w:rsid w:val="00136B13"/>
    <w:rsid w:val="00136BB1"/>
    <w:rsid w:val="00136DA9"/>
    <w:rsid w:val="00136EB7"/>
    <w:rsid w:val="00136EDF"/>
    <w:rsid w:val="00136EF3"/>
    <w:rsid w:val="001370C4"/>
    <w:rsid w:val="00137142"/>
    <w:rsid w:val="0013735D"/>
    <w:rsid w:val="001373AB"/>
    <w:rsid w:val="001373BC"/>
    <w:rsid w:val="001374BF"/>
    <w:rsid w:val="0013750F"/>
    <w:rsid w:val="001376B7"/>
    <w:rsid w:val="00137736"/>
    <w:rsid w:val="001377C9"/>
    <w:rsid w:val="001379E3"/>
    <w:rsid w:val="001379FA"/>
    <w:rsid w:val="00137A81"/>
    <w:rsid w:val="00137B02"/>
    <w:rsid w:val="00137B14"/>
    <w:rsid w:val="00137C4E"/>
    <w:rsid w:val="00137E4B"/>
    <w:rsid w:val="00137E84"/>
    <w:rsid w:val="00137FFC"/>
    <w:rsid w:val="00140243"/>
    <w:rsid w:val="001402AC"/>
    <w:rsid w:val="00140327"/>
    <w:rsid w:val="00140360"/>
    <w:rsid w:val="001403E0"/>
    <w:rsid w:val="0014054E"/>
    <w:rsid w:val="0014055F"/>
    <w:rsid w:val="00140606"/>
    <w:rsid w:val="00140647"/>
    <w:rsid w:val="0014064F"/>
    <w:rsid w:val="001407AC"/>
    <w:rsid w:val="00140817"/>
    <w:rsid w:val="001408A5"/>
    <w:rsid w:val="00140965"/>
    <w:rsid w:val="00140B0E"/>
    <w:rsid w:val="00140B59"/>
    <w:rsid w:val="00140C19"/>
    <w:rsid w:val="00140C2F"/>
    <w:rsid w:val="00140D73"/>
    <w:rsid w:val="00140DE3"/>
    <w:rsid w:val="00140F19"/>
    <w:rsid w:val="00140FE7"/>
    <w:rsid w:val="001410FF"/>
    <w:rsid w:val="0014123C"/>
    <w:rsid w:val="0014127B"/>
    <w:rsid w:val="0014152B"/>
    <w:rsid w:val="00141595"/>
    <w:rsid w:val="001415B5"/>
    <w:rsid w:val="001415F0"/>
    <w:rsid w:val="00141692"/>
    <w:rsid w:val="00141756"/>
    <w:rsid w:val="001417A5"/>
    <w:rsid w:val="00141846"/>
    <w:rsid w:val="001418BB"/>
    <w:rsid w:val="001418F5"/>
    <w:rsid w:val="00141943"/>
    <w:rsid w:val="001419ED"/>
    <w:rsid w:val="00141B81"/>
    <w:rsid w:val="00141CD8"/>
    <w:rsid w:val="00141EDC"/>
    <w:rsid w:val="00141F0E"/>
    <w:rsid w:val="00141F1F"/>
    <w:rsid w:val="00142039"/>
    <w:rsid w:val="001420E7"/>
    <w:rsid w:val="00142135"/>
    <w:rsid w:val="00142151"/>
    <w:rsid w:val="001421B8"/>
    <w:rsid w:val="00142253"/>
    <w:rsid w:val="00142273"/>
    <w:rsid w:val="001422B1"/>
    <w:rsid w:val="001422BD"/>
    <w:rsid w:val="001422F5"/>
    <w:rsid w:val="001423D6"/>
    <w:rsid w:val="00142530"/>
    <w:rsid w:val="001425AA"/>
    <w:rsid w:val="001425D2"/>
    <w:rsid w:val="001428A7"/>
    <w:rsid w:val="001429DC"/>
    <w:rsid w:val="001429FB"/>
    <w:rsid w:val="00142A01"/>
    <w:rsid w:val="00142A43"/>
    <w:rsid w:val="00142B98"/>
    <w:rsid w:val="00142C62"/>
    <w:rsid w:val="00142C6E"/>
    <w:rsid w:val="00142D29"/>
    <w:rsid w:val="00142D41"/>
    <w:rsid w:val="00142D8C"/>
    <w:rsid w:val="00142DB2"/>
    <w:rsid w:val="00142F4C"/>
    <w:rsid w:val="00142FF0"/>
    <w:rsid w:val="00143036"/>
    <w:rsid w:val="0014307F"/>
    <w:rsid w:val="001433C7"/>
    <w:rsid w:val="00143437"/>
    <w:rsid w:val="00143453"/>
    <w:rsid w:val="0014345E"/>
    <w:rsid w:val="00143474"/>
    <w:rsid w:val="00143614"/>
    <w:rsid w:val="0014363B"/>
    <w:rsid w:val="00143676"/>
    <w:rsid w:val="001436F8"/>
    <w:rsid w:val="0014393E"/>
    <w:rsid w:val="001439BF"/>
    <w:rsid w:val="001439EA"/>
    <w:rsid w:val="00143B5F"/>
    <w:rsid w:val="00143BF5"/>
    <w:rsid w:val="00143DCF"/>
    <w:rsid w:val="00143EC9"/>
    <w:rsid w:val="00143FF7"/>
    <w:rsid w:val="0014404C"/>
    <w:rsid w:val="00144116"/>
    <w:rsid w:val="001441BF"/>
    <w:rsid w:val="0014420D"/>
    <w:rsid w:val="00144299"/>
    <w:rsid w:val="0014429D"/>
    <w:rsid w:val="0014447B"/>
    <w:rsid w:val="001444DF"/>
    <w:rsid w:val="00144577"/>
    <w:rsid w:val="001445A0"/>
    <w:rsid w:val="001445F0"/>
    <w:rsid w:val="0014468A"/>
    <w:rsid w:val="001446AC"/>
    <w:rsid w:val="0014474C"/>
    <w:rsid w:val="0014478D"/>
    <w:rsid w:val="001447C3"/>
    <w:rsid w:val="001448A6"/>
    <w:rsid w:val="00144A31"/>
    <w:rsid w:val="00144A81"/>
    <w:rsid w:val="00144AB2"/>
    <w:rsid w:val="00144B22"/>
    <w:rsid w:val="00144BBF"/>
    <w:rsid w:val="00144CE0"/>
    <w:rsid w:val="00144CF4"/>
    <w:rsid w:val="00144CF5"/>
    <w:rsid w:val="00144CFE"/>
    <w:rsid w:val="00144D0A"/>
    <w:rsid w:val="00144EDB"/>
    <w:rsid w:val="00144FF6"/>
    <w:rsid w:val="00145075"/>
    <w:rsid w:val="00145092"/>
    <w:rsid w:val="001450BF"/>
    <w:rsid w:val="00145111"/>
    <w:rsid w:val="0014535C"/>
    <w:rsid w:val="0014546D"/>
    <w:rsid w:val="00145488"/>
    <w:rsid w:val="001454B1"/>
    <w:rsid w:val="001455F6"/>
    <w:rsid w:val="001456A7"/>
    <w:rsid w:val="001457B0"/>
    <w:rsid w:val="001457C8"/>
    <w:rsid w:val="001458F8"/>
    <w:rsid w:val="00145ABC"/>
    <w:rsid w:val="00145AD8"/>
    <w:rsid w:val="00145B24"/>
    <w:rsid w:val="00145BA7"/>
    <w:rsid w:val="00145BFA"/>
    <w:rsid w:val="00145D83"/>
    <w:rsid w:val="00145FF1"/>
    <w:rsid w:val="00146001"/>
    <w:rsid w:val="00146014"/>
    <w:rsid w:val="00146090"/>
    <w:rsid w:val="001460A7"/>
    <w:rsid w:val="001460D5"/>
    <w:rsid w:val="00146156"/>
    <w:rsid w:val="00146261"/>
    <w:rsid w:val="001462EA"/>
    <w:rsid w:val="00146351"/>
    <w:rsid w:val="001463B3"/>
    <w:rsid w:val="00146483"/>
    <w:rsid w:val="00146487"/>
    <w:rsid w:val="0014651D"/>
    <w:rsid w:val="00146572"/>
    <w:rsid w:val="0014657C"/>
    <w:rsid w:val="00146594"/>
    <w:rsid w:val="001465B2"/>
    <w:rsid w:val="001466BF"/>
    <w:rsid w:val="0014676E"/>
    <w:rsid w:val="0014692B"/>
    <w:rsid w:val="00146936"/>
    <w:rsid w:val="00146947"/>
    <w:rsid w:val="001469CD"/>
    <w:rsid w:val="00146B26"/>
    <w:rsid w:val="00146BF2"/>
    <w:rsid w:val="00146C4A"/>
    <w:rsid w:val="00146EA5"/>
    <w:rsid w:val="00146F0F"/>
    <w:rsid w:val="00146F49"/>
    <w:rsid w:val="00147091"/>
    <w:rsid w:val="00147172"/>
    <w:rsid w:val="001474AD"/>
    <w:rsid w:val="00147553"/>
    <w:rsid w:val="0014758D"/>
    <w:rsid w:val="001475F8"/>
    <w:rsid w:val="00147619"/>
    <w:rsid w:val="0014767F"/>
    <w:rsid w:val="00147866"/>
    <w:rsid w:val="001478F7"/>
    <w:rsid w:val="0014791C"/>
    <w:rsid w:val="001479E1"/>
    <w:rsid w:val="00147BAF"/>
    <w:rsid w:val="00147C15"/>
    <w:rsid w:val="00147C6E"/>
    <w:rsid w:val="00147D02"/>
    <w:rsid w:val="00147D9B"/>
    <w:rsid w:val="00147F47"/>
    <w:rsid w:val="00147FCA"/>
    <w:rsid w:val="00150002"/>
    <w:rsid w:val="00150024"/>
    <w:rsid w:val="0015002C"/>
    <w:rsid w:val="00150104"/>
    <w:rsid w:val="00150124"/>
    <w:rsid w:val="0015015E"/>
    <w:rsid w:val="00150177"/>
    <w:rsid w:val="00150201"/>
    <w:rsid w:val="0015038B"/>
    <w:rsid w:val="001505CD"/>
    <w:rsid w:val="00150625"/>
    <w:rsid w:val="00150627"/>
    <w:rsid w:val="0015063B"/>
    <w:rsid w:val="0015065D"/>
    <w:rsid w:val="001506E9"/>
    <w:rsid w:val="001506FE"/>
    <w:rsid w:val="0015079E"/>
    <w:rsid w:val="001508BE"/>
    <w:rsid w:val="00150935"/>
    <w:rsid w:val="00150938"/>
    <w:rsid w:val="00150960"/>
    <w:rsid w:val="001509BB"/>
    <w:rsid w:val="00150A5A"/>
    <w:rsid w:val="00150A68"/>
    <w:rsid w:val="00150AF6"/>
    <w:rsid w:val="00150B80"/>
    <w:rsid w:val="00150BA5"/>
    <w:rsid w:val="00150BDE"/>
    <w:rsid w:val="00150D4A"/>
    <w:rsid w:val="00150D7A"/>
    <w:rsid w:val="00150D9E"/>
    <w:rsid w:val="00150DCC"/>
    <w:rsid w:val="00150F1A"/>
    <w:rsid w:val="00150F75"/>
    <w:rsid w:val="00151134"/>
    <w:rsid w:val="00151237"/>
    <w:rsid w:val="00151254"/>
    <w:rsid w:val="00151275"/>
    <w:rsid w:val="00151279"/>
    <w:rsid w:val="00151376"/>
    <w:rsid w:val="0015146D"/>
    <w:rsid w:val="001515C7"/>
    <w:rsid w:val="00151617"/>
    <w:rsid w:val="00151689"/>
    <w:rsid w:val="0015168E"/>
    <w:rsid w:val="001517F2"/>
    <w:rsid w:val="00151862"/>
    <w:rsid w:val="00151863"/>
    <w:rsid w:val="001519B2"/>
    <w:rsid w:val="00151AF0"/>
    <w:rsid w:val="00151B1D"/>
    <w:rsid w:val="00151B27"/>
    <w:rsid w:val="00151B54"/>
    <w:rsid w:val="00151B60"/>
    <w:rsid w:val="00151CCA"/>
    <w:rsid w:val="00151E5C"/>
    <w:rsid w:val="00151EAF"/>
    <w:rsid w:val="00151EE7"/>
    <w:rsid w:val="00151F1C"/>
    <w:rsid w:val="00151F73"/>
    <w:rsid w:val="001520FC"/>
    <w:rsid w:val="00152239"/>
    <w:rsid w:val="00152253"/>
    <w:rsid w:val="00152380"/>
    <w:rsid w:val="001523A0"/>
    <w:rsid w:val="001523C5"/>
    <w:rsid w:val="001523FE"/>
    <w:rsid w:val="00152446"/>
    <w:rsid w:val="00152463"/>
    <w:rsid w:val="00152550"/>
    <w:rsid w:val="001526CE"/>
    <w:rsid w:val="00152701"/>
    <w:rsid w:val="00152756"/>
    <w:rsid w:val="001527E7"/>
    <w:rsid w:val="00152849"/>
    <w:rsid w:val="0015287C"/>
    <w:rsid w:val="00152960"/>
    <w:rsid w:val="00152AC9"/>
    <w:rsid w:val="00152AF9"/>
    <w:rsid w:val="00152B1A"/>
    <w:rsid w:val="00152B32"/>
    <w:rsid w:val="00152B88"/>
    <w:rsid w:val="00152BD4"/>
    <w:rsid w:val="00152C8B"/>
    <w:rsid w:val="00152DA0"/>
    <w:rsid w:val="00152DFF"/>
    <w:rsid w:val="00152FA5"/>
    <w:rsid w:val="001530AE"/>
    <w:rsid w:val="00153295"/>
    <w:rsid w:val="001532C3"/>
    <w:rsid w:val="0015348B"/>
    <w:rsid w:val="00153491"/>
    <w:rsid w:val="001536BA"/>
    <w:rsid w:val="00153703"/>
    <w:rsid w:val="00153777"/>
    <w:rsid w:val="001538C9"/>
    <w:rsid w:val="001538E7"/>
    <w:rsid w:val="001538F4"/>
    <w:rsid w:val="001539AE"/>
    <w:rsid w:val="001539C6"/>
    <w:rsid w:val="00153A02"/>
    <w:rsid w:val="00153A30"/>
    <w:rsid w:val="00153A68"/>
    <w:rsid w:val="00153AC6"/>
    <w:rsid w:val="00153C0F"/>
    <w:rsid w:val="00153C63"/>
    <w:rsid w:val="00153D02"/>
    <w:rsid w:val="00153D61"/>
    <w:rsid w:val="00153D81"/>
    <w:rsid w:val="00153FE2"/>
    <w:rsid w:val="00154082"/>
    <w:rsid w:val="00154107"/>
    <w:rsid w:val="00154221"/>
    <w:rsid w:val="00154256"/>
    <w:rsid w:val="001542C2"/>
    <w:rsid w:val="001542DC"/>
    <w:rsid w:val="001542E8"/>
    <w:rsid w:val="001543B7"/>
    <w:rsid w:val="00154485"/>
    <w:rsid w:val="0015448D"/>
    <w:rsid w:val="00154496"/>
    <w:rsid w:val="001546FB"/>
    <w:rsid w:val="0015473D"/>
    <w:rsid w:val="001547D1"/>
    <w:rsid w:val="001547D2"/>
    <w:rsid w:val="001549A7"/>
    <w:rsid w:val="00154A1F"/>
    <w:rsid w:val="00154A3B"/>
    <w:rsid w:val="00154A48"/>
    <w:rsid w:val="00154AF5"/>
    <w:rsid w:val="00154C00"/>
    <w:rsid w:val="00154C3F"/>
    <w:rsid w:val="00154C6A"/>
    <w:rsid w:val="00154EBB"/>
    <w:rsid w:val="00154EBD"/>
    <w:rsid w:val="00154EC3"/>
    <w:rsid w:val="00154ED1"/>
    <w:rsid w:val="00155038"/>
    <w:rsid w:val="0015512E"/>
    <w:rsid w:val="001551CD"/>
    <w:rsid w:val="001551F3"/>
    <w:rsid w:val="0015531D"/>
    <w:rsid w:val="0015544D"/>
    <w:rsid w:val="001554B3"/>
    <w:rsid w:val="0015558A"/>
    <w:rsid w:val="0015562C"/>
    <w:rsid w:val="001556BB"/>
    <w:rsid w:val="00155759"/>
    <w:rsid w:val="00155938"/>
    <w:rsid w:val="00155991"/>
    <w:rsid w:val="00155A0A"/>
    <w:rsid w:val="00155A83"/>
    <w:rsid w:val="00155B86"/>
    <w:rsid w:val="00155C2A"/>
    <w:rsid w:val="00155D89"/>
    <w:rsid w:val="00155E38"/>
    <w:rsid w:val="00155F23"/>
    <w:rsid w:val="00155F7C"/>
    <w:rsid w:val="00155FAA"/>
    <w:rsid w:val="00156153"/>
    <w:rsid w:val="0015621B"/>
    <w:rsid w:val="00156326"/>
    <w:rsid w:val="0015642C"/>
    <w:rsid w:val="0015652B"/>
    <w:rsid w:val="001565B3"/>
    <w:rsid w:val="001565C7"/>
    <w:rsid w:val="0015661E"/>
    <w:rsid w:val="00156990"/>
    <w:rsid w:val="00156A22"/>
    <w:rsid w:val="00156A59"/>
    <w:rsid w:val="00156AC8"/>
    <w:rsid w:val="00156ADD"/>
    <w:rsid w:val="00156B92"/>
    <w:rsid w:val="00156BAC"/>
    <w:rsid w:val="00156BE1"/>
    <w:rsid w:val="00156C4F"/>
    <w:rsid w:val="00156CBE"/>
    <w:rsid w:val="00156D0F"/>
    <w:rsid w:val="00156D47"/>
    <w:rsid w:val="0015700C"/>
    <w:rsid w:val="00157020"/>
    <w:rsid w:val="001571CC"/>
    <w:rsid w:val="001572B7"/>
    <w:rsid w:val="00157343"/>
    <w:rsid w:val="001574F6"/>
    <w:rsid w:val="001574FA"/>
    <w:rsid w:val="00157701"/>
    <w:rsid w:val="00157813"/>
    <w:rsid w:val="00157849"/>
    <w:rsid w:val="0015789D"/>
    <w:rsid w:val="00157915"/>
    <w:rsid w:val="00157C00"/>
    <w:rsid w:val="00157C0D"/>
    <w:rsid w:val="00157CF7"/>
    <w:rsid w:val="00157DD5"/>
    <w:rsid w:val="00157ED2"/>
    <w:rsid w:val="001600E1"/>
    <w:rsid w:val="00160126"/>
    <w:rsid w:val="001601C6"/>
    <w:rsid w:val="00160275"/>
    <w:rsid w:val="0016029F"/>
    <w:rsid w:val="0016034B"/>
    <w:rsid w:val="0016038B"/>
    <w:rsid w:val="001604E7"/>
    <w:rsid w:val="00160517"/>
    <w:rsid w:val="001605A0"/>
    <w:rsid w:val="001605E0"/>
    <w:rsid w:val="00160682"/>
    <w:rsid w:val="00160754"/>
    <w:rsid w:val="001608B2"/>
    <w:rsid w:val="00160921"/>
    <w:rsid w:val="0016094A"/>
    <w:rsid w:val="001609F1"/>
    <w:rsid w:val="00160B62"/>
    <w:rsid w:val="00160BB2"/>
    <w:rsid w:val="00160D7D"/>
    <w:rsid w:val="00160EAD"/>
    <w:rsid w:val="00160F01"/>
    <w:rsid w:val="00160FBD"/>
    <w:rsid w:val="00161012"/>
    <w:rsid w:val="001610B5"/>
    <w:rsid w:val="001610F2"/>
    <w:rsid w:val="0016112E"/>
    <w:rsid w:val="001612C1"/>
    <w:rsid w:val="00161333"/>
    <w:rsid w:val="00161350"/>
    <w:rsid w:val="001613AE"/>
    <w:rsid w:val="0016142D"/>
    <w:rsid w:val="0016166A"/>
    <w:rsid w:val="00161686"/>
    <w:rsid w:val="001617BF"/>
    <w:rsid w:val="00161838"/>
    <w:rsid w:val="001618A3"/>
    <w:rsid w:val="00161977"/>
    <w:rsid w:val="00161A4D"/>
    <w:rsid w:val="00161AB9"/>
    <w:rsid w:val="00161AC9"/>
    <w:rsid w:val="00161AED"/>
    <w:rsid w:val="00161B30"/>
    <w:rsid w:val="00161E00"/>
    <w:rsid w:val="00161E48"/>
    <w:rsid w:val="00161FBC"/>
    <w:rsid w:val="00162097"/>
    <w:rsid w:val="001620A1"/>
    <w:rsid w:val="001620C7"/>
    <w:rsid w:val="001622E8"/>
    <w:rsid w:val="00162639"/>
    <w:rsid w:val="0016269A"/>
    <w:rsid w:val="001626B4"/>
    <w:rsid w:val="001626B9"/>
    <w:rsid w:val="001627E4"/>
    <w:rsid w:val="0016283D"/>
    <w:rsid w:val="001628FB"/>
    <w:rsid w:val="00162944"/>
    <w:rsid w:val="001629C6"/>
    <w:rsid w:val="001629D2"/>
    <w:rsid w:val="00162AE8"/>
    <w:rsid w:val="00162B1A"/>
    <w:rsid w:val="00162C63"/>
    <w:rsid w:val="00162C70"/>
    <w:rsid w:val="00162CD1"/>
    <w:rsid w:val="00162D5E"/>
    <w:rsid w:val="00162D82"/>
    <w:rsid w:val="00162E9C"/>
    <w:rsid w:val="00162EF8"/>
    <w:rsid w:val="00162F60"/>
    <w:rsid w:val="0016300F"/>
    <w:rsid w:val="0016317D"/>
    <w:rsid w:val="0016326D"/>
    <w:rsid w:val="001632DC"/>
    <w:rsid w:val="00163319"/>
    <w:rsid w:val="00163324"/>
    <w:rsid w:val="00163337"/>
    <w:rsid w:val="001633CF"/>
    <w:rsid w:val="0016344A"/>
    <w:rsid w:val="001634A0"/>
    <w:rsid w:val="00163507"/>
    <w:rsid w:val="0016352E"/>
    <w:rsid w:val="00163566"/>
    <w:rsid w:val="00163598"/>
    <w:rsid w:val="001636E1"/>
    <w:rsid w:val="001636E4"/>
    <w:rsid w:val="0016371A"/>
    <w:rsid w:val="00163760"/>
    <w:rsid w:val="0016382B"/>
    <w:rsid w:val="0016382C"/>
    <w:rsid w:val="001638B0"/>
    <w:rsid w:val="001638EB"/>
    <w:rsid w:val="0016399D"/>
    <w:rsid w:val="00163A60"/>
    <w:rsid w:val="00163C4E"/>
    <w:rsid w:val="00163D1A"/>
    <w:rsid w:val="00163DF4"/>
    <w:rsid w:val="00163E21"/>
    <w:rsid w:val="00163F4C"/>
    <w:rsid w:val="00163FFB"/>
    <w:rsid w:val="00164029"/>
    <w:rsid w:val="00164214"/>
    <w:rsid w:val="00164270"/>
    <w:rsid w:val="001642F9"/>
    <w:rsid w:val="001643BE"/>
    <w:rsid w:val="001643BF"/>
    <w:rsid w:val="001645EB"/>
    <w:rsid w:val="001647EC"/>
    <w:rsid w:val="00164946"/>
    <w:rsid w:val="0016496B"/>
    <w:rsid w:val="001649CE"/>
    <w:rsid w:val="00164B2F"/>
    <w:rsid w:val="00164C3C"/>
    <w:rsid w:val="00164D9E"/>
    <w:rsid w:val="00164DA7"/>
    <w:rsid w:val="00164DE2"/>
    <w:rsid w:val="00164E13"/>
    <w:rsid w:val="00164FE3"/>
    <w:rsid w:val="00165156"/>
    <w:rsid w:val="00165186"/>
    <w:rsid w:val="0016534D"/>
    <w:rsid w:val="00165385"/>
    <w:rsid w:val="00165502"/>
    <w:rsid w:val="00165639"/>
    <w:rsid w:val="0016567F"/>
    <w:rsid w:val="001656B2"/>
    <w:rsid w:val="001656BC"/>
    <w:rsid w:val="0016578E"/>
    <w:rsid w:val="001657FA"/>
    <w:rsid w:val="00165868"/>
    <w:rsid w:val="0016586A"/>
    <w:rsid w:val="00165A0B"/>
    <w:rsid w:val="00165A39"/>
    <w:rsid w:val="00165B23"/>
    <w:rsid w:val="00165BE4"/>
    <w:rsid w:val="00165D81"/>
    <w:rsid w:val="00165DCF"/>
    <w:rsid w:val="00165DD8"/>
    <w:rsid w:val="00165E87"/>
    <w:rsid w:val="00165EE0"/>
    <w:rsid w:val="001661D3"/>
    <w:rsid w:val="001662EC"/>
    <w:rsid w:val="00166321"/>
    <w:rsid w:val="00166456"/>
    <w:rsid w:val="00166509"/>
    <w:rsid w:val="00166517"/>
    <w:rsid w:val="0016661F"/>
    <w:rsid w:val="0016668F"/>
    <w:rsid w:val="0016680E"/>
    <w:rsid w:val="00166817"/>
    <w:rsid w:val="0016685B"/>
    <w:rsid w:val="00166869"/>
    <w:rsid w:val="00166877"/>
    <w:rsid w:val="0016687B"/>
    <w:rsid w:val="001668A0"/>
    <w:rsid w:val="0016696F"/>
    <w:rsid w:val="0016697D"/>
    <w:rsid w:val="00166B44"/>
    <w:rsid w:val="00166C01"/>
    <w:rsid w:val="00166C80"/>
    <w:rsid w:val="00166F02"/>
    <w:rsid w:val="00167029"/>
    <w:rsid w:val="00167211"/>
    <w:rsid w:val="0016730D"/>
    <w:rsid w:val="0016743F"/>
    <w:rsid w:val="00167518"/>
    <w:rsid w:val="001675E1"/>
    <w:rsid w:val="00167771"/>
    <w:rsid w:val="00167977"/>
    <w:rsid w:val="00167985"/>
    <w:rsid w:val="00167A2F"/>
    <w:rsid w:val="00167A34"/>
    <w:rsid w:val="00167A8D"/>
    <w:rsid w:val="00167AA0"/>
    <w:rsid w:val="00167AEB"/>
    <w:rsid w:val="00167B9C"/>
    <w:rsid w:val="00167B9F"/>
    <w:rsid w:val="00167BC2"/>
    <w:rsid w:val="00167C0F"/>
    <w:rsid w:val="00167D4C"/>
    <w:rsid w:val="00167D69"/>
    <w:rsid w:val="00167EA3"/>
    <w:rsid w:val="00167EFC"/>
    <w:rsid w:val="00167F0A"/>
    <w:rsid w:val="00167F0C"/>
    <w:rsid w:val="00170151"/>
    <w:rsid w:val="0017034F"/>
    <w:rsid w:val="001703F6"/>
    <w:rsid w:val="0017042D"/>
    <w:rsid w:val="00170726"/>
    <w:rsid w:val="00170AE9"/>
    <w:rsid w:val="00170B0A"/>
    <w:rsid w:val="00170B9C"/>
    <w:rsid w:val="00170C0D"/>
    <w:rsid w:val="00170C12"/>
    <w:rsid w:val="00170C17"/>
    <w:rsid w:val="00170D34"/>
    <w:rsid w:val="00170E01"/>
    <w:rsid w:val="00170E8E"/>
    <w:rsid w:val="0017103D"/>
    <w:rsid w:val="0017105E"/>
    <w:rsid w:val="001710F8"/>
    <w:rsid w:val="001713E4"/>
    <w:rsid w:val="001714BE"/>
    <w:rsid w:val="00171529"/>
    <w:rsid w:val="00171569"/>
    <w:rsid w:val="00171672"/>
    <w:rsid w:val="001717BA"/>
    <w:rsid w:val="00171876"/>
    <w:rsid w:val="001718CA"/>
    <w:rsid w:val="0017192D"/>
    <w:rsid w:val="0017197B"/>
    <w:rsid w:val="00171A8A"/>
    <w:rsid w:val="00171C25"/>
    <w:rsid w:val="00171CC1"/>
    <w:rsid w:val="00171E34"/>
    <w:rsid w:val="00171EA4"/>
    <w:rsid w:val="00171EED"/>
    <w:rsid w:val="00171F15"/>
    <w:rsid w:val="00171FD3"/>
    <w:rsid w:val="00172084"/>
    <w:rsid w:val="001721D8"/>
    <w:rsid w:val="00172261"/>
    <w:rsid w:val="001722E7"/>
    <w:rsid w:val="00172360"/>
    <w:rsid w:val="001723A9"/>
    <w:rsid w:val="001723BF"/>
    <w:rsid w:val="001723E7"/>
    <w:rsid w:val="001723E8"/>
    <w:rsid w:val="00172475"/>
    <w:rsid w:val="001724A9"/>
    <w:rsid w:val="00172545"/>
    <w:rsid w:val="001725C1"/>
    <w:rsid w:val="00172878"/>
    <w:rsid w:val="00172882"/>
    <w:rsid w:val="0017295A"/>
    <w:rsid w:val="00172997"/>
    <w:rsid w:val="00172ADA"/>
    <w:rsid w:val="00172AF7"/>
    <w:rsid w:val="00172BF9"/>
    <w:rsid w:val="00172CAC"/>
    <w:rsid w:val="00172D83"/>
    <w:rsid w:val="00172D88"/>
    <w:rsid w:val="00172D94"/>
    <w:rsid w:val="00172D9C"/>
    <w:rsid w:val="00172E13"/>
    <w:rsid w:val="00172E24"/>
    <w:rsid w:val="0017306C"/>
    <w:rsid w:val="00173078"/>
    <w:rsid w:val="00173118"/>
    <w:rsid w:val="00173124"/>
    <w:rsid w:val="00173134"/>
    <w:rsid w:val="00173231"/>
    <w:rsid w:val="00173326"/>
    <w:rsid w:val="00173422"/>
    <w:rsid w:val="00173508"/>
    <w:rsid w:val="00173583"/>
    <w:rsid w:val="001735D0"/>
    <w:rsid w:val="00173621"/>
    <w:rsid w:val="001736AA"/>
    <w:rsid w:val="00173782"/>
    <w:rsid w:val="00173817"/>
    <w:rsid w:val="001738EE"/>
    <w:rsid w:val="00173B5E"/>
    <w:rsid w:val="00173BCD"/>
    <w:rsid w:val="00173C9C"/>
    <w:rsid w:val="00173D5B"/>
    <w:rsid w:val="00173EFA"/>
    <w:rsid w:val="00173FCF"/>
    <w:rsid w:val="0017400D"/>
    <w:rsid w:val="00174021"/>
    <w:rsid w:val="00174088"/>
    <w:rsid w:val="00174184"/>
    <w:rsid w:val="00174380"/>
    <w:rsid w:val="00174428"/>
    <w:rsid w:val="001744FE"/>
    <w:rsid w:val="0017453F"/>
    <w:rsid w:val="00174548"/>
    <w:rsid w:val="001747FB"/>
    <w:rsid w:val="001748BA"/>
    <w:rsid w:val="001748CC"/>
    <w:rsid w:val="00174AE9"/>
    <w:rsid w:val="00174B0C"/>
    <w:rsid w:val="00174B25"/>
    <w:rsid w:val="00174BEE"/>
    <w:rsid w:val="00174BFE"/>
    <w:rsid w:val="00174C57"/>
    <w:rsid w:val="00174D93"/>
    <w:rsid w:val="00174D9E"/>
    <w:rsid w:val="00174E40"/>
    <w:rsid w:val="00174E8D"/>
    <w:rsid w:val="00174F8B"/>
    <w:rsid w:val="00175278"/>
    <w:rsid w:val="0017530F"/>
    <w:rsid w:val="00175385"/>
    <w:rsid w:val="001753C6"/>
    <w:rsid w:val="00175459"/>
    <w:rsid w:val="001754BA"/>
    <w:rsid w:val="001755FB"/>
    <w:rsid w:val="00175791"/>
    <w:rsid w:val="001757C8"/>
    <w:rsid w:val="00175953"/>
    <w:rsid w:val="00175A9B"/>
    <w:rsid w:val="00175B9D"/>
    <w:rsid w:val="00175BDD"/>
    <w:rsid w:val="00175C82"/>
    <w:rsid w:val="00175C8B"/>
    <w:rsid w:val="00175D8F"/>
    <w:rsid w:val="00175E41"/>
    <w:rsid w:val="00175EF2"/>
    <w:rsid w:val="00175EFF"/>
    <w:rsid w:val="00175F3E"/>
    <w:rsid w:val="001760F0"/>
    <w:rsid w:val="00176116"/>
    <w:rsid w:val="0017629B"/>
    <w:rsid w:val="001762C3"/>
    <w:rsid w:val="0017631F"/>
    <w:rsid w:val="00176322"/>
    <w:rsid w:val="0017641F"/>
    <w:rsid w:val="00176485"/>
    <w:rsid w:val="00176526"/>
    <w:rsid w:val="0017664B"/>
    <w:rsid w:val="00176695"/>
    <w:rsid w:val="001766B3"/>
    <w:rsid w:val="00176866"/>
    <w:rsid w:val="0017693A"/>
    <w:rsid w:val="00176B12"/>
    <w:rsid w:val="00176BC2"/>
    <w:rsid w:val="00176D5B"/>
    <w:rsid w:val="00176E16"/>
    <w:rsid w:val="00176EBC"/>
    <w:rsid w:val="00176EF3"/>
    <w:rsid w:val="00176F85"/>
    <w:rsid w:val="00177012"/>
    <w:rsid w:val="00177085"/>
    <w:rsid w:val="00177121"/>
    <w:rsid w:val="001771A1"/>
    <w:rsid w:val="00177286"/>
    <w:rsid w:val="0017731E"/>
    <w:rsid w:val="001773B9"/>
    <w:rsid w:val="001773D5"/>
    <w:rsid w:val="001774BF"/>
    <w:rsid w:val="00177576"/>
    <w:rsid w:val="001775D2"/>
    <w:rsid w:val="001775F2"/>
    <w:rsid w:val="001775FF"/>
    <w:rsid w:val="001776EA"/>
    <w:rsid w:val="00177701"/>
    <w:rsid w:val="0017770B"/>
    <w:rsid w:val="001777E8"/>
    <w:rsid w:val="00177928"/>
    <w:rsid w:val="00177B1B"/>
    <w:rsid w:val="00177B93"/>
    <w:rsid w:val="00177C2D"/>
    <w:rsid w:val="00177CBF"/>
    <w:rsid w:val="00177D21"/>
    <w:rsid w:val="00177D94"/>
    <w:rsid w:val="00177DBA"/>
    <w:rsid w:val="00177E44"/>
    <w:rsid w:val="0018005F"/>
    <w:rsid w:val="001800D4"/>
    <w:rsid w:val="001800EB"/>
    <w:rsid w:val="001800EF"/>
    <w:rsid w:val="001801E4"/>
    <w:rsid w:val="00180205"/>
    <w:rsid w:val="001802DB"/>
    <w:rsid w:val="001802DD"/>
    <w:rsid w:val="00180323"/>
    <w:rsid w:val="00180440"/>
    <w:rsid w:val="00180497"/>
    <w:rsid w:val="0018063E"/>
    <w:rsid w:val="0018075E"/>
    <w:rsid w:val="0018088D"/>
    <w:rsid w:val="001808A5"/>
    <w:rsid w:val="0018090E"/>
    <w:rsid w:val="0018091F"/>
    <w:rsid w:val="0018094E"/>
    <w:rsid w:val="001809E4"/>
    <w:rsid w:val="00180AED"/>
    <w:rsid w:val="00180AFE"/>
    <w:rsid w:val="00180DB8"/>
    <w:rsid w:val="00180E86"/>
    <w:rsid w:val="00180FE7"/>
    <w:rsid w:val="0018111A"/>
    <w:rsid w:val="00181217"/>
    <w:rsid w:val="0018125F"/>
    <w:rsid w:val="00181317"/>
    <w:rsid w:val="001813C7"/>
    <w:rsid w:val="001813CF"/>
    <w:rsid w:val="001814D4"/>
    <w:rsid w:val="001815CB"/>
    <w:rsid w:val="001815DC"/>
    <w:rsid w:val="0018170E"/>
    <w:rsid w:val="00181769"/>
    <w:rsid w:val="001817A0"/>
    <w:rsid w:val="001817D9"/>
    <w:rsid w:val="00181830"/>
    <w:rsid w:val="001818AC"/>
    <w:rsid w:val="001818D7"/>
    <w:rsid w:val="00181923"/>
    <w:rsid w:val="00181B76"/>
    <w:rsid w:val="00181D57"/>
    <w:rsid w:val="00181F0E"/>
    <w:rsid w:val="00181F1B"/>
    <w:rsid w:val="001820DB"/>
    <w:rsid w:val="0018210C"/>
    <w:rsid w:val="001821D6"/>
    <w:rsid w:val="00182234"/>
    <w:rsid w:val="0018231B"/>
    <w:rsid w:val="0018246D"/>
    <w:rsid w:val="001824A9"/>
    <w:rsid w:val="001825B6"/>
    <w:rsid w:val="001825ED"/>
    <w:rsid w:val="001825F6"/>
    <w:rsid w:val="001826A5"/>
    <w:rsid w:val="001826AC"/>
    <w:rsid w:val="00182836"/>
    <w:rsid w:val="0018284C"/>
    <w:rsid w:val="001828D3"/>
    <w:rsid w:val="00182A4D"/>
    <w:rsid w:val="00182AC7"/>
    <w:rsid w:val="00182BF3"/>
    <w:rsid w:val="00182C12"/>
    <w:rsid w:val="00182CEB"/>
    <w:rsid w:val="00182D78"/>
    <w:rsid w:val="001830AB"/>
    <w:rsid w:val="0018313E"/>
    <w:rsid w:val="00183204"/>
    <w:rsid w:val="00183270"/>
    <w:rsid w:val="001833E2"/>
    <w:rsid w:val="001834B3"/>
    <w:rsid w:val="001834D3"/>
    <w:rsid w:val="001835CB"/>
    <w:rsid w:val="00183739"/>
    <w:rsid w:val="0018374A"/>
    <w:rsid w:val="00183868"/>
    <w:rsid w:val="00183927"/>
    <w:rsid w:val="00183959"/>
    <w:rsid w:val="0018397F"/>
    <w:rsid w:val="00183A2A"/>
    <w:rsid w:val="00183A85"/>
    <w:rsid w:val="00183AE1"/>
    <w:rsid w:val="00183C22"/>
    <w:rsid w:val="00183D00"/>
    <w:rsid w:val="00183F80"/>
    <w:rsid w:val="00183F84"/>
    <w:rsid w:val="00183FDC"/>
    <w:rsid w:val="0018413C"/>
    <w:rsid w:val="0018414F"/>
    <w:rsid w:val="00184176"/>
    <w:rsid w:val="001841EB"/>
    <w:rsid w:val="00184230"/>
    <w:rsid w:val="001842C5"/>
    <w:rsid w:val="0018433A"/>
    <w:rsid w:val="001843DC"/>
    <w:rsid w:val="00184418"/>
    <w:rsid w:val="0018442D"/>
    <w:rsid w:val="00184517"/>
    <w:rsid w:val="001845D7"/>
    <w:rsid w:val="00184627"/>
    <w:rsid w:val="0018470C"/>
    <w:rsid w:val="00184875"/>
    <w:rsid w:val="00184909"/>
    <w:rsid w:val="00184A8A"/>
    <w:rsid w:val="00184AC6"/>
    <w:rsid w:val="00184B26"/>
    <w:rsid w:val="00184B88"/>
    <w:rsid w:val="00184C1C"/>
    <w:rsid w:val="00184DF4"/>
    <w:rsid w:val="00184E4F"/>
    <w:rsid w:val="00184EAA"/>
    <w:rsid w:val="00184F1F"/>
    <w:rsid w:val="00184F56"/>
    <w:rsid w:val="00184F90"/>
    <w:rsid w:val="00184F9B"/>
    <w:rsid w:val="0018518C"/>
    <w:rsid w:val="001851AD"/>
    <w:rsid w:val="00185237"/>
    <w:rsid w:val="00185384"/>
    <w:rsid w:val="001853D2"/>
    <w:rsid w:val="00185440"/>
    <w:rsid w:val="0018557D"/>
    <w:rsid w:val="00185597"/>
    <w:rsid w:val="001857AB"/>
    <w:rsid w:val="001857CD"/>
    <w:rsid w:val="001857F3"/>
    <w:rsid w:val="001857FE"/>
    <w:rsid w:val="00185848"/>
    <w:rsid w:val="001859A8"/>
    <w:rsid w:val="001859BB"/>
    <w:rsid w:val="00185D94"/>
    <w:rsid w:val="00185DCD"/>
    <w:rsid w:val="00185E04"/>
    <w:rsid w:val="00185EFF"/>
    <w:rsid w:val="001860F3"/>
    <w:rsid w:val="0018625C"/>
    <w:rsid w:val="001862B9"/>
    <w:rsid w:val="001862DC"/>
    <w:rsid w:val="00186519"/>
    <w:rsid w:val="0018654A"/>
    <w:rsid w:val="001865D4"/>
    <w:rsid w:val="001866A1"/>
    <w:rsid w:val="00186766"/>
    <w:rsid w:val="001867F8"/>
    <w:rsid w:val="0018687D"/>
    <w:rsid w:val="00186A16"/>
    <w:rsid w:val="00186C39"/>
    <w:rsid w:val="00186CB4"/>
    <w:rsid w:val="00186CE1"/>
    <w:rsid w:val="00186E8D"/>
    <w:rsid w:val="00186F2D"/>
    <w:rsid w:val="00186F35"/>
    <w:rsid w:val="0018718F"/>
    <w:rsid w:val="00187329"/>
    <w:rsid w:val="0018733A"/>
    <w:rsid w:val="001874C3"/>
    <w:rsid w:val="0018753B"/>
    <w:rsid w:val="001875AB"/>
    <w:rsid w:val="001875AD"/>
    <w:rsid w:val="00187624"/>
    <w:rsid w:val="00187757"/>
    <w:rsid w:val="00187B0B"/>
    <w:rsid w:val="00187D17"/>
    <w:rsid w:val="00187D50"/>
    <w:rsid w:val="00187D6A"/>
    <w:rsid w:val="00187F83"/>
    <w:rsid w:val="00187FE0"/>
    <w:rsid w:val="00190024"/>
    <w:rsid w:val="00190087"/>
    <w:rsid w:val="001900BA"/>
    <w:rsid w:val="00190156"/>
    <w:rsid w:val="0019021A"/>
    <w:rsid w:val="00190255"/>
    <w:rsid w:val="00190276"/>
    <w:rsid w:val="001902B2"/>
    <w:rsid w:val="001902C7"/>
    <w:rsid w:val="0019036D"/>
    <w:rsid w:val="001903B2"/>
    <w:rsid w:val="001904DB"/>
    <w:rsid w:val="00190603"/>
    <w:rsid w:val="00190681"/>
    <w:rsid w:val="001906F8"/>
    <w:rsid w:val="001907FD"/>
    <w:rsid w:val="0019080B"/>
    <w:rsid w:val="0019082F"/>
    <w:rsid w:val="00190860"/>
    <w:rsid w:val="001908C2"/>
    <w:rsid w:val="001908F8"/>
    <w:rsid w:val="001909B6"/>
    <w:rsid w:val="001909F0"/>
    <w:rsid w:val="00190A88"/>
    <w:rsid w:val="00190B51"/>
    <w:rsid w:val="00190C07"/>
    <w:rsid w:val="00190C8E"/>
    <w:rsid w:val="00190CD7"/>
    <w:rsid w:val="00190D08"/>
    <w:rsid w:val="00190D32"/>
    <w:rsid w:val="00190DF6"/>
    <w:rsid w:val="00190E77"/>
    <w:rsid w:val="00190FA7"/>
    <w:rsid w:val="0019101F"/>
    <w:rsid w:val="00191037"/>
    <w:rsid w:val="00191125"/>
    <w:rsid w:val="00191148"/>
    <w:rsid w:val="00191276"/>
    <w:rsid w:val="0019127C"/>
    <w:rsid w:val="0019136B"/>
    <w:rsid w:val="001914A1"/>
    <w:rsid w:val="001915F2"/>
    <w:rsid w:val="00191753"/>
    <w:rsid w:val="0019179D"/>
    <w:rsid w:val="001918C4"/>
    <w:rsid w:val="00191A60"/>
    <w:rsid w:val="00191ADF"/>
    <w:rsid w:val="00191C06"/>
    <w:rsid w:val="00191C4A"/>
    <w:rsid w:val="00191C5E"/>
    <w:rsid w:val="00191C6B"/>
    <w:rsid w:val="00191CD3"/>
    <w:rsid w:val="00191D02"/>
    <w:rsid w:val="00191D11"/>
    <w:rsid w:val="00191D6D"/>
    <w:rsid w:val="00191E06"/>
    <w:rsid w:val="00191E19"/>
    <w:rsid w:val="00191EE7"/>
    <w:rsid w:val="00191F14"/>
    <w:rsid w:val="00191F88"/>
    <w:rsid w:val="00191FB1"/>
    <w:rsid w:val="00191FEA"/>
    <w:rsid w:val="00192024"/>
    <w:rsid w:val="0019205B"/>
    <w:rsid w:val="00192089"/>
    <w:rsid w:val="00192103"/>
    <w:rsid w:val="00192198"/>
    <w:rsid w:val="001921A3"/>
    <w:rsid w:val="0019227F"/>
    <w:rsid w:val="00192281"/>
    <w:rsid w:val="00192433"/>
    <w:rsid w:val="0019253C"/>
    <w:rsid w:val="001925D8"/>
    <w:rsid w:val="0019278F"/>
    <w:rsid w:val="0019280D"/>
    <w:rsid w:val="0019283E"/>
    <w:rsid w:val="00192B39"/>
    <w:rsid w:val="00192BDD"/>
    <w:rsid w:val="00192C2A"/>
    <w:rsid w:val="00192C4E"/>
    <w:rsid w:val="0019302C"/>
    <w:rsid w:val="0019307C"/>
    <w:rsid w:val="001930B9"/>
    <w:rsid w:val="001930CB"/>
    <w:rsid w:val="001931F6"/>
    <w:rsid w:val="00193272"/>
    <w:rsid w:val="001932BA"/>
    <w:rsid w:val="00193335"/>
    <w:rsid w:val="001933B9"/>
    <w:rsid w:val="00193598"/>
    <w:rsid w:val="001935F0"/>
    <w:rsid w:val="00193631"/>
    <w:rsid w:val="00193655"/>
    <w:rsid w:val="00193670"/>
    <w:rsid w:val="00193704"/>
    <w:rsid w:val="0019390F"/>
    <w:rsid w:val="00193971"/>
    <w:rsid w:val="001939CA"/>
    <w:rsid w:val="00193C9A"/>
    <w:rsid w:val="00193CB8"/>
    <w:rsid w:val="00193CC3"/>
    <w:rsid w:val="00193DD4"/>
    <w:rsid w:val="00193DD8"/>
    <w:rsid w:val="00193DEE"/>
    <w:rsid w:val="00193E20"/>
    <w:rsid w:val="0019415E"/>
    <w:rsid w:val="001941A8"/>
    <w:rsid w:val="001941E9"/>
    <w:rsid w:val="001941F2"/>
    <w:rsid w:val="00194233"/>
    <w:rsid w:val="00194254"/>
    <w:rsid w:val="0019427A"/>
    <w:rsid w:val="001944A7"/>
    <w:rsid w:val="00194587"/>
    <w:rsid w:val="00194600"/>
    <w:rsid w:val="00194764"/>
    <w:rsid w:val="0019484C"/>
    <w:rsid w:val="001948B8"/>
    <w:rsid w:val="001948C9"/>
    <w:rsid w:val="00194A2A"/>
    <w:rsid w:val="00194CF4"/>
    <w:rsid w:val="00194DD3"/>
    <w:rsid w:val="00194E0B"/>
    <w:rsid w:val="00194EBD"/>
    <w:rsid w:val="00194FB6"/>
    <w:rsid w:val="00195163"/>
    <w:rsid w:val="0019520C"/>
    <w:rsid w:val="00195227"/>
    <w:rsid w:val="0019532F"/>
    <w:rsid w:val="00195332"/>
    <w:rsid w:val="00195393"/>
    <w:rsid w:val="001953CA"/>
    <w:rsid w:val="001953CF"/>
    <w:rsid w:val="001953E6"/>
    <w:rsid w:val="0019545F"/>
    <w:rsid w:val="0019566C"/>
    <w:rsid w:val="0019575E"/>
    <w:rsid w:val="0019594F"/>
    <w:rsid w:val="00195BAD"/>
    <w:rsid w:val="00195CE3"/>
    <w:rsid w:val="00195D2E"/>
    <w:rsid w:val="00195D68"/>
    <w:rsid w:val="00195DC0"/>
    <w:rsid w:val="00195F57"/>
    <w:rsid w:val="00196006"/>
    <w:rsid w:val="00196048"/>
    <w:rsid w:val="001960B1"/>
    <w:rsid w:val="0019632D"/>
    <w:rsid w:val="00196330"/>
    <w:rsid w:val="001963DA"/>
    <w:rsid w:val="001963DE"/>
    <w:rsid w:val="001963FF"/>
    <w:rsid w:val="001964A4"/>
    <w:rsid w:val="00196632"/>
    <w:rsid w:val="001968DD"/>
    <w:rsid w:val="001969CE"/>
    <w:rsid w:val="001969FD"/>
    <w:rsid w:val="00196B5B"/>
    <w:rsid w:val="00196B80"/>
    <w:rsid w:val="00196B93"/>
    <w:rsid w:val="00196B9B"/>
    <w:rsid w:val="00196C45"/>
    <w:rsid w:val="00196C9D"/>
    <w:rsid w:val="00196DBE"/>
    <w:rsid w:val="00196E62"/>
    <w:rsid w:val="00196F02"/>
    <w:rsid w:val="00196FC9"/>
    <w:rsid w:val="0019706D"/>
    <w:rsid w:val="00197258"/>
    <w:rsid w:val="00197294"/>
    <w:rsid w:val="001974A7"/>
    <w:rsid w:val="001975CE"/>
    <w:rsid w:val="0019796B"/>
    <w:rsid w:val="00197996"/>
    <w:rsid w:val="001979C2"/>
    <w:rsid w:val="00197B2F"/>
    <w:rsid w:val="00197C61"/>
    <w:rsid w:val="00197C8C"/>
    <w:rsid w:val="00197D32"/>
    <w:rsid w:val="00197FC5"/>
    <w:rsid w:val="001A0078"/>
    <w:rsid w:val="001A00A4"/>
    <w:rsid w:val="001A00DB"/>
    <w:rsid w:val="001A00F2"/>
    <w:rsid w:val="001A019C"/>
    <w:rsid w:val="001A021F"/>
    <w:rsid w:val="001A0283"/>
    <w:rsid w:val="001A03B5"/>
    <w:rsid w:val="001A0441"/>
    <w:rsid w:val="001A04DA"/>
    <w:rsid w:val="001A0541"/>
    <w:rsid w:val="001A05B8"/>
    <w:rsid w:val="001A062F"/>
    <w:rsid w:val="001A06AB"/>
    <w:rsid w:val="001A0888"/>
    <w:rsid w:val="001A08C1"/>
    <w:rsid w:val="001A0905"/>
    <w:rsid w:val="001A0962"/>
    <w:rsid w:val="001A0A05"/>
    <w:rsid w:val="001A0B06"/>
    <w:rsid w:val="001A0B69"/>
    <w:rsid w:val="001A0B78"/>
    <w:rsid w:val="001A0BB1"/>
    <w:rsid w:val="001A0C50"/>
    <w:rsid w:val="001A0D1F"/>
    <w:rsid w:val="001A0FAA"/>
    <w:rsid w:val="001A0FDF"/>
    <w:rsid w:val="001A103C"/>
    <w:rsid w:val="001A1109"/>
    <w:rsid w:val="001A1140"/>
    <w:rsid w:val="001A115D"/>
    <w:rsid w:val="001A1202"/>
    <w:rsid w:val="001A1355"/>
    <w:rsid w:val="001A139E"/>
    <w:rsid w:val="001A15CA"/>
    <w:rsid w:val="001A1611"/>
    <w:rsid w:val="001A1642"/>
    <w:rsid w:val="001A1647"/>
    <w:rsid w:val="001A16C1"/>
    <w:rsid w:val="001A1895"/>
    <w:rsid w:val="001A18EA"/>
    <w:rsid w:val="001A19F3"/>
    <w:rsid w:val="001A1A4B"/>
    <w:rsid w:val="001A1B04"/>
    <w:rsid w:val="001A1BA0"/>
    <w:rsid w:val="001A1D0E"/>
    <w:rsid w:val="001A1E2C"/>
    <w:rsid w:val="001A1E42"/>
    <w:rsid w:val="001A1E6E"/>
    <w:rsid w:val="001A1EFA"/>
    <w:rsid w:val="001A1F53"/>
    <w:rsid w:val="001A2009"/>
    <w:rsid w:val="001A207D"/>
    <w:rsid w:val="001A215A"/>
    <w:rsid w:val="001A21E7"/>
    <w:rsid w:val="001A2253"/>
    <w:rsid w:val="001A231C"/>
    <w:rsid w:val="001A2356"/>
    <w:rsid w:val="001A2386"/>
    <w:rsid w:val="001A240A"/>
    <w:rsid w:val="001A2460"/>
    <w:rsid w:val="001A253B"/>
    <w:rsid w:val="001A2572"/>
    <w:rsid w:val="001A2582"/>
    <w:rsid w:val="001A2625"/>
    <w:rsid w:val="001A2634"/>
    <w:rsid w:val="001A2685"/>
    <w:rsid w:val="001A26F2"/>
    <w:rsid w:val="001A27F3"/>
    <w:rsid w:val="001A2858"/>
    <w:rsid w:val="001A2954"/>
    <w:rsid w:val="001A29FB"/>
    <w:rsid w:val="001A2A1D"/>
    <w:rsid w:val="001A2A98"/>
    <w:rsid w:val="001A2AC0"/>
    <w:rsid w:val="001A2BB9"/>
    <w:rsid w:val="001A2C46"/>
    <w:rsid w:val="001A2C60"/>
    <w:rsid w:val="001A2CB6"/>
    <w:rsid w:val="001A2CD9"/>
    <w:rsid w:val="001A2CEF"/>
    <w:rsid w:val="001A2D41"/>
    <w:rsid w:val="001A2F60"/>
    <w:rsid w:val="001A2FF2"/>
    <w:rsid w:val="001A33BD"/>
    <w:rsid w:val="001A356D"/>
    <w:rsid w:val="001A3613"/>
    <w:rsid w:val="001A3617"/>
    <w:rsid w:val="001A3629"/>
    <w:rsid w:val="001A3679"/>
    <w:rsid w:val="001A37D0"/>
    <w:rsid w:val="001A389F"/>
    <w:rsid w:val="001A3920"/>
    <w:rsid w:val="001A393E"/>
    <w:rsid w:val="001A3B47"/>
    <w:rsid w:val="001A3C61"/>
    <w:rsid w:val="001A3C7B"/>
    <w:rsid w:val="001A3CDD"/>
    <w:rsid w:val="001A3D6F"/>
    <w:rsid w:val="001A3F3F"/>
    <w:rsid w:val="001A4068"/>
    <w:rsid w:val="001A416C"/>
    <w:rsid w:val="001A42F9"/>
    <w:rsid w:val="001A43C9"/>
    <w:rsid w:val="001A4502"/>
    <w:rsid w:val="001A452C"/>
    <w:rsid w:val="001A4615"/>
    <w:rsid w:val="001A46B1"/>
    <w:rsid w:val="001A46B2"/>
    <w:rsid w:val="001A4913"/>
    <w:rsid w:val="001A493B"/>
    <w:rsid w:val="001A4946"/>
    <w:rsid w:val="001A4A05"/>
    <w:rsid w:val="001A4AB8"/>
    <w:rsid w:val="001A4B7C"/>
    <w:rsid w:val="001A4C32"/>
    <w:rsid w:val="001A4D80"/>
    <w:rsid w:val="001A4E83"/>
    <w:rsid w:val="001A503F"/>
    <w:rsid w:val="001A511D"/>
    <w:rsid w:val="001A51D9"/>
    <w:rsid w:val="001A5284"/>
    <w:rsid w:val="001A52CC"/>
    <w:rsid w:val="001A52DE"/>
    <w:rsid w:val="001A5317"/>
    <w:rsid w:val="001A546D"/>
    <w:rsid w:val="001A5570"/>
    <w:rsid w:val="001A55E6"/>
    <w:rsid w:val="001A5699"/>
    <w:rsid w:val="001A56CE"/>
    <w:rsid w:val="001A577F"/>
    <w:rsid w:val="001A58C6"/>
    <w:rsid w:val="001A59A8"/>
    <w:rsid w:val="001A59BB"/>
    <w:rsid w:val="001A5A48"/>
    <w:rsid w:val="001A5A69"/>
    <w:rsid w:val="001A5D5D"/>
    <w:rsid w:val="001A5F0D"/>
    <w:rsid w:val="001A603F"/>
    <w:rsid w:val="001A62FD"/>
    <w:rsid w:val="001A635A"/>
    <w:rsid w:val="001A643A"/>
    <w:rsid w:val="001A655C"/>
    <w:rsid w:val="001A6641"/>
    <w:rsid w:val="001A666E"/>
    <w:rsid w:val="001A6769"/>
    <w:rsid w:val="001A6982"/>
    <w:rsid w:val="001A6A2C"/>
    <w:rsid w:val="001A6B0B"/>
    <w:rsid w:val="001A6B8F"/>
    <w:rsid w:val="001A6BDC"/>
    <w:rsid w:val="001A6DF3"/>
    <w:rsid w:val="001A6FFC"/>
    <w:rsid w:val="001A717F"/>
    <w:rsid w:val="001A7182"/>
    <w:rsid w:val="001A7201"/>
    <w:rsid w:val="001A727B"/>
    <w:rsid w:val="001A728C"/>
    <w:rsid w:val="001A738B"/>
    <w:rsid w:val="001A73B7"/>
    <w:rsid w:val="001A746B"/>
    <w:rsid w:val="001A74C2"/>
    <w:rsid w:val="001A752D"/>
    <w:rsid w:val="001A7572"/>
    <w:rsid w:val="001A75E3"/>
    <w:rsid w:val="001A75E5"/>
    <w:rsid w:val="001A7642"/>
    <w:rsid w:val="001A78EA"/>
    <w:rsid w:val="001A78F0"/>
    <w:rsid w:val="001A791A"/>
    <w:rsid w:val="001A7A58"/>
    <w:rsid w:val="001A7A73"/>
    <w:rsid w:val="001A7ADA"/>
    <w:rsid w:val="001A7AF2"/>
    <w:rsid w:val="001A7C0F"/>
    <w:rsid w:val="001A7C65"/>
    <w:rsid w:val="001A7CC2"/>
    <w:rsid w:val="001A7D66"/>
    <w:rsid w:val="001A7E19"/>
    <w:rsid w:val="001A7E87"/>
    <w:rsid w:val="001A7F05"/>
    <w:rsid w:val="001A7F5E"/>
    <w:rsid w:val="001A7F68"/>
    <w:rsid w:val="001A7FDB"/>
    <w:rsid w:val="001B00C1"/>
    <w:rsid w:val="001B0162"/>
    <w:rsid w:val="001B020B"/>
    <w:rsid w:val="001B03D1"/>
    <w:rsid w:val="001B07F2"/>
    <w:rsid w:val="001B0847"/>
    <w:rsid w:val="001B0B57"/>
    <w:rsid w:val="001B0C2C"/>
    <w:rsid w:val="001B0D96"/>
    <w:rsid w:val="001B0E6F"/>
    <w:rsid w:val="001B0F8D"/>
    <w:rsid w:val="001B0FAF"/>
    <w:rsid w:val="001B1001"/>
    <w:rsid w:val="001B102E"/>
    <w:rsid w:val="001B1066"/>
    <w:rsid w:val="001B111C"/>
    <w:rsid w:val="001B13D5"/>
    <w:rsid w:val="001B1582"/>
    <w:rsid w:val="001B15DC"/>
    <w:rsid w:val="001B15FE"/>
    <w:rsid w:val="001B161E"/>
    <w:rsid w:val="001B17EF"/>
    <w:rsid w:val="001B18D9"/>
    <w:rsid w:val="001B19C1"/>
    <w:rsid w:val="001B1BEA"/>
    <w:rsid w:val="001B1C37"/>
    <w:rsid w:val="001B1ED5"/>
    <w:rsid w:val="001B1EEB"/>
    <w:rsid w:val="001B1F52"/>
    <w:rsid w:val="001B2221"/>
    <w:rsid w:val="001B226B"/>
    <w:rsid w:val="001B22B5"/>
    <w:rsid w:val="001B2427"/>
    <w:rsid w:val="001B255D"/>
    <w:rsid w:val="001B2595"/>
    <w:rsid w:val="001B25C0"/>
    <w:rsid w:val="001B2690"/>
    <w:rsid w:val="001B2704"/>
    <w:rsid w:val="001B2733"/>
    <w:rsid w:val="001B2827"/>
    <w:rsid w:val="001B289D"/>
    <w:rsid w:val="001B29A2"/>
    <w:rsid w:val="001B29E2"/>
    <w:rsid w:val="001B2BBF"/>
    <w:rsid w:val="001B2BF0"/>
    <w:rsid w:val="001B2C57"/>
    <w:rsid w:val="001B2C67"/>
    <w:rsid w:val="001B2D0D"/>
    <w:rsid w:val="001B2D1A"/>
    <w:rsid w:val="001B2EEC"/>
    <w:rsid w:val="001B2EF7"/>
    <w:rsid w:val="001B2FC7"/>
    <w:rsid w:val="001B3039"/>
    <w:rsid w:val="001B3064"/>
    <w:rsid w:val="001B30B6"/>
    <w:rsid w:val="001B31F5"/>
    <w:rsid w:val="001B332B"/>
    <w:rsid w:val="001B333C"/>
    <w:rsid w:val="001B34D9"/>
    <w:rsid w:val="001B35FA"/>
    <w:rsid w:val="001B362B"/>
    <w:rsid w:val="001B364B"/>
    <w:rsid w:val="001B3806"/>
    <w:rsid w:val="001B3808"/>
    <w:rsid w:val="001B3953"/>
    <w:rsid w:val="001B39E6"/>
    <w:rsid w:val="001B3A14"/>
    <w:rsid w:val="001B3A1D"/>
    <w:rsid w:val="001B3A22"/>
    <w:rsid w:val="001B3A48"/>
    <w:rsid w:val="001B3AB7"/>
    <w:rsid w:val="001B3D26"/>
    <w:rsid w:val="001B3DFE"/>
    <w:rsid w:val="001B40B8"/>
    <w:rsid w:val="001B41C9"/>
    <w:rsid w:val="001B43D3"/>
    <w:rsid w:val="001B4403"/>
    <w:rsid w:val="001B4424"/>
    <w:rsid w:val="001B4461"/>
    <w:rsid w:val="001B44AF"/>
    <w:rsid w:val="001B463D"/>
    <w:rsid w:val="001B478C"/>
    <w:rsid w:val="001B478D"/>
    <w:rsid w:val="001B47CD"/>
    <w:rsid w:val="001B4974"/>
    <w:rsid w:val="001B49CB"/>
    <w:rsid w:val="001B49ED"/>
    <w:rsid w:val="001B4ACE"/>
    <w:rsid w:val="001B4D80"/>
    <w:rsid w:val="001B4DAA"/>
    <w:rsid w:val="001B4E1E"/>
    <w:rsid w:val="001B4EE6"/>
    <w:rsid w:val="001B4F85"/>
    <w:rsid w:val="001B4FDE"/>
    <w:rsid w:val="001B507E"/>
    <w:rsid w:val="001B5110"/>
    <w:rsid w:val="001B5113"/>
    <w:rsid w:val="001B5177"/>
    <w:rsid w:val="001B523A"/>
    <w:rsid w:val="001B5264"/>
    <w:rsid w:val="001B527A"/>
    <w:rsid w:val="001B52A3"/>
    <w:rsid w:val="001B52C1"/>
    <w:rsid w:val="001B565D"/>
    <w:rsid w:val="001B56D0"/>
    <w:rsid w:val="001B5822"/>
    <w:rsid w:val="001B589D"/>
    <w:rsid w:val="001B58B3"/>
    <w:rsid w:val="001B5957"/>
    <w:rsid w:val="001B5A06"/>
    <w:rsid w:val="001B5A1D"/>
    <w:rsid w:val="001B5BF9"/>
    <w:rsid w:val="001B60D4"/>
    <w:rsid w:val="001B6190"/>
    <w:rsid w:val="001B62AA"/>
    <w:rsid w:val="001B63B1"/>
    <w:rsid w:val="001B64D5"/>
    <w:rsid w:val="001B65D5"/>
    <w:rsid w:val="001B6621"/>
    <w:rsid w:val="001B666E"/>
    <w:rsid w:val="001B66C1"/>
    <w:rsid w:val="001B66F3"/>
    <w:rsid w:val="001B6723"/>
    <w:rsid w:val="001B674A"/>
    <w:rsid w:val="001B677C"/>
    <w:rsid w:val="001B6790"/>
    <w:rsid w:val="001B683A"/>
    <w:rsid w:val="001B689A"/>
    <w:rsid w:val="001B68CA"/>
    <w:rsid w:val="001B6A4F"/>
    <w:rsid w:val="001B6A5E"/>
    <w:rsid w:val="001B6B4C"/>
    <w:rsid w:val="001B6B68"/>
    <w:rsid w:val="001B6CBA"/>
    <w:rsid w:val="001B6D3B"/>
    <w:rsid w:val="001B6D56"/>
    <w:rsid w:val="001B6F39"/>
    <w:rsid w:val="001B6FB0"/>
    <w:rsid w:val="001B71E8"/>
    <w:rsid w:val="001B7274"/>
    <w:rsid w:val="001B72AE"/>
    <w:rsid w:val="001B7521"/>
    <w:rsid w:val="001B752A"/>
    <w:rsid w:val="001B76ED"/>
    <w:rsid w:val="001B77D9"/>
    <w:rsid w:val="001B78C4"/>
    <w:rsid w:val="001B78D1"/>
    <w:rsid w:val="001B79BE"/>
    <w:rsid w:val="001B79DC"/>
    <w:rsid w:val="001B7A44"/>
    <w:rsid w:val="001B7AFB"/>
    <w:rsid w:val="001B7D4A"/>
    <w:rsid w:val="001B7F60"/>
    <w:rsid w:val="001C0068"/>
    <w:rsid w:val="001C029B"/>
    <w:rsid w:val="001C02D1"/>
    <w:rsid w:val="001C035C"/>
    <w:rsid w:val="001C0578"/>
    <w:rsid w:val="001C0622"/>
    <w:rsid w:val="001C0657"/>
    <w:rsid w:val="001C071E"/>
    <w:rsid w:val="001C0754"/>
    <w:rsid w:val="001C0847"/>
    <w:rsid w:val="001C0924"/>
    <w:rsid w:val="001C09C6"/>
    <w:rsid w:val="001C0B3C"/>
    <w:rsid w:val="001C0BC4"/>
    <w:rsid w:val="001C0BDB"/>
    <w:rsid w:val="001C0C1C"/>
    <w:rsid w:val="001C0CC7"/>
    <w:rsid w:val="001C0CDC"/>
    <w:rsid w:val="001C0D11"/>
    <w:rsid w:val="001C0E10"/>
    <w:rsid w:val="001C0E28"/>
    <w:rsid w:val="001C0E2C"/>
    <w:rsid w:val="001C0EE1"/>
    <w:rsid w:val="001C0EEF"/>
    <w:rsid w:val="001C0F0F"/>
    <w:rsid w:val="001C0F1B"/>
    <w:rsid w:val="001C1208"/>
    <w:rsid w:val="001C148C"/>
    <w:rsid w:val="001C16A6"/>
    <w:rsid w:val="001C1777"/>
    <w:rsid w:val="001C184B"/>
    <w:rsid w:val="001C1850"/>
    <w:rsid w:val="001C19AB"/>
    <w:rsid w:val="001C19C9"/>
    <w:rsid w:val="001C1A28"/>
    <w:rsid w:val="001C1A4C"/>
    <w:rsid w:val="001C1ADF"/>
    <w:rsid w:val="001C1AF6"/>
    <w:rsid w:val="001C1B18"/>
    <w:rsid w:val="001C1B42"/>
    <w:rsid w:val="001C1B51"/>
    <w:rsid w:val="001C1BF4"/>
    <w:rsid w:val="001C1CA4"/>
    <w:rsid w:val="001C1D8A"/>
    <w:rsid w:val="001C1DB2"/>
    <w:rsid w:val="001C1E0B"/>
    <w:rsid w:val="001C1EB5"/>
    <w:rsid w:val="001C1EB9"/>
    <w:rsid w:val="001C1EF6"/>
    <w:rsid w:val="001C1FB6"/>
    <w:rsid w:val="001C2049"/>
    <w:rsid w:val="001C2154"/>
    <w:rsid w:val="001C224D"/>
    <w:rsid w:val="001C22C6"/>
    <w:rsid w:val="001C2320"/>
    <w:rsid w:val="001C235F"/>
    <w:rsid w:val="001C24AC"/>
    <w:rsid w:val="001C254F"/>
    <w:rsid w:val="001C267D"/>
    <w:rsid w:val="001C2785"/>
    <w:rsid w:val="001C27AF"/>
    <w:rsid w:val="001C288D"/>
    <w:rsid w:val="001C28EB"/>
    <w:rsid w:val="001C29B8"/>
    <w:rsid w:val="001C2A68"/>
    <w:rsid w:val="001C2AF7"/>
    <w:rsid w:val="001C2C0A"/>
    <w:rsid w:val="001C2C0C"/>
    <w:rsid w:val="001C2C32"/>
    <w:rsid w:val="001C2C92"/>
    <w:rsid w:val="001C2D07"/>
    <w:rsid w:val="001C2D2E"/>
    <w:rsid w:val="001C2D50"/>
    <w:rsid w:val="001C2DB6"/>
    <w:rsid w:val="001C2ECA"/>
    <w:rsid w:val="001C2F52"/>
    <w:rsid w:val="001C304F"/>
    <w:rsid w:val="001C31AD"/>
    <w:rsid w:val="001C3431"/>
    <w:rsid w:val="001C3581"/>
    <w:rsid w:val="001C359B"/>
    <w:rsid w:val="001C37F4"/>
    <w:rsid w:val="001C39A6"/>
    <w:rsid w:val="001C39B8"/>
    <w:rsid w:val="001C39C0"/>
    <w:rsid w:val="001C3A6D"/>
    <w:rsid w:val="001C3B4E"/>
    <w:rsid w:val="001C3BC7"/>
    <w:rsid w:val="001C3BD6"/>
    <w:rsid w:val="001C3C09"/>
    <w:rsid w:val="001C3C5F"/>
    <w:rsid w:val="001C3E69"/>
    <w:rsid w:val="001C3E76"/>
    <w:rsid w:val="001C3FA0"/>
    <w:rsid w:val="001C3FBC"/>
    <w:rsid w:val="001C3FD8"/>
    <w:rsid w:val="001C4062"/>
    <w:rsid w:val="001C4075"/>
    <w:rsid w:val="001C4141"/>
    <w:rsid w:val="001C4368"/>
    <w:rsid w:val="001C43AB"/>
    <w:rsid w:val="001C43E5"/>
    <w:rsid w:val="001C4420"/>
    <w:rsid w:val="001C4534"/>
    <w:rsid w:val="001C4565"/>
    <w:rsid w:val="001C4569"/>
    <w:rsid w:val="001C45A3"/>
    <w:rsid w:val="001C45C0"/>
    <w:rsid w:val="001C467F"/>
    <w:rsid w:val="001C46EA"/>
    <w:rsid w:val="001C47AD"/>
    <w:rsid w:val="001C47EA"/>
    <w:rsid w:val="001C4842"/>
    <w:rsid w:val="001C4921"/>
    <w:rsid w:val="001C4A1E"/>
    <w:rsid w:val="001C4B84"/>
    <w:rsid w:val="001C4C66"/>
    <w:rsid w:val="001C4C7B"/>
    <w:rsid w:val="001C4D1B"/>
    <w:rsid w:val="001C4D28"/>
    <w:rsid w:val="001C5016"/>
    <w:rsid w:val="001C50EC"/>
    <w:rsid w:val="001C5107"/>
    <w:rsid w:val="001C5197"/>
    <w:rsid w:val="001C51BE"/>
    <w:rsid w:val="001C5311"/>
    <w:rsid w:val="001C5527"/>
    <w:rsid w:val="001C5545"/>
    <w:rsid w:val="001C5668"/>
    <w:rsid w:val="001C5690"/>
    <w:rsid w:val="001C5737"/>
    <w:rsid w:val="001C5830"/>
    <w:rsid w:val="001C589B"/>
    <w:rsid w:val="001C58A3"/>
    <w:rsid w:val="001C58B9"/>
    <w:rsid w:val="001C5963"/>
    <w:rsid w:val="001C5A83"/>
    <w:rsid w:val="001C5BBD"/>
    <w:rsid w:val="001C5C5D"/>
    <w:rsid w:val="001C5C68"/>
    <w:rsid w:val="001C5C76"/>
    <w:rsid w:val="001C5D35"/>
    <w:rsid w:val="001C5D93"/>
    <w:rsid w:val="001C5E92"/>
    <w:rsid w:val="001C5F60"/>
    <w:rsid w:val="001C602E"/>
    <w:rsid w:val="001C6068"/>
    <w:rsid w:val="001C6188"/>
    <w:rsid w:val="001C62CE"/>
    <w:rsid w:val="001C6323"/>
    <w:rsid w:val="001C638C"/>
    <w:rsid w:val="001C63E7"/>
    <w:rsid w:val="001C63F6"/>
    <w:rsid w:val="001C63F7"/>
    <w:rsid w:val="001C65FB"/>
    <w:rsid w:val="001C66E0"/>
    <w:rsid w:val="001C67BC"/>
    <w:rsid w:val="001C6A58"/>
    <w:rsid w:val="001C6A82"/>
    <w:rsid w:val="001C6ACC"/>
    <w:rsid w:val="001C6BB6"/>
    <w:rsid w:val="001C6CEE"/>
    <w:rsid w:val="001C6D17"/>
    <w:rsid w:val="001C6D1A"/>
    <w:rsid w:val="001C6E1B"/>
    <w:rsid w:val="001C6E67"/>
    <w:rsid w:val="001C6ED8"/>
    <w:rsid w:val="001C6EEB"/>
    <w:rsid w:val="001C71B7"/>
    <w:rsid w:val="001C71E1"/>
    <w:rsid w:val="001C7319"/>
    <w:rsid w:val="001C73BA"/>
    <w:rsid w:val="001C73C8"/>
    <w:rsid w:val="001C7444"/>
    <w:rsid w:val="001C74BC"/>
    <w:rsid w:val="001C758C"/>
    <w:rsid w:val="001C763D"/>
    <w:rsid w:val="001C767D"/>
    <w:rsid w:val="001C7723"/>
    <w:rsid w:val="001C7947"/>
    <w:rsid w:val="001C797D"/>
    <w:rsid w:val="001C7A55"/>
    <w:rsid w:val="001C7A69"/>
    <w:rsid w:val="001C7A71"/>
    <w:rsid w:val="001C7C20"/>
    <w:rsid w:val="001C7C2A"/>
    <w:rsid w:val="001C7C8B"/>
    <w:rsid w:val="001C7CCF"/>
    <w:rsid w:val="001C7D3B"/>
    <w:rsid w:val="001C7D6C"/>
    <w:rsid w:val="001C7D8B"/>
    <w:rsid w:val="001C7D92"/>
    <w:rsid w:val="001C7E25"/>
    <w:rsid w:val="001C7F2A"/>
    <w:rsid w:val="001D0016"/>
    <w:rsid w:val="001D008B"/>
    <w:rsid w:val="001D0304"/>
    <w:rsid w:val="001D0346"/>
    <w:rsid w:val="001D03EC"/>
    <w:rsid w:val="001D0692"/>
    <w:rsid w:val="001D0736"/>
    <w:rsid w:val="001D0818"/>
    <w:rsid w:val="001D0829"/>
    <w:rsid w:val="001D0959"/>
    <w:rsid w:val="001D0979"/>
    <w:rsid w:val="001D0A14"/>
    <w:rsid w:val="001D0AE0"/>
    <w:rsid w:val="001D0B1E"/>
    <w:rsid w:val="001D0C0C"/>
    <w:rsid w:val="001D0D5E"/>
    <w:rsid w:val="001D0E1E"/>
    <w:rsid w:val="001D1011"/>
    <w:rsid w:val="001D11D8"/>
    <w:rsid w:val="001D1251"/>
    <w:rsid w:val="001D130E"/>
    <w:rsid w:val="001D1481"/>
    <w:rsid w:val="001D149E"/>
    <w:rsid w:val="001D1684"/>
    <w:rsid w:val="001D17FB"/>
    <w:rsid w:val="001D183F"/>
    <w:rsid w:val="001D1974"/>
    <w:rsid w:val="001D19B6"/>
    <w:rsid w:val="001D1A7D"/>
    <w:rsid w:val="001D1AAF"/>
    <w:rsid w:val="001D1B53"/>
    <w:rsid w:val="001D1BE3"/>
    <w:rsid w:val="001D1DFF"/>
    <w:rsid w:val="001D1FE0"/>
    <w:rsid w:val="001D2214"/>
    <w:rsid w:val="001D2300"/>
    <w:rsid w:val="001D2378"/>
    <w:rsid w:val="001D243A"/>
    <w:rsid w:val="001D253A"/>
    <w:rsid w:val="001D2548"/>
    <w:rsid w:val="001D2632"/>
    <w:rsid w:val="001D2642"/>
    <w:rsid w:val="001D280F"/>
    <w:rsid w:val="001D294D"/>
    <w:rsid w:val="001D2A19"/>
    <w:rsid w:val="001D2B6E"/>
    <w:rsid w:val="001D2BEC"/>
    <w:rsid w:val="001D2C0A"/>
    <w:rsid w:val="001D2C73"/>
    <w:rsid w:val="001D2DD5"/>
    <w:rsid w:val="001D2E97"/>
    <w:rsid w:val="001D2EB5"/>
    <w:rsid w:val="001D2FFB"/>
    <w:rsid w:val="001D321F"/>
    <w:rsid w:val="001D32ED"/>
    <w:rsid w:val="001D33AA"/>
    <w:rsid w:val="001D33D0"/>
    <w:rsid w:val="001D33FD"/>
    <w:rsid w:val="001D3511"/>
    <w:rsid w:val="001D36A4"/>
    <w:rsid w:val="001D36C8"/>
    <w:rsid w:val="001D36DD"/>
    <w:rsid w:val="001D36F0"/>
    <w:rsid w:val="001D3799"/>
    <w:rsid w:val="001D37F5"/>
    <w:rsid w:val="001D3816"/>
    <w:rsid w:val="001D3920"/>
    <w:rsid w:val="001D3A45"/>
    <w:rsid w:val="001D3BC5"/>
    <w:rsid w:val="001D3C9C"/>
    <w:rsid w:val="001D3D31"/>
    <w:rsid w:val="001D4038"/>
    <w:rsid w:val="001D4053"/>
    <w:rsid w:val="001D40B1"/>
    <w:rsid w:val="001D4127"/>
    <w:rsid w:val="001D419C"/>
    <w:rsid w:val="001D4294"/>
    <w:rsid w:val="001D42F1"/>
    <w:rsid w:val="001D438F"/>
    <w:rsid w:val="001D442C"/>
    <w:rsid w:val="001D464C"/>
    <w:rsid w:val="001D46D0"/>
    <w:rsid w:val="001D4768"/>
    <w:rsid w:val="001D47E9"/>
    <w:rsid w:val="001D4875"/>
    <w:rsid w:val="001D4886"/>
    <w:rsid w:val="001D498D"/>
    <w:rsid w:val="001D4A56"/>
    <w:rsid w:val="001D4AE1"/>
    <w:rsid w:val="001D4B2B"/>
    <w:rsid w:val="001D4C71"/>
    <w:rsid w:val="001D4DBB"/>
    <w:rsid w:val="001D4DEB"/>
    <w:rsid w:val="001D4E4F"/>
    <w:rsid w:val="001D4F5F"/>
    <w:rsid w:val="001D504C"/>
    <w:rsid w:val="001D5164"/>
    <w:rsid w:val="001D5175"/>
    <w:rsid w:val="001D517F"/>
    <w:rsid w:val="001D52BF"/>
    <w:rsid w:val="001D5300"/>
    <w:rsid w:val="001D53C9"/>
    <w:rsid w:val="001D54C7"/>
    <w:rsid w:val="001D54FC"/>
    <w:rsid w:val="001D55B2"/>
    <w:rsid w:val="001D55D4"/>
    <w:rsid w:val="001D5636"/>
    <w:rsid w:val="001D587F"/>
    <w:rsid w:val="001D58A3"/>
    <w:rsid w:val="001D5930"/>
    <w:rsid w:val="001D5A4B"/>
    <w:rsid w:val="001D5AD1"/>
    <w:rsid w:val="001D5AD3"/>
    <w:rsid w:val="001D5CB1"/>
    <w:rsid w:val="001D5DA9"/>
    <w:rsid w:val="001D5DDA"/>
    <w:rsid w:val="001D5EA8"/>
    <w:rsid w:val="001D5F24"/>
    <w:rsid w:val="001D5F2E"/>
    <w:rsid w:val="001D5F89"/>
    <w:rsid w:val="001D6123"/>
    <w:rsid w:val="001D6176"/>
    <w:rsid w:val="001D617F"/>
    <w:rsid w:val="001D623E"/>
    <w:rsid w:val="001D63A7"/>
    <w:rsid w:val="001D6418"/>
    <w:rsid w:val="001D6527"/>
    <w:rsid w:val="001D68D8"/>
    <w:rsid w:val="001D68EB"/>
    <w:rsid w:val="001D6939"/>
    <w:rsid w:val="001D69A0"/>
    <w:rsid w:val="001D6A6F"/>
    <w:rsid w:val="001D6AD6"/>
    <w:rsid w:val="001D6C2A"/>
    <w:rsid w:val="001D6C4F"/>
    <w:rsid w:val="001D6CB1"/>
    <w:rsid w:val="001D6D4B"/>
    <w:rsid w:val="001D6DD2"/>
    <w:rsid w:val="001D6E72"/>
    <w:rsid w:val="001D6EE6"/>
    <w:rsid w:val="001D6F9B"/>
    <w:rsid w:val="001D6FAA"/>
    <w:rsid w:val="001D6FB7"/>
    <w:rsid w:val="001D702D"/>
    <w:rsid w:val="001D71AF"/>
    <w:rsid w:val="001D71C6"/>
    <w:rsid w:val="001D7263"/>
    <w:rsid w:val="001D7385"/>
    <w:rsid w:val="001D73A2"/>
    <w:rsid w:val="001D75FD"/>
    <w:rsid w:val="001D7796"/>
    <w:rsid w:val="001D782A"/>
    <w:rsid w:val="001D7862"/>
    <w:rsid w:val="001D7A51"/>
    <w:rsid w:val="001D7B94"/>
    <w:rsid w:val="001D7C19"/>
    <w:rsid w:val="001D7D09"/>
    <w:rsid w:val="001D7D20"/>
    <w:rsid w:val="001D7D2A"/>
    <w:rsid w:val="001D7DE8"/>
    <w:rsid w:val="001E018F"/>
    <w:rsid w:val="001E01D2"/>
    <w:rsid w:val="001E03C9"/>
    <w:rsid w:val="001E0485"/>
    <w:rsid w:val="001E0544"/>
    <w:rsid w:val="001E05ED"/>
    <w:rsid w:val="001E05F5"/>
    <w:rsid w:val="001E0602"/>
    <w:rsid w:val="001E06C7"/>
    <w:rsid w:val="001E070F"/>
    <w:rsid w:val="001E07DF"/>
    <w:rsid w:val="001E0870"/>
    <w:rsid w:val="001E08A0"/>
    <w:rsid w:val="001E08A8"/>
    <w:rsid w:val="001E08EB"/>
    <w:rsid w:val="001E09E2"/>
    <w:rsid w:val="001E09EC"/>
    <w:rsid w:val="001E0A58"/>
    <w:rsid w:val="001E0B1A"/>
    <w:rsid w:val="001E0BAE"/>
    <w:rsid w:val="001E0DDA"/>
    <w:rsid w:val="001E0E32"/>
    <w:rsid w:val="001E0E60"/>
    <w:rsid w:val="001E0EA5"/>
    <w:rsid w:val="001E0F5B"/>
    <w:rsid w:val="001E0FE2"/>
    <w:rsid w:val="001E1028"/>
    <w:rsid w:val="001E11A4"/>
    <w:rsid w:val="001E1219"/>
    <w:rsid w:val="001E1263"/>
    <w:rsid w:val="001E12CC"/>
    <w:rsid w:val="001E137A"/>
    <w:rsid w:val="001E13C8"/>
    <w:rsid w:val="001E1512"/>
    <w:rsid w:val="001E1558"/>
    <w:rsid w:val="001E15FC"/>
    <w:rsid w:val="001E173E"/>
    <w:rsid w:val="001E17FD"/>
    <w:rsid w:val="001E1875"/>
    <w:rsid w:val="001E1926"/>
    <w:rsid w:val="001E19B0"/>
    <w:rsid w:val="001E1A47"/>
    <w:rsid w:val="001E1B0A"/>
    <w:rsid w:val="001E1C79"/>
    <w:rsid w:val="001E1CCF"/>
    <w:rsid w:val="001E1CE3"/>
    <w:rsid w:val="001E2125"/>
    <w:rsid w:val="001E21B3"/>
    <w:rsid w:val="001E224E"/>
    <w:rsid w:val="001E22CB"/>
    <w:rsid w:val="001E22DE"/>
    <w:rsid w:val="001E2308"/>
    <w:rsid w:val="001E2420"/>
    <w:rsid w:val="001E2436"/>
    <w:rsid w:val="001E24B9"/>
    <w:rsid w:val="001E24CF"/>
    <w:rsid w:val="001E259B"/>
    <w:rsid w:val="001E2671"/>
    <w:rsid w:val="001E2681"/>
    <w:rsid w:val="001E269E"/>
    <w:rsid w:val="001E26B7"/>
    <w:rsid w:val="001E2716"/>
    <w:rsid w:val="001E2784"/>
    <w:rsid w:val="001E27C2"/>
    <w:rsid w:val="001E2820"/>
    <w:rsid w:val="001E28A6"/>
    <w:rsid w:val="001E2904"/>
    <w:rsid w:val="001E29EA"/>
    <w:rsid w:val="001E2A65"/>
    <w:rsid w:val="001E2A9F"/>
    <w:rsid w:val="001E2B24"/>
    <w:rsid w:val="001E2C43"/>
    <w:rsid w:val="001E2C5F"/>
    <w:rsid w:val="001E2D4E"/>
    <w:rsid w:val="001E2E51"/>
    <w:rsid w:val="001E2E67"/>
    <w:rsid w:val="001E2EB7"/>
    <w:rsid w:val="001E2F35"/>
    <w:rsid w:val="001E30E7"/>
    <w:rsid w:val="001E3429"/>
    <w:rsid w:val="001E3431"/>
    <w:rsid w:val="001E3526"/>
    <w:rsid w:val="001E361D"/>
    <w:rsid w:val="001E366D"/>
    <w:rsid w:val="001E373C"/>
    <w:rsid w:val="001E375B"/>
    <w:rsid w:val="001E38D2"/>
    <w:rsid w:val="001E38EE"/>
    <w:rsid w:val="001E38FA"/>
    <w:rsid w:val="001E390C"/>
    <w:rsid w:val="001E39D2"/>
    <w:rsid w:val="001E3A70"/>
    <w:rsid w:val="001E3B00"/>
    <w:rsid w:val="001E3B8D"/>
    <w:rsid w:val="001E3B9E"/>
    <w:rsid w:val="001E3CA9"/>
    <w:rsid w:val="001E3CD9"/>
    <w:rsid w:val="001E3D75"/>
    <w:rsid w:val="001E3EBA"/>
    <w:rsid w:val="001E4110"/>
    <w:rsid w:val="001E4114"/>
    <w:rsid w:val="001E414C"/>
    <w:rsid w:val="001E42CB"/>
    <w:rsid w:val="001E4379"/>
    <w:rsid w:val="001E4388"/>
    <w:rsid w:val="001E438B"/>
    <w:rsid w:val="001E446F"/>
    <w:rsid w:val="001E44C3"/>
    <w:rsid w:val="001E44C4"/>
    <w:rsid w:val="001E44C5"/>
    <w:rsid w:val="001E47EB"/>
    <w:rsid w:val="001E480D"/>
    <w:rsid w:val="001E4935"/>
    <w:rsid w:val="001E49E0"/>
    <w:rsid w:val="001E4A6E"/>
    <w:rsid w:val="001E4B6C"/>
    <w:rsid w:val="001E4B73"/>
    <w:rsid w:val="001E4B97"/>
    <w:rsid w:val="001E4BF6"/>
    <w:rsid w:val="001E4C9D"/>
    <w:rsid w:val="001E4CC2"/>
    <w:rsid w:val="001E4EDF"/>
    <w:rsid w:val="001E4F6C"/>
    <w:rsid w:val="001E4FD7"/>
    <w:rsid w:val="001E5044"/>
    <w:rsid w:val="001E51F2"/>
    <w:rsid w:val="001E52BE"/>
    <w:rsid w:val="001E52C0"/>
    <w:rsid w:val="001E5307"/>
    <w:rsid w:val="001E5328"/>
    <w:rsid w:val="001E539F"/>
    <w:rsid w:val="001E54FC"/>
    <w:rsid w:val="001E55AD"/>
    <w:rsid w:val="001E5651"/>
    <w:rsid w:val="001E56A2"/>
    <w:rsid w:val="001E56D9"/>
    <w:rsid w:val="001E5764"/>
    <w:rsid w:val="001E5883"/>
    <w:rsid w:val="001E58CC"/>
    <w:rsid w:val="001E58EE"/>
    <w:rsid w:val="001E5A98"/>
    <w:rsid w:val="001E5B1B"/>
    <w:rsid w:val="001E5CD6"/>
    <w:rsid w:val="001E5E44"/>
    <w:rsid w:val="001E5FBA"/>
    <w:rsid w:val="001E60F8"/>
    <w:rsid w:val="001E610A"/>
    <w:rsid w:val="001E623A"/>
    <w:rsid w:val="001E64F9"/>
    <w:rsid w:val="001E6774"/>
    <w:rsid w:val="001E683E"/>
    <w:rsid w:val="001E68B6"/>
    <w:rsid w:val="001E690C"/>
    <w:rsid w:val="001E69F7"/>
    <w:rsid w:val="001E6AC9"/>
    <w:rsid w:val="001E6BC0"/>
    <w:rsid w:val="001E6C23"/>
    <w:rsid w:val="001E6D91"/>
    <w:rsid w:val="001E7037"/>
    <w:rsid w:val="001E7089"/>
    <w:rsid w:val="001E71AA"/>
    <w:rsid w:val="001E71E1"/>
    <w:rsid w:val="001E7258"/>
    <w:rsid w:val="001E73C2"/>
    <w:rsid w:val="001E7404"/>
    <w:rsid w:val="001E7494"/>
    <w:rsid w:val="001E74BF"/>
    <w:rsid w:val="001E7542"/>
    <w:rsid w:val="001E757A"/>
    <w:rsid w:val="001E75A9"/>
    <w:rsid w:val="001E75D7"/>
    <w:rsid w:val="001E75DD"/>
    <w:rsid w:val="001E7728"/>
    <w:rsid w:val="001E7865"/>
    <w:rsid w:val="001E789E"/>
    <w:rsid w:val="001E7ADA"/>
    <w:rsid w:val="001E7B3C"/>
    <w:rsid w:val="001E7DCF"/>
    <w:rsid w:val="001E7EC0"/>
    <w:rsid w:val="001E7ECC"/>
    <w:rsid w:val="001E7F0A"/>
    <w:rsid w:val="001E7F5C"/>
    <w:rsid w:val="001F0140"/>
    <w:rsid w:val="001F0184"/>
    <w:rsid w:val="001F01F6"/>
    <w:rsid w:val="001F0315"/>
    <w:rsid w:val="001F0375"/>
    <w:rsid w:val="001F03D3"/>
    <w:rsid w:val="001F0409"/>
    <w:rsid w:val="001F048C"/>
    <w:rsid w:val="001F0497"/>
    <w:rsid w:val="001F059E"/>
    <w:rsid w:val="001F073E"/>
    <w:rsid w:val="001F0784"/>
    <w:rsid w:val="001F07A2"/>
    <w:rsid w:val="001F086B"/>
    <w:rsid w:val="001F0A1C"/>
    <w:rsid w:val="001F0AB1"/>
    <w:rsid w:val="001F0CC3"/>
    <w:rsid w:val="001F0E10"/>
    <w:rsid w:val="001F0F69"/>
    <w:rsid w:val="001F0FA4"/>
    <w:rsid w:val="001F1005"/>
    <w:rsid w:val="001F102F"/>
    <w:rsid w:val="001F106E"/>
    <w:rsid w:val="001F107E"/>
    <w:rsid w:val="001F10C3"/>
    <w:rsid w:val="001F11FB"/>
    <w:rsid w:val="001F1216"/>
    <w:rsid w:val="001F1263"/>
    <w:rsid w:val="001F1401"/>
    <w:rsid w:val="001F14AD"/>
    <w:rsid w:val="001F14B2"/>
    <w:rsid w:val="001F14D1"/>
    <w:rsid w:val="001F14DC"/>
    <w:rsid w:val="001F1696"/>
    <w:rsid w:val="001F18C4"/>
    <w:rsid w:val="001F1A16"/>
    <w:rsid w:val="001F1C2A"/>
    <w:rsid w:val="001F1C41"/>
    <w:rsid w:val="001F1D7B"/>
    <w:rsid w:val="001F1DE3"/>
    <w:rsid w:val="001F1E45"/>
    <w:rsid w:val="001F1F82"/>
    <w:rsid w:val="001F23DC"/>
    <w:rsid w:val="001F2423"/>
    <w:rsid w:val="001F242E"/>
    <w:rsid w:val="001F2445"/>
    <w:rsid w:val="001F2461"/>
    <w:rsid w:val="001F24A0"/>
    <w:rsid w:val="001F2551"/>
    <w:rsid w:val="001F266A"/>
    <w:rsid w:val="001F279B"/>
    <w:rsid w:val="001F27E5"/>
    <w:rsid w:val="001F29AD"/>
    <w:rsid w:val="001F29D0"/>
    <w:rsid w:val="001F2A92"/>
    <w:rsid w:val="001F2BA5"/>
    <w:rsid w:val="001F2C14"/>
    <w:rsid w:val="001F2C40"/>
    <w:rsid w:val="001F2CB2"/>
    <w:rsid w:val="001F2CC0"/>
    <w:rsid w:val="001F2DA9"/>
    <w:rsid w:val="001F2DAC"/>
    <w:rsid w:val="001F2EE2"/>
    <w:rsid w:val="001F3023"/>
    <w:rsid w:val="001F308C"/>
    <w:rsid w:val="001F30E8"/>
    <w:rsid w:val="001F3134"/>
    <w:rsid w:val="001F318E"/>
    <w:rsid w:val="001F31C5"/>
    <w:rsid w:val="001F3239"/>
    <w:rsid w:val="001F3255"/>
    <w:rsid w:val="001F330A"/>
    <w:rsid w:val="001F3404"/>
    <w:rsid w:val="001F3506"/>
    <w:rsid w:val="001F36F7"/>
    <w:rsid w:val="001F3720"/>
    <w:rsid w:val="001F3859"/>
    <w:rsid w:val="001F3868"/>
    <w:rsid w:val="001F38D2"/>
    <w:rsid w:val="001F391C"/>
    <w:rsid w:val="001F3953"/>
    <w:rsid w:val="001F3A53"/>
    <w:rsid w:val="001F3B03"/>
    <w:rsid w:val="001F3B1E"/>
    <w:rsid w:val="001F3C77"/>
    <w:rsid w:val="001F3D02"/>
    <w:rsid w:val="001F3F1C"/>
    <w:rsid w:val="001F3F74"/>
    <w:rsid w:val="001F3F94"/>
    <w:rsid w:val="001F4002"/>
    <w:rsid w:val="001F414A"/>
    <w:rsid w:val="001F414E"/>
    <w:rsid w:val="001F4186"/>
    <w:rsid w:val="001F4193"/>
    <w:rsid w:val="001F4278"/>
    <w:rsid w:val="001F42E9"/>
    <w:rsid w:val="001F4361"/>
    <w:rsid w:val="001F43FE"/>
    <w:rsid w:val="001F4441"/>
    <w:rsid w:val="001F4523"/>
    <w:rsid w:val="001F4534"/>
    <w:rsid w:val="001F4585"/>
    <w:rsid w:val="001F4651"/>
    <w:rsid w:val="001F470C"/>
    <w:rsid w:val="001F47DD"/>
    <w:rsid w:val="001F4800"/>
    <w:rsid w:val="001F485D"/>
    <w:rsid w:val="001F48EA"/>
    <w:rsid w:val="001F4A79"/>
    <w:rsid w:val="001F4AED"/>
    <w:rsid w:val="001F4B79"/>
    <w:rsid w:val="001F4BD7"/>
    <w:rsid w:val="001F4C88"/>
    <w:rsid w:val="001F4DA1"/>
    <w:rsid w:val="001F4E7C"/>
    <w:rsid w:val="001F4EDA"/>
    <w:rsid w:val="001F4F12"/>
    <w:rsid w:val="001F4F37"/>
    <w:rsid w:val="001F4F92"/>
    <w:rsid w:val="001F503E"/>
    <w:rsid w:val="001F506F"/>
    <w:rsid w:val="001F513B"/>
    <w:rsid w:val="001F51FF"/>
    <w:rsid w:val="001F5245"/>
    <w:rsid w:val="001F5256"/>
    <w:rsid w:val="001F526D"/>
    <w:rsid w:val="001F52CA"/>
    <w:rsid w:val="001F53D9"/>
    <w:rsid w:val="001F5629"/>
    <w:rsid w:val="001F568E"/>
    <w:rsid w:val="001F5690"/>
    <w:rsid w:val="001F5770"/>
    <w:rsid w:val="001F5784"/>
    <w:rsid w:val="001F5841"/>
    <w:rsid w:val="001F586E"/>
    <w:rsid w:val="001F5996"/>
    <w:rsid w:val="001F5A12"/>
    <w:rsid w:val="001F5A3C"/>
    <w:rsid w:val="001F5AAC"/>
    <w:rsid w:val="001F5B27"/>
    <w:rsid w:val="001F5C20"/>
    <w:rsid w:val="001F5C4E"/>
    <w:rsid w:val="001F5C9F"/>
    <w:rsid w:val="001F5CAF"/>
    <w:rsid w:val="001F5DAA"/>
    <w:rsid w:val="001F5E60"/>
    <w:rsid w:val="001F5F87"/>
    <w:rsid w:val="001F61B0"/>
    <w:rsid w:val="001F625C"/>
    <w:rsid w:val="001F62BC"/>
    <w:rsid w:val="001F62D1"/>
    <w:rsid w:val="001F62D2"/>
    <w:rsid w:val="001F63EC"/>
    <w:rsid w:val="001F63FB"/>
    <w:rsid w:val="001F64EF"/>
    <w:rsid w:val="001F6662"/>
    <w:rsid w:val="001F667B"/>
    <w:rsid w:val="001F66DE"/>
    <w:rsid w:val="001F670F"/>
    <w:rsid w:val="001F672A"/>
    <w:rsid w:val="001F6741"/>
    <w:rsid w:val="001F674C"/>
    <w:rsid w:val="001F6767"/>
    <w:rsid w:val="001F683A"/>
    <w:rsid w:val="001F683C"/>
    <w:rsid w:val="001F6890"/>
    <w:rsid w:val="001F6988"/>
    <w:rsid w:val="001F69B0"/>
    <w:rsid w:val="001F6BB4"/>
    <w:rsid w:val="001F6BE5"/>
    <w:rsid w:val="001F6CA4"/>
    <w:rsid w:val="001F6D99"/>
    <w:rsid w:val="001F6E29"/>
    <w:rsid w:val="001F6F86"/>
    <w:rsid w:val="001F70E9"/>
    <w:rsid w:val="001F718E"/>
    <w:rsid w:val="001F72EE"/>
    <w:rsid w:val="001F7304"/>
    <w:rsid w:val="001F735D"/>
    <w:rsid w:val="001F7367"/>
    <w:rsid w:val="001F756C"/>
    <w:rsid w:val="001F758A"/>
    <w:rsid w:val="001F75C3"/>
    <w:rsid w:val="001F7674"/>
    <w:rsid w:val="001F76D6"/>
    <w:rsid w:val="001F7761"/>
    <w:rsid w:val="001F77A9"/>
    <w:rsid w:val="001F77F0"/>
    <w:rsid w:val="001F77F3"/>
    <w:rsid w:val="001F7845"/>
    <w:rsid w:val="001F7908"/>
    <w:rsid w:val="001F7961"/>
    <w:rsid w:val="001F7A1F"/>
    <w:rsid w:val="001F7C34"/>
    <w:rsid w:val="001F7CF9"/>
    <w:rsid w:val="001F7D8E"/>
    <w:rsid w:val="001F7E9E"/>
    <w:rsid w:val="001F7EDD"/>
    <w:rsid w:val="001F7F49"/>
    <w:rsid w:val="0020009B"/>
    <w:rsid w:val="0020025F"/>
    <w:rsid w:val="002002B7"/>
    <w:rsid w:val="00200348"/>
    <w:rsid w:val="002003FA"/>
    <w:rsid w:val="002004A7"/>
    <w:rsid w:val="00200886"/>
    <w:rsid w:val="002009F4"/>
    <w:rsid w:val="002009FF"/>
    <w:rsid w:val="00200A17"/>
    <w:rsid w:val="00200A43"/>
    <w:rsid w:val="00200B82"/>
    <w:rsid w:val="00200D04"/>
    <w:rsid w:val="00200ED1"/>
    <w:rsid w:val="00200F05"/>
    <w:rsid w:val="0020103F"/>
    <w:rsid w:val="00201176"/>
    <w:rsid w:val="00201286"/>
    <w:rsid w:val="0020135A"/>
    <w:rsid w:val="00201367"/>
    <w:rsid w:val="002013AD"/>
    <w:rsid w:val="002015AC"/>
    <w:rsid w:val="0020163E"/>
    <w:rsid w:val="002017B8"/>
    <w:rsid w:val="002019FE"/>
    <w:rsid w:val="00201A61"/>
    <w:rsid w:val="00201AB4"/>
    <w:rsid w:val="00201B59"/>
    <w:rsid w:val="00201DD1"/>
    <w:rsid w:val="00201E56"/>
    <w:rsid w:val="00201E8D"/>
    <w:rsid w:val="00201EF7"/>
    <w:rsid w:val="00201F3F"/>
    <w:rsid w:val="00201FF4"/>
    <w:rsid w:val="0020210F"/>
    <w:rsid w:val="00202122"/>
    <w:rsid w:val="002021E6"/>
    <w:rsid w:val="0020243C"/>
    <w:rsid w:val="00202452"/>
    <w:rsid w:val="0020245B"/>
    <w:rsid w:val="00202595"/>
    <w:rsid w:val="00202936"/>
    <w:rsid w:val="00202985"/>
    <w:rsid w:val="00202A32"/>
    <w:rsid w:val="00202AE4"/>
    <w:rsid w:val="00202B25"/>
    <w:rsid w:val="00202B36"/>
    <w:rsid w:val="00202B5F"/>
    <w:rsid w:val="00202BA7"/>
    <w:rsid w:val="00202BF4"/>
    <w:rsid w:val="00202C2C"/>
    <w:rsid w:val="00202C4A"/>
    <w:rsid w:val="00202CA5"/>
    <w:rsid w:val="00202D13"/>
    <w:rsid w:val="00202DB1"/>
    <w:rsid w:val="00202E8A"/>
    <w:rsid w:val="00202EAC"/>
    <w:rsid w:val="00202EEA"/>
    <w:rsid w:val="00202F5B"/>
    <w:rsid w:val="00202F8A"/>
    <w:rsid w:val="0020304E"/>
    <w:rsid w:val="00203097"/>
    <w:rsid w:val="002030E7"/>
    <w:rsid w:val="002031D0"/>
    <w:rsid w:val="00203286"/>
    <w:rsid w:val="002032B5"/>
    <w:rsid w:val="002033A2"/>
    <w:rsid w:val="002036AB"/>
    <w:rsid w:val="0020378F"/>
    <w:rsid w:val="00203792"/>
    <w:rsid w:val="00203861"/>
    <w:rsid w:val="00203888"/>
    <w:rsid w:val="00203953"/>
    <w:rsid w:val="00203B42"/>
    <w:rsid w:val="00203BCA"/>
    <w:rsid w:val="00203CE3"/>
    <w:rsid w:val="00203DFA"/>
    <w:rsid w:val="00203F95"/>
    <w:rsid w:val="0020420F"/>
    <w:rsid w:val="00204238"/>
    <w:rsid w:val="00204298"/>
    <w:rsid w:val="0020429F"/>
    <w:rsid w:val="0020431E"/>
    <w:rsid w:val="0020432A"/>
    <w:rsid w:val="00204410"/>
    <w:rsid w:val="00204473"/>
    <w:rsid w:val="002044B4"/>
    <w:rsid w:val="00204800"/>
    <w:rsid w:val="00204860"/>
    <w:rsid w:val="00204862"/>
    <w:rsid w:val="00204966"/>
    <w:rsid w:val="00204AA7"/>
    <w:rsid w:val="00204B80"/>
    <w:rsid w:val="00204DE5"/>
    <w:rsid w:val="00204EE3"/>
    <w:rsid w:val="00204F4A"/>
    <w:rsid w:val="0020509C"/>
    <w:rsid w:val="00205222"/>
    <w:rsid w:val="00205231"/>
    <w:rsid w:val="002052AA"/>
    <w:rsid w:val="002052CA"/>
    <w:rsid w:val="00205308"/>
    <w:rsid w:val="00205361"/>
    <w:rsid w:val="00205363"/>
    <w:rsid w:val="002054AF"/>
    <w:rsid w:val="002054BA"/>
    <w:rsid w:val="0020558C"/>
    <w:rsid w:val="00205658"/>
    <w:rsid w:val="00205696"/>
    <w:rsid w:val="002056BF"/>
    <w:rsid w:val="002056C6"/>
    <w:rsid w:val="00205734"/>
    <w:rsid w:val="00205952"/>
    <w:rsid w:val="00205BA1"/>
    <w:rsid w:val="00205BE4"/>
    <w:rsid w:val="00205C40"/>
    <w:rsid w:val="00205D0D"/>
    <w:rsid w:val="00205F65"/>
    <w:rsid w:val="0020602E"/>
    <w:rsid w:val="002060E0"/>
    <w:rsid w:val="002060F6"/>
    <w:rsid w:val="00206284"/>
    <w:rsid w:val="00206355"/>
    <w:rsid w:val="00206493"/>
    <w:rsid w:val="002064E2"/>
    <w:rsid w:val="002064FF"/>
    <w:rsid w:val="002066E9"/>
    <w:rsid w:val="002067C9"/>
    <w:rsid w:val="002067CC"/>
    <w:rsid w:val="00206835"/>
    <w:rsid w:val="002068CA"/>
    <w:rsid w:val="002069C5"/>
    <w:rsid w:val="00206A58"/>
    <w:rsid w:val="00206A82"/>
    <w:rsid w:val="00206B57"/>
    <w:rsid w:val="00206B97"/>
    <w:rsid w:val="00206C23"/>
    <w:rsid w:val="00206D2E"/>
    <w:rsid w:val="00206E02"/>
    <w:rsid w:val="00206E29"/>
    <w:rsid w:val="002070A8"/>
    <w:rsid w:val="00207106"/>
    <w:rsid w:val="0020710E"/>
    <w:rsid w:val="0020720C"/>
    <w:rsid w:val="00207499"/>
    <w:rsid w:val="002074C3"/>
    <w:rsid w:val="00207512"/>
    <w:rsid w:val="0020754B"/>
    <w:rsid w:val="00207552"/>
    <w:rsid w:val="00207566"/>
    <w:rsid w:val="00207693"/>
    <w:rsid w:val="002076D5"/>
    <w:rsid w:val="0020781D"/>
    <w:rsid w:val="002079A7"/>
    <w:rsid w:val="002079C7"/>
    <w:rsid w:val="002079E8"/>
    <w:rsid w:val="00207AED"/>
    <w:rsid w:val="00207B24"/>
    <w:rsid w:val="00207D83"/>
    <w:rsid w:val="00207DBB"/>
    <w:rsid w:val="00207F71"/>
    <w:rsid w:val="00210036"/>
    <w:rsid w:val="00210108"/>
    <w:rsid w:val="002101F3"/>
    <w:rsid w:val="00210230"/>
    <w:rsid w:val="002102F9"/>
    <w:rsid w:val="002103C8"/>
    <w:rsid w:val="00210481"/>
    <w:rsid w:val="002106A0"/>
    <w:rsid w:val="0021071D"/>
    <w:rsid w:val="00210826"/>
    <w:rsid w:val="0021088E"/>
    <w:rsid w:val="00210936"/>
    <w:rsid w:val="00210B18"/>
    <w:rsid w:val="00210C03"/>
    <w:rsid w:val="00210CCF"/>
    <w:rsid w:val="00210DBB"/>
    <w:rsid w:val="00210EE3"/>
    <w:rsid w:val="00210FA8"/>
    <w:rsid w:val="00210FD5"/>
    <w:rsid w:val="002110E8"/>
    <w:rsid w:val="0021119A"/>
    <w:rsid w:val="00211477"/>
    <w:rsid w:val="00211517"/>
    <w:rsid w:val="0021164E"/>
    <w:rsid w:val="0021169B"/>
    <w:rsid w:val="00211724"/>
    <w:rsid w:val="00211757"/>
    <w:rsid w:val="0021178E"/>
    <w:rsid w:val="002117C4"/>
    <w:rsid w:val="002119BD"/>
    <w:rsid w:val="00211A09"/>
    <w:rsid w:val="00211A56"/>
    <w:rsid w:val="00211AEE"/>
    <w:rsid w:val="00211B3B"/>
    <w:rsid w:val="00211BD5"/>
    <w:rsid w:val="00211BE2"/>
    <w:rsid w:val="00211BF0"/>
    <w:rsid w:val="00211C9B"/>
    <w:rsid w:val="00211D62"/>
    <w:rsid w:val="00211D78"/>
    <w:rsid w:val="00211E05"/>
    <w:rsid w:val="00211F5E"/>
    <w:rsid w:val="00211FE5"/>
    <w:rsid w:val="00212081"/>
    <w:rsid w:val="0021208E"/>
    <w:rsid w:val="00212133"/>
    <w:rsid w:val="0021239F"/>
    <w:rsid w:val="002123A4"/>
    <w:rsid w:val="002125A6"/>
    <w:rsid w:val="002126D5"/>
    <w:rsid w:val="002126F2"/>
    <w:rsid w:val="0021271F"/>
    <w:rsid w:val="0021281B"/>
    <w:rsid w:val="0021281F"/>
    <w:rsid w:val="00212877"/>
    <w:rsid w:val="002128B9"/>
    <w:rsid w:val="00212A03"/>
    <w:rsid w:val="00212A6D"/>
    <w:rsid w:val="00212AD0"/>
    <w:rsid w:val="00212B91"/>
    <w:rsid w:val="00212C6E"/>
    <w:rsid w:val="00212C8C"/>
    <w:rsid w:val="00212D53"/>
    <w:rsid w:val="00212EA3"/>
    <w:rsid w:val="00212F02"/>
    <w:rsid w:val="00212F82"/>
    <w:rsid w:val="00212FED"/>
    <w:rsid w:val="002130C6"/>
    <w:rsid w:val="002131C8"/>
    <w:rsid w:val="0021336C"/>
    <w:rsid w:val="002133E8"/>
    <w:rsid w:val="00213455"/>
    <w:rsid w:val="002134B8"/>
    <w:rsid w:val="002134E7"/>
    <w:rsid w:val="002135B3"/>
    <w:rsid w:val="00213653"/>
    <w:rsid w:val="002137D4"/>
    <w:rsid w:val="00213857"/>
    <w:rsid w:val="002138B0"/>
    <w:rsid w:val="002138CF"/>
    <w:rsid w:val="0021399A"/>
    <w:rsid w:val="00213AD6"/>
    <w:rsid w:val="00213BE5"/>
    <w:rsid w:val="00213C08"/>
    <w:rsid w:val="00213C96"/>
    <w:rsid w:val="00213D86"/>
    <w:rsid w:val="00213D91"/>
    <w:rsid w:val="00213EEC"/>
    <w:rsid w:val="00213EFC"/>
    <w:rsid w:val="00213F29"/>
    <w:rsid w:val="00214003"/>
    <w:rsid w:val="00214177"/>
    <w:rsid w:val="00214344"/>
    <w:rsid w:val="00214365"/>
    <w:rsid w:val="00214405"/>
    <w:rsid w:val="00214465"/>
    <w:rsid w:val="002144DB"/>
    <w:rsid w:val="00214572"/>
    <w:rsid w:val="0021465A"/>
    <w:rsid w:val="00214845"/>
    <w:rsid w:val="002148EF"/>
    <w:rsid w:val="002149F7"/>
    <w:rsid w:val="00214ABF"/>
    <w:rsid w:val="00214B1F"/>
    <w:rsid w:val="00214BA0"/>
    <w:rsid w:val="00214D1D"/>
    <w:rsid w:val="00214D2E"/>
    <w:rsid w:val="00214E2B"/>
    <w:rsid w:val="00214EBA"/>
    <w:rsid w:val="00214FF3"/>
    <w:rsid w:val="00215002"/>
    <w:rsid w:val="002150B1"/>
    <w:rsid w:val="002150E2"/>
    <w:rsid w:val="0021526A"/>
    <w:rsid w:val="002153DB"/>
    <w:rsid w:val="002153E8"/>
    <w:rsid w:val="002154DD"/>
    <w:rsid w:val="002154E5"/>
    <w:rsid w:val="00215503"/>
    <w:rsid w:val="0021551C"/>
    <w:rsid w:val="002155B5"/>
    <w:rsid w:val="0021564D"/>
    <w:rsid w:val="002156DC"/>
    <w:rsid w:val="002156EF"/>
    <w:rsid w:val="00215725"/>
    <w:rsid w:val="00215857"/>
    <w:rsid w:val="00215945"/>
    <w:rsid w:val="00215A25"/>
    <w:rsid w:val="00215A43"/>
    <w:rsid w:val="00215AF5"/>
    <w:rsid w:val="00215C85"/>
    <w:rsid w:val="00215CF3"/>
    <w:rsid w:val="00215D47"/>
    <w:rsid w:val="00215D5A"/>
    <w:rsid w:val="00215D70"/>
    <w:rsid w:val="00215F03"/>
    <w:rsid w:val="00216012"/>
    <w:rsid w:val="0021611F"/>
    <w:rsid w:val="00216162"/>
    <w:rsid w:val="002161DD"/>
    <w:rsid w:val="002162BC"/>
    <w:rsid w:val="002164E0"/>
    <w:rsid w:val="00216557"/>
    <w:rsid w:val="00216566"/>
    <w:rsid w:val="002166B8"/>
    <w:rsid w:val="00216742"/>
    <w:rsid w:val="002167AF"/>
    <w:rsid w:val="002167C8"/>
    <w:rsid w:val="00216874"/>
    <w:rsid w:val="002168C7"/>
    <w:rsid w:val="002168E5"/>
    <w:rsid w:val="00216B80"/>
    <w:rsid w:val="00216C38"/>
    <w:rsid w:val="00216C6B"/>
    <w:rsid w:val="00216D4B"/>
    <w:rsid w:val="00216EC7"/>
    <w:rsid w:val="00216FE7"/>
    <w:rsid w:val="00217050"/>
    <w:rsid w:val="002170F6"/>
    <w:rsid w:val="00217176"/>
    <w:rsid w:val="0021719F"/>
    <w:rsid w:val="00217204"/>
    <w:rsid w:val="0021723C"/>
    <w:rsid w:val="002173B3"/>
    <w:rsid w:val="00217475"/>
    <w:rsid w:val="00217646"/>
    <w:rsid w:val="00217679"/>
    <w:rsid w:val="002176D5"/>
    <w:rsid w:val="002176DD"/>
    <w:rsid w:val="002177A6"/>
    <w:rsid w:val="002178A9"/>
    <w:rsid w:val="00217956"/>
    <w:rsid w:val="00217B36"/>
    <w:rsid w:val="00217BBF"/>
    <w:rsid w:val="00217BF5"/>
    <w:rsid w:val="00217C61"/>
    <w:rsid w:val="00217DEE"/>
    <w:rsid w:val="00217E38"/>
    <w:rsid w:val="00217E6B"/>
    <w:rsid w:val="00217E7A"/>
    <w:rsid w:val="00217F2D"/>
    <w:rsid w:val="00220093"/>
    <w:rsid w:val="00220147"/>
    <w:rsid w:val="002202A8"/>
    <w:rsid w:val="0022035A"/>
    <w:rsid w:val="00220369"/>
    <w:rsid w:val="00220391"/>
    <w:rsid w:val="002203C6"/>
    <w:rsid w:val="002205F0"/>
    <w:rsid w:val="0022067C"/>
    <w:rsid w:val="00220747"/>
    <w:rsid w:val="0022074C"/>
    <w:rsid w:val="00220777"/>
    <w:rsid w:val="0022077A"/>
    <w:rsid w:val="00220848"/>
    <w:rsid w:val="00220857"/>
    <w:rsid w:val="00220999"/>
    <w:rsid w:val="00220C31"/>
    <w:rsid w:val="00220E08"/>
    <w:rsid w:val="00220E67"/>
    <w:rsid w:val="00221017"/>
    <w:rsid w:val="0022106A"/>
    <w:rsid w:val="002210AB"/>
    <w:rsid w:val="0022129E"/>
    <w:rsid w:val="002212CE"/>
    <w:rsid w:val="002212D7"/>
    <w:rsid w:val="00221361"/>
    <w:rsid w:val="00221389"/>
    <w:rsid w:val="00221434"/>
    <w:rsid w:val="00221479"/>
    <w:rsid w:val="00221529"/>
    <w:rsid w:val="00221585"/>
    <w:rsid w:val="002216F9"/>
    <w:rsid w:val="00221712"/>
    <w:rsid w:val="0022172E"/>
    <w:rsid w:val="00221790"/>
    <w:rsid w:val="00221794"/>
    <w:rsid w:val="0022180B"/>
    <w:rsid w:val="00221859"/>
    <w:rsid w:val="00221894"/>
    <w:rsid w:val="00221905"/>
    <w:rsid w:val="00221A5B"/>
    <w:rsid w:val="00221A65"/>
    <w:rsid w:val="00221A6A"/>
    <w:rsid w:val="00221A8D"/>
    <w:rsid w:val="00221AA5"/>
    <w:rsid w:val="00221AAC"/>
    <w:rsid w:val="00221E53"/>
    <w:rsid w:val="00221F2C"/>
    <w:rsid w:val="00221F77"/>
    <w:rsid w:val="00221FBD"/>
    <w:rsid w:val="00221FC6"/>
    <w:rsid w:val="00222031"/>
    <w:rsid w:val="0022203B"/>
    <w:rsid w:val="002221C7"/>
    <w:rsid w:val="0022238D"/>
    <w:rsid w:val="002223DB"/>
    <w:rsid w:val="0022243E"/>
    <w:rsid w:val="0022245B"/>
    <w:rsid w:val="002224A6"/>
    <w:rsid w:val="002224ED"/>
    <w:rsid w:val="00222586"/>
    <w:rsid w:val="002225DF"/>
    <w:rsid w:val="00222615"/>
    <w:rsid w:val="00222642"/>
    <w:rsid w:val="002226B6"/>
    <w:rsid w:val="00222785"/>
    <w:rsid w:val="00222788"/>
    <w:rsid w:val="00222888"/>
    <w:rsid w:val="002228FF"/>
    <w:rsid w:val="00222A22"/>
    <w:rsid w:val="00222CA8"/>
    <w:rsid w:val="00222D2E"/>
    <w:rsid w:val="00222D35"/>
    <w:rsid w:val="00222D37"/>
    <w:rsid w:val="00222D45"/>
    <w:rsid w:val="00222D55"/>
    <w:rsid w:val="00223185"/>
    <w:rsid w:val="002231AD"/>
    <w:rsid w:val="00223296"/>
    <w:rsid w:val="00223392"/>
    <w:rsid w:val="002233DC"/>
    <w:rsid w:val="002234CF"/>
    <w:rsid w:val="002235BA"/>
    <w:rsid w:val="00223767"/>
    <w:rsid w:val="0022376D"/>
    <w:rsid w:val="0022392A"/>
    <w:rsid w:val="002239A9"/>
    <w:rsid w:val="002239E5"/>
    <w:rsid w:val="00223A7F"/>
    <w:rsid w:val="00223AD4"/>
    <w:rsid w:val="00223B35"/>
    <w:rsid w:val="00223B84"/>
    <w:rsid w:val="00223BC5"/>
    <w:rsid w:val="00223D95"/>
    <w:rsid w:val="00223DDD"/>
    <w:rsid w:val="00223E0D"/>
    <w:rsid w:val="00223E5B"/>
    <w:rsid w:val="00224053"/>
    <w:rsid w:val="0022405D"/>
    <w:rsid w:val="00224073"/>
    <w:rsid w:val="00224159"/>
    <w:rsid w:val="002242D9"/>
    <w:rsid w:val="0022435A"/>
    <w:rsid w:val="002244AE"/>
    <w:rsid w:val="002244E7"/>
    <w:rsid w:val="002246E6"/>
    <w:rsid w:val="002249CA"/>
    <w:rsid w:val="00224A17"/>
    <w:rsid w:val="00224B1D"/>
    <w:rsid w:val="00224C9E"/>
    <w:rsid w:val="00224CF7"/>
    <w:rsid w:val="00224D52"/>
    <w:rsid w:val="00224D5D"/>
    <w:rsid w:val="00224D86"/>
    <w:rsid w:val="00224DA2"/>
    <w:rsid w:val="00224EFF"/>
    <w:rsid w:val="00224F75"/>
    <w:rsid w:val="00225390"/>
    <w:rsid w:val="00225431"/>
    <w:rsid w:val="002255AE"/>
    <w:rsid w:val="00225612"/>
    <w:rsid w:val="0022561F"/>
    <w:rsid w:val="00225641"/>
    <w:rsid w:val="00225715"/>
    <w:rsid w:val="0022593A"/>
    <w:rsid w:val="00225ABD"/>
    <w:rsid w:val="00225B32"/>
    <w:rsid w:val="00225B61"/>
    <w:rsid w:val="00225C44"/>
    <w:rsid w:val="00225D39"/>
    <w:rsid w:val="00225F93"/>
    <w:rsid w:val="00226023"/>
    <w:rsid w:val="0022606B"/>
    <w:rsid w:val="002261CC"/>
    <w:rsid w:val="002261FE"/>
    <w:rsid w:val="0022626A"/>
    <w:rsid w:val="0022629E"/>
    <w:rsid w:val="0022631B"/>
    <w:rsid w:val="00226365"/>
    <w:rsid w:val="00226530"/>
    <w:rsid w:val="00226569"/>
    <w:rsid w:val="002265EF"/>
    <w:rsid w:val="0022669A"/>
    <w:rsid w:val="002266A7"/>
    <w:rsid w:val="0022681C"/>
    <w:rsid w:val="00226855"/>
    <w:rsid w:val="0022691A"/>
    <w:rsid w:val="00226946"/>
    <w:rsid w:val="00226A38"/>
    <w:rsid w:val="00226B1F"/>
    <w:rsid w:val="00226C70"/>
    <w:rsid w:val="00226D4D"/>
    <w:rsid w:val="00226DED"/>
    <w:rsid w:val="00226DF8"/>
    <w:rsid w:val="00226FBA"/>
    <w:rsid w:val="00226FF2"/>
    <w:rsid w:val="0022701F"/>
    <w:rsid w:val="00227093"/>
    <w:rsid w:val="00227121"/>
    <w:rsid w:val="00227144"/>
    <w:rsid w:val="00227384"/>
    <w:rsid w:val="00227567"/>
    <w:rsid w:val="00227572"/>
    <w:rsid w:val="00227784"/>
    <w:rsid w:val="00227839"/>
    <w:rsid w:val="002278FA"/>
    <w:rsid w:val="002278FE"/>
    <w:rsid w:val="00227A06"/>
    <w:rsid w:val="00227A13"/>
    <w:rsid w:val="00227BBB"/>
    <w:rsid w:val="00227BEB"/>
    <w:rsid w:val="00227C68"/>
    <w:rsid w:val="00227CAC"/>
    <w:rsid w:val="00227DD5"/>
    <w:rsid w:val="00227EC7"/>
    <w:rsid w:val="00227F9B"/>
    <w:rsid w:val="00227FAF"/>
    <w:rsid w:val="0023002F"/>
    <w:rsid w:val="0023029D"/>
    <w:rsid w:val="00230306"/>
    <w:rsid w:val="002303B0"/>
    <w:rsid w:val="002304B9"/>
    <w:rsid w:val="0023050D"/>
    <w:rsid w:val="00230675"/>
    <w:rsid w:val="002307A5"/>
    <w:rsid w:val="00230808"/>
    <w:rsid w:val="002309B1"/>
    <w:rsid w:val="00230B1E"/>
    <w:rsid w:val="00230B6B"/>
    <w:rsid w:val="00230C7F"/>
    <w:rsid w:val="00230E5F"/>
    <w:rsid w:val="00230EC2"/>
    <w:rsid w:val="00230F05"/>
    <w:rsid w:val="00230F3D"/>
    <w:rsid w:val="00230FB3"/>
    <w:rsid w:val="002311A9"/>
    <w:rsid w:val="002311B7"/>
    <w:rsid w:val="002311DF"/>
    <w:rsid w:val="00231207"/>
    <w:rsid w:val="002313A2"/>
    <w:rsid w:val="002313E2"/>
    <w:rsid w:val="0023158A"/>
    <w:rsid w:val="002315F3"/>
    <w:rsid w:val="0023162C"/>
    <w:rsid w:val="00231671"/>
    <w:rsid w:val="002316C6"/>
    <w:rsid w:val="00231835"/>
    <w:rsid w:val="0023188B"/>
    <w:rsid w:val="002318C4"/>
    <w:rsid w:val="002318DF"/>
    <w:rsid w:val="0023195A"/>
    <w:rsid w:val="00231960"/>
    <w:rsid w:val="00231963"/>
    <w:rsid w:val="00231B19"/>
    <w:rsid w:val="00231B96"/>
    <w:rsid w:val="00231BCC"/>
    <w:rsid w:val="00231C90"/>
    <w:rsid w:val="00231C92"/>
    <w:rsid w:val="00231CB6"/>
    <w:rsid w:val="00231D36"/>
    <w:rsid w:val="00231D6F"/>
    <w:rsid w:val="00231ECC"/>
    <w:rsid w:val="00231F48"/>
    <w:rsid w:val="00231F92"/>
    <w:rsid w:val="00232042"/>
    <w:rsid w:val="002322B5"/>
    <w:rsid w:val="002322ED"/>
    <w:rsid w:val="00232371"/>
    <w:rsid w:val="0023239B"/>
    <w:rsid w:val="002324D7"/>
    <w:rsid w:val="002325FF"/>
    <w:rsid w:val="002326BB"/>
    <w:rsid w:val="00232701"/>
    <w:rsid w:val="002327ED"/>
    <w:rsid w:val="002329B6"/>
    <w:rsid w:val="002329C9"/>
    <w:rsid w:val="00232B58"/>
    <w:rsid w:val="00232BE4"/>
    <w:rsid w:val="00232C42"/>
    <w:rsid w:val="00232E84"/>
    <w:rsid w:val="00232F13"/>
    <w:rsid w:val="00232F44"/>
    <w:rsid w:val="00232F64"/>
    <w:rsid w:val="00232F72"/>
    <w:rsid w:val="00232FFB"/>
    <w:rsid w:val="00233042"/>
    <w:rsid w:val="0023309B"/>
    <w:rsid w:val="00233118"/>
    <w:rsid w:val="0023320B"/>
    <w:rsid w:val="0023331E"/>
    <w:rsid w:val="00233493"/>
    <w:rsid w:val="002334EA"/>
    <w:rsid w:val="00233675"/>
    <w:rsid w:val="00233814"/>
    <w:rsid w:val="0023384B"/>
    <w:rsid w:val="002338B1"/>
    <w:rsid w:val="00233912"/>
    <w:rsid w:val="00233924"/>
    <w:rsid w:val="00233A56"/>
    <w:rsid w:val="00233B15"/>
    <w:rsid w:val="00233CB1"/>
    <w:rsid w:val="00233D6D"/>
    <w:rsid w:val="00233FA1"/>
    <w:rsid w:val="00233FDD"/>
    <w:rsid w:val="0023402F"/>
    <w:rsid w:val="002340B4"/>
    <w:rsid w:val="00234311"/>
    <w:rsid w:val="00234383"/>
    <w:rsid w:val="002343EF"/>
    <w:rsid w:val="0023447D"/>
    <w:rsid w:val="002345A0"/>
    <w:rsid w:val="002345DE"/>
    <w:rsid w:val="002347F2"/>
    <w:rsid w:val="002348E0"/>
    <w:rsid w:val="002349C8"/>
    <w:rsid w:val="00234A79"/>
    <w:rsid w:val="00234B29"/>
    <w:rsid w:val="00234BC5"/>
    <w:rsid w:val="00235072"/>
    <w:rsid w:val="0023515C"/>
    <w:rsid w:val="00235219"/>
    <w:rsid w:val="002353AC"/>
    <w:rsid w:val="00235413"/>
    <w:rsid w:val="0023542A"/>
    <w:rsid w:val="00235604"/>
    <w:rsid w:val="0023575E"/>
    <w:rsid w:val="0023578A"/>
    <w:rsid w:val="0023590C"/>
    <w:rsid w:val="00235939"/>
    <w:rsid w:val="002359E2"/>
    <w:rsid w:val="002359F1"/>
    <w:rsid w:val="00235B61"/>
    <w:rsid w:val="00235B9E"/>
    <w:rsid w:val="00235BF7"/>
    <w:rsid w:val="00235C4E"/>
    <w:rsid w:val="00235C55"/>
    <w:rsid w:val="00235D3F"/>
    <w:rsid w:val="00235D8B"/>
    <w:rsid w:val="00235DD7"/>
    <w:rsid w:val="00235E2B"/>
    <w:rsid w:val="00235EC1"/>
    <w:rsid w:val="00235ECE"/>
    <w:rsid w:val="00235F77"/>
    <w:rsid w:val="00235FD6"/>
    <w:rsid w:val="00235FDA"/>
    <w:rsid w:val="002360DB"/>
    <w:rsid w:val="0023654C"/>
    <w:rsid w:val="0023663F"/>
    <w:rsid w:val="0023671B"/>
    <w:rsid w:val="00236846"/>
    <w:rsid w:val="00236975"/>
    <w:rsid w:val="0023698D"/>
    <w:rsid w:val="002369D1"/>
    <w:rsid w:val="00236B11"/>
    <w:rsid w:val="00236B3E"/>
    <w:rsid w:val="00236C1C"/>
    <w:rsid w:val="00236C93"/>
    <w:rsid w:val="00236CE1"/>
    <w:rsid w:val="00236D16"/>
    <w:rsid w:val="00236D84"/>
    <w:rsid w:val="00236DB5"/>
    <w:rsid w:val="00236EAE"/>
    <w:rsid w:val="00236EC6"/>
    <w:rsid w:val="00237194"/>
    <w:rsid w:val="0023721D"/>
    <w:rsid w:val="002372EF"/>
    <w:rsid w:val="00237337"/>
    <w:rsid w:val="002373AC"/>
    <w:rsid w:val="00237405"/>
    <w:rsid w:val="002374BC"/>
    <w:rsid w:val="00237599"/>
    <w:rsid w:val="0023772C"/>
    <w:rsid w:val="002377AB"/>
    <w:rsid w:val="002377E3"/>
    <w:rsid w:val="0023781E"/>
    <w:rsid w:val="0023784E"/>
    <w:rsid w:val="002378D4"/>
    <w:rsid w:val="00237B2F"/>
    <w:rsid w:val="00237C7D"/>
    <w:rsid w:val="00237C8F"/>
    <w:rsid w:val="00237D0E"/>
    <w:rsid w:val="00237E42"/>
    <w:rsid w:val="00237E4D"/>
    <w:rsid w:val="00237E69"/>
    <w:rsid w:val="00237F16"/>
    <w:rsid w:val="00237F9B"/>
    <w:rsid w:val="00240070"/>
    <w:rsid w:val="0024016E"/>
    <w:rsid w:val="00240298"/>
    <w:rsid w:val="002403B3"/>
    <w:rsid w:val="002404CA"/>
    <w:rsid w:val="002404EC"/>
    <w:rsid w:val="0024052F"/>
    <w:rsid w:val="00240742"/>
    <w:rsid w:val="00240795"/>
    <w:rsid w:val="00240854"/>
    <w:rsid w:val="002408D8"/>
    <w:rsid w:val="002408F8"/>
    <w:rsid w:val="00240958"/>
    <w:rsid w:val="00240976"/>
    <w:rsid w:val="002409C6"/>
    <w:rsid w:val="002409E0"/>
    <w:rsid w:val="00240A93"/>
    <w:rsid w:val="00240AD1"/>
    <w:rsid w:val="00240B93"/>
    <w:rsid w:val="00240CA4"/>
    <w:rsid w:val="00240CF5"/>
    <w:rsid w:val="00240CF9"/>
    <w:rsid w:val="00240CFE"/>
    <w:rsid w:val="00240D20"/>
    <w:rsid w:val="00240EA1"/>
    <w:rsid w:val="00240EA2"/>
    <w:rsid w:val="00240F3A"/>
    <w:rsid w:val="00240F5D"/>
    <w:rsid w:val="00240F87"/>
    <w:rsid w:val="0024102E"/>
    <w:rsid w:val="00241269"/>
    <w:rsid w:val="002412A4"/>
    <w:rsid w:val="002412F4"/>
    <w:rsid w:val="0024136A"/>
    <w:rsid w:val="002413AE"/>
    <w:rsid w:val="00241410"/>
    <w:rsid w:val="0024144A"/>
    <w:rsid w:val="002414C2"/>
    <w:rsid w:val="0024153F"/>
    <w:rsid w:val="0024160A"/>
    <w:rsid w:val="0024162F"/>
    <w:rsid w:val="00241668"/>
    <w:rsid w:val="00241875"/>
    <w:rsid w:val="002418F2"/>
    <w:rsid w:val="0024199D"/>
    <w:rsid w:val="002419DB"/>
    <w:rsid w:val="00241A0E"/>
    <w:rsid w:val="00241B29"/>
    <w:rsid w:val="00241BB8"/>
    <w:rsid w:val="00241BFD"/>
    <w:rsid w:val="00241C53"/>
    <w:rsid w:val="00241EDF"/>
    <w:rsid w:val="00241F72"/>
    <w:rsid w:val="00241FB4"/>
    <w:rsid w:val="0024214D"/>
    <w:rsid w:val="002421A3"/>
    <w:rsid w:val="002421E4"/>
    <w:rsid w:val="0024229F"/>
    <w:rsid w:val="002422A0"/>
    <w:rsid w:val="00242523"/>
    <w:rsid w:val="0024262F"/>
    <w:rsid w:val="0024272F"/>
    <w:rsid w:val="0024286E"/>
    <w:rsid w:val="00242871"/>
    <w:rsid w:val="002428A2"/>
    <w:rsid w:val="002428E6"/>
    <w:rsid w:val="002428FC"/>
    <w:rsid w:val="00242905"/>
    <w:rsid w:val="0024293E"/>
    <w:rsid w:val="00242968"/>
    <w:rsid w:val="0024296C"/>
    <w:rsid w:val="00242977"/>
    <w:rsid w:val="00242B81"/>
    <w:rsid w:val="00242BEC"/>
    <w:rsid w:val="00242C78"/>
    <w:rsid w:val="00242CA1"/>
    <w:rsid w:val="00242D28"/>
    <w:rsid w:val="00242E7A"/>
    <w:rsid w:val="00242E83"/>
    <w:rsid w:val="00242ED4"/>
    <w:rsid w:val="00242EF9"/>
    <w:rsid w:val="00242FA3"/>
    <w:rsid w:val="00242FCB"/>
    <w:rsid w:val="00242FFE"/>
    <w:rsid w:val="00243045"/>
    <w:rsid w:val="0024310A"/>
    <w:rsid w:val="00243169"/>
    <w:rsid w:val="00243274"/>
    <w:rsid w:val="00243278"/>
    <w:rsid w:val="0024331D"/>
    <w:rsid w:val="00243429"/>
    <w:rsid w:val="00243551"/>
    <w:rsid w:val="002436A9"/>
    <w:rsid w:val="00243746"/>
    <w:rsid w:val="0024381E"/>
    <w:rsid w:val="00243912"/>
    <w:rsid w:val="00243998"/>
    <w:rsid w:val="00243A93"/>
    <w:rsid w:val="00243C03"/>
    <w:rsid w:val="00243D7B"/>
    <w:rsid w:val="00243EBD"/>
    <w:rsid w:val="00243EF2"/>
    <w:rsid w:val="00243F85"/>
    <w:rsid w:val="00243F8C"/>
    <w:rsid w:val="00243F9B"/>
    <w:rsid w:val="002441A1"/>
    <w:rsid w:val="00244582"/>
    <w:rsid w:val="002445C0"/>
    <w:rsid w:val="002446A6"/>
    <w:rsid w:val="00244765"/>
    <w:rsid w:val="002447F2"/>
    <w:rsid w:val="00244832"/>
    <w:rsid w:val="00244898"/>
    <w:rsid w:val="002448E3"/>
    <w:rsid w:val="00244A57"/>
    <w:rsid w:val="00244BDE"/>
    <w:rsid w:val="00244CA6"/>
    <w:rsid w:val="00244E62"/>
    <w:rsid w:val="00244E78"/>
    <w:rsid w:val="00244EC2"/>
    <w:rsid w:val="00244F49"/>
    <w:rsid w:val="00244F77"/>
    <w:rsid w:val="00245145"/>
    <w:rsid w:val="002451E1"/>
    <w:rsid w:val="00245217"/>
    <w:rsid w:val="002452D4"/>
    <w:rsid w:val="00245348"/>
    <w:rsid w:val="0024560F"/>
    <w:rsid w:val="00245689"/>
    <w:rsid w:val="002456DD"/>
    <w:rsid w:val="0024579D"/>
    <w:rsid w:val="0024594C"/>
    <w:rsid w:val="00245A5B"/>
    <w:rsid w:val="00245CBF"/>
    <w:rsid w:val="00245E39"/>
    <w:rsid w:val="00246070"/>
    <w:rsid w:val="00246123"/>
    <w:rsid w:val="0024613A"/>
    <w:rsid w:val="002462BA"/>
    <w:rsid w:val="002464F2"/>
    <w:rsid w:val="0024652B"/>
    <w:rsid w:val="002465C0"/>
    <w:rsid w:val="002466B0"/>
    <w:rsid w:val="002467B3"/>
    <w:rsid w:val="0024695A"/>
    <w:rsid w:val="0024697F"/>
    <w:rsid w:val="00246A3E"/>
    <w:rsid w:val="00246C14"/>
    <w:rsid w:val="00246D12"/>
    <w:rsid w:val="00246D37"/>
    <w:rsid w:val="00246F42"/>
    <w:rsid w:val="00247061"/>
    <w:rsid w:val="002470BA"/>
    <w:rsid w:val="002472C7"/>
    <w:rsid w:val="00247308"/>
    <w:rsid w:val="0024732C"/>
    <w:rsid w:val="002473EF"/>
    <w:rsid w:val="00247453"/>
    <w:rsid w:val="00247531"/>
    <w:rsid w:val="002476A9"/>
    <w:rsid w:val="002477DC"/>
    <w:rsid w:val="002477DD"/>
    <w:rsid w:val="00247922"/>
    <w:rsid w:val="00247B12"/>
    <w:rsid w:val="00247B49"/>
    <w:rsid w:val="00247BC5"/>
    <w:rsid w:val="00247D18"/>
    <w:rsid w:val="00247DEA"/>
    <w:rsid w:val="00247ECA"/>
    <w:rsid w:val="00247F42"/>
    <w:rsid w:val="00247F7A"/>
    <w:rsid w:val="00250289"/>
    <w:rsid w:val="002502D9"/>
    <w:rsid w:val="0025033C"/>
    <w:rsid w:val="00250481"/>
    <w:rsid w:val="002504A2"/>
    <w:rsid w:val="002504FF"/>
    <w:rsid w:val="002505B0"/>
    <w:rsid w:val="002505DD"/>
    <w:rsid w:val="00250700"/>
    <w:rsid w:val="002507C9"/>
    <w:rsid w:val="00250929"/>
    <w:rsid w:val="00250999"/>
    <w:rsid w:val="00250AA3"/>
    <w:rsid w:val="00250ADC"/>
    <w:rsid w:val="00250B1E"/>
    <w:rsid w:val="00250BE1"/>
    <w:rsid w:val="00250D2C"/>
    <w:rsid w:val="00250DED"/>
    <w:rsid w:val="00250EB7"/>
    <w:rsid w:val="00250F3C"/>
    <w:rsid w:val="00250F57"/>
    <w:rsid w:val="00250F8C"/>
    <w:rsid w:val="002510F3"/>
    <w:rsid w:val="00251135"/>
    <w:rsid w:val="00251232"/>
    <w:rsid w:val="00251392"/>
    <w:rsid w:val="002514F3"/>
    <w:rsid w:val="00251680"/>
    <w:rsid w:val="00251707"/>
    <w:rsid w:val="002517A8"/>
    <w:rsid w:val="002517BB"/>
    <w:rsid w:val="00251889"/>
    <w:rsid w:val="00251904"/>
    <w:rsid w:val="00251919"/>
    <w:rsid w:val="00251930"/>
    <w:rsid w:val="00251953"/>
    <w:rsid w:val="00251994"/>
    <w:rsid w:val="00251AEB"/>
    <w:rsid w:val="00251B1D"/>
    <w:rsid w:val="00251B3B"/>
    <w:rsid w:val="00251B4A"/>
    <w:rsid w:val="00251B73"/>
    <w:rsid w:val="00251C12"/>
    <w:rsid w:val="00251C6C"/>
    <w:rsid w:val="00251D05"/>
    <w:rsid w:val="00251D35"/>
    <w:rsid w:val="00251DB5"/>
    <w:rsid w:val="00251EA9"/>
    <w:rsid w:val="00251F0B"/>
    <w:rsid w:val="00251F2C"/>
    <w:rsid w:val="002520DF"/>
    <w:rsid w:val="00252113"/>
    <w:rsid w:val="0025217E"/>
    <w:rsid w:val="00252185"/>
    <w:rsid w:val="00252395"/>
    <w:rsid w:val="002523C6"/>
    <w:rsid w:val="0025260D"/>
    <w:rsid w:val="00252631"/>
    <w:rsid w:val="0025267A"/>
    <w:rsid w:val="002526B9"/>
    <w:rsid w:val="0025270C"/>
    <w:rsid w:val="0025271F"/>
    <w:rsid w:val="002529BC"/>
    <w:rsid w:val="002529E5"/>
    <w:rsid w:val="00252A25"/>
    <w:rsid w:val="00252C07"/>
    <w:rsid w:val="00252DC8"/>
    <w:rsid w:val="00252E30"/>
    <w:rsid w:val="00252E97"/>
    <w:rsid w:val="00252EF8"/>
    <w:rsid w:val="0025320E"/>
    <w:rsid w:val="00253261"/>
    <w:rsid w:val="002532EE"/>
    <w:rsid w:val="0025362F"/>
    <w:rsid w:val="0025369B"/>
    <w:rsid w:val="002536B8"/>
    <w:rsid w:val="00253736"/>
    <w:rsid w:val="002538BD"/>
    <w:rsid w:val="002538F1"/>
    <w:rsid w:val="00253A69"/>
    <w:rsid w:val="00253B6D"/>
    <w:rsid w:val="00253D1C"/>
    <w:rsid w:val="00253E21"/>
    <w:rsid w:val="00253E9D"/>
    <w:rsid w:val="00253F8E"/>
    <w:rsid w:val="00253FC2"/>
    <w:rsid w:val="00254031"/>
    <w:rsid w:val="00254063"/>
    <w:rsid w:val="002540A7"/>
    <w:rsid w:val="00254109"/>
    <w:rsid w:val="00254116"/>
    <w:rsid w:val="00254173"/>
    <w:rsid w:val="0025432A"/>
    <w:rsid w:val="0025443C"/>
    <w:rsid w:val="002544C1"/>
    <w:rsid w:val="002544D2"/>
    <w:rsid w:val="002545BD"/>
    <w:rsid w:val="00254687"/>
    <w:rsid w:val="00254985"/>
    <w:rsid w:val="00254AE8"/>
    <w:rsid w:val="00254B5F"/>
    <w:rsid w:val="00254B7E"/>
    <w:rsid w:val="00254BC9"/>
    <w:rsid w:val="00254BD1"/>
    <w:rsid w:val="00254BF1"/>
    <w:rsid w:val="00254DED"/>
    <w:rsid w:val="00254E64"/>
    <w:rsid w:val="00254E6C"/>
    <w:rsid w:val="00254EFB"/>
    <w:rsid w:val="00254F1C"/>
    <w:rsid w:val="00254F3D"/>
    <w:rsid w:val="00254FB0"/>
    <w:rsid w:val="00254FFD"/>
    <w:rsid w:val="002550D2"/>
    <w:rsid w:val="00255101"/>
    <w:rsid w:val="00255149"/>
    <w:rsid w:val="0025519A"/>
    <w:rsid w:val="00255329"/>
    <w:rsid w:val="00255440"/>
    <w:rsid w:val="002554FE"/>
    <w:rsid w:val="002555A5"/>
    <w:rsid w:val="0025560F"/>
    <w:rsid w:val="0025577F"/>
    <w:rsid w:val="002557F8"/>
    <w:rsid w:val="0025581E"/>
    <w:rsid w:val="00255853"/>
    <w:rsid w:val="0025588E"/>
    <w:rsid w:val="002558FB"/>
    <w:rsid w:val="002559F6"/>
    <w:rsid w:val="00255BD7"/>
    <w:rsid w:val="00255C18"/>
    <w:rsid w:val="00255F7E"/>
    <w:rsid w:val="00255FD3"/>
    <w:rsid w:val="00256040"/>
    <w:rsid w:val="00256183"/>
    <w:rsid w:val="002561EF"/>
    <w:rsid w:val="0025625E"/>
    <w:rsid w:val="00256363"/>
    <w:rsid w:val="002563C1"/>
    <w:rsid w:val="002563DC"/>
    <w:rsid w:val="00256565"/>
    <w:rsid w:val="0025662A"/>
    <w:rsid w:val="0025687D"/>
    <w:rsid w:val="002568B7"/>
    <w:rsid w:val="00256AD9"/>
    <w:rsid w:val="00256B13"/>
    <w:rsid w:val="00256C3F"/>
    <w:rsid w:val="00256CD9"/>
    <w:rsid w:val="00256CE8"/>
    <w:rsid w:val="00256CFD"/>
    <w:rsid w:val="00256D02"/>
    <w:rsid w:val="00256D4D"/>
    <w:rsid w:val="00256DB0"/>
    <w:rsid w:val="00256EEE"/>
    <w:rsid w:val="00256FE8"/>
    <w:rsid w:val="00256FF7"/>
    <w:rsid w:val="00257018"/>
    <w:rsid w:val="002570A2"/>
    <w:rsid w:val="00257118"/>
    <w:rsid w:val="002571CF"/>
    <w:rsid w:val="0025730C"/>
    <w:rsid w:val="00257478"/>
    <w:rsid w:val="0025750F"/>
    <w:rsid w:val="00257769"/>
    <w:rsid w:val="0025777F"/>
    <w:rsid w:val="002578D5"/>
    <w:rsid w:val="002578EE"/>
    <w:rsid w:val="002579D2"/>
    <w:rsid w:val="00257AB9"/>
    <w:rsid w:val="00257B0B"/>
    <w:rsid w:val="00257B36"/>
    <w:rsid w:val="00257B3A"/>
    <w:rsid w:val="00257C20"/>
    <w:rsid w:val="00257EC7"/>
    <w:rsid w:val="00260023"/>
    <w:rsid w:val="00260103"/>
    <w:rsid w:val="0026024D"/>
    <w:rsid w:val="0026028D"/>
    <w:rsid w:val="002602EF"/>
    <w:rsid w:val="00260513"/>
    <w:rsid w:val="0026051F"/>
    <w:rsid w:val="00260574"/>
    <w:rsid w:val="002605D2"/>
    <w:rsid w:val="002605FE"/>
    <w:rsid w:val="00260649"/>
    <w:rsid w:val="0026069A"/>
    <w:rsid w:val="00260820"/>
    <w:rsid w:val="002608D2"/>
    <w:rsid w:val="00260973"/>
    <w:rsid w:val="00260A22"/>
    <w:rsid w:val="00260A81"/>
    <w:rsid w:val="00260AFC"/>
    <w:rsid w:val="00260B7D"/>
    <w:rsid w:val="00260B99"/>
    <w:rsid w:val="00260CF5"/>
    <w:rsid w:val="00260D02"/>
    <w:rsid w:val="00260F0E"/>
    <w:rsid w:val="00260F8C"/>
    <w:rsid w:val="00260FCB"/>
    <w:rsid w:val="00261178"/>
    <w:rsid w:val="0026119B"/>
    <w:rsid w:val="00261221"/>
    <w:rsid w:val="00261356"/>
    <w:rsid w:val="002613BA"/>
    <w:rsid w:val="002614A1"/>
    <w:rsid w:val="00261522"/>
    <w:rsid w:val="00261555"/>
    <w:rsid w:val="002615EC"/>
    <w:rsid w:val="0026171C"/>
    <w:rsid w:val="00261754"/>
    <w:rsid w:val="00261789"/>
    <w:rsid w:val="002617C2"/>
    <w:rsid w:val="002618AD"/>
    <w:rsid w:val="00261967"/>
    <w:rsid w:val="002619CC"/>
    <w:rsid w:val="00261A6A"/>
    <w:rsid w:val="00261BB8"/>
    <w:rsid w:val="00261C92"/>
    <w:rsid w:val="00261E04"/>
    <w:rsid w:val="00261E54"/>
    <w:rsid w:val="00261EF7"/>
    <w:rsid w:val="00261FC2"/>
    <w:rsid w:val="00262039"/>
    <w:rsid w:val="00262069"/>
    <w:rsid w:val="0026213A"/>
    <w:rsid w:val="002621BB"/>
    <w:rsid w:val="002621F6"/>
    <w:rsid w:val="002622A0"/>
    <w:rsid w:val="0026232D"/>
    <w:rsid w:val="002623B4"/>
    <w:rsid w:val="00262415"/>
    <w:rsid w:val="0026242D"/>
    <w:rsid w:val="00262521"/>
    <w:rsid w:val="00262597"/>
    <w:rsid w:val="002625AC"/>
    <w:rsid w:val="002626BA"/>
    <w:rsid w:val="0026279D"/>
    <w:rsid w:val="0026282C"/>
    <w:rsid w:val="00262836"/>
    <w:rsid w:val="00262937"/>
    <w:rsid w:val="00262A20"/>
    <w:rsid w:val="00262ACD"/>
    <w:rsid w:val="00262B0E"/>
    <w:rsid w:val="00262B78"/>
    <w:rsid w:val="00262BEC"/>
    <w:rsid w:val="00262BFD"/>
    <w:rsid w:val="00262C63"/>
    <w:rsid w:val="00262D3B"/>
    <w:rsid w:val="00262E0F"/>
    <w:rsid w:val="00262E4C"/>
    <w:rsid w:val="00262EAB"/>
    <w:rsid w:val="00262ED9"/>
    <w:rsid w:val="002630DF"/>
    <w:rsid w:val="00263183"/>
    <w:rsid w:val="002631A7"/>
    <w:rsid w:val="0026322A"/>
    <w:rsid w:val="002632D6"/>
    <w:rsid w:val="002632FF"/>
    <w:rsid w:val="0026332A"/>
    <w:rsid w:val="0026345D"/>
    <w:rsid w:val="002634B8"/>
    <w:rsid w:val="00263633"/>
    <w:rsid w:val="0026364D"/>
    <w:rsid w:val="0026366B"/>
    <w:rsid w:val="00263690"/>
    <w:rsid w:val="002636A8"/>
    <w:rsid w:val="002636B7"/>
    <w:rsid w:val="00263733"/>
    <w:rsid w:val="0026374B"/>
    <w:rsid w:val="00263852"/>
    <w:rsid w:val="00263892"/>
    <w:rsid w:val="0026398F"/>
    <w:rsid w:val="00263A64"/>
    <w:rsid w:val="00263CDE"/>
    <w:rsid w:val="00263D04"/>
    <w:rsid w:val="00263D0F"/>
    <w:rsid w:val="00263D3C"/>
    <w:rsid w:val="00263D63"/>
    <w:rsid w:val="00263E8A"/>
    <w:rsid w:val="00263E92"/>
    <w:rsid w:val="00263E94"/>
    <w:rsid w:val="00263EDA"/>
    <w:rsid w:val="00263FCF"/>
    <w:rsid w:val="00263FD2"/>
    <w:rsid w:val="00264037"/>
    <w:rsid w:val="00264065"/>
    <w:rsid w:val="00264176"/>
    <w:rsid w:val="00264181"/>
    <w:rsid w:val="002641A4"/>
    <w:rsid w:val="00264297"/>
    <w:rsid w:val="002642B4"/>
    <w:rsid w:val="002642DB"/>
    <w:rsid w:val="002642E7"/>
    <w:rsid w:val="0026441E"/>
    <w:rsid w:val="0026453E"/>
    <w:rsid w:val="00264569"/>
    <w:rsid w:val="002646C3"/>
    <w:rsid w:val="002646C6"/>
    <w:rsid w:val="002646D8"/>
    <w:rsid w:val="00264729"/>
    <w:rsid w:val="00264933"/>
    <w:rsid w:val="00264963"/>
    <w:rsid w:val="00264AAD"/>
    <w:rsid w:val="00264B79"/>
    <w:rsid w:val="00264B9B"/>
    <w:rsid w:val="00264CE7"/>
    <w:rsid w:val="00264D29"/>
    <w:rsid w:val="00264D4F"/>
    <w:rsid w:val="00264D63"/>
    <w:rsid w:val="00264DFC"/>
    <w:rsid w:val="00264E65"/>
    <w:rsid w:val="00264EA8"/>
    <w:rsid w:val="00264EDB"/>
    <w:rsid w:val="00264EE8"/>
    <w:rsid w:val="00264F20"/>
    <w:rsid w:val="00264F55"/>
    <w:rsid w:val="00264F65"/>
    <w:rsid w:val="00264FFF"/>
    <w:rsid w:val="00265074"/>
    <w:rsid w:val="0026509D"/>
    <w:rsid w:val="00265171"/>
    <w:rsid w:val="002651AB"/>
    <w:rsid w:val="00265207"/>
    <w:rsid w:val="00265294"/>
    <w:rsid w:val="002652B1"/>
    <w:rsid w:val="00265323"/>
    <w:rsid w:val="0026532D"/>
    <w:rsid w:val="00265406"/>
    <w:rsid w:val="00265461"/>
    <w:rsid w:val="002654CD"/>
    <w:rsid w:val="002654FF"/>
    <w:rsid w:val="00265546"/>
    <w:rsid w:val="00265575"/>
    <w:rsid w:val="00265632"/>
    <w:rsid w:val="002657E7"/>
    <w:rsid w:val="0026588B"/>
    <w:rsid w:val="00265950"/>
    <w:rsid w:val="002659B9"/>
    <w:rsid w:val="00265A22"/>
    <w:rsid w:val="00265A31"/>
    <w:rsid w:val="00265A37"/>
    <w:rsid w:val="00265AD8"/>
    <w:rsid w:val="00265B12"/>
    <w:rsid w:val="00265B5F"/>
    <w:rsid w:val="00265C5E"/>
    <w:rsid w:val="00265C6A"/>
    <w:rsid w:val="00265D2C"/>
    <w:rsid w:val="00265D41"/>
    <w:rsid w:val="00265D74"/>
    <w:rsid w:val="00265E05"/>
    <w:rsid w:val="00265E1A"/>
    <w:rsid w:val="00265F88"/>
    <w:rsid w:val="00266036"/>
    <w:rsid w:val="0026606E"/>
    <w:rsid w:val="002661E4"/>
    <w:rsid w:val="002662F1"/>
    <w:rsid w:val="0026631E"/>
    <w:rsid w:val="00266428"/>
    <w:rsid w:val="0026656B"/>
    <w:rsid w:val="0026657D"/>
    <w:rsid w:val="002665B7"/>
    <w:rsid w:val="002665C4"/>
    <w:rsid w:val="00266600"/>
    <w:rsid w:val="00266700"/>
    <w:rsid w:val="002667C0"/>
    <w:rsid w:val="00266840"/>
    <w:rsid w:val="002668DC"/>
    <w:rsid w:val="002668E1"/>
    <w:rsid w:val="002668E6"/>
    <w:rsid w:val="0026695F"/>
    <w:rsid w:val="002669C7"/>
    <w:rsid w:val="002669F0"/>
    <w:rsid w:val="00266B0B"/>
    <w:rsid w:val="00266B17"/>
    <w:rsid w:val="00266C0D"/>
    <w:rsid w:val="00266C5C"/>
    <w:rsid w:val="00266C5E"/>
    <w:rsid w:val="00266D98"/>
    <w:rsid w:val="00266E0D"/>
    <w:rsid w:val="00266E77"/>
    <w:rsid w:val="00266F46"/>
    <w:rsid w:val="00266F8C"/>
    <w:rsid w:val="00266FE7"/>
    <w:rsid w:val="00267101"/>
    <w:rsid w:val="00267204"/>
    <w:rsid w:val="0026726E"/>
    <w:rsid w:val="002673BB"/>
    <w:rsid w:val="00267494"/>
    <w:rsid w:val="0026758E"/>
    <w:rsid w:val="00267648"/>
    <w:rsid w:val="0026764B"/>
    <w:rsid w:val="00267718"/>
    <w:rsid w:val="00267784"/>
    <w:rsid w:val="002677B1"/>
    <w:rsid w:val="0026793B"/>
    <w:rsid w:val="00267AC1"/>
    <w:rsid w:val="00267B16"/>
    <w:rsid w:val="00267BA8"/>
    <w:rsid w:val="00267BF2"/>
    <w:rsid w:val="00267BF6"/>
    <w:rsid w:val="00267D75"/>
    <w:rsid w:val="00267D7A"/>
    <w:rsid w:val="00267DFA"/>
    <w:rsid w:val="00267E5D"/>
    <w:rsid w:val="00267F11"/>
    <w:rsid w:val="00267F54"/>
    <w:rsid w:val="002700AA"/>
    <w:rsid w:val="002700CE"/>
    <w:rsid w:val="002702F7"/>
    <w:rsid w:val="00270413"/>
    <w:rsid w:val="00270431"/>
    <w:rsid w:val="00270478"/>
    <w:rsid w:val="002704B5"/>
    <w:rsid w:val="00270567"/>
    <w:rsid w:val="00270638"/>
    <w:rsid w:val="0027069C"/>
    <w:rsid w:val="002706BC"/>
    <w:rsid w:val="002706D9"/>
    <w:rsid w:val="0027084C"/>
    <w:rsid w:val="00270954"/>
    <w:rsid w:val="002709B4"/>
    <w:rsid w:val="00270AB6"/>
    <w:rsid w:val="00270B51"/>
    <w:rsid w:val="00270C84"/>
    <w:rsid w:val="00270CA7"/>
    <w:rsid w:val="00270D35"/>
    <w:rsid w:val="00270DA4"/>
    <w:rsid w:val="00270E77"/>
    <w:rsid w:val="00270FE1"/>
    <w:rsid w:val="0027105D"/>
    <w:rsid w:val="0027107C"/>
    <w:rsid w:val="0027116D"/>
    <w:rsid w:val="0027118D"/>
    <w:rsid w:val="0027128A"/>
    <w:rsid w:val="00271327"/>
    <w:rsid w:val="00271530"/>
    <w:rsid w:val="0027163A"/>
    <w:rsid w:val="00271720"/>
    <w:rsid w:val="00271811"/>
    <w:rsid w:val="002718AF"/>
    <w:rsid w:val="00271945"/>
    <w:rsid w:val="0027194E"/>
    <w:rsid w:val="00271968"/>
    <w:rsid w:val="00271A25"/>
    <w:rsid w:val="00271B05"/>
    <w:rsid w:val="00271B65"/>
    <w:rsid w:val="00271BE6"/>
    <w:rsid w:val="00271C8F"/>
    <w:rsid w:val="00271CF2"/>
    <w:rsid w:val="00271D27"/>
    <w:rsid w:val="00271EB0"/>
    <w:rsid w:val="00271FB5"/>
    <w:rsid w:val="00272191"/>
    <w:rsid w:val="00272239"/>
    <w:rsid w:val="0027228F"/>
    <w:rsid w:val="002722FF"/>
    <w:rsid w:val="00272336"/>
    <w:rsid w:val="00272503"/>
    <w:rsid w:val="002725F6"/>
    <w:rsid w:val="00272704"/>
    <w:rsid w:val="0027295A"/>
    <w:rsid w:val="002729C5"/>
    <w:rsid w:val="00272AEA"/>
    <w:rsid w:val="00272B15"/>
    <w:rsid w:val="00272B3E"/>
    <w:rsid w:val="00272B70"/>
    <w:rsid w:val="00272C01"/>
    <w:rsid w:val="00272CAA"/>
    <w:rsid w:val="00272CF4"/>
    <w:rsid w:val="00272D2F"/>
    <w:rsid w:val="00272D43"/>
    <w:rsid w:val="00272D56"/>
    <w:rsid w:val="00272E26"/>
    <w:rsid w:val="00272FF5"/>
    <w:rsid w:val="00273001"/>
    <w:rsid w:val="0027301D"/>
    <w:rsid w:val="0027326D"/>
    <w:rsid w:val="0027328B"/>
    <w:rsid w:val="002732F5"/>
    <w:rsid w:val="002733FD"/>
    <w:rsid w:val="00273454"/>
    <w:rsid w:val="0027358E"/>
    <w:rsid w:val="0027362B"/>
    <w:rsid w:val="0027386F"/>
    <w:rsid w:val="0027389B"/>
    <w:rsid w:val="00273949"/>
    <w:rsid w:val="002739E9"/>
    <w:rsid w:val="00273A7B"/>
    <w:rsid w:val="00273AFF"/>
    <w:rsid w:val="00273C65"/>
    <w:rsid w:val="00273C72"/>
    <w:rsid w:val="00273CC9"/>
    <w:rsid w:val="00273CCF"/>
    <w:rsid w:val="00273D4D"/>
    <w:rsid w:val="00273DAE"/>
    <w:rsid w:val="00273E75"/>
    <w:rsid w:val="00273EE4"/>
    <w:rsid w:val="00273F2F"/>
    <w:rsid w:val="00273F6C"/>
    <w:rsid w:val="00274156"/>
    <w:rsid w:val="00274449"/>
    <w:rsid w:val="002744B0"/>
    <w:rsid w:val="002744FA"/>
    <w:rsid w:val="002745A2"/>
    <w:rsid w:val="0027478F"/>
    <w:rsid w:val="002747A3"/>
    <w:rsid w:val="00274865"/>
    <w:rsid w:val="00274900"/>
    <w:rsid w:val="002749A0"/>
    <w:rsid w:val="00274C03"/>
    <w:rsid w:val="00274D13"/>
    <w:rsid w:val="00275155"/>
    <w:rsid w:val="002751CE"/>
    <w:rsid w:val="00275208"/>
    <w:rsid w:val="002752B7"/>
    <w:rsid w:val="002752FC"/>
    <w:rsid w:val="00275349"/>
    <w:rsid w:val="00275540"/>
    <w:rsid w:val="00275966"/>
    <w:rsid w:val="00275A35"/>
    <w:rsid w:val="00275A99"/>
    <w:rsid w:val="00275ACE"/>
    <w:rsid w:val="00275B31"/>
    <w:rsid w:val="00275C87"/>
    <w:rsid w:val="00275CB6"/>
    <w:rsid w:val="00275E37"/>
    <w:rsid w:val="00275E73"/>
    <w:rsid w:val="00275E76"/>
    <w:rsid w:val="00275E92"/>
    <w:rsid w:val="00275F13"/>
    <w:rsid w:val="00275F84"/>
    <w:rsid w:val="00276073"/>
    <w:rsid w:val="002761D8"/>
    <w:rsid w:val="002762A8"/>
    <w:rsid w:val="00276405"/>
    <w:rsid w:val="00276645"/>
    <w:rsid w:val="00276891"/>
    <w:rsid w:val="0027696F"/>
    <w:rsid w:val="00276988"/>
    <w:rsid w:val="002769E1"/>
    <w:rsid w:val="00276A48"/>
    <w:rsid w:val="00276A99"/>
    <w:rsid w:val="00276BF4"/>
    <w:rsid w:val="00276C1E"/>
    <w:rsid w:val="00276D0B"/>
    <w:rsid w:val="00276DB1"/>
    <w:rsid w:val="00276DEF"/>
    <w:rsid w:val="00276DFB"/>
    <w:rsid w:val="00276EBE"/>
    <w:rsid w:val="00276F0B"/>
    <w:rsid w:val="00276F11"/>
    <w:rsid w:val="00277105"/>
    <w:rsid w:val="00277178"/>
    <w:rsid w:val="002772AD"/>
    <w:rsid w:val="00277392"/>
    <w:rsid w:val="00277457"/>
    <w:rsid w:val="002774AF"/>
    <w:rsid w:val="002774B6"/>
    <w:rsid w:val="002774EE"/>
    <w:rsid w:val="002776A6"/>
    <w:rsid w:val="0027776D"/>
    <w:rsid w:val="0027789B"/>
    <w:rsid w:val="002778B7"/>
    <w:rsid w:val="00277951"/>
    <w:rsid w:val="002779C9"/>
    <w:rsid w:val="00277B41"/>
    <w:rsid w:val="00277D4A"/>
    <w:rsid w:val="00277D94"/>
    <w:rsid w:val="00277DB0"/>
    <w:rsid w:val="00277DEB"/>
    <w:rsid w:val="00277E2E"/>
    <w:rsid w:val="00277EB3"/>
    <w:rsid w:val="00277ED2"/>
    <w:rsid w:val="00277EDA"/>
    <w:rsid w:val="0028019C"/>
    <w:rsid w:val="00280263"/>
    <w:rsid w:val="0028055F"/>
    <w:rsid w:val="0028058B"/>
    <w:rsid w:val="002805F9"/>
    <w:rsid w:val="0028060E"/>
    <w:rsid w:val="002806EA"/>
    <w:rsid w:val="0028072D"/>
    <w:rsid w:val="00280760"/>
    <w:rsid w:val="00280AF4"/>
    <w:rsid w:val="00280B8C"/>
    <w:rsid w:val="00280BA4"/>
    <w:rsid w:val="00280D2C"/>
    <w:rsid w:val="00280D59"/>
    <w:rsid w:val="00280F53"/>
    <w:rsid w:val="00280F92"/>
    <w:rsid w:val="00281068"/>
    <w:rsid w:val="002810CA"/>
    <w:rsid w:val="0028133E"/>
    <w:rsid w:val="00281352"/>
    <w:rsid w:val="002817BC"/>
    <w:rsid w:val="00281935"/>
    <w:rsid w:val="00281965"/>
    <w:rsid w:val="00281A9E"/>
    <w:rsid w:val="00281CE0"/>
    <w:rsid w:val="00281DEE"/>
    <w:rsid w:val="00281E39"/>
    <w:rsid w:val="00281ECE"/>
    <w:rsid w:val="00281FCF"/>
    <w:rsid w:val="002820BF"/>
    <w:rsid w:val="002821F8"/>
    <w:rsid w:val="00282259"/>
    <w:rsid w:val="00282352"/>
    <w:rsid w:val="00282580"/>
    <w:rsid w:val="002825D4"/>
    <w:rsid w:val="0028264A"/>
    <w:rsid w:val="00282669"/>
    <w:rsid w:val="002826A4"/>
    <w:rsid w:val="002826C0"/>
    <w:rsid w:val="0028276A"/>
    <w:rsid w:val="00282846"/>
    <w:rsid w:val="002828F1"/>
    <w:rsid w:val="00282956"/>
    <w:rsid w:val="00282974"/>
    <w:rsid w:val="00282976"/>
    <w:rsid w:val="00282A03"/>
    <w:rsid w:val="00282A20"/>
    <w:rsid w:val="00282B21"/>
    <w:rsid w:val="00282B40"/>
    <w:rsid w:val="00282C63"/>
    <w:rsid w:val="00282CA9"/>
    <w:rsid w:val="00282E9F"/>
    <w:rsid w:val="00282FCC"/>
    <w:rsid w:val="00283052"/>
    <w:rsid w:val="0028312D"/>
    <w:rsid w:val="00283208"/>
    <w:rsid w:val="002832D5"/>
    <w:rsid w:val="002834A4"/>
    <w:rsid w:val="002834CF"/>
    <w:rsid w:val="002834FD"/>
    <w:rsid w:val="00283618"/>
    <w:rsid w:val="00283794"/>
    <w:rsid w:val="002837AB"/>
    <w:rsid w:val="00283889"/>
    <w:rsid w:val="0028388C"/>
    <w:rsid w:val="002838CB"/>
    <w:rsid w:val="00283950"/>
    <w:rsid w:val="0028399D"/>
    <w:rsid w:val="00283A89"/>
    <w:rsid w:val="00283B6B"/>
    <w:rsid w:val="00283BDC"/>
    <w:rsid w:val="00283C46"/>
    <w:rsid w:val="00283D23"/>
    <w:rsid w:val="00283D7C"/>
    <w:rsid w:val="00283DA5"/>
    <w:rsid w:val="00283E98"/>
    <w:rsid w:val="00283F6C"/>
    <w:rsid w:val="00283F8D"/>
    <w:rsid w:val="0028404F"/>
    <w:rsid w:val="00284094"/>
    <w:rsid w:val="00284244"/>
    <w:rsid w:val="00284313"/>
    <w:rsid w:val="00284360"/>
    <w:rsid w:val="00284405"/>
    <w:rsid w:val="0028448B"/>
    <w:rsid w:val="00284748"/>
    <w:rsid w:val="0028477D"/>
    <w:rsid w:val="00284792"/>
    <w:rsid w:val="002847AA"/>
    <w:rsid w:val="002848DC"/>
    <w:rsid w:val="002849DA"/>
    <w:rsid w:val="00284A71"/>
    <w:rsid w:val="00284B55"/>
    <w:rsid w:val="00284B79"/>
    <w:rsid w:val="00284B95"/>
    <w:rsid w:val="00284C92"/>
    <w:rsid w:val="00284E86"/>
    <w:rsid w:val="00284FA7"/>
    <w:rsid w:val="002852C6"/>
    <w:rsid w:val="002853FA"/>
    <w:rsid w:val="00285498"/>
    <w:rsid w:val="0028551A"/>
    <w:rsid w:val="00285586"/>
    <w:rsid w:val="002855F7"/>
    <w:rsid w:val="00285749"/>
    <w:rsid w:val="002857B5"/>
    <w:rsid w:val="002857BA"/>
    <w:rsid w:val="00285944"/>
    <w:rsid w:val="00285982"/>
    <w:rsid w:val="002859A0"/>
    <w:rsid w:val="00285A64"/>
    <w:rsid w:val="00285B39"/>
    <w:rsid w:val="00285BA4"/>
    <w:rsid w:val="00285BD0"/>
    <w:rsid w:val="00285C8E"/>
    <w:rsid w:val="00285CCD"/>
    <w:rsid w:val="00285CE9"/>
    <w:rsid w:val="00285E7F"/>
    <w:rsid w:val="00285EEF"/>
    <w:rsid w:val="00285F2C"/>
    <w:rsid w:val="00285F37"/>
    <w:rsid w:val="002860A7"/>
    <w:rsid w:val="002862FF"/>
    <w:rsid w:val="002863B4"/>
    <w:rsid w:val="002863E8"/>
    <w:rsid w:val="0028648A"/>
    <w:rsid w:val="002864AA"/>
    <w:rsid w:val="00286519"/>
    <w:rsid w:val="00286661"/>
    <w:rsid w:val="00286711"/>
    <w:rsid w:val="0028673E"/>
    <w:rsid w:val="00286782"/>
    <w:rsid w:val="002867D4"/>
    <w:rsid w:val="0028685C"/>
    <w:rsid w:val="002868E1"/>
    <w:rsid w:val="00286920"/>
    <w:rsid w:val="0028695E"/>
    <w:rsid w:val="002869CC"/>
    <w:rsid w:val="002869DA"/>
    <w:rsid w:val="00286C3C"/>
    <w:rsid w:val="00286D6D"/>
    <w:rsid w:val="00286F0E"/>
    <w:rsid w:val="00287016"/>
    <w:rsid w:val="00287076"/>
    <w:rsid w:val="002870B0"/>
    <w:rsid w:val="00287136"/>
    <w:rsid w:val="00287141"/>
    <w:rsid w:val="00287178"/>
    <w:rsid w:val="00287263"/>
    <w:rsid w:val="002872A0"/>
    <w:rsid w:val="0028734D"/>
    <w:rsid w:val="002874CD"/>
    <w:rsid w:val="00287552"/>
    <w:rsid w:val="0028755B"/>
    <w:rsid w:val="002875C0"/>
    <w:rsid w:val="00287651"/>
    <w:rsid w:val="00287663"/>
    <w:rsid w:val="0028768E"/>
    <w:rsid w:val="0028773A"/>
    <w:rsid w:val="0028778E"/>
    <w:rsid w:val="0028782E"/>
    <w:rsid w:val="0028785F"/>
    <w:rsid w:val="00287A02"/>
    <w:rsid w:val="00287C43"/>
    <w:rsid w:val="00287D63"/>
    <w:rsid w:val="00287E1E"/>
    <w:rsid w:val="00287E46"/>
    <w:rsid w:val="00287F09"/>
    <w:rsid w:val="0029006B"/>
    <w:rsid w:val="00290074"/>
    <w:rsid w:val="00290430"/>
    <w:rsid w:val="002904A4"/>
    <w:rsid w:val="002904BA"/>
    <w:rsid w:val="0029056D"/>
    <w:rsid w:val="00290851"/>
    <w:rsid w:val="002908C1"/>
    <w:rsid w:val="00290A1D"/>
    <w:rsid w:val="00290A2B"/>
    <w:rsid w:val="00290BEF"/>
    <w:rsid w:val="00290C19"/>
    <w:rsid w:val="00290C77"/>
    <w:rsid w:val="00290C80"/>
    <w:rsid w:val="00290CAE"/>
    <w:rsid w:val="00290D0F"/>
    <w:rsid w:val="00290E79"/>
    <w:rsid w:val="00290F0A"/>
    <w:rsid w:val="00290F1B"/>
    <w:rsid w:val="00290F9D"/>
    <w:rsid w:val="0029107B"/>
    <w:rsid w:val="00291121"/>
    <w:rsid w:val="0029116C"/>
    <w:rsid w:val="00291171"/>
    <w:rsid w:val="002911CC"/>
    <w:rsid w:val="00291243"/>
    <w:rsid w:val="0029131C"/>
    <w:rsid w:val="002913A6"/>
    <w:rsid w:val="00291411"/>
    <w:rsid w:val="002914BC"/>
    <w:rsid w:val="002917AA"/>
    <w:rsid w:val="0029191A"/>
    <w:rsid w:val="00291A9E"/>
    <w:rsid w:val="00291B13"/>
    <w:rsid w:val="00291D23"/>
    <w:rsid w:val="00291D24"/>
    <w:rsid w:val="00291D49"/>
    <w:rsid w:val="00291D5F"/>
    <w:rsid w:val="00291EA6"/>
    <w:rsid w:val="00291EFE"/>
    <w:rsid w:val="00291F00"/>
    <w:rsid w:val="00291F2E"/>
    <w:rsid w:val="00291F39"/>
    <w:rsid w:val="00291F3B"/>
    <w:rsid w:val="00291F40"/>
    <w:rsid w:val="00292081"/>
    <w:rsid w:val="0029210E"/>
    <w:rsid w:val="002922E8"/>
    <w:rsid w:val="00292392"/>
    <w:rsid w:val="0029240A"/>
    <w:rsid w:val="0029241E"/>
    <w:rsid w:val="002924F8"/>
    <w:rsid w:val="002926A8"/>
    <w:rsid w:val="00292724"/>
    <w:rsid w:val="00292851"/>
    <w:rsid w:val="002928D2"/>
    <w:rsid w:val="00292AE9"/>
    <w:rsid w:val="00292BFA"/>
    <w:rsid w:val="00292C2E"/>
    <w:rsid w:val="00292CAF"/>
    <w:rsid w:val="00292EA9"/>
    <w:rsid w:val="00293059"/>
    <w:rsid w:val="002930DD"/>
    <w:rsid w:val="0029312E"/>
    <w:rsid w:val="002931A9"/>
    <w:rsid w:val="0029324F"/>
    <w:rsid w:val="002932A2"/>
    <w:rsid w:val="0029333D"/>
    <w:rsid w:val="002933D6"/>
    <w:rsid w:val="002933DA"/>
    <w:rsid w:val="0029349C"/>
    <w:rsid w:val="0029354D"/>
    <w:rsid w:val="0029355E"/>
    <w:rsid w:val="00293690"/>
    <w:rsid w:val="002937BA"/>
    <w:rsid w:val="00293852"/>
    <w:rsid w:val="00293961"/>
    <w:rsid w:val="00293AA3"/>
    <w:rsid w:val="00293B9E"/>
    <w:rsid w:val="00293D0C"/>
    <w:rsid w:val="00293D45"/>
    <w:rsid w:val="00293D48"/>
    <w:rsid w:val="00293D4E"/>
    <w:rsid w:val="00293DE1"/>
    <w:rsid w:val="00293DED"/>
    <w:rsid w:val="00293DF1"/>
    <w:rsid w:val="00294066"/>
    <w:rsid w:val="002941AF"/>
    <w:rsid w:val="002941FF"/>
    <w:rsid w:val="0029421D"/>
    <w:rsid w:val="0029422E"/>
    <w:rsid w:val="002942A0"/>
    <w:rsid w:val="0029435F"/>
    <w:rsid w:val="002943EF"/>
    <w:rsid w:val="0029441B"/>
    <w:rsid w:val="002944A3"/>
    <w:rsid w:val="002944D2"/>
    <w:rsid w:val="002947CA"/>
    <w:rsid w:val="002947F7"/>
    <w:rsid w:val="00294881"/>
    <w:rsid w:val="00294974"/>
    <w:rsid w:val="00294A25"/>
    <w:rsid w:val="00294A2D"/>
    <w:rsid w:val="00294B00"/>
    <w:rsid w:val="00294BB3"/>
    <w:rsid w:val="00294C47"/>
    <w:rsid w:val="00294CDB"/>
    <w:rsid w:val="00294CDC"/>
    <w:rsid w:val="00294E21"/>
    <w:rsid w:val="00294F50"/>
    <w:rsid w:val="0029518A"/>
    <w:rsid w:val="0029523E"/>
    <w:rsid w:val="00295285"/>
    <w:rsid w:val="00295347"/>
    <w:rsid w:val="00295363"/>
    <w:rsid w:val="00295447"/>
    <w:rsid w:val="002954AA"/>
    <w:rsid w:val="0029556E"/>
    <w:rsid w:val="002955D7"/>
    <w:rsid w:val="00295841"/>
    <w:rsid w:val="0029585F"/>
    <w:rsid w:val="002958D6"/>
    <w:rsid w:val="002958EC"/>
    <w:rsid w:val="00295904"/>
    <w:rsid w:val="00295937"/>
    <w:rsid w:val="002959FE"/>
    <w:rsid w:val="00295A15"/>
    <w:rsid w:val="00295A76"/>
    <w:rsid w:val="00295DBA"/>
    <w:rsid w:val="00295E29"/>
    <w:rsid w:val="00296051"/>
    <w:rsid w:val="002960F4"/>
    <w:rsid w:val="00296126"/>
    <w:rsid w:val="002961FE"/>
    <w:rsid w:val="002962C4"/>
    <w:rsid w:val="00296339"/>
    <w:rsid w:val="002963AB"/>
    <w:rsid w:val="00296416"/>
    <w:rsid w:val="0029645B"/>
    <w:rsid w:val="00296596"/>
    <w:rsid w:val="00296654"/>
    <w:rsid w:val="002966A6"/>
    <w:rsid w:val="002966C3"/>
    <w:rsid w:val="00296704"/>
    <w:rsid w:val="00296720"/>
    <w:rsid w:val="00296746"/>
    <w:rsid w:val="00296752"/>
    <w:rsid w:val="0029678C"/>
    <w:rsid w:val="002968FC"/>
    <w:rsid w:val="00296970"/>
    <w:rsid w:val="002969EC"/>
    <w:rsid w:val="00296B3B"/>
    <w:rsid w:val="00296B78"/>
    <w:rsid w:val="00296C66"/>
    <w:rsid w:val="00296CB0"/>
    <w:rsid w:val="00296D55"/>
    <w:rsid w:val="00296DD2"/>
    <w:rsid w:val="00296E0F"/>
    <w:rsid w:val="00296F45"/>
    <w:rsid w:val="00296F6E"/>
    <w:rsid w:val="00297081"/>
    <w:rsid w:val="002970C2"/>
    <w:rsid w:val="002970D7"/>
    <w:rsid w:val="002971AE"/>
    <w:rsid w:val="002972BB"/>
    <w:rsid w:val="002972DF"/>
    <w:rsid w:val="00297302"/>
    <w:rsid w:val="0029733A"/>
    <w:rsid w:val="0029736F"/>
    <w:rsid w:val="002973F5"/>
    <w:rsid w:val="0029750E"/>
    <w:rsid w:val="0029759E"/>
    <w:rsid w:val="002975F2"/>
    <w:rsid w:val="0029761F"/>
    <w:rsid w:val="002976C9"/>
    <w:rsid w:val="002978B7"/>
    <w:rsid w:val="0029791B"/>
    <w:rsid w:val="0029795C"/>
    <w:rsid w:val="002979A6"/>
    <w:rsid w:val="002979C0"/>
    <w:rsid w:val="00297A0E"/>
    <w:rsid w:val="00297A5A"/>
    <w:rsid w:val="00297A69"/>
    <w:rsid w:val="00297E4F"/>
    <w:rsid w:val="00297EA1"/>
    <w:rsid w:val="00297EC0"/>
    <w:rsid w:val="00297F39"/>
    <w:rsid w:val="00297FDF"/>
    <w:rsid w:val="002A00CD"/>
    <w:rsid w:val="002A010E"/>
    <w:rsid w:val="002A01E2"/>
    <w:rsid w:val="002A0443"/>
    <w:rsid w:val="002A0536"/>
    <w:rsid w:val="002A0617"/>
    <w:rsid w:val="002A0637"/>
    <w:rsid w:val="002A075C"/>
    <w:rsid w:val="002A077F"/>
    <w:rsid w:val="002A078D"/>
    <w:rsid w:val="002A0872"/>
    <w:rsid w:val="002A0A17"/>
    <w:rsid w:val="002A0A68"/>
    <w:rsid w:val="002A0AF9"/>
    <w:rsid w:val="002A0B75"/>
    <w:rsid w:val="002A0BE3"/>
    <w:rsid w:val="002A0C50"/>
    <w:rsid w:val="002A0D32"/>
    <w:rsid w:val="002A0D83"/>
    <w:rsid w:val="002A0DDF"/>
    <w:rsid w:val="002A0E6D"/>
    <w:rsid w:val="002A0EE5"/>
    <w:rsid w:val="002A0EEA"/>
    <w:rsid w:val="002A0FA4"/>
    <w:rsid w:val="002A0FA8"/>
    <w:rsid w:val="002A10A4"/>
    <w:rsid w:val="002A10E1"/>
    <w:rsid w:val="002A112C"/>
    <w:rsid w:val="002A1137"/>
    <w:rsid w:val="002A1146"/>
    <w:rsid w:val="002A1428"/>
    <w:rsid w:val="002A1459"/>
    <w:rsid w:val="002A1494"/>
    <w:rsid w:val="002A14C3"/>
    <w:rsid w:val="002A14D2"/>
    <w:rsid w:val="002A1506"/>
    <w:rsid w:val="002A1540"/>
    <w:rsid w:val="002A15D0"/>
    <w:rsid w:val="002A1885"/>
    <w:rsid w:val="002A18DB"/>
    <w:rsid w:val="002A1A82"/>
    <w:rsid w:val="002A1A9F"/>
    <w:rsid w:val="002A1BCF"/>
    <w:rsid w:val="002A1DD0"/>
    <w:rsid w:val="002A1E6B"/>
    <w:rsid w:val="002A1EE7"/>
    <w:rsid w:val="002A2071"/>
    <w:rsid w:val="002A21BC"/>
    <w:rsid w:val="002A21CC"/>
    <w:rsid w:val="002A220A"/>
    <w:rsid w:val="002A225F"/>
    <w:rsid w:val="002A229C"/>
    <w:rsid w:val="002A230B"/>
    <w:rsid w:val="002A2320"/>
    <w:rsid w:val="002A2384"/>
    <w:rsid w:val="002A2399"/>
    <w:rsid w:val="002A251E"/>
    <w:rsid w:val="002A25F9"/>
    <w:rsid w:val="002A276A"/>
    <w:rsid w:val="002A27EF"/>
    <w:rsid w:val="002A281C"/>
    <w:rsid w:val="002A2824"/>
    <w:rsid w:val="002A2927"/>
    <w:rsid w:val="002A2AAA"/>
    <w:rsid w:val="002A2BE1"/>
    <w:rsid w:val="002A2C07"/>
    <w:rsid w:val="002A2C2B"/>
    <w:rsid w:val="002A2C3D"/>
    <w:rsid w:val="002A2C6D"/>
    <w:rsid w:val="002A2E08"/>
    <w:rsid w:val="002A2E3D"/>
    <w:rsid w:val="002A2F6B"/>
    <w:rsid w:val="002A3081"/>
    <w:rsid w:val="002A30D3"/>
    <w:rsid w:val="002A3144"/>
    <w:rsid w:val="002A3177"/>
    <w:rsid w:val="002A3179"/>
    <w:rsid w:val="002A3334"/>
    <w:rsid w:val="002A3466"/>
    <w:rsid w:val="002A3496"/>
    <w:rsid w:val="002A34F7"/>
    <w:rsid w:val="002A360A"/>
    <w:rsid w:val="002A36DD"/>
    <w:rsid w:val="002A36E4"/>
    <w:rsid w:val="002A371A"/>
    <w:rsid w:val="002A371F"/>
    <w:rsid w:val="002A376D"/>
    <w:rsid w:val="002A3811"/>
    <w:rsid w:val="002A3866"/>
    <w:rsid w:val="002A3879"/>
    <w:rsid w:val="002A38ED"/>
    <w:rsid w:val="002A3937"/>
    <w:rsid w:val="002A3949"/>
    <w:rsid w:val="002A3969"/>
    <w:rsid w:val="002A3985"/>
    <w:rsid w:val="002A3A09"/>
    <w:rsid w:val="002A3A10"/>
    <w:rsid w:val="002A3BC6"/>
    <w:rsid w:val="002A3C16"/>
    <w:rsid w:val="002A3C97"/>
    <w:rsid w:val="002A3CA6"/>
    <w:rsid w:val="002A3CC9"/>
    <w:rsid w:val="002A3CF8"/>
    <w:rsid w:val="002A3DA8"/>
    <w:rsid w:val="002A3DE1"/>
    <w:rsid w:val="002A3E72"/>
    <w:rsid w:val="002A3EB6"/>
    <w:rsid w:val="002A3F13"/>
    <w:rsid w:val="002A3FE7"/>
    <w:rsid w:val="002A4008"/>
    <w:rsid w:val="002A404C"/>
    <w:rsid w:val="002A408B"/>
    <w:rsid w:val="002A40DC"/>
    <w:rsid w:val="002A416D"/>
    <w:rsid w:val="002A43AC"/>
    <w:rsid w:val="002A464F"/>
    <w:rsid w:val="002A468C"/>
    <w:rsid w:val="002A4805"/>
    <w:rsid w:val="002A4839"/>
    <w:rsid w:val="002A4997"/>
    <w:rsid w:val="002A4D1A"/>
    <w:rsid w:val="002A4D23"/>
    <w:rsid w:val="002A4DB0"/>
    <w:rsid w:val="002A4ED8"/>
    <w:rsid w:val="002A4F73"/>
    <w:rsid w:val="002A500F"/>
    <w:rsid w:val="002A5062"/>
    <w:rsid w:val="002A5068"/>
    <w:rsid w:val="002A51A1"/>
    <w:rsid w:val="002A52C1"/>
    <w:rsid w:val="002A540A"/>
    <w:rsid w:val="002A5414"/>
    <w:rsid w:val="002A5446"/>
    <w:rsid w:val="002A549D"/>
    <w:rsid w:val="002A54AF"/>
    <w:rsid w:val="002A5536"/>
    <w:rsid w:val="002A5740"/>
    <w:rsid w:val="002A575A"/>
    <w:rsid w:val="002A577D"/>
    <w:rsid w:val="002A583B"/>
    <w:rsid w:val="002A5975"/>
    <w:rsid w:val="002A5B4A"/>
    <w:rsid w:val="002A5D63"/>
    <w:rsid w:val="002A5E4E"/>
    <w:rsid w:val="002A5F5B"/>
    <w:rsid w:val="002A607B"/>
    <w:rsid w:val="002A62BF"/>
    <w:rsid w:val="002A6311"/>
    <w:rsid w:val="002A6413"/>
    <w:rsid w:val="002A652F"/>
    <w:rsid w:val="002A65F4"/>
    <w:rsid w:val="002A6670"/>
    <w:rsid w:val="002A67B4"/>
    <w:rsid w:val="002A6807"/>
    <w:rsid w:val="002A6938"/>
    <w:rsid w:val="002A698F"/>
    <w:rsid w:val="002A69B9"/>
    <w:rsid w:val="002A69C9"/>
    <w:rsid w:val="002A6A7E"/>
    <w:rsid w:val="002A6AF9"/>
    <w:rsid w:val="002A6C79"/>
    <w:rsid w:val="002A6D05"/>
    <w:rsid w:val="002A6D3D"/>
    <w:rsid w:val="002A6EA6"/>
    <w:rsid w:val="002A6FA8"/>
    <w:rsid w:val="002A701A"/>
    <w:rsid w:val="002A71DA"/>
    <w:rsid w:val="002A721D"/>
    <w:rsid w:val="002A74B0"/>
    <w:rsid w:val="002A74D4"/>
    <w:rsid w:val="002A7585"/>
    <w:rsid w:val="002A75F7"/>
    <w:rsid w:val="002A7617"/>
    <w:rsid w:val="002A76FB"/>
    <w:rsid w:val="002A77E3"/>
    <w:rsid w:val="002A7857"/>
    <w:rsid w:val="002A785F"/>
    <w:rsid w:val="002A7883"/>
    <w:rsid w:val="002A7889"/>
    <w:rsid w:val="002A78A8"/>
    <w:rsid w:val="002A79F1"/>
    <w:rsid w:val="002A7C09"/>
    <w:rsid w:val="002A7C96"/>
    <w:rsid w:val="002A7CC9"/>
    <w:rsid w:val="002A7CDB"/>
    <w:rsid w:val="002A7E2E"/>
    <w:rsid w:val="002A7EC6"/>
    <w:rsid w:val="002A7EFB"/>
    <w:rsid w:val="002A7F3D"/>
    <w:rsid w:val="002B00A3"/>
    <w:rsid w:val="002B00FA"/>
    <w:rsid w:val="002B0190"/>
    <w:rsid w:val="002B0204"/>
    <w:rsid w:val="002B0220"/>
    <w:rsid w:val="002B023C"/>
    <w:rsid w:val="002B031C"/>
    <w:rsid w:val="002B0325"/>
    <w:rsid w:val="002B0470"/>
    <w:rsid w:val="002B0571"/>
    <w:rsid w:val="002B0673"/>
    <w:rsid w:val="002B06C4"/>
    <w:rsid w:val="002B0839"/>
    <w:rsid w:val="002B083F"/>
    <w:rsid w:val="002B08F6"/>
    <w:rsid w:val="002B0971"/>
    <w:rsid w:val="002B0A33"/>
    <w:rsid w:val="002B0BD5"/>
    <w:rsid w:val="002B0C0D"/>
    <w:rsid w:val="002B0D90"/>
    <w:rsid w:val="002B0DB0"/>
    <w:rsid w:val="002B0E21"/>
    <w:rsid w:val="002B0F02"/>
    <w:rsid w:val="002B1114"/>
    <w:rsid w:val="002B11B4"/>
    <w:rsid w:val="002B11EF"/>
    <w:rsid w:val="002B11F0"/>
    <w:rsid w:val="002B1249"/>
    <w:rsid w:val="002B1291"/>
    <w:rsid w:val="002B138A"/>
    <w:rsid w:val="002B13DE"/>
    <w:rsid w:val="002B143B"/>
    <w:rsid w:val="002B1453"/>
    <w:rsid w:val="002B1524"/>
    <w:rsid w:val="002B15F2"/>
    <w:rsid w:val="002B162D"/>
    <w:rsid w:val="002B162E"/>
    <w:rsid w:val="002B176F"/>
    <w:rsid w:val="002B1795"/>
    <w:rsid w:val="002B17F7"/>
    <w:rsid w:val="002B1864"/>
    <w:rsid w:val="002B196A"/>
    <w:rsid w:val="002B196E"/>
    <w:rsid w:val="002B19A6"/>
    <w:rsid w:val="002B1A30"/>
    <w:rsid w:val="002B1B42"/>
    <w:rsid w:val="002B1B50"/>
    <w:rsid w:val="002B1B75"/>
    <w:rsid w:val="002B1CC2"/>
    <w:rsid w:val="002B1CD7"/>
    <w:rsid w:val="002B1DA6"/>
    <w:rsid w:val="002B1E91"/>
    <w:rsid w:val="002B1E94"/>
    <w:rsid w:val="002B1ECD"/>
    <w:rsid w:val="002B1FEF"/>
    <w:rsid w:val="002B2010"/>
    <w:rsid w:val="002B20C9"/>
    <w:rsid w:val="002B210C"/>
    <w:rsid w:val="002B21A4"/>
    <w:rsid w:val="002B2248"/>
    <w:rsid w:val="002B22BA"/>
    <w:rsid w:val="002B22E7"/>
    <w:rsid w:val="002B2337"/>
    <w:rsid w:val="002B2392"/>
    <w:rsid w:val="002B23C2"/>
    <w:rsid w:val="002B2469"/>
    <w:rsid w:val="002B24EC"/>
    <w:rsid w:val="002B2570"/>
    <w:rsid w:val="002B263C"/>
    <w:rsid w:val="002B2644"/>
    <w:rsid w:val="002B26ED"/>
    <w:rsid w:val="002B296B"/>
    <w:rsid w:val="002B2A61"/>
    <w:rsid w:val="002B2B5D"/>
    <w:rsid w:val="002B2D78"/>
    <w:rsid w:val="002B2DDC"/>
    <w:rsid w:val="002B2EB8"/>
    <w:rsid w:val="002B2FCD"/>
    <w:rsid w:val="002B3094"/>
    <w:rsid w:val="002B31C7"/>
    <w:rsid w:val="002B31E1"/>
    <w:rsid w:val="002B32A1"/>
    <w:rsid w:val="002B3336"/>
    <w:rsid w:val="002B336E"/>
    <w:rsid w:val="002B33C9"/>
    <w:rsid w:val="002B348F"/>
    <w:rsid w:val="002B3539"/>
    <w:rsid w:val="002B3590"/>
    <w:rsid w:val="002B3661"/>
    <w:rsid w:val="002B36E4"/>
    <w:rsid w:val="002B374C"/>
    <w:rsid w:val="002B3800"/>
    <w:rsid w:val="002B38B0"/>
    <w:rsid w:val="002B3A98"/>
    <w:rsid w:val="002B3BE3"/>
    <w:rsid w:val="002B3BE9"/>
    <w:rsid w:val="002B3D33"/>
    <w:rsid w:val="002B3D3B"/>
    <w:rsid w:val="002B3DF3"/>
    <w:rsid w:val="002B3E5E"/>
    <w:rsid w:val="002B3E6A"/>
    <w:rsid w:val="002B3F2B"/>
    <w:rsid w:val="002B41EC"/>
    <w:rsid w:val="002B41F8"/>
    <w:rsid w:val="002B42B1"/>
    <w:rsid w:val="002B44D5"/>
    <w:rsid w:val="002B4546"/>
    <w:rsid w:val="002B4686"/>
    <w:rsid w:val="002B4784"/>
    <w:rsid w:val="002B483B"/>
    <w:rsid w:val="002B4978"/>
    <w:rsid w:val="002B4998"/>
    <w:rsid w:val="002B49B9"/>
    <w:rsid w:val="002B49CE"/>
    <w:rsid w:val="002B4A5F"/>
    <w:rsid w:val="002B4AC5"/>
    <w:rsid w:val="002B4B4F"/>
    <w:rsid w:val="002B4BE7"/>
    <w:rsid w:val="002B4C49"/>
    <w:rsid w:val="002B4C82"/>
    <w:rsid w:val="002B4D31"/>
    <w:rsid w:val="002B4D6A"/>
    <w:rsid w:val="002B4D9E"/>
    <w:rsid w:val="002B4E39"/>
    <w:rsid w:val="002B5025"/>
    <w:rsid w:val="002B5115"/>
    <w:rsid w:val="002B5129"/>
    <w:rsid w:val="002B518F"/>
    <w:rsid w:val="002B51C9"/>
    <w:rsid w:val="002B526F"/>
    <w:rsid w:val="002B52C4"/>
    <w:rsid w:val="002B5486"/>
    <w:rsid w:val="002B5594"/>
    <w:rsid w:val="002B55F1"/>
    <w:rsid w:val="002B565E"/>
    <w:rsid w:val="002B571B"/>
    <w:rsid w:val="002B5A27"/>
    <w:rsid w:val="002B5A7A"/>
    <w:rsid w:val="002B5AB1"/>
    <w:rsid w:val="002B5B0D"/>
    <w:rsid w:val="002B5BAC"/>
    <w:rsid w:val="002B5C95"/>
    <w:rsid w:val="002B5D66"/>
    <w:rsid w:val="002B5F0F"/>
    <w:rsid w:val="002B5FC6"/>
    <w:rsid w:val="002B5FFE"/>
    <w:rsid w:val="002B6097"/>
    <w:rsid w:val="002B60B7"/>
    <w:rsid w:val="002B61DD"/>
    <w:rsid w:val="002B620A"/>
    <w:rsid w:val="002B621D"/>
    <w:rsid w:val="002B6338"/>
    <w:rsid w:val="002B6420"/>
    <w:rsid w:val="002B644D"/>
    <w:rsid w:val="002B6663"/>
    <w:rsid w:val="002B66E8"/>
    <w:rsid w:val="002B66F3"/>
    <w:rsid w:val="002B6789"/>
    <w:rsid w:val="002B67E8"/>
    <w:rsid w:val="002B6916"/>
    <w:rsid w:val="002B6932"/>
    <w:rsid w:val="002B6AE0"/>
    <w:rsid w:val="002B6B1D"/>
    <w:rsid w:val="002B6CFA"/>
    <w:rsid w:val="002B6D22"/>
    <w:rsid w:val="002B6D35"/>
    <w:rsid w:val="002B6DBA"/>
    <w:rsid w:val="002B6E0B"/>
    <w:rsid w:val="002B6E3B"/>
    <w:rsid w:val="002B6F5C"/>
    <w:rsid w:val="002B6FA6"/>
    <w:rsid w:val="002B7091"/>
    <w:rsid w:val="002B70C9"/>
    <w:rsid w:val="002B715D"/>
    <w:rsid w:val="002B71D9"/>
    <w:rsid w:val="002B7358"/>
    <w:rsid w:val="002B73AB"/>
    <w:rsid w:val="002B73F4"/>
    <w:rsid w:val="002B74CE"/>
    <w:rsid w:val="002B75A2"/>
    <w:rsid w:val="002B76A6"/>
    <w:rsid w:val="002B7713"/>
    <w:rsid w:val="002B77DC"/>
    <w:rsid w:val="002B7810"/>
    <w:rsid w:val="002B7835"/>
    <w:rsid w:val="002B7855"/>
    <w:rsid w:val="002B7857"/>
    <w:rsid w:val="002B79EF"/>
    <w:rsid w:val="002B79F3"/>
    <w:rsid w:val="002B7C8E"/>
    <w:rsid w:val="002B7D91"/>
    <w:rsid w:val="002B7E06"/>
    <w:rsid w:val="002B7E1E"/>
    <w:rsid w:val="002B7E6A"/>
    <w:rsid w:val="002B7EFD"/>
    <w:rsid w:val="002B7F19"/>
    <w:rsid w:val="002B7F47"/>
    <w:rsid w:val="002B7FB0"/>
    <w:rsid w:val="002B7FFB"/>
    <w:rsid w:val="002C00D5"/>
    <w:rsid w:val="002C00EA"/>
    <w:rsid w:val="002C024E"/>
    <w:rsid w:val="002C0432"/>
    <w:rsid w:val="002C0470"/>
    <w:rsid w:val="002C0482"/>
    <w:rsid w:val="002C04D1"/>
    <w:rsid w:val="002C04E3"/>
    <w:rsid w:val="002C0577"/>
    <w:rsid w:val="002C0599"/>
    <w:rsid w:val="002C05D8"/>
    <w:rsid w:val="002C06FE"/>
    <w:rsid w:val="002C0788"/>
    <w:rsid w:val="002C083A"/>
    <w:rsid w:val="002C08B7"/>
    <w:rsid w:val="002C08FB"/>
    <w:rsid w:val="002C0989"/>
    <w:rsid w:val="002C09E2"/>
    <w:rsid w:val="002C0A5E"/>
    <w:rsid w:val="002C0B2A"/>
    <w:rsid w:val="002C0CD8"/>
    <w:rsid w:val="002C0EF6"/>
    <w:rsid w:val="002C0F54"/>
    <w:rsid w:val="002C0FD7"/>
    <w:rsid w:val="002C1012"/>
    <w:rsid w:val="002C11D8"/>
    <w:rsid w:val="002C11E3"/>
    <w:rsid w:val="002C1212"/>
    <w:rsid w:val="002C1254"/>
    <w:rsid w:val="002C126E"/>
    <w:rsid w:val="002C12B0"/>
    <w:rsid w:val="002C132C"/>
    <w:rsid w:val="002C144F"/>
    <w:rsid w:val="002C15D6"/>
    <w:rsid w:val="002C1644"/>
    <w:rsid w:val="002C16C8"/>
    <w:rsid w:val="002C16D5"/>
    <w:rsid w:val="002C16E6"/>
    <w:rsid w:val="002C1757"/>
    <w:rsid w:val="002C17F8"/>
    <w:rsid w:val="002C1A5F"/>
    <w:rsid w:val="002C1B4C"/>
    <w:rsid w:val="002C1B89"/>
    <w:rsid w:val="002C1CB5"/>
    <w:rsid w:val="002C1D67"/>
    <w:rsid w:val="002C1D71"/>
    <w:rsid w:val="002C1D93"/>
    <w:rsid w:val="002C1E8A"/>
    <w:rsid w:val="002C1EAE"/>
    <w:rsid w:val="002C1EF1"/>
    <w:rsid w:val="002C1FF5"/>
    <w:rsid w:val="002C20C9"/>
    <w:rsid w:val="002C2134"/>
    <w:rsid w:val="002C2181"/>
    <w:rsid w:val="002C21B7"/>
    <w:rsid w:val="002C22C1"/>
    <w:rsid w:val="002C230A"/>
    <w:rsid w:val="002C233B"/>
    <w:rsid w:val="002C2417"/>
    <w:rsid w:val="002C2513"/>
    <w:rsid w:val="002C2588"/>
    <w:rsid w:val="002C2678"/>
    <w:rsid w:val="002C286B"/>
    <w:rsid w:val="002C28BA"/>
    <w:rsid w:val="002C28C8"/>
    <w:rsid w:val="002C28E1"/>
    <w:rsid w:val="002C2AA5"/>
    <w:rsid w:val="002C2ABC"/>
    <w:rsid w:val="002C2AC7"/>
    <w:rsid w:val="002C2B1B"/>
    <w:rsid w:val="002C2B49"/>
    <w:rsid w:val="002C2C39"/>
    <w:rsid w:val="002C2C4E"/>
    <w:rsid w:val="002C2E07"/>
    <w:rsid w:val="002C2E5D"/>
    <w:rsid w:val="002C2F73"/>
    <w:rsid w:val="002C2F91"/>
    <w:rsid w:val="002C3056"/>
    <w:rsid w:val="002C30BA"/>
    <w:rsid w:val="002C30CB"/>
    <w:rsid w:val="002C3161"/>
    <w:rsid w:val="002C31C0"/>
    <w:rsid w:val="002C3207"/>
    <w:rsid w:val="002C3280"/>
    <w:rsid w:val="002C3297"/>
    <w:rsid w:val="002C33E9"/>
    <w:rsid w:val="002C34A7"/>
    <w:rsid w:val="002C3715"/>
    <w:rsid w:val="002C377C"/>
    <w:rsid w:val="002C37A6"/>
    <w:rsid w:val="002C3877"/>
    <w:rsid w:val="002C391E"/>
    <w:rsid w:val="002C3946"/>
    <w:rsid w:val="002C3A05"/>
    <w:rsid w:val="002C3A83"/>
    <w:rsid w:val="002C3B1E"/>
    <w:rsid w:val="002C3C05"/>
    <w:rsid w:val="002C3C0B"/>
    <w:rsid w:val="002C3C3F"/>
    <w:rsid w:val="002C3D68"/>
    <w:rsid w:val="002C3D69"/>
    <w:rsid w:val="002C3DE8"/>
    <w:rsid w:val="002C3E80"/>
    <w:rsid w:val="002C3EA8"/>
    <w:rsid w:val="002C3EE4"/>
    <w:rsid w:val="002C417C"/>
    <w:rsid w:val="002C41F6"/>
    <w:rsid w:val="002C4206"/>
    <w:rsid w:val="002C42FF"/>
    <w:rsid w:val="002C434E"/>
    <w:rsid w:val="002C44E8"/>
    <w:rsid w:val="002C4525"/>
    <w:rsid w:val="002C453B"/>
    <w:rsid w:val="002C4696"/>
    <w:rsid w:val="002C46A5"/>
    <w:rsid w:val="002C4786"/>
    <w:rsid w:val="002C47E9"/>
    <w:rsid w:val="002C48AB"/>
    <w:rsid w:val="002C498A"/>
    <w:rsid w:val="002C49E8"/>
    <w:rsid w:val="002C4A40"/>
    <w:rsid w:val="002C4B00"/>
    <w:rsid w:val="002C4B94"/>
    <w:rsid w:val="002C4D15"/>
    <w:rsid w:val="002C4F29"/>
    <w:rsid w:val="002C4F9E"/>
    <w:rsid w:val="002C514A"/>
    <w:rsid w:val="002C514F"/>
    <w:rsid w:val="002C5188"/>
    <w:rsid w:val="002C5262"/>
    <w:rsid w:val="002C540A"/>
    <w:rsid w:val="002C5649"/>
    <w:rsid w:val="002C5650"/>
    <w:rsid w:val="002C56D4"/>
    <w:rsid w:val="002C573F"/>
    <w:rsid w:val="002C57BE"/>
    <w:rsid w:val="002C57D3"/>
    <w:rsid w:val="002C5819"/>
    <w:rsid w:val="002C58E5"/>
    <w:rsid w:val="002C5A44"/>
    <w:rsid w:val="002C5AB3"/>
    <w:rsid w:val="002C5AEB"/>
    <w:rsid w:val="002C5BA1"/>
    <w:rsid w:val="002C5BFE"/>
    <w:rsid w:val="002C5C04"/>
    <w:rsid w:val="002C5CA2"/>
    <w:rsid w:val="002C5D50"/>
    <w:rsid w:val="002C5DCD"/>
    <w:rsid w:val="002C5DF7"/>
    <w:rsid w:val="002C5E01"/>
    <w:rsid w:val="002C5E2B"/>
    <w:rsid w:val="002C5ED9"/>
    <w:rsid w:val="002C6057"/>
    <w:rsid w:val="002C60AA"/>
    <w:rsid w:val="002C60E8"/>
    <w:rsid w:val="002C612C"/>
    <w:rsid w:val="002C6145"/>
    <w:rsid w:val="002C66AA"/>
    <w:rsid w:val="002C66E6"/>
    <w:rsid w:val="002C67F2"/>
    <w:rsid w:val="002C686B"/>
    <w:rsid w:val="002C68DD"/>
    <w:rsid w:val="002C69A7"/>
    <w:rsid w:val="002C6A56"/>
    <w:rsid w:val="002C6A94"/>
    <w:rsid w:val="002C6ADB"/>
    <w:rsid w:val="002C6B1C"/>
    <w:rsid w:val="002C6B4C"/>
    <w:rsid w:val="002C6B5C"/>
    <w:rsid w:val="002C6B87"/>
    <w:rsid w:val="002C6D92"/>
    <w:rsid w:val="002C6DB7"/>
    <w:rsid w:val="002C6EFF"/>
    <w:rsid w:val="002C6FC3"/>
    <w:rsid w:val="002C7045"/>
    <w:rsid w:val="002C705A"/>
    <w:rsid w:val="002C7095"/>
    <w:rsid w:val="002C71E1"/>
    <w:rsid w:val="002C729A"/>
    <w:rsid w:val="002C72BE"/>
    <w:rsid w:val="002C74B8"/>
    <w:rsid w:val="002C753C"/>
    <w:rsid w:val="002C7556"/>
    <w:rsid w:val="002C7570"/>
    <w:rsid w:val="002C7612"/>
    <w:rsid w:val="002C7685"/>
    <w:rsid w:val="002C772A"/>
    <w:rsid w:val="002C7813"/>
    <w:rsid w:val="002C7996"/>
    <w:rsid w:val="002C7A64"/>
    <w:rsid w:val="002C7B52"/>
    <w:rsid w:val="002C7BA2"/>
    <w:rsid w:val="002C7BB9"/>
    <w:rsid w:val="002C7C7F"/>
    <w:rsid w:val="002C7D2F"/>
    <w:rsid w:val="002C7D36"/>
    <w:rsid w:val="002C7E10"/>
    <w:rsid w:val="002C7EB8"/>
    <w:rsid w:val="002D001F"/>
    <w:rsid w:val="002D0066"/>
    <w:rsid w:val="002D0077"/>
    <w:rsid w:val="002D012C"/>
    <w:rsid w:val="002D0331"/>
    <w:rsid w:val="002D0333"/>
    <w:rsid w:val="002D0376"/>
    <w:rsid w:val="002D0554"/>
    <w:rsid w:val="002D0641"/>
    <w:rsid w:val="002D0656"/>
    <w:rsid w:val="002D066E"/>
    <w:rsid w:val="002D06DC"/>
    <w:rsid w:val="002D06F2"/>
    <w:rsid w:val="002D071C"/>
    <w:rsid w:val="002D0994"/>
    <w:rsid w:val="002D0A09"/>
    <w:rsid w:val="002D0A75"/>
    <w:rsid w:val="002D0AB9"/>
    <w:rsid w:val="002D0AF1"/>
    <w:rsid w:val="002D0BB0"/>
    <w:rsid w:val="002D0CD3"/>
    <w:rsid w:val="002D0D0A"/>
    <w:rsid w:val="002D0E1A"/>
    <w:rsid w:val="002D0E57"/>
    <w:rsid w:val="002D0FA8"/>
    <w:rsid w:val="002D0FB9"/>
    <w:rsid w:val="002D109E"/>
    <w:rsid w:val="002D1100"/>
    <w:rsid w:val="002D1133"/>
    <w:rsid w:val="002D1295"/>
    <w:rsid w:val="002D12E7"/>
    <w:rsid w:val="002D1471"/>
    <w:rsid w:val="002D156A"/>
    <w:rsid w:val="002D15D1"/>
    <w:rsid w:val="002D1654"/>
    <w:rsid w:val="002D17BF"/>
    <w:rsid w:val="002D18B1"/>
    <w:rsid w:val="002D18EA"/>
    <w:rsid w:val="002D1914"/>
    <w:rsid w:val="002D194D"/>
    <w:rsid w:val="002D1A51"/>
    <w:rsid w:val="002D1AF2"/>
    <w:rsid w:val="002D1B2A"/>
    <w:rsid w:val="002D1B30"/>
    <w:rsid w:val="002D1C53"/>
    <w:rsid w:val="002D1CD7"/>
    <w:rsid w:val="002D1EA1"/>
    <w:rsid w:val="002D1F36"/>
    <w:rsid w:val="002D2289"/>
    <w:rsid w:val="002D235B"/>
    <w:rsid w:val="002D23C6"/>
    <w:rsid w:val="002D23DF"/>
    <w:rsid w:val="002D24CA"/>
    <w:rsid w:val="002D24D8"/>
    <w:rsid w:val="002D2572"/>
    <w:rsid w:val="002D2700"/>
    <w:rsid w:val="002D2724"/>
    <w:rsid w:val="002D274C"/>
    <w:rsid w:val="002D2755"/>
    <w:rsid w:val="002D2780"/>
    <w:rsid w:val="002D27B8"/>
    <w:rsid w:val="002D2861"/>
    <w:rsid w:val="002D2976"/>
    <w:rsid w:val="002D2B7F"/>
    <w:rsid w:val="002D2C02"/>
    <w:rsid w:val="002D2DF6"/>
    <w:rsid w:val="002D3002"/>
    <w:rsid w:val="002D3055"/>
    <w:rsid w:val="002D30EC"/>
    <w:rsid w:val="002D336F"/>
    <w:rsid w:val="002D3389"/>
    <w:rsid w:val="002D34AF"/>
    <w:rsid w:val="002D356E"/>
    <w:rsid w:val="002D35D3"/>
    <w:rsid w:val="002D36B5"/>
    <w:rsid w:val="002D36D3"/>
    <w:rsid w:val="002D3892"/>
    <w:rsid w:val="002D3913"/>
    <w:rsid w:val="002D3AD9"/>
    <w:rsid w:val="002D3ADF"/>
    <w:rsid w:val="002D3AEE"/>
    <w:rsid w:val="002D3B2B"/>
    <w:rsid w:val="002D3C29"/>
    <w:rsid w:val="002D3C41"/>
    <w:rsid w:val="002D3C6D"/>
    <w:rsid w:val="002D3C93"/>
    <w:rsid w:val="002D3D5E"/>
    <w:rsid w:val="002D3E11"/>
    <w:rsid w:val="002D3F16"/>
    <w:rsid w:val="002D3F7A"/>
    <w:rsid w:val="002D4051"/>
    <w:rsid w:val="002D4159"/>
    <w:rsid w:val="002D41E4"/>
    <w:rsid w:val="002D431C"/>
    <w:rsid w:val="002D44D3"/>
    <w:rsid w:val="002D458F"/>
    <w:rsid w:val="002D45F7"/>
    <w:rsid w:val="002D47EA"/>
    <w:rsid w:val="002D4982"/>
    <w:rsid w:val="002D4A6E"/>
    <w:rsid w:val="002D4B46"/>
    <w:rsid w:val="002D4C04"/>
    <w:rsid w:val="002D4C0F"/>
    <w:rsid w:val="002D4CD2"/>
    <w:rsid w:val="002D4CD4"/>
    <w:rsid w:val="002D4DFE"/>
    <w:rsid w:val="002D4E3D"/>
    <w:rsid w:val="002D4F16"/>
    <w:rsid w:val="002D4FE3"/>
    <w:rsid w:val="002D50AB"/>
    <w:rsid w:val="002D5206"/>
    <w:rsid w:val="002D52AB"/>
    <w:rsid w:val="002D52E9"/>
    <w:rsid w:val="002D5343"/>
    <w:rsid w:val="002D5396"/>
    <w:rsid w:val="002D53EB"/>
    <w:rsid w:val="002D540E"/>
    <w:rsid w:val="002D5426"/>
    <w:rsid w:val="002D54F8"/>
    <w:rsid w:val="002D553A"/>
    <w:rsid w:val="002D55CF"/>
    <w:rsid w:val="002D57B8"/>
    <w:rsid w:val="002D5818"/>
    <w:rsid w:val="002D5853"/>
    <w:rsid w:val="002D58AC"/>
    <w:rsid w:val="002D59D3"/>
    <w:rsid w:val="002D5A28"/>
    <w:rsid w:val="002D5A84"/>
    <w:rsid w:val="002D5A86"/>
    <w:rsid w:val="002D5A94"/>
    <w:rsid w:val="002D5B6A"/>
    <w:rsid w:val="002D5C68"/>
    <w:rsid w:val="002D5DCA"/>
    <w:rsid w:val="002D5DDB"/>
    <w:rsid w:val="002D5E0C"/>
    <w:rsid w:val="002D5EDB"/>
    <w:rsid w:val="002D5F1E"/>
    <w:rsid w:val="002D6020"/>
    <w:rsid w:val="002D602B"/>
    <w:rsid w:val="002D614E"/>
    <w:rsid w:val="002D61BF"/>
    <w:rsid w:val="002D61D4"/>
    <w:rsid w:val="002D62AD"/>
    <w:rsid w:val="002D6473"/>
    <w:rsid w:val="002D64FA"/>
    <w:rsid w:val="002D656E"/>
    <w:rsid w:val="002D6594"/>
    <w:rsid w:val="002D65D8"/>
    <w:rsid w:val="002D6742"/>
    <w:rsid w:val="002D6757"/>
    <w:rsid w:val="002D680A"/>
    <w:rsid w:val="002D684E"/>
    <w:rsid w:val="002D68DB"/>
    <w:rsid w:val="002D6905"/>
    <w:rsid w:val="002D6BA6"/>
    <w:rsid w:val="002D6BD4"/>
    <w:rsid w:val="002D6CE1"/>
    <w:rsid w:val="002D6D20"/>
    <w:rsid w:val="002D6DB3"/>
    <w:rsid w:val="002D6E8F"/>
    <w:rsid w:val="002D6E92"/>
    <w:rsid w:val="002D6EEA"/>
    <w:rsid w:val="002D6F07"/>
    <w:rsid w:val="002D6F42"/>
    <w:rsid w:val="002D6FC6"/>
    <w:rsid w:val="002D704A"/>
    <w:rsid w:val="002D711C"/>
    <w:rsid w:val="002D7233"/>
    <w:rsid w:val="002D72AD"/>
    <w:rsid w:val="002D72E2"/>
    <w:rsid w:val="002D734E"/>
    <w:rsid w:val="002D7369"/>
    <w:rsid w:val="002D741B"/>
    <w:rsid w:val="002D75C7"/>
    <w:rsid w:val="002D75FE"/>
    <w:rsid w:val="002D7602"/>
    <w:rsid w:val="002D7800"/>
    <w:rsid w:val="002D79A9"/>
    <w:rsid w:val="002D7AAC"/>
    <w:rsid w:val="002D7B39"/>
    <w:rsid w:val="002D7BAD"/>
    <w:rsid w:val="002D7C43"/>
    <w:rsid w:val="002D7D1F"/>
    <w:rsid w:val="002D7E69"/>
    <w:rsid w:val="002D7ECA"/>
    <w:rsid w:val="002D7EFD"/>
    <w:rsid w:val="002D7F16"/>
    <w:rsid w:val="002E0085"/>
    <w:rsid w:val="002E008F"/>
    <w:rsid w:val="002E00AE"/>
    <w:rsid w:val="002E01E0"/>
    <w:rsid w:val="002E02CB"/>
    <w:rsid w:val="002E02EC"/>
    <w:rsid w:val="002E034E"/>
    <w:rsid w:val="002E0389"/>
    <w:rsid w:val="002E0429"/>
    <w:rsid w:val="002E055E"/>
    <w:rsid w:val="002E05C9"/>
    <w:rsid w:val="002E0681"/>
    <w:rsid w:val="002E0766"/>
    <w:rsid w:val="002E07F8"/>
    <w:rsid w:val="002E0840"/>
    <w:rsid w:val="002E097E"/>
    <w:rsid w:val="002E09D2"/>
    <w:rsid w:val="002E0A5D"/>
    <w:rsid w:val="002E0B88"/>
    <w:rsid w:val="002E0E18"/>
    <w:rsid w:val="002E0E5C"/>
    <w:rsid w:val="002E0FFD"/>
    <w:rsid w:val="002E1032"/>
    <w:rsid w:val="002E1159"/>
    <w:rsid w:val="002E1264"/>
    <w:rsid w:val="002E12A8"/>
    <w:rsid w:val="002E136C"/>
    <w:rsid w:val="002E13DB"/>
    <w:rsid w:val="002E1458"/>
    <w:rsid w:val="002E14FA"/>
    <w:rsid w:val="002E152A"/>
    <w:rsid w:val="002E1534"/>
    <w:rsid w:val="002E16C2"/>
    <w:rsid w:val="002E16C9"/>
    <w:rsid w:val="002E174C"/>
    <w:rsid w:val="002E175C"/>
    <w:rsid w:val="002E17A0"/>
    <w:rsid w:val="002E1881"/>
    <w:rsid w:val="002E18FD"/>
    <w:rsid w:val="002E194B"/>
    <w:rsid w:val="002E197A"/>
    <w:rsid w:val="002E1A7C"/>
    <w:rsid w:val="002E1AA5"/>
    <w:rsid w:val="002E1B24"/>
    <w:rsid w:val="002E1B9C"/>
    <w:rsid w:val="002E1BE1"/>
    <w:rsid w:val="002E1D38"/>
    <w:rsid w:val="002E2073"/>
    <w:rsid w:val="002E216D"/>
    <w:rsid w:val="002E22E9"/>
    <w:rsid w:val="002E233E"/>
    <w:rsid w:val="002E236C"/>
    <w:rsid w:val="002E2381"/>
    <w:rsid w:val="002E23B4"/>
    <w:rsid w:val="002E2438"/>
    <w:rsid w:val="002E24F9"/>
    <w:rsid w:val="002E256A"/>
    <w:rsid w:val="002E261A"/>
    <w:rsid w:val="002E2779"/>
    <w:rsid w:val="002E2849"/>
    <w:rsid w:val="002E2B84"/>
    <w:rsid w:val="002E2BAA"/>
    <w:rsid w:val="002E2BFB"/>
    <w:rsid w:val="002E2D2A"/>
    <w:rsid w:val="002E2F3D"/>
    <w:rsid w:val="002E2F8A"/>
    <w:rsid w:val="002E2F98"/>
    <w:rsid w:val="002E309C"/>
    <w:rsid w:val="002E30A7"/>
    <w:rsid w:val="002E30CF"/>
    <w:rsid w:val="002E3105"/>
    <w:rsid w:val="002E3121"/>
    <w:rsid w:val="002E3171"/>
    <w:rsid w:val="002E329E"/>
    <w:rsid w:val="002E340A"/>
    <w:rsid w:val="002E3415"/>
    <w:rsid w:val="002E355E"/>
    <w:rsid w:val="002E3606"/>
    <w:rsid w:val="002E36B6"/>
    <w:rsid w:val="002E36B9"/>
    <w:rsid w:val="002E373E"/>
    <w:rsid w:val="002E3A1F"/>
    <w:rsid w:val="002E3C20"/>
    <w:rsid w:val="002E3C28"/>
    <w:rsid w:val="002E3C51"/>
    <w:rsid w:val="002E3CC4"/>
    <w:rsid w:val="002E3E97"/>
    <w:rsid w:val="002E3FCB"/>
    <w:rsid w:val="002E412E"/>
    <w:rsid w:val="002E41BF"/>
    <w:rsid w:val="002E441B"/>
    <w:rsid w:val="002E442B"/>
    <w:rsid w:val="002E4652"/>
    <w:rsid w:val="002E46A1"/>
    <w:rsid w:val="002E471C"/>
    <w:rsid w:val="002E49E3"/>
    <w:rsid w:val="002E4A14"/>
    <w:rsid w:val="002E4B45"/>
    <w:rsid w:val="002E4DD2"/>
    <w:rsid w:val="002E50CA"/>
    <w:rsid w:val="002E523A"/>
    <w:rsid w:val="002E5293"/>
    <w:rsid w:val="002E52A4"/>
    <w:rsid w:val="002E53E2"/>
    <w:rsid w:val="002E53F7"/>
    <w:rsid w:val="002E54CB"/>
    <w:rsid w:val="002E5542"/>
    <w:rsid w:val="002E5584"/>
    <w:rsid w:val="002E5607"/>
    <w:rsid w:val="002E5688"/>
    <w:rsid w:val="002E56C9"/>
    <w:rsid w:val="002E57D6"/>
    <w:rsid w:val="002E5968"/>
    <w:rsid w:val="002E5982"/>
    <w:rsid w:val="002E5A47"/>
    <w:rsid w:val="002E5AB1"/>
    <w:rsid w:val="002E5B39"/>
    <w:rsid w:val="002E5CA4"/>
    <w:rsid w:val="002E5CD4"/>
    <w:rsid w:val="002E5D4E"/>
    <w:rsid w:val="002E5E4A"/>
    <w:rsid w:val="002E5F56"/>
    <w:rsid w:val="002E6079"/>
    <w:rsid w:val="002E6093"/>
    <w:rsid w:val="002E60EE"/>
    <w:rsid w:val="002E614F"/>
    <w:rsid w:val="002E618C"/>
    <w:rsid w:val="002E61C7"/>
    <w:rsid w:val="002E6241"/>
    <w:rsid w:val="002E639D"/>
    <w:rsid w:val="002E67B6"/>
    <w:rsid w:val="002E68EA"/>
    <w:rsid w:val="002E6A53"/>
    <w:rsid w:val="002E6B7B"/>
    <w:rsid w:val="002E6B8C"/>
    <w:rsid w:val="002E6C94"/>
    <w:rsid w:val="002E6D3A"/>
    <w:rsid w:val="002E6DDC"/>
    <w:rsid w:val="002E6E21"/>
    <w:rsid w:val="002E6E3C"/>
    <w:rsid w:val="002E6F99"/>
    <w:rsid w:val="002E6FD8"/>
    <w:rsid w:val="002E6FE4"/>
    <w:rsid w:val="002E713A"/>
    <w:rsid w:val="002E714A"/>
    <w:rsid w:val="002E7249"/>
    <w:rsid w:val="002E73C6"/>
    <w:rsid w:val="002E746E"/>
    <w:rsid w:val="002E7499"/>
    <w:rsid w:val="002E753C"/>
    <w:rsid w:val="002E76A6"/>
    <w:rsid w:val="002E76B1"/>
    <w:rsid w:val="002E788F"/>
    <w:rsid w:val="002E7925"/>
    <w:rsid w:val="002E797B"/>
    <w:rsid w:val="002E79B5"/>
    <w:rsid w:val="002E7A08"/>
    <w:rsid w:val="002E7A4C"/>
    <w:rsid w:val="002E7A85"/>
    <w:rsid w:val="002E7AC0"/>
    <w:rsid w:val="002E7B4E"/>
    <w:rsid w:val="002E7B70"/>
    <w:rsid w:val="002E7DB1"/>
    <w:rsid w:val="002E7E1D"/>
    <w:rsid w:val="002E7EC3"/>
    <w:rsid w:val="002E7EFF"/>
    <w:rsid w:val="002E7F24"/>
    <w:rsid w:val="002E7F87"/>
    <w:rsid w:val="002E7FFC"/>
    <w:rsid w:val="002F00EE"/>
    <w:rsid w:val="002F01FE"/>
    <w:rsid w:val="002F03CD"/>
    <w:rsid w:val="002F0482"/>
    <w:rsid w:val="002F049B"/>
    <w:rsid w:val="002F072C"/>
    <w:rsid w:val="002F07E0"/>
    <w:rsid w:val="002F090F"/>
    <w:rsid w:val="002F0B3A"/>
    <w:rsid w:val="002F0BE0"/>
    <w:rsid w:val="002F0CBB"/>
    <w:rsid w:val="002F0E15"/>
    <w:rsid w:val="002F0E4F"/>
    <w:rsid w:val="002F0E58"/>
    <w:rsid w:val="002F0F4C"/>
    <w:rsid w:val="002F0FB5"/>
    <w:rsid w:val="002F0FBB"/>
    <w:rsid w:val="002F1039"/>
    <w:rsid w:val="002F117C"/>
    <w:rsid w:val="002F1214"/>
    <w:rsid w:val="002F1219"/>
    <w:rsid w:val="002F1250"/>
    <w:rsid w:val="002F128F"/>
    <w:rsid w:val="002F13F8"/>
    <w:rsid w:val="002F1448"/>
    <w:rsid w:val="002F14E8"/>
    <w:rsid w:val="002F1724"/>
    <w:rsid w:val="002F172F"/>
    <w:rsid w:val="002F17EA"/>
    <w:rsid w:val="002F19FA"/>
    <w:rsid w:val="002F1ACA"/>
    <w:rsid w:val="002F1AFA"/>
    <w:rsid w:val="002F1B98"/>
    <w:rsid w:val="002F1BB4"/>
    <w:rsid w:val="002F1DA8"/>
    <w:rsid w:val="002F1DC5"/>
    <w:rsid w:val="002F1EB2"/>
    <w:rsid w:val="002F1EF8"/>
    <w:rsid w:val="002F1F78"/>
    <w:rsid w:val="002F1FAA"/>
    <w:rsid w:val="002F209C"/>
    <w:rsid w:val="002F20A6"/>
    <w:rsid w:val="002F20F3"/>
    <w:rsid w:val="002F2128"/>
    <w:rsid w:val="002F22E5"/>
    <w:rsid w:val="002F22F5"/>
    <w:rsid w:val="002F2356"/>
    <w:rsid w:val="002F2419"/>
    <w:rsid w:val="002F242C"/>
    <w:rsid w:val="002F25AC"/>
    <w:rsid w:val="002F263E"/>
    <w:rsid w:val="002F276B"/>
    <w:rsid w:val="002F277B"/>
    <w:rsid w:val="002F27EF"/>
    <w:rsid w:val="002F288A"/>
    <w:rsid w:val="002F28D7"/>
    <w:rsid w:val="002F28E5"/>
    <w:rsid w:val="002F296B"/>
    <w:rsid w:val="002F29BD"/>
    <w:rsid w:val="002F2A0D"/>
    <w:rsid w:val="002F2A11"/>
    <w:rsid w:val="002F2B67"/>
    <w:rsid w:val="002F2C77"/>
    <w:rsid w:val="002F2D6B"/>
    <w:rsid w:val="002F2E54"/>
    <w:rsid w:val="002F2E8E"/>
    <w:rsid w:val="002F2F8A"/>
    <w:rsid w:val="002F2FD3"/>
    <w:rsid w:val="002F3076"/>
    <w:rsid w:val="002F31CC"/>
    <w:rsid w:val="002F3239"/>
    <w:rsid w:val="002F330B"/>
    <w:rsid w:val="002F33EB"/>
    <w:rsid w:val="002F346A"/>
    <w:rsid w:val="002F34F2"/>
    <w:rsid w:val="002F34F5"/>
    <w:rsid w:val="002F3503"/>
    <w:rsid w:val="002F3539"/>
    <w:rsid w:val="002F3661"/>
    <w:rsid w:val="002F36DD"/>
    <w:rsid w:val="002F39A9"/>
    <w:rsid w:val="002F39E5"/>
    <w:rsid w:val="002F3A28"/>
    <w:rsid w:val="002F3C1F"/>
    <w:rsid w:val="002F3DC2"/>
    <w:rsid w:val="002F3EA1"/>
    <w:rsid w:val="002F3EF1"/>
    <w:rsid w:val="002F3EF9"/>
    <w:rsid w:val="002F3F0D"/>
    <w:rsid w:val="002F3F1F"/>
    <w:rsid w:val="002F407E"/>
    <w:rsid w:val="002F412A"/>
    <w:rsid w:val="002F413B"/>
    <w:rsid w:val="002F437C"/>
    <w:rsid w:val="002F43E5"/>
    <w:rsid w:val="002F443C"/>
    <w:rsid w:val="002F4484"/>
    <w:rsid w:val="002F46BC"/>
    <w:rsid w:val="002F47C8"/>
    <w:rsid w:val="002F49C9"/>
    <w:rsid w:val="002F4A01"/>
    <w:rsid w:val="002F4A75"/>
    <w:rsid w:val="002F4C0A"/>
    <w:rsid w:val="002F4C39"/>
    <w:rsid w:val="002F4CD2"/>
    <w:rsid w:val="002F4CDF"/>
    <w:rsid w:val="002F4D51"/>
    <w:rsid w:val="002F4FFF"/>
    <w:rsid w:val="002F5021"/>
    <w:rsid w:val="002F507E"/>
    <w:rsid w:val="002F508D"/>
    <w:rsid w:val="002F508F"/>
    <w:rsid w:val="002F5111"/>
    <w:rsid w:val="002F530E"/>
    <w:rsid w:val="002F532E"/>
    <w:rsid w:val="002F5455"/>
    <w:rsid w:val="002F55DE"/>
    <w:rsid w:val="002F5630"/>
    <w:rsid w:val="002F5704"/>
    <w:rsid w:val="002F57BA"/>
    <w:rsid w:val="002F580A"/>
    <w:rsid w:val="002F584F"/>
    <w:rsid w:val="002F58EA"/>
    <w:rsid w:val="002F5915"/>
    <w:rsid w:val="002F5917"/>
    <w:rsid w:val="002F5A6F"/>
    <w:rsid w:val="002F5D7C"/>
    <w:rsid w:val="002F5E67"/>
    <w:rsid w:val="002F5EB5"/>
    <w:rsid w:val="002F5EDF"/>
    <w:rsid w:val="002F5FA0"/>
    <w:rsid w:val="002F5FC9"/>
    <w:rsid w:val="002F6034"/>
    <w:rsid w:val="002F60DD"/>
    <w:rsid w:val="002F618D"/>
    <w:rsid w:val="002F6191"/>
    <w:rsid w:val="002F6193"/>
    <w:rsid w:val="002F6244"/>
    <w:rsid w:val="002F627A"/>
    <w:rsid w:val="002F62F1"/>
    <w:rsid w:val="002F62FC"/>
    <w:rsid w:val="002F646E"/>
    <w:rsid w:val="002F657C"/>
    <w:rsid w:val="002F65FC"/>
    <w:rsid w:val="002F66C4"/>
    <w:rsid w:val="002F670A"/>
    <w:rsid w:val="002F6911"/>
    <w:rsid w:val="002F6A60"/>
    <w:rsid w:val="002F6A9D"/>
    <w:rsid w:val="002F6BA1"/>
    <w:rsid w:val="002F6BAE"/>
    <w:rsid w:val="002F6BFF"/>
    <w:rsid w:val="002F6C23"/>
    <w:rsid w:val="002F6C7C"/>
    <w:rsid w:val="002F6CE2"/>
    <w:rsid w:val="002F6D29"/>
    <w:rsid w:val="002F6D3D"/>
    <w:rsid w:val="002F6D78"/>
    <w:rsid w:val="002F6E17"/>
    <w:rsid w:val="002F6E68"/>
    <w:rsid w:val="002F6E83"/>
    <w:rsid w:val="002F6EA4"/>
    <w:rsid w:val="002F7008"/>
    <w:rsid w:val="002F72B0"/>
    <w:rsid w:val="002F7709"/>
    <w:rsid w:val="002F7728"/>
    <w:rsid w:val="002F77BA"/>
    <w:rsid w:val="002F7A20"/>
    <w:rsid w:val="002F7A63"/>
    <w:rsid w:val="002F7A8B"/>
    <w:rsid w:val="002F7A97"/>
    <w:rsid w:val="002F7ABE"/>
    <w:rsid w:val="002F7C43"/>
    <w:rsid w:val="002F7C54"/>
    <w:rsid w:val="002F7D50"/>
    <w:rsid w:val="002F7DDF"/>
    <w:rsid w:val="002F7F02"/>
    <w:rsid w:val="00300124"/>
    <w:rsid w:val="00300155"/>
    <w:rsid w:val="00300156"/>
    <w:rsid w:val="0030016A"/>
    <w:rsid w:val="0030022B"/>
    <w:rsid w:val="00300279"/>
    <w:rsid w:val="00300430"/>
    <w:rsid w:val="003004F5"/>
    <w:rsid w:val="003005E9"/>
    <w:rsid w:val="00300629"/>
    <w:rsid w:val="00300661"/>
    <w:rsid w:val="00300670"/>
    <w:rsid w:val="003006AD"/>
    <w:rsid w:val="003006BA"/>
    <w:rsid w:val="00300717"/>
    <w:rsid w:val="003007B9"/>
    <w:rsid w:val="00300935"/>
    <w:rsid w:val="00300939"/>
    <w:rsid w:val="0030095E"/>
    <w:rsid w:val="00300A24"/>
    <w:rsid w:val="00300A70"/>
    <w:rsid w:val="00300A75"/>
    <w:rsid w:val="00300C6A"/>
    <w:rsid w:val="00300CCA"/>
    <w:rsid w:val="00300E74"/>
    <w:rsid w:val="00300E91"/>
    <w:rsid w:val="00300F66"/>
    <w:rsid w:val="00300FCA"/>
    <w:rsid w:val="0030106A"/>
    <w:rsid w:val="00301148"/>
    <w:rsid w:val="0030118E"/>
    <w:rsid w:val="003011EB"/>
    <w:rsid w:val="00301443"/>
    <w:rsid w:val="00301483"/>
    <w:rsid w:val="0030159F"/>
    <w:rsid w:val="00301601"/>
    <w:rsid w:val="0030175F"/>
    <w:rsid w:val="003017B3"/>
    <w:rsid w:val="00301830"/>
    <w:rsid w:val="00301E90"/>
    <w:rsid w:val="00301EC6"/>
    <w:rsid w:val="00301EF8"/>
    <w:rsid w:val="00301F3F"/>
    <w:rsid w:val="00302293"/>
    <w:rsid w:val="003023B7"/>
    <w:rsid w:val="00302493"/>
    <w:rsid w:val="003024B2"/>
    <w:rsid w:val="003024E9"/>
    <w:rsid w:val="00302535"/>
    <w:rsid w:val="00302576"/>
    <w:rsid w:val="00302680"/>
    <w:rsid w:val="0030270C"/>
    <w:rsid w:val="0030273B"/>
    <w:rsid w:val="003027B7"/>
    <w:rsid w:val="00302844"/>
    <w:rsid w:val="00302877"/>
    <w:rsid w:val="00302961"/>
    <w:rsid w:val="00302A13"/>
    <w:rsid w:val="00302A39"/>
    <w:rsid w:val="00302A63"/>
    <w:rsid w:val="00302AF1"/>
    <w:rsid w:val="00302BC9"/>
    <w:rsid w:val="00302DBE"/>
    <w:rsid w:val="00302F1D"/>
    <w:rsid w:val="00303067"/>
    <w:rsid w:val="00303078"/>
    <w:rsid w:val="003030E3"/>
    <w:rsid w:val="00303241"/>
    <w:rsid w:val="003032FD"/>
    <w:rsid w:val="0030333F"/>
    <w:rsid w:val="00303396"/>
    <w:rsid w:val="00303509"/>
    <w:rsid w:val="0030352A"/>
    <w:rsid w:val="00303560"/>
    <w:rsid w:val="003035F1"/>
    <w:rsid w:val="00303620"/>
    <w:rsid w:val="00303896"/>
    <w:rsid w:val="00303907"/>
    <w:rsid w:val="00303997"/>
    <w:rsid w:val="00303ACA"/>
    <w:rsid w:val="00303AE2"/>
    <w:rsid w:val="00303C54"/>
    <w:rsid w:val="00303CF8"/>
    <w:rsid w:val="00303D84"/>
    <w:rsid w:val="00303DD5"/>
    <w:rsid w:val="00303DE8"/>
    <w:rsid w:val="00303F03"/>
    <w:rsid w:val="00303FAF"/>
    <w:rsid w:val="0030402A"/>
    <w:rsid w:val="003040B5"/>
    <w:rsid w:val="003040CD"/>
    <w:rsid w:val="003040FD"/>
    <w:rsid w:val="00304114"/>
    <w:rsid w:val="003042B7"/>
    <w:rsid w:val="00304391"/>
    <w:rsid w:val="0030439F"/>
    <w:rsid w:val="00304416"/>
    <w:rsid w:val="003044B6"/>
    <w:rsid w:val="00304559"/>
    <w:rsid w:val="00304570"/>
    <w:rsid w:val="00304586"/>
    <w:rsid w:val="003046A8"/>
    <w:rsid w:val="003046D8"/>
    <w:rsid w:val="003047D8"/>
    <w:rsid w:val="003048A4"/>
    <w:rsid w:val="00304A7C"/>
    <w:rsid w:val="00304ABC"/>
    <w:rsid w:val="00304AD3"/>
    <w:rsid w:val="00304B14"/>
    <w:rsid w:val="00304B58"/>
    <w:rsid w:val="00304C34"/>
    <w:rsid w:val="00304CA2"/>
    <w:rsid w:val="00304E2F"/>
    <w:rsid w:val="00304F01"/>
    <w:rsid w:val="003050D1"/>
    <w:rsid w:val="00305135"/>
    <w:rsid w:val="0030529A"/>
    <w:rsid w:val="003052BB"/>
    <w:rsid w:val="00305316"/>
    <w:rsid w:val="00305351"/>
    <w:rsid w:val="0030537C"/>
    <w:rsid w:val="003053AB"/>
    <w:rsid w:val="003053F6"/>
    <w:rsid w:val="003054BE"/>
    <w:rsid w:val="003054EC"/>
    <w:rsid w:val="003055FB"/>
    <w:rsid w:val="0030562E"/>
    <w:rsid w:val="00305670"/>
    <w:rsid w:val="003057B2"/>
    <w:rsid w:val="00305801"/>
    <w:rsid w:val="003058D8"/>
    <w:rsid w:val="00305901"/>
    <w:rsid w:val="00305970"/>
    <w:rsid w:val="003059FC"/>
    <w:rsid w:val="00305A50"/>
    <w:rsid w:val="00305C32"/>
    <w:rsid w:val="00305C69"/>
    <w:rsid w:val="00305D22"/>
    <w:rsid w:val="00305F3D"/>
    <w:rsid w:val="00305FBC"/>
    <w:rsid w:val="00306029"/>
    <w:rsid w:val="0030611D"/>
    <w:rsid w:val="00306141"/>
    <w:rsid w:val="003061CE"/>
    <w:rsid w:val="0030634E"/>
    <w:rsid w:val="0030654B"/>
    <w:rsid w:val="0030655F"/>
    <w:rsid w:val="003065A0"/>
    <w:rsid w:val="00306849"/>
    <w:rsid w:val="0030684E"/>
    <w:rsid w:val="00306901"/>
    <w:rsid w:val="0030692A"/>
    <w:rsid w:val="0030696E"/>
    <w:rsid w:val="00306A3A"/>
    <w:rsid w:val="00306D32"/>
    <w:rsid w:val="00306D94"/>
    <w:rsid w:val="00306DDD"/>
    <w:rsid w:val="00306E4F"/>
    <w:rsid w:val="00306F0B"/>
    <w:rsid w:val="00307335"/>
    <w:rsid w:val="003073AB"/>
    <w:rsid w:val="003073C8"/>
    <w:rsid w:val="00307497"/>
    <w:rsid w:val="003075D9"/>
    <w:rsid w:val="0030765E"/>
    <w:rsid w:val="00307800"/>
    <w:rsid w:val="00307961"/>
    <w:rsid w:val="003079BD"/>
    <w:rsid w:val="00307A08"/>
    <w:rsid w:val="00307A0D"/>
    <w:rsid w:val="00307B7D"/>
    <w:rsid w:val="00307B85"/>
    <w:rsid w:val="00307C88"/>
    <w:rsid w:val="00307DF5"/>
    <w:rsid w:val="00310175"/>
    <w:rsid w:val="0031024B"/>
    <w:rsid w:val="00310311"/>
    <w:rsid w:val="00310314"/>
    <w:rsid w:val="00310331"/>
    <w:rsid w:val="00310350"/>
    <w:rsid w:val="00310457"/>
    <w:rsid w:val="0031049A"/>
    <w:rsid w:val="00310589"/>
    <w:rsid w:val="003105AB"/>
    <w:rsid w:val="0031070E"/>
    <w:rsid w:val="00310826"/>
    <w:rsid w:val="00310832"/>
    <w:rsid w:val="0031090E"/>
    <w:rsid w:val="003109DC"/>
    <w:rsid w:val="00310A20"/>
    <w:rsid w:val="00310A7B"/>
    <w:rsid w:val="00310A7C"/>
    <w:rsid w:val="00310B89"/>
    <w:rsid w:val="00310CC6"/>
    <w:rsid w:val="00310D49"/>
    <w:rsid w:val="00310DC5"/>
    <w:rsid w:val="00310E12"/>
    <w:rsid w:val="00310F20"/>
    <w:rsid w:val="00310FF0"/>
    <w:rsid w:val="0031106C"/>
    <w:rsid w:val="003110DC"/>
    <w:rsid w:val="003114B5"/>
    <w:rsid w:val="003114E9"/>
    <w:rsid w:val="00311509"/>
    <w:rsid w:val="003115AA"/>
    <w:rsid w:val="00311838"/>
    <w:rsid w:val="003118BB"/>
    <w:rsid w:val="00311949"/>
    <w:rsid w:val="0031194F"/>
    <w:rsid w:val="00311962"/>
    <w:rsid w:val="00311A22"/>
    <w:rsid w:val="00311A4E"/>
    <w:rsid w:val="00311B1F"/>
    <w:rsid w:val="00311C2D"/>
    <w:rsid w:val="00311F7F"/>
    <w:rsid w:val="00311FE7"/>
    <w:rsid w:val="003121CC"/>
    <w:rsid w:val="0031220A"/>
    <w:rsid w:val="00312328"/>
    <w:rsid w:val="003123D2"/>
    <w:rsid w:val="0031240F"/>
    <w:rsid w:val="0031247B"/>
    <w:rsid w:val="003124BC"/>
    <w:rsid w:val="0031263B"/>
    <w:rsid w:val="00312675"/>
    <w:rsid w:val="00312785"/>
    <w:rsid w:val="00312813"/>
    <w:rsid w:val="0031298E"/>
    <w:rsid w:val="00312A1B"/>
    <w:rsid w:val="00312A8F"/>
    <w:rsid w:val="00312AAD"/>
    <w:rsid w:val="00312BCC"/>
    <w:rsid w:val="00312C2C"/>
    <w:rsid w:val="00312C86"/>
    <w:rsid w:val="00312DBF"/>
    <w:rsid w:val="00312DE6"/>
    <w:rsid w:val="00312EAE"/>
    <w:rsid w:val="00312FE7"/>
    <w:rsid w:val="0031305F"/>
    <w:rsid w:val="003130C1"/>
    <w:rsid w:val="0031315A"/>
    <w:rsid w:val="0031318D"/>
    <w:rsid w:val="00313261"/>
    <w:rsid w:val="0031329F"/>
    <w:rsid w:val="003132C3"/>
    <w:rsid w:val="0031361C"/>
    <w:rsid w:val="00313629"/>
    <w:rsid w:val="00313847"/>
    <w:rsid w:val="00313858"/>
    <w:rsid w:val="003138A0"/>
    <w:rsid w:val="00313A19"/>
    <w:rsid w:val="00313ABF"/>
    <w:rsid w:val="00313C73"/>
    <w:rsid w:val="00313CEC"/>
    <w:rsid w:val="003140FB"/>
    <w:rsid w:val="00314126"/>
    <w:rsid w:val="00314152"/>
    <w:rsid w:val="003141C2"/>
    <w:rsid w:val="0031421F"/>
    <w:rsid w:val="00314285"/>
    <w:rsid w:val="0031432A"/>
    <w:rsid w:val="00314449"/>
    <w:rsid w:val="00314456"/>
    <w:rsid w:val="003144F2"/>
    <w:rsid w:val="003148DE"/>
    <w:rsid w:val="0031494D"/>
    <w:rsid w:val="00314984"/>
    <w:rsid w:val="003149F4"/>
    <w:rsid w:val="00314A23"/>
    <w:rsid w:val="00314A7E"/>
    <w:rsid w:val="00314A81"/>
    <w:rsid w:val="00314AD9"/>
    <w:rsid w:val="00314BEC"/>
    <w:rsid w:val="00314CB0"/>
    <w:rsid w:val="00314D32"/>
    <w:rsid w:val="00314DD2"/>
    <w:rsid w:val="00314F7B"/>
    <w:rsid w:val="003150A7"/>
    <w:rsid w:val="00315178"/>
    <w:rsid w:val="00315252"/>
    <w:rsid w:val="003155C7"/>
    <w:rsid w:val="003155E9"/>
    <w:rsid w:val="00315606"/>
    <w:rsid w:val="0031561D"/>
    <w:rsid w:val="0031568C"/>
    <w:rsid w:val="003156E0"/>
    <w:rsid w:val="003156F9"/>
    <w:rsid w:val="003157BC"/>
    <w:rsid w:val="003157C2"/>
    <w:rsid w:val="003157E5"/>
    <w:rsid w:val="00315834"/>
    <w:rsid w:val="00315A17"/>
    <w:rsid w:val="00315A24"/>
    <w:rsid w:val="00315A2B"/>
    <w:rsid w:val="00315C92"/>
    <w:rsid w:val="00315D56"/>
    <w:rsid w:val="00315FC6"/>
    <w:rsid w:val="00316008"/>
    <w:rsid w:val="00316079"/>
    <w:rsid w:val="00316084"/>
    <w:rsid w:val="00316091"/>
    <w:rsid w:val="003161ED"/>
    <w:rsid w:val="00316296"/>
    <w:rsid w:val="0031648B"/>
    <w:rsid w:val="00316510"/>
    <w:rsid w:val="00316519"/>
    <w:rsid w:val="00316564"/>
    <w:rsid w:val="003165ED"/>
    <w:rsid w:val="003165F8"/>
    <w:rsid w:val="0031660E"/>
    <w:rsid w:val="0031679D"/>
    <w:rsid w:val="003167FB"/>
    <w:rsid w:val="0031683F"/>
    <w:rsid w:val="00316862"/>
    <w:rsid w:val="00316868"/>
    <w:rsid w:val="003168F8"/>
    <w:rsid w:val="00316B0D"/>
    <w:rsid w:val="00316E1A"/>
    <w:rsid w:val="00316FBE"/>
    <w:rsid w:val="00317013"/>
    <w:rsid w:val="0031714F"/>
    <w:rsid w:val="0031726F"/>
    <w:rsid w:val="0031733C"/>
    <w:rsid w:val="003173A1"/>
    <w:rsid w:val="003173D0"/>
    <w:rsid w:val="00317418"/>
    <w:rsid w:val="00317463"/>
    <w:rsid w:val="00317482"/>
    <w:rsid w:val="00317571"/>
    <w:rsid w:val="00317658"/>
    <w:rsid w:val="0031771F"/>
    <w:rsid w:val="003177DB"/>
    <w:rsid w:val="00317803"/>
    <w:rsid w:val="0031783D"/>
    <w:rsid w:val="0031787F"/>
    <w:rsid w:val="0031788D"/>
    <w:rsid w:val="0031794D"/>
    <w:rsid w:val="00317A00"/>
    <w:rsid w:val="00317A02"/>
    <w:rsid w:val="00317C63"/>
    <w:rsid w:val="00317D5D"/>
    <w:rsid w:val="00317D6D"/>
    <w:rsid w:val="00317E7F"/>
    <w:rsid w:val="00317F54"/>
    <w:rsid w:val="00317F60"/>
    <w:rsid w:val="00317FC5"/>
    <w:rsid w:val="00320041"/>
    <w:rsid w:val="003200B1"/>
    <w:rsid w:val="0032011B"/>
    <w:rsid w:val="00320499"/>
    <w:rsid w:val="0032063D"/>
    <w:rsid w:val="003206FB"/>
    <w:rsid w:val="0032073B"/>
    <w:rsid w:val="003209B1"/>
    <w:rsid w:val="00320ACD"/>
    <w:rsid w:val="00320B2B"/>
    <w:rsid w:val="00320D59"/>
    <w:rsid w:val="00320DDD"/>
    <w:rsid w:val="00320E9F"/>
    <w:rsid w:val="00320ECA"/>
    <w:rsid w:val="00320FFC"/>
    <w:rsid w:val="00321071"/>
    <w:rsid w:val="003210B3"/>
    <w:rsid w:val="00321111"/>
    <w:rsid w:val="0032116C"/>
    <w:rsid w:val="003211A7"/>
    <w:rsid w:val="00321248"/>
    <w:rsid w:val="003212AB"/>
    <w:rsid w:val="00321371"/>
    <w:rsid w:val="00321505"/>
    <w:rsid w:val="0032154F"/>
    <w:rsid w:val="00321592"/>
    <w:rsid w:val="003215AD"/>
    <w:rsid w:val="003216A9"/>
    <w:rsid w:val="0032170B"/>
    <w:rsid w:val="00321722"/>
    <w:rsid w:val="0032177B"/>
    <w:rsid w:val="003217F0"/>
    <w:rsid w:val="003217F9"/>
    <w:rsid w:val="0032181B"/>
    <w:rsid w:val="0032193C"/>
    <w:rsid w:val="00321A96"/>
    <w:rsid w:val="00321AB7"/>
    <w:rsid w:val="00321B01"/>
    <w:rsid w:val="00321B61"/>
    <w:rsid w:val="00321BFF"/>
    <w:rsid w:val="00321C0C"/>
    <w:rsid w:val="00321CAD"/>
    <w:rsid w:val="00321CE3"/>
    <w:rsid w:val="00321D09"/>
    <w:rsid w:val="00322123"/>
    <w:rsid w:val="00322137"/>
    <w:rsid w:val="00322334"/>
    <w:rsid w:val="003223CD"/>
    <w:rsid w:val="003223E0"/>
    <w:rsid w:val="0032259C"/>
    <w:rsid w:val="00322656"/>
    <w:rsid w:val="0032274B"/>
    <w:rsid w:val="00322912"/>
    <w:rsid w:val="003229B5"/>
    <w:rsid w:val="00322AD2"/>
    <w:rsid w:val="00322ADC"/>
    <w:rsid w:val="00322E3E"/>
    <w:rsid w:val="00322F75"/>
    <w:rsid w:val="00322FA9"/>
    <w:rsid w:val="00323196"/>
    <w:rsid w:val="003232B2"/>
    <w:rsid w:val="00323399"/>
    <w:rsid w:val="0032346A"/>
    <w:rsid w:val="00323484"/>
    <w:rsid w:val="003234D4"/>
    <w:rsid w:val="0032359D"/>
    <w:rsid w:val="003235B8"/>
    <w:rsid w:val="003235F7"/>
    <w:rsid w:val="0032360A"/>
    <w:rsid w:val="00323640"/>
    <w:rsid w:val="00323819"/>
    <w:rsid w:val="003238D5"/>
    <w:rsid w:val="003238D8"/>
    <w:rsid w:val="00323AC8"/>
    <w:rsid w:val="00323AEF"/>
    <w:rsid w:val="00323C26"/>
    <w:rsid w:val="00323C74"/>
    <w:rsid w:val="00323E0F"/>
    <w:rsid w:val="00323EAE"/>
    <w:rsid w:val="0032403B"/>
    <w:rsid w:val="00324231"/>
    <w:rsid w:val="00324313"/>
    <w:rsid w:val="0032435C"/>
    <w:rsid w:val="003243B8"/>
    <w:rsid w:val="0032446B"/>
    <w:rsid w:val="0032446F"/>
    <w:rsid w:val="003244E2"/>
    <w:rsid w:val="003245B3"/>
    <w:rsid w:val="003246DF"/>
    <w:rsid w:val="0032486E"/>
    <w:rsid w:val="003248CD"/>
    <w:rsid w:val="00324A03"/>
    <w:rsid w:val="00324AD7"/>
    <w:rsid w:val="00324B42"/>
    <w:rsid w:val="00324B97"/>
    <w:rsid w:val="00324BE6"/>
    <w:rsid w:val="00324CF3"/>
    <w:rsid w:val="00324D87"/>
    <w:rsid w:val="00324DF0"/>
    <w:rsid w:val="00324E36"/>
    <w:rsid w:val="00324ED6"/>
    <w:rsid w:val="00324F06"/>
    <w:rsid w:val="00324F62"/>
    <w:rsid w:val="00325043"/>
    <w:rsid w:val="00325113"/>
    <w:rsid w:val="00325143"/>
    <w:rsid w:val="00325155"/>
    <w:rsid w:val="003251DF"/>
    <w:rsid w:val="003252B2"/>
    <w:rsid w:val="0032539E"/>
    <w:rsid w:val="0032559F"/>
    <w:rsid w:val="003255A1"/>
    <w:rsid w:val="003255E3"/>
    <w:rsid w:val="00325692"/>
    <w:rsid w:val="003256D6"/>
    <w:rsid w:val="00325709"/>
    <w:rsid w:val="0032590F"/>
    <w:rsid w:val="0032595A"/>
    <w:rsid w:val="003259E4"/>
    <w:rsid w:val="00325A33"/>
    <w:rsid w:val="00325A82"/>
    <w:rsid w:val="00325AC7"/>
    <w:rsid w:val="00325AFA"/>
    <w:rsid w:val="00325B0A"/>
    <w:rsid w:val="00325B1A"/>
    <w:rsid w:val="00325C17"/>
    <w:rsid w:val="00325C20"/>
    <w:rsid w:val="00325C96"/>
    <w:rsid w:val="00325CFF"/>
    <w:rsid w:val="00325D4E"/>
    <w:rsid w:val="00325E55"/>
    <w:rsid w:val="00325EB7"/>
    <w:rsid w:val="00326039"/>
    <w:rsid w:val="003260FC"/>
    <w:rsid w:val="00326159"/>
    <w:rsid w:val="003262B7"/>
    <w:rsid w:val="003262EF"/>
    <w:rsid w:val="00326321"/>
    <w:rsid w:val="00326395"/>
    <w:rsid w:val="003265CB"/>
    <w:rsid w:val="00326647"/>
    <w:rsid w:val="0032668A"/>
    <w:rsid w:val="003266FA"/>
    <w:rsid w:val="0032686B"/>
    <w:rsid w:val="0032697A"/>
    <w:rsid w:val="00326983"/>
    <w:rsid w:val="003269CE"/>
    <w:rsid w:val="00326A63"/>
    <w:rsid w:val="00326BD7"/>
    <w:rsid w:val="00326C47"/>
    <w:rsid w:val="00326C52"/>
    <w:rsid w:val="00326CD3"/>
    <w:rsid w:val="00326D94"/>
    <w:rsid w:val="00326DD5"/>
    <w:rsid w:val="00326E63"/>
    <w:rsid w:val="00326F5E"/>
    <w:rsid w:val="00326FC0"/>
    <w:rsid w:val="00326FC7"/>
    <w:rsid w:val="00327015"/>
    <w:rsid w:val="00327097"/>
    <w:rsid w:val="003270CC"/>
    <w:rsid w:val="003271C5"/>
    <w:rsid w:val="00327427"/>
    <w:rsid w:val="0032759D"/>
    <w:rsid w:val="0032767D"/>
    <w:rsid w:val="003276C9"/>
    <w:rsid w:val="00327721"/>
    <w:rsid w:val="00327753"/>
    <w:rsid w:val="0032787F"/>
    <w:rsid w:val="00327907"/>
    <w:rsid w:val="00327913"/>
    <w:rsid w:val="003279DF"/>
    <w:rsid w:val="00327AD3"/>
    <w:rsid w:val="00327B57"/>
    <w:rsid w:val="00327B81"/>
    <w:rsid w:val="00327BF3"/>
    <w:rsid w:val="00327C14"/>
    <w:rsid w:val="00327D7C"/>
    <w:rsid w:val="00327E2C"/>
    <w:rsid w:val="00327E3D"/>
    <w:rsid w:val="00327F85"/>
    <w:rsid w:val="00327FA5"/>
    <w:rsid w:val="00327FD0"/>
    <w:rsid w:val="00330009"/>
    <w:rsid w:val="00330067"/>
    <w:rsid w:val="003303CE"/>
    <w:rsid w:val="0033059A"/>
    <w:rsid w:val="003305D2"/>
    <w:rsid w:val="00330682"/>
    <w:rsid w:val="003306FA"/>
    <w:rsid w:val="00330761"/>
    <w:rsid w:val="00330799"/>
    <w:rsid w:val="003308DB"/>
    <w:rsid w:val="003308EF"/>
    <w:rsid w:val="00330AE5"/>
    <w:rsid w:val="00330B7A"/>
    <w:rsid w:val="00330BCF"/>
    <w:rsid w:val="00330CE9"/>
    <w:rsid w:val="00330D2F"/>
    <w:rsid w:val="00330E02"/>
    <w:rsid w:val="00330EAB"/>
    <w:rsid w:val="00330F0A"/>
    <w:rsid w:val="00330F0D"/>
    <w:rsid w:val="00330F71"/>
    <w:rsid w:val="00331022"/>
    <w:rsid w:val="0033103D"/>
    <w:rsid w:val="00331077"/>
    <w:rsid w:val="00331111"/>
    <w:rsid w:val="003311A9"/>
    <w:rsid w:val="00331242"/>
    <w:rsid w:val="00331252"/>
    <w:rsid w:val="003312E2"/>
    <w:rsid w:val="00331317"/>
    <w:rsid w:val="0033134F"/>
    <w:rsid w:val="0033135F"/>
    <w:rsid w:val="003313D8"/>
    <w:rsid w:val="0033158F"/>
    <w:rsid w:val="003315D0"/>
    <w:rsid w:val="00331636"/>
    <w:rsid w:val="0033167D"/>
    <w:rsid w:val="003316CE"/>
    <w:rsid w:val="0033177B"/>
    <w:rsid w:val="0033181D"/>
    <w:rsid w:val="00331864"/>
    <w:rsid w:val="00331B20"/>
    <w:rsid w:val="00331ECC"/>
    <w:rsid w:val="00331EDE"/>
    <w:rsid w:val="00332125"/>
    <w:rsid w:val="00332173"/>
    <w:rsid w:val="003322FE"/>
    <w:rsid w:val="0033243A"/>
    <w:rsid w:val="003324DB"/>
    <w:rsid w:val="003324E4"/>
    <w:rsid w:val="003325AF"/>
    <w:rsid w:val="003325B0"/>
    <w:rsid w:val="003326E2"/>
    <w:rsid w:val="003327B1"/>
    <w:rsid w:val="00332808"/>
    <w:rsid w:val="003328B7"/>
    <w:rsid w:val="003328F0"/>
    <w:rsid w:val="003329AF"/>
    <w:rsid w:val="003329EB"/>
    <w:rsid w:val="00332ABE"/>
    <w:rsid w:val="00332B07"/>
    <w:rsid w:val="00332C92"/>
    <w:rsid w:val="00332CD7"/>
    <w:rsid w:val="00332D6F"/>
    <w:rsid w:val="00332D83"/>
    <w:rsid w:val="00332D88"/>
    <w:rsid w:val="00332E19"/>
    <w:rsid w:val="00332E46"/>
    <w:rsid w:val="00332F63"/>
    <w:rsid w:val="00332FDD"/>
    <w:rsid w:val="0033313B"/>
    <w:rsid w:val="003332D0"/>
    <w:rsid w:val="00333347"/>
    <w:rsid w:val="0033334A"/>
    <w:rsid w:val="003333CB"/>
    <w:rsid w:val="00333421"/>
    <w:rsid w:val="003334D6"/>
    <w:rsid w:val="0033397C"/>
    <w:rsid w:val="003339C8"/>
    <w:rsid w:val="003339DC"/>
    <w:rsid w:val="00333AB8"/>
    <w:rsid w:val="00333B1F"/>
    <w:rsid w:val="00333BFA"/>
    <w:rsid w:val="00333C34"/>
    <w:rsid w:val="00333C4E"/>
    <w:rsid w:val="00333CB9"/>
    <w:rsid w:val="00333FF4"/>
    <w:rsid w:val="00334008"/>
    <w:rsid w:val="00334058"/>
    <w:rsid w:val="003340BA"/>
    <w:rsid w:val="0033411A"/>
    <w:rsid w:val="00334126"/>
    <w:rsid w:val="003341EA"/>
    <w:rsid w:val="00334273"/>
    <w:rsid w:val="00334560"/>
    <w:rsid w:val="00334830"/>
    <w:rsid w:val="0033486E"/>
    <w:rsid w:val="003348C2"/>
    <w:rsid w:val="003349E1"/>
    <w:rsid w:val="00334A80"/>
    <w:rsid w:val="00334B8A"/>
    <w:rsid w:val="00334BEC"/>
    <w:rsid w:val="00334CDE"/>
    <w:rsid w:val="00334DF6"/>
    <w:rsid w:val="00334DFD"/>
    <w:rsid w:val="00334E12"/>
    <w:rsid w:val="00334E62"/>
    <w:rsid w:val="00335025"/>
    <w:rsid w:val="003351F5"/>
    <w:rsid w:val="00335300"/>
    <w:rsid w:val="0033530E"/>
    <w:rsid w:val="0033531F"/>
    <w:rsid w:val="0033532A"/>
    <w:rsid w:val="003353D1"/>
    <w:rsid w:val="0033542E"/>
    <w:rsid w:val="00335450"/>
    <w:rsid w:val="00335626"/>
    <w:rsid w:val="00335670"/>
    <w:rsid w:val="00335682"/>
    <w:rsid w:val="003357C7"/>
    <w:rsid w:val="00335888"/>
    <w:rsid w:val="00335A6B"/>
    <w:rsid w:val="00335A7A"/>
    <w:rsid w:val="00335A8A"/>
    <w:rsid w:val="00335ADF"/>
    <w:rsid w:val="00335AE7"/>
    <w:rsid w:val="00335B56"/>
    <w:rsid w:val="00335C42"/>
    <w:rsid w:val="00335C9D"/>
    <w:rsid w:val="00335E99"/>
    <w:rsid w:val="0033600B"/>
    <w:rsid w:val="00336028"/>
    <w:rsid w:val="00336081"/>
    <w:rsid w:val="0033612E"/>
    <w:rsid w:val="00336132"/>
    <w:rsid w:val="003361D2"/>
    <w:rsid w:val="003363EF"/>
    <w:rsid w:val="00336436"/>
    <w:rsid w:val="00336450"/>
    <w:rsid w:val="003366A8"/>
    <w:rsid w:val="00336721"/>
    <w:rsid w:val="003367D1"/>
    <w:rsid w:val="00336831"/>
    <w:rsid w:val="00336987"/>
    <w:rsid w:val="00336B23"/>
    <w:rsid w:val="00336B6D"/>
    <w:rsid w:val="00336BFB"/>
    <w:rsid w:val="00336CD4"/>
    <w:rsid w:val="00336E17"/>
    <w:rsid w:val="00336EE2"/>
    <w:rsid w:val="00336F24"/>
    <w:rsid w:val="003370C5"/>
    <w:rsid w:val="00337168"/>
    <w:rsid w:val="003371E3"/>
    <w:rsid w:val="0033738A"/>
    <w:rsid w:val="003373D2"/>
    <w:rsid w:val="003373D4"/>
    <w:rsid w:val="003374BA"/>
    <w:rsid w:val="00337540"/>
    <w:rsid w:val="0033769A"/>
    <w:rsid w:val="00337789"/>
    <w:rsid w:val="003377B6"/>
    <w:rsid w:val="003377F1"/>
    <w:rsid w:val="00337811"/>
    <w:rsid w:val="00337889"/>
    <w:rsid w:val="0033797A"/>
    <w:rsid w:val="00337982"/>
    <w:rsid w:val="00337A61"/>
    <w:rsid w:val="00337AF4"/>
    <w:rsid w:val="00337AFB"/>
    <w:rsid w:val="00337C42"/>
    <w:rsid w:val="00337C4F"/>
    <w:rsid w:val="00337D1B"/>
    <w:rsid w:val="00337DA8"/>
    <w:rsid w:val="00337E6B"/>
    <w:rsid w:val="00337E75"/>
    <w:rsid w:val="00337F20"/>
    <w:rsid w:val="00337F4A"/>
    <w:rsid w:val="00337F55"/>
    <w:rsid w:val="00337FD3"/>
    <w:rsid w:val="0034023D"/>
    <w:rsid w:val="00340246"/>
    <w:rsid w:val="0034032E"/>
    <w:rsid w:val="003405C7"/>
    <w:rsid w:val="003405CA"/>
    <w:rsid w:val="00340649"/>
    <w:rsid w:val="0034066A"/>
    <w:rsid w:val="00340773"/>
    <w:rsid w:val="00340857"/>
    <w:rsid w:val="0034089C"/>
    <w:rsid w:val="003409F1"/>
    <w:rsid w:val="00340A2A"/>
    <w:rsid w:val="00340A61"/>
    <w:rsid w:val="00340A9A"/>
    <w:rsid w:val="00340ABB"/>
    <w:rsid w:val="00340AC2"/>
    <w:rsid w:val="00340AED"/>
    <w:rsid w:val="00340B7C"/>
    <w:rsid w:val="00340CFC"/>
    <w:rsid w:val="00340D18"/>
    <w:rsid w:val="00340FCD"/>
    <w:rsid w:val="00340FEC"/>
    <w:rsid w:val="00341006"/>
    <w:rsid w:val="003410B3"/>
    <w:rsid w:val="0034118E"/>
    <w:rsid w:val="0034129E"/>
    <w:rsid w:val="003412BA"/>
    <w:rsid w:val="003412FF"/>
    <w:rsid w:val="0034130E"/>
    <w:rsid w:val="0034142E"/>
    <w:rsid w:val="0034142F"/>
    <w:rsid w:val="00341430"/>
    <w:rsid w:val="0034148F"/>
    <w:rsid w:val="00341550"/>
    <w:rsid w:val="0034162F"/>
    <w:rsid w:val="003416AD"/>
    <w:rsid w:val="00341746"/>
    <w:rsid w:val="003418F5"/>
    <w:rsid w:val="003419C7"/>
    <w:rsid w:val="003419F4"/>
    <w:rsid w:val="00341A3D"/>
    <w:rsid w:val="00341AF3"/>
    <w:rsid w:val="00341D1B"/>
    <w:rsid w:val="00341D2E"/>
    <w:rsid w:val="00341E19"/>
    <w:rsid w:val="00341E80"/>
    <w:rsid w:val="00341EA9"/>
    <w:rsid w:val="00341ED3"/>
    <w:rsid w:val="00342019"/>
    <w:rsid w:val="003421F3"/>
    <w:rsid w:val="00342269"/>
    <w:rsid w:val="0034234D"/>
    <w:rsid w:val="003423FB"/>
    <w:rsid w:val="0034245D"/>
    <w:rsid w:val="0034250A"/>
    <w:rsid w:val="003425BF"/>
    <w:rsid w:val="003425FB"/>
    <w:rsid w:val="003425FD"/>
    <w:rsid w:val="00342640"/>
    <w:rsid w:val="0034273F"/>
    <w:rsid w:val="003427E1"/>
    <w:rsid w:val="003427EC"/>
    <w:rsid w:val="00342816"/>
    <w:rsid w:val="003428A8"/>
    <w:rsid w:val="003428C9"/>
    <w:rsid w:val="003429A5"/>
    <w:rsid w:val="00342B34"/>
    <w:rsid w:val="00342B77"/>
    <w:rsid w:val="00342C66"/>
    <w:rsid w:val="00342C95"/>
    <w:rsid w:val="00342EE9"/>
    <w:rsid w:val="0034303F"/>
    <w:rsid w:val="003430B2"/>
    <w:rsid w:val="003432F5"/>
    <w:rsid w:val="00343301"/>
    <w:rsid w:val="003436CA"/>
    <w:rsid w:val="00343758"/>
    <w:rsid w:val="00343759"/>
    <w:rsid w:val="0034386B"/>
    <w:rsid w:val="0034387F"/>
    <w:rsid w:val="00343A56"/>
    <w:rsid w:val="00343B96"/>
    <w:rsid w:val="00343CE6"/>
    <w:rsid w:val="00343D1F"/>
    <w:rsid w:val="00343D32"/>
    <w:rsid w:val="00343D97"/>
    <w:rsid w:val="00343DDB"/>
    <w:rsid w:val="00343E29"/>
    <w:rsid w:val="00343E86"/>
    <w:rsid w:val="00343ED0"/>
    <w:rsid w:val="00343F70"/>
    <w:rsid w:val="00344074"/>
    <w:rsid w:val="00344084"/>
    <w:rsid w:val="00344108"/>
    <w:rsid w:val="00344198"/>
    <w:rsid w:val="003441AF"/>
    <w:rsid w:val="003441B3"/>
    <w:rsid w:val="00344360"/>
    <w:rsid w:val="00344640"/>
    <w:rsid w:val="00344671"/>
    <w:rsid w:val="00344716"/>
    <w:rsid w:val="0034476B"/>
    <w:rsid w:val="00344847"/>
    <w:rsid w:val="00344B35"/>
    <w:rsid w:val="00344B45"/>
    <w:rsid w:val="00344CE5"/>
    <w:rsid w:val="00344CFA"/>
    <w:rsid w:val="00344DA7"/>
    <w:rsid w:val="00344E09"/>
    <w:rsid w:val="00344EC9"/>
    <w:rsid w:val="00344F79"/>
    <w:rsid w:val="00344FDE"/>
    <w:rsid w:val="0034535A"/>
    <w:rsid w:val="003453CE"/>
    <w:rsid w:val="003456AF"/>
    <w:rsid w:val="0034573E"/>
    <w:rsid w:val="003457B9"/>
    <w:rsid w:val="003457F4"/>
    <w:rsid w:val="0034580B"/>
    <w:rsid w:val="00345838"/>
    <w:rsid w:val="0034594A"/>
    <w:rsid w:val="003459D3"/>
    <w:rsid w:val="00345A0D"/>
    <w:rsid w:val="00345C6C"/>
    <w:rsid w:val="00345CA0"/>
    <w:rsid w:val="00345CCD"/>
    <w:rsid w:val="00345CE4"/>
    <w:rsid w:val="00345CFF"/>
    <w:rsid w:val="00345E44"/>
    <w:rsid w:val="00345FFF"/>
    <w:rsid w:val="003460A9"/>
    <w:rsid w:val="00346177"/>
    <w:rsid w:val="003463D5"/>
    <w:rsid w:val="0034648A"/>
    <w:rsid w:val="003464DE"/>
    <w:rsid w:val="003466F1"/>
    <w:rsid w:val="003467A8"/>
    <w:rsid w:val="0034686F"/>
    <w:rsid w:val="00346A4A"/>
    <w:rsid w:val="00346C0B"/>
    <w:rsid w:val="00346D5A"/>
    <w:rsid w:val="00346D82"/>
    <w:rsid w:val="00346E7A"/>
    <w:rsid w:val="00347037"/>
    <w:rsid w:val="003470B8"/>
    <w:rsid w:val="003470DC"/>
    <w:rsid w:val="003470E9"/>
    <w:rsid w:val="00347130"/>
    <w:rsid w:val="003471A1"/>
    <w:rsid w:val="0034735E"/>
    <w:rsid w:val="003474CF"/>
    <w:rsid w:val="00347545"/>
    <w:rsid w:val="003475CE"/>
    <w:rsid w:val="003475E4"/>
    <w:rsid w:val="0034770A"/>
    <w:rsid w:val="0034770C"/>
    <w:rsid w:val="0034788C"/>
    <w:rsid w:val="0034788E"/>
    <w:rsid w:val="0034794D"/>
    <w:rsid w:val="00347B5A"/>
    <w:rsid w:val="00347BA0"/>
    <w:rsid w:val="00347ECB"/>
    <w:rsid w:val="00347F76"/>
    <w:rsid w:val="003500C4"/>
    <w:rsid w:val="0035049C"/>
    <w:rsid w:val="00350544"/>
    <w:rsid w:val="003505E6"/>
    <w:rsid w:val="00350785"/>
    <w:rsid w:val="0035091E"/>
    <w:rsid w:val="00350976"/>
    <w:rsid w:val="003509D7"/>
    <w:rsid w:val="00350A54"/>
    <w:rsid w:val="00350B11"/>
    <w:rsid w:val="00350B63"/>
    <w:rsid w:val="00350E35"/>
    <w:rsid w:val="00350EDB"/>
    <w:rsid w:val="00350FA5"/>
    <w:rsid w:val="00351046"/>
    <w:rsid w:val="003510A6"/>
    <w:rsid w:val="003511F9"/>
    <w:rsid w:val="003512FD"/>
    <w:rsid w:val="003513D9"/>
    <w:rsid w:val="003513F9"/>
    <w:rsid w:val="0035153F"/>
    <w:rsid w:val="0035169C"/>
    <w:rsid w:val="00351761"/>
    <w:rsid w:val="0035178E"/>
    <w:rsid w:val="003518CE"/>
    <w:rsid w:val="00351B09"/>
    <w:rsid w:val="00351B59"/>
    <w:rsid w:val="00351B93"/>
    <w:rsid w:val="00351BB3"/>
    <w:rsid w:val="00351C6A"/>
    <w:rsid w:val="00351C87"/>
    <w:rsid w:val="00351C99"/>
    <w:rsid w:val="00351D36"/>
    <w:rsid w:val="00351EA6"/>
    <w:rsid w:val="00351F2B"/>
    <w:rsid w:val="00351F4F"/>
    <w:rsid w:val="00351FB6"/>
    <w:rsid w:val="00352191"/>
    <w:rsid w:val="003521B5"/>
    <w:rsid w:val="00352269"/>
    <w:rsid w:val="003522B2"/>
    <w:rsid w:val="00352394"/>
    <w:rsid w:val="00352572"/>
    <w:rsid w:val="003525DC"/>
    <w:rsid w:val="00352686"/>
    <w:rsid w:val="003526B1"/>
    <w:rsid w:val="00352741"/>
    <w:rsid w:val="00352772"/>
    <w:rsid w:val="0035277B"/>
    <w:rsid w:val="003527C1"/>
    <w:rsid w:val="00352904"/>
    <w:rsid w:val="00352964"/>
    <w:rsid w:val="00352A89"/>
    <w:rsid w:val="00352AA4"/>
    <w:rsid w:val="00352B53"/>
    <w:rsid w:val="00352C4A"/>
    <w:rsid w:val="00352C55"/>
    <w:rsid w:val="00352CC1"/>
    <w:rsid w:val="00352D18"/>
    <w:rsid w:val="00352D70"/>
    <w:rsid w:val="00352E66"/>
    <w:rsid w:val="00352E82"/>
    <w:rsid w:val="00352F1B"/>
    <w:rsid w:val="0035312A"/>
    <w:rsid w:val="003531A3"/>
    <w:rsid w:val="003532CC"/>
    <w:rsid w:val="003534F2"/>
    <w:rsid w:val="0035356A"/>
    <w:rsid w:val="003535EF"/>
    <w:rsid w:val="00353836"/>
    <w:rsid w:val="003539D4"/>
    <w:rsid w:val="00353AC1"/>
    <w:rsid w:val="00353C8B"/>
    <w:rsid w:val="00353D95"/>
    <w:rsid w:val="00353DA9"/>
    <w:rsid w:val="00353DB8"/>
    <w:rsid w:val="00353E7E"/>
    <w:rsid w:val="00353F7D"/>
    <w:rsid w:val="00353FED"/>
    <w:rsid w:val="00353FFF"/>
    <w:rsid w:val="00354009"/>
    <w:rsid w:val="00354099"/>
    <w:rsid w:val="003540DF"/>
    <w:rsid w:val="003540E1"/>
    <w:rsid w:val="003541A4"/>
    <w:rsid w:val="00354243"/>
    <w:rsid w:val="003543B6"/>
    <w:rsid w:val="003543EC"/>
    <w:rsid w:val="0035440A"/>
    <w:rsid w:val="003544EF"/>
    <w:rsid w:val="003547CA"/>
    <w:rsid w:val="003547CB"/>
    <w:rsid w:val="003547E5"/>
    <w:rsid w:val="0035481E"/>
    <w:rsid w:val="003548C1"/>
    <w:rsid w:val="003548C6"/>
    <w:rsid w:val="003548D4"/>
    <w:rsid w:val="00354917"/>
    <w:rsid w:val="00354A40"/>
    <w:rsid w:val="00354A43"/>
    <w:rsid w:val="00354A92"/>
    <w:rsid w:val="00354CBA"/>
    <w:rsid w:val="00354DB5"/>
    <w:rsid w:val="00354E10"/>
    <w:rsid w:val="00354E24"/>
    <w:rsid w:val="00354E7B"/>
    <w:rsid w:val="00354F3E"/>
    <w:rsid w:val="00354FBB"/>
    <w:rsid w:val="003550F0"/>
    <w:rsid w:val="00355108"/>
    <w:rsid w:val="00355123"/>
    <w:rsid w:val="0035518C"/>
    <w:rsid w:val="0035527A"/>
    <w:rsid w:val="00355298"/>
    <w:rsid w:val="00355413"/>
    <w:rsid w:val="00355425"/>
    <w:rsid w:val="003555AF"/>
    <w:rsid w:val="003555B1"/>
    <w:rsid w:val="003555E8"/>
    <w:rsid w:val="00355648"/>
    <w:rsid w:val="003556DD"/>
    <w:rsid w:val="00355825"/>
    <w:rsid w:val="00355850"/>
    <w:rsid w:val="003559A8"/>
    <w:rsid w:val="00355A3C"/>
    <w:rsid w:val="00355AB5"/>
    <w:rsid w:val="00355BC8"/>
    <w:rsid w:val="00355CC1"/>
    <w:rsid w:val="00355D94"/>
    <w:rsid w:val="00355DC9"/>
    <w:rsid w:val="00355F95"/>
    <w:rsid w:val="00355FF8"/>
    <w:rsid w:val="00356156"/>
    <w:rsid w:val="003561FA"/>
    <w:rsid w:val="0035634E"/>
    <w:rsid w:val="0035635D"/>
    <w:rsid w:val="00356478"/>
    <w:rsid w:val="003565F5"/>
    <w:rsid w:val="00356693"/>
    <w:rsid w:val="003566E7"/>
    <w:rsid w:val="0035672A"/>
    <w:rsid w:val="0035679D"/>
    <w:rsid w:val="003567CB"/>
    <w:rsid w:val="0035691B"/>
    <w:rsid w:val="003569E3"/>
    <w:rsid w:val="003569F2"/>
    <w:rsid w:val="00356A42"/>
    <w:rsid w:val="00356BD6"/>
    <w:rsid w:val="00356C91"/>
    <w:rsid w:val="00356CAB"/>
    <w:rsid w:val="00356D39"/>
    <w:rsid w:val="00356D6A"/>
    <w:rsid w:val="00356F7A"/>
    <w:rsid w:val="003570A2"/>
    <w:rsid w:val="0035712A"/>
    <w:rsid w:val="003572AB"/>
    <w:rsid w:val="00357356"/>
    <w:rsid w:val="00357581"/>
    <w:rsid w:val="003575E9"/>
    <w:rsid w:val="0035760E"/>
    <w:rsid w:val="003576B8"/>
    <w:rsid w:val="00357715"/>
    <w:rsid w:val="003577D2"/>
    <w:rsid w:val="00357928"/>
    <w:rsid w:val="00357987"/>
    <w:rsid w:val="00357D72"/>
    <w:rsid w:val="00357F0C"/>
    <w:rsid w:val="003600EB"/>
    <w:rsid w:val="00360103"/>
    <w:rsid w:val="0036015C"/>
    <w:rsid w:val="003605E4"/>
    <w:rsid w:val="00360667"/>
    <w:rsid w:val="00360694"/>
    <w:rsid w:val="003607F0"/>
    <w:rsid w:val="003608D9"/>
    <w:rsid w:val="003609F8"/>
    <w:rsid w:val="00360AE3"/>
    <w:rsid w:val="00360BA5"/>
    <w:rsid w:val="00360C62"/>
    <w:rsid w:val="00360CD9"/>
    <w:rsid w:val="00360D87"/>
    <w:rsid w:val="00360D9C"/>
    <w:rsid w:val="00360DDA"/>
    <w:rsid w:val="00360E07"/>
    <w:rsid w:val="00360E3D"/>
    <w:rsid w:val="00360EDA"/>
    <w:rsid w:val="00360F11"/>
    <w:rsid w:val="00360F19"/>
    <w:rsid w:val="00360F56"/>
    <w:rsid w:val="00360FE6"/>
    <w:rsid w:val="00361146"/>
    <w:rsid w:val="00361200"/>
    <w:rsid w:val="00361277"/>
    <w:rsid w:val="0036139C"/>
    <w:rsid w:val="00361471"/>
    <w:rsid w:val="00361798"/>
    <w:rsid w:val="003617D6"/>
    <w:rsid w:val="003617FF"/>
    <w:rsid w:val="00361AA9"/>
    <w:rsid w:val="00361AF8"/>
    <w:rsid w:val="00361B10"/>
    <w:rsid w:val="00361B54"/>
    <w:rsid w:val="00361C06"/>
    <w:rsid w:val="00361C65"/>
    <w:rsid w:val="00361CCF"/>
    <w:rsid w:val="00361CD2"/>
    <w:rsid w:val="00361CD6"/>
    <w:rsid w:val="00361D07"/>
    <w:rsid w:val="00361D5C"/>
    <w:rsid w:val="00361D60"/>
    <w:rsid w:val="00361D84"/>
    <w:rsid w:val="00361FDD"/>
    <w:rsid w:val="00362051"/>
    <w:rsid w:val="003622CE"/>
    <w:rsid w:val="003622D6"/>
    <w:rsid w:val="00362434"/>
    <w:rsid w:val="0036248D"/>
    <w:rsid w:val="003626A9"/>
    <w:rsid w:val="00362781"/>
    <w:rsid w:val="003627C2"/>
    <w:rsid w:val="00362904"/>
    <w:rsid w:val="0036298E"/>
    <w:rsid w:val="0036299B"/>
    <w:rsid w:val="00362A77"/>
    <w:rsid w:val="00362B6F"/>
    <w:rsid w:val="00362B77"/>
    <w:rsid w:val="00362BE1"/>
    <w:rsid w:val="00362BF9"/>
    <w:rsid w:val="00362C04"/>
    <w:rsid w:val="00362C29"/>
    <w:rsid w:val="00362C51"/>
    <w:rsid w:val="00362DB7"/>
    <w:rsid w:val="00362DDF"/>
    <w:rsid w:val="00362EE9"/>
    <w:rsid w:val="00362F0F"/>
    <w:rsid w:val="0036316F"/>
    <w:rsid w:val="003631CB"/>
    <w:rsid w:val="00363207"/>
    <w:rsid w:val="00363209"/>
    <w:rsid w:val="003632C9"/>
    <w:rsid w:val="003632E0"/>
    <w:rsid w:val="003632E1"/>
    <w:rsid w:val="00363393"/>
    <w:rsid w:val="003633FB"/>
    <w:rsid w:val="0036360D"/>
    <w:rsid w:val="0036367D"/>
    <w:rsid w:val="003636B7"/>
    <w:rsid w:val="00363747"/>
    <w:rsid w:val="0036390A"/>
    <w:rsid w:val="003639BC"/>
    <w:rsid w:val="003639C9"/>
    <w:rsid w:val="00363BF1"/>
    <w:rsid w:val="00363C00"/>
    <w:rsid w:val="00363D4B"/>
    <w:rsid w:val="003640BE"/>
    <w:rsid w:val="003642ED"/>
    <w:rsid w:val="003642EF"/>
    <w:rsid w:val="003642F1"/>
    <w:rsid w:val="00364384"/>
    <w:rsid w:val="00364486"/>
    <w:rsid w:val="003644EE"/>
    <w:rsid w:val="0036461A"/>
    <w:rsid w:val="003647BD"/>
    <w:rsid w:val="00364811"/>
    <w:rsid w:val="0036486A"/>
    <w:rsid w:val="00364B91"/>
    <w:rsid w:val="00364BAC"/>
    <w:rsid w:val="00364BFC"/>
    <w:rsid w:val="00364C0C"/>
    <w:rsid w:val="00364C16"/>
    <w:rsid w:val="00364C1C"/>
    <w:rsid w:val="00364C7E"/>
    <w:rsid w:val="00364CD0"/>
    <w:rsid w:val="00364D4C"/>
    <w:rsid w:val="00364D4F"/>
    <w:rsid w:val="00364E12"/>
    <w:rsid w:val="00364FE0"/>
    <w:rsid w:val="00365304"/>
    <w:rsid w:val="00365395"/>
    <w:rsid w:val="00365422"/>
    <w:rsid w:val="003654D4"/>
    <w:rsid w:val="0036554F"/>
    <w:rsid w:val="0036555C"/>
    <w:rsid w:val="003655CC"/>
    <w:rsid w:val="0036562C"/>
    <w:rsid w:val="003656CA"/>
    <w:rsid w:val="0036577F"/>
    <w:rsid w:val="00365833"/>
    <w:rsid w:val="0036598F"/>
    <w:rsid w:val="003659CF"/>
    <w:rsid w:val="00365A9E"/>
    <w:rsid w:val="00365AC4"/>
    <w:rsid w:val="00365B87"/>
    <w:rsid w:val="00365E7F"/>
    <w:rsid w:val="00365E92"/>
    <w:rsid w:val="00365EC0"/>
    <w:rsid w:val="00365FF1"/>
    <w:rsid w:val="00366115"/>
    <w:rsid w:val="00366123"/>
    <w:rsid w:val="003661F7"/>
    <w:rsid w:val="00366226"/>
    <w:rsid w:val="00366272"/>
    <w:rsid w:val="00366400"/>
    <w:rsid w:val="0036645A"/>
    <w:rsid w:val="003665DD"/>
    <w:rsid w:val="003667A9"/>
    <w:rsid w:val="0036686A"/>
    <w:rsid w:val="00366883"/>
    <w:rsid w:val="003668A3"/>
    <w:rsid w:val="003668B1"/>
    <w:rsid w:val="00366935"/>
    <w:rsid w:val="00366A41"/>
    <w:rsid w:val="00366A68"/>
    <w:rsid w:val="00366A72"/>
    <w:rsid w:val="00366BE9"/>
    <w:rsid w:val="00366C0C"/>
    <w:rsid w:val="0036714A"/>
    <w:rsid w:val="00367287"/>
    <w:rsid w:val="00367343"/>
    <w:rsid w:val="0036768C"/>
    <w:rsid w:val="00367692"/>
    <w:rsid w:val="00367742"/>
    <w:rsid w:val="003677FD"/>
    <w:rsid w:val="00367845"/>
    <w:rsid w:val="0036795A"/>
    <w:rsid w:val="00367976"/>
    <w:rsid w:val="003679FF"/>
    <w:rsid w:val="00367A55"/>
    <w:rsid w:val="00367AAC"/>
    <w:rsid w:val="00367AB9"/>
    <w:rsid w:val="00367C00"/>
    <w:rsid w:val="00367D51"/>
    <w:rsid w:val="00367D8A"/>
    <w:rsid w:val="00367E48"/>
    <w:rsid w:val="003701AD"/>
    <w:rsid w:val="00370255"/>
    <w:rsid w:val="003702F0"/>
    <w:rsid w:val="003703D5"/>
    <w:rsid w:val="003703FA"/>
    <w:rsid w:val="0037044D"/>
    <w:rsid w:val="003705C4"/>
    <w:rsid w:val="00370612"/>
    <w:rsid w:val="003706F5"/>
    <w:rsid w:val="003708CA"/>
    <w:rsid w:val="00370923"/>
    <w:rsid w:val="003709C4"/>
    <w:rsid w:val="00370A4E"/>
    <w:rsid w:val="00370B50"/>
    <w:rsid w:val="00370BAE"/>
    <w:rsid w:val="00370BCF"/>
    <w:rsid w:val="00370BF6"/>
    <w:rsid w:val="00370D33"/>
    <w:rsid w:val="00370ED1"/>
    <w:rsid w:val="00370FEB"/>
    <w:rsid w:val="003710C5"/>
    <w:rsid w:val="00371188"/>
    <w:rsid w:val="0037120C"/>
    <w:rsid w:val="003712A2"/>
    <w:rsid w:val="0037135D"/>
    <w:rsid w:val="00371384"/>
    <w:rsid w:val="003713AF"/>
    <w:rsid w:val="00371420"/>
    <w:rsid w:val="0037142D"/>
    <w:rsid w:val="00371472"/>
    <w:rsid w:val="00371550"/>
    <w:rsid w:val="00371669"/>
    <w:rsid w:val="00371896"/>
    <w:rsid w:val="003718EC"/>
    <w:rsid w:val="003718FE"/>
    <w:rsid w:val="00371A10"/>
    <w:rsid w:val="00371AF2"/>
    <w:rsid w:val="00371C6C"/>
    <w:rsid w:val="00371C95"/>
    <w:rsid w:val="00371D46"/>
    <w:rsid w:val="00371DA8"/>
    <w:rsid w:val="00371DD7"/>
    <w:rsid w:val="00371F1E"/>
    <w:rsid w:val="00372090"/>
    <w:rsid w:val="003720E5"/>
    <w:rsid w:val="0037228A"/>
    <w:rsid w:val="00372397"/>
    <w:rsid w:val="00372448"/>
    <w:rsid w:val="0037244D"/>
    <w:rsid w:val="00372454"/>
    <w:rsid w:val="003724A3"/>
    <w:rsid w:val="00372577"/>
    <w:rsid w:val="00372948"/>
    <w:rsid w:val="00372A61"/>
    <w:rsid w:val="00372D22"/>
    <w:rsid w:val="00372D50"/>
    <w:rsid w:val="00372D8C"/>
    <w:rsid w:val="00372DB7"/>
    <w:rsid w:val="00372E95"/>
    <w:rsid w:val="00372FF3"/>
    <w:rsid w:val="00373040"/>
    <w:rsid w:val="003730C6"/>
    <w:rsid w:val="00373347"/>
    <w:rsid w:val="0037337F"/>
    <w:rsid w:val="00373388"/>
    <w:rsid w:val="003733C5"/>
    <w:rsid w:val="0037348D"/>
    <w:rsid w:val="0037356A"/>
    <w:rsid w:val="0037362C"/>
    <w:rsid w:val="0037364A"/>
    <w:rsid w:val="00373746"/>
    <w:rsid w:val="003738CA"/>
    <w:rsid w:val="00373906"/>
    <w:rsid w:val="0037392D"/>
    <w:rsid w:val="003739B1"/>
    <w:rsid w:val="003739D7"/>
    <w:rsid w:val="00373A6B"/>
    <w:rsid w:val="00373B87"/>
    <w:rsid w:val="00373D05"/>
    <w:rsid w:val="00373DD6"/>
    <w:rsid w:val="00373DDB"/>
    <w:rsid w:val="00373E36"/>
    <w:rsid w:val="00373EB8"/>
    <w:rsid w:val="00373FBF"/>
    <w:rsid w:val="00373FC2"/>
    <w:rsid w:val="0037415B"/>
    <w:rsid w:val="003741A7"/>
    <w:rsid w:val="0037424F"/>
    <w:rsid w:val="003742D7"/>
    <w:rsid w:val="003742EB"/>
    <w:rsid w:val="00374358"/>
    <w:rsid w:val="003743C6"/>
    <w:rsid w:val="00374477"/>
    <w:rsid w:val="003747B9"/>
    <w:rsid w:val="003747CB"/>
    <w:rsid w:val="003749D7"/>
    <w:rsid w:val="00374E0D"/>
    <w:rsid w:val="00375018"/>
    <w:rsid w:val="003750BB"/>
    <w:rsid w:val="00375111"/>
    <w:rsid w:val="0037512D"/>
    <w:rsid w:val="003751CD"/>
    <w:rsid w:val="003751E5"/>
    <w:rsid w:val="00375263"/>
    <w:rsid w:val="00375265"/>
    <w:rsid w:val="00375309"/>
    <w:rsid w:val="00375365"/>
    <w:rsid w:val="00375385"/>
    <w:rsid w:val="003753CC"/>
    <w:rsid w:val="0037543A"/>
    <w:rsid w:val="00375463"/>
    <w:rsid w:val="00375531"/>
    <w:rsid w:val="003755DB"/>
    <w:rsid w:val="003757C0"/>
    <w:rsid w:val="003757C7"/>
    <w:rsid w:val="00375821"/>
    <w:rsid w:val="0037585A"/>
    <w:rsid w:val="003758C5"/>
    <w:rsid w:val="00375A20"/>
    <w:rsid w:val="00375A7A"/>
    <w:rsid w:val="00375B82"/>
    <w:rsid w:val="00375C60"/>
    <w:rsid w:val="00375DB1"/>
    <w:rsid w:val="00375E06"/>
    <w:rsid w:val="00375E13"/>
    <w:rsid w:val="00375E28"/>
    <w:rsid w:val="00375ECD"/>
    <w:rsid w:val="00375EE2"/>
    <w:rsid w:val="00375FBB"/>
    <w:rsid w:val="0037602F"/>
    <w:rsid w:val="0037611F"/>
    <w:rsid w:val="0037622C"/>
    <w:rsid w:val="0037625F"/>
    <w:rsid w:val="00376283"/>
    <w:rsid w:val="00376347"/>
    <w:rsid w:val="003763A9"/>
    <w:rsid w:val="00376462"/>
    <w:rsid w:val="0037662D"/>
    <w:rsid w:val="0037672D"/>
    <w:rsid w:val="003767F5"/>
    <w:rsid w:val="0037686E"/>
    <w:rsid w:val="003768B9"/>
    <w:rsid w:val="00376990"/>
    <w:rsid w:val="00376AAE"/>
    <w:rsid w:val="00376B52"/>
    <w:rsid w:val="00376C22"/>
    <w:rsid w:val="00376C82"/>
    <w:rsid w:val="00376EF5"/>
    <w:rsid w:val="00376FCF"/>
    <w:rsid w:val="00376FD0"/>
    <w:rsid w:val="0037703E"/>
    <w:rsid w:val="0037706B"/>
    <w:rsid w:val="003770AE"/>
    <w:rsid w:val="003770D7"/>
    <w:rsid w:val="00377116"/>
    <w:rsid w:val="003771E3"/>
    <w:rsid w:val="003771FF"/>
    <w:rsid w:val="00377227"/>
    <w:rsid w:val="0037724C"/>
    <w:rsid w:val="003772A8"/>
    <w:rsid w:val="003773B6"/>
    <w:rsid w:val="00377423"/>
    <w:rsid w:val="0037757E"/>
    <w:rsid w:val="003775B1"/>
    <w:rsid w:val="00377863"/>
    <w:rsid w:val="00377880"/>
    <w:rsid w:val="00377A81"/>
    <w:rsid w:val="00377AA1"/>
    <w:rsid w:val="00377AB8"/>
    <w:rsid w:val="00377B74"/>
    <w:rsid w:val="00377C63"/>
    <w:rsid w:val="00377CDE"/>
    <w:rsid w:val="00377D83"/>
    <w:rsid w:val="00377D9C"/>
    <w:rsid w:val="00377E6C"/>
    <w:rsid w:val="00377EFA"/>
    <w:rsid w:val="00377F6F"/>
    <w:rsid w:val="0038004D"/>
    <w:rsid w:val="003801E2"/>
    <w:rsid w:val="0038023F"/>
    <w:rsid w:val="0038027C"/>
    <w:rsid w:val="00380567"/>
    <w:rsid w:val="0038058B"/>
    <w:rsid w:val="0038070A"/>
    <w:rsid w:val="00380718"/>
    <w:rsid w:val="00380772"/>
    <w:rsid w:val="00380773"/>
    <w:rsid w:val="00380840"/>
    <w:rsid w:val="00380853"/>
    <w:rsid w:val="00380926"/>
    <w:rsid w:val="00380D10"/>
    <w:rsid w:val="00380D67"/>
    <w:rsid w:val="00380D76"/>
    <w:rsid w:val="00380E41"/>
    <w:rsid w:val="00380E4E"/>
    <w:rsid w:val="00380F27"/>
    <w:rsid w:val="00380F90"/>
    <w:rsid w:val="00381086"/>
    <w:rsid w:val="003810BB"/>
    <w:rsid w:val="003811A7"/>
    <w:rsid w:val="003811F0"/>
    <w:rsid w:val="0038121C"/>
    <w:rsid w:val="003813BD"/>
    <w:rsid w:val="003813EB"/>
    <w:rsid w:val="0038151A"/>
    <w:rsid w:val="003815CD"/>
    <w:rsid w:val="003816F0"/>
    <w:rsid w:val="003816F8"/>
    <w:rsid w:val="003817AA"/>
    <w:rsid w:val="003817E2"/>
    <w:rsid w:val="0038195C"/>
    <w:rsid w:val="00381B79"/>
    <w:rsid w:val="00381BCB"/>
    <w:rsid w:val="00381E93"/>
    <w:rsid w:val="00381F40"/>
    <w:rsid w:val="00381F95"/>
    <w:rsid w:val="003820CC"/>
    <w:rsid w:val="003820CF"/>
    <w:rsid w:val="0038223B"/>
    <w:rsid w:val="00382282"/>
    <w:rsid w:val="0038258D"/>
    <w:rsid w:val="00382773"/>
    <w:rsid w:val="003827B3"/>
    <w:rsid w:val="003829BA"/>
    <w:rsid w:val="00382A67"/>
    <w:rsid w:val="00382BA0"/>
    <w:rsid w:val="00382BE6"/>
    <w:rsid w:val="00382D05"/>
    <w:rsid w:val="00382D97"/>
    <w:rsid w:val="00382E3A"/>
    <w:rsid w:val="00382FDA"/>
    <w:rsid w:val="0038306C"/>
    <w:rsid w:val="0038323A"/>
    <w:rsid w:val="00383283"/>
    <w:rsid w:val="003832FE"/>
    <w:rsid w:val="003833D4"/>
    <w:rsid w:val="0038341E"/>
    <w:rsid w:val="003835B2"/>
    <w:rsid w:val="003835E4"/>
    <w:rsid w:val="00383686"/>
    <w:rsid w:val="0038375B"/>
    <w:rsid w:val="003838EC"/>
    <w:rsid w:val="0038392F"/>
    <w:rsid w:val="003839D0"/>
    <w:rsid w:val="00383A31"/>
    <w:rsid w:val="00383A41"/>
    <w:rsid w:val="00383A60"/>
    <w:rsid w:val="00383AC3"/>
    <w:rsid w:val="00383AF8"/>
    <w:rsid w:val="00383BA6"/>
    <w:rsid w:val="00383DB9"/>
    <w:rsid w:val="00383E05"/>
    <w:rsid w:val="00383F9D"/>
    <w:rsid w:val="003841D8"/>
    <w:rsid w:val="00384211"/>
    <w:rsid w:val="00384299"/>
    <w:rsid w:val="003843EA"/>
    <w:rsid w:val="00384454"/>
    <w:rsid w:val="003845D0"/>
    <w:rsid w:val="003845E5"/>
    <w:rsid w:val="003846D3"/>
    <w:rsid w:val="00384788"/>
    <w:rsid w:val="003848C2"/>
    <w:rsid w:val="0038490B"/>
    <w:rsid w:val="003849FE"/>
    <w:rsid w:val="00384A73"/>
    <w:rsid w:val="00384B3E"/>
    <w:rsid w:val="00384B44"/>
    <w:rsid w:val="00384B56"/>
    <w:rsid w:val="00384C1F"/>
    <w:rsid w:val="00384C88"/>
    <w:rsid w:val="00384C93"/>
    <w:rsid w:val="00384CAE"/>
    <w:rsid w:val="00384CF9"/>
    <w:rsid w:val="00384E4B"/>
    <w:rsid w:val="00384ED2"/>
    <w:rsid w:val="00384F3E"/>
    <w:rsid w:val="00385005"/>
    <w:rsid w:val="0038500A"/>
    <w:rsid w:val="00385076"/>
    <w:rsid w:val="00385105"/>
    <w:rsid w:val="00385139"/>
    <w:rsid w:val="00385168"/>
    <w:rsid w:val="003851C7"/>
    <w:rsid w:val="00385203"/>
    <w:rsid w:val="00385270"/>
    <w:rsid w:val="003854A0"/>
    <w:rsid w:val="003854A1"/>
    <w:rsid w:val="00385583"/>
    <w:rsid w:val="003856D3"/>
    <w:rsid w:val="00385729"/>
    <w:rsid w:val="003857BD"/>
    <w:rsid w:val="003857F1"/>
    <w:rsid w:val="0038581C"/>
    <w:rsid w:val="0038585C"/>
    <w:rsid w:val="00385874"/>
    <w:rsid w:val="00385944"/>
    <w:rsid w:val="00385979"/>
    <w:rsid w:val="003859D9"/>
    <w:rsid w:val="00385B31"/>
    <w:rsid w:val="00385B85"/>
    <w:rsid w:val="00385C6A"/>
    <w:rsid w:val="00385C8C"/>
    <w:rsid w:val="00385CA1"/>
    <w:rsid w:val="00385CE0"/>
    <w:rsid w:val="00385D39"/>
    <w:rsid w:val="00385D40"/>
    <w:rsid w:val="00385D4E"/>
    <w:rsid w:val="00385DA2"/>
    <w:rsid w:val="00385ECB"/>
    <w:rsid w:val="0038607F"/>
    <w:rsid w:val="003860AF"/>
    <w:rsid w:val="00386152"/>
    <w:rsid w:val="00386260"/>
    <w:rsid w:val="00386284"/>
    <w:rsid w:val="003862F7"/>
    <w:rsid w:val="0038634A"/>
    <w:rsid w:val="00386369"/>
    <w:rsid w:val="0038639A"/>
    <w:rsid w:val="00386438"/>
    <w:rsid w:val="0038647E"/>
    <w:rsid w:val="003864B2"/>
    <w:rsid w:val="003864B4"/>
    <w:rsid w:val="003865C2"/>
    <w:rsid w:val="00386618"/>
    <w:rsid w:val="00386678"/>
    <w:rsid w:val="00386809"/>
    <w:rsid w:val="0038690A"/>
    <w:rsid w:val="003869AA"/>
    <w:rsid w:val="003869AF"/>
    <w:rsid w:val="00386A75"/>
    <w:rsid w:val="00386AA2"/>
    <w:rsid w:val="00386AC6"/>
    <w:rsid w:val="00386C60"/>
    <w:rsid w:val="00386D0B"/>
    <w:rsid w:val="00386D0E"/>
    <w:rsid w:val="00386D67"/>
    <w:rsid w:val="00386E71"/>
    <w:rsid w:val="00386FA5"/>
    <w:rsid w:val="00387053"/>
    <w:rsid w:val="0038719C"/>
    <w:rsid w:val="00387234"/>
    <w:rsid w:val="00387269"/>
    <w:rsid w:val="00387560"/>
    <w:rsid w:val="00387795"/>
    <w:rsid w:val="003877ED"/>
    <w:rsid w:val="00387901"/>
    <w:rsid w:val="00387B35"/>
    <w:rsid w:val="00387BEA"/>
    <w:rsid w:val="00387D83"/>
    <w:rsid w:val="00387E12"/>
    <w:rsid w:val="00387EE0"/>
    <w:rsid w:val="00387F67"/>
    <w:rsid w:val="00390043"/>
    <w:rsid w:val="00390051"/>
    <w:rsid w:val="0039009D"/>
    <w:rsid w:val="003900F3"/>
    <w:rsid w:val="00390107"/>
    <w:rsid w:val="0039018C"/>
    <w:rsid w:val="003901FD"/>
    <w:rsid w:val="00390426"/>
    <w:rsid w:val="0039042B"/>
    <w:rsid w:val="003904EB"/>
    <w:rsid w:val="003904F7"/>
    <w:rsid w:val="00390519"/>
    <w:rsid w:val="00390534"/>
    <w:rsid w:val="003905A2"/>
    <w:rsid w:val="003905FF"/>
    <w:rsid w:val="00390633"/>
    <w:rsid w:val="00390695"/>
    <w:rsid w:val="003906B7"/>
    <w:rsid w:val="00390737"/>
    <w:rsid w:val="00390786"/>
    <w:rsid w:val="003907AD"/>
    <w:rsid w:val="003907DB"/>
    <w:rsid w:val="0039080F"/>
    <w:rsid w:val="00390890"/>
    <w:rsid w:val="0039089D"/>
    <w:rsid w:val="00390947"/>
    <w:rsid w:val="00390957"/>
    <w:rsid w:val="003909DB"/>
    <w:rsid w:val="00390A7D"/>
    <w:rsid w:val="00390AD6"/>
    <w:rsid w:val="00390B2B"/>
    <w:rsid w:val="00390B74"/>
    <w:rsid w:val="00390C85"/>
    <w:rsid w:val="00390CD1"/>
    <w:rsid w:val="00390CE2"/>
    <w:rsid w:val="00390D02"/>
    <w:rsid w:val="00390F13"/>
    <w:rsid w:val="0039102E"/>
    <w:rsid w:val="00391089"/>
    <w:rsid w:val="00391102"/>
    <w:rsid w:val="00391141"/>
    <w:rsid w:val="0039129C"/>
    <w:rsid w:val="003912F8"/>
    <w:rsid w:val="0039147B"/>
    <w:rsid w:val="003915B3"/>
    <w:rsid w:val="003915D4"/>
    <w:rsid w:val="003915F6"/>
    <w:rsid w:val="0039166F"/>
    <w:rsid w:val="00391749"/>
    <w:rsid w:val="0039176E"/>
    <w:rsid w:val="003917AC"/>
    <w:rsid w:val="0039182A"/>
    <w:rsid w:val="0039195D"/>
    <w:rsid w:val="0039199E"/>
    <w:rsid w:val="00391B4F"/>
    <w:rsid w:val="00391B57"/>
    <w:rsid w:val="00391CC8"/>
    <w:rsid w:val="00391D33"/>
    <w:rsid w:val="00391DFA"/>
    <w:rsid w:val="00391FC1"/>
    <w:rsid w:val="00392160"/>
    <w:rsid w:val="00392258"/>
    <w:rsid w:val="00392350"/>
    <w:rsid w:val="003923ED"/>
    <w:rsid w:val="003924AF"/>
    <w:rsid w:val="0039255D"/>
    <w:rsid w:val="00392677"/>
    <w:rsid w:val="00392860"/>
    <w:rsid w:val="00392987"/>
    <w:rsid w:val="00392A63"/>
    <w:rsid w:val="00392AC7"/>
    <w:rsid w:val="00392B7C"/>
    <w:rsid w:val="00392BC5"/>
    <w:rsid w:val="00392C47"/>
    <w:rsid w:val="00392D23"/>
    <w:rsid w:val="00392DBA"/>
    <w:rsid w:val="00392EC2"/>
    <w:rsid w:val="00392EE9"/>
    <w:rsid w:val="00392F37"/>
    <w:rsid w:val="00392F85"/>
    <w:rsid w:val="00392FE3"/>
    <w:rsid w:val="0039308F"/>
    <w:rsid w:val="0039323A"/>
    <w:rsid w:val="003933E0"/>
    <w:rsid w:val="00393472"/>
    <w:rsid w:val="003935AA"/>
    <w:rsid w:val="003935F0"/>
    <w:rsid w:val="0039378A"/>
    <w:rsid w:val="0039386D"/>
    <w:rsid w:val="0039391E"/>
    <w:rsid w:val="00393A89"/>
    <w:rsid w:val="00393B8D"/>
    <w:rsid w:val="00393CBF"/>
    <w:rsid w:val="00393E05"/>
    <w:rsid w:val="00393E74"/>
    <w:rsid w:val="00393E8A"/>
    <w:rsid w:val="00393EBC"/>
    <w:rsid w:val="00393F7E"/>
    <w:rsid w:val="00394096"/>
    <w:rsid w:val="00394153"/>
    <w:rsid w:val="00394192"/>
    <w:rsid w:val="003941F1"/>
    <w:rsid w:val="0039420B"/>
    <w:rsid w:val="00394310"/>
    <w:rsid w:val="00394425"/>
    <w:rsid w:val="00394654"/>
    <w:rsid w:val="0039468B"/>
    <w:rsid w:val="003946D3"/>
    <w:rsid w:val="00394774"/>
    <w:rsid w:val="003947DA"/>
    <w:rsid w:val="003947F0"/>
    <w:rsid w:val="003947FB"/>
    <w:rsid w:val="00394855"/>
    <w:rsid w:val="0039497C"/>
    <w:rsid w:val="00394AC7"/>
    <w:rsid w:val="00394B37"/>
    <w:rsid w:val="00394B7C"/>
    <w:rsid w:val="00394BA9"/>
    <w:rsid w:val="00394C6B"/>
    <w:rsid w:val="00394C79"/>
    <w:rsid w:val="00394CD6"/>
    <w:rsid w:val="00394EF6"/>
    <w:rsid w:val="00394F1A"/>
    <w:rsid w:val="0039515E"/>
    <w:rsid w:val="00395176"/>
    <w:rsid w:val="003951AF"/>
    <w:rsid w:val="003951C0"/>
    <w:rsid w:val="003951FA"/>
    <w:rsid w:val="00395273"/>
    <w:rsid w:val="00395388"/>
    <w:rsid w:val="003953F5"/>
    <w:rsid w:val="00395406"/>
    <w:rsid w:val="00395460"/>
    <w:rsid w:val="00395585"/>
    <w:rsid w:val="003955CB"/>
    <w:rsid w:val="0039565C"/>
    <w:rsid w:val="0039568F"/>
    <w:rsid w:val="00395740"/>
    <w:rsid w:val="003957C8"/>
    <w:rsid w:val="003957F2"/>
    <w:rsid w:val="003959C6"/>
    <w:rsid w:val="00395A9D"/>
    <w:rsid w:val="00395C30"/>
    <w:rsid w:val="00395C37"/>
    <w:rsid w:val="00395C7B"/>
    <w:rsid w:val="00395C99"/>
    <w:rsid w:val="00395CAC"/>
    <w:rsid w:val="00395E27"/>
    <w:rsid w:val="00395E36"/>
    <w:rsid w:val="00395E85"/>
    <w:rsid w:val="00395EC2"/>
    <w:rsid w:val="00395ED1"/>
    <w:rsid w:val="003960B5"/>
    <w:rsid w:val="003960D2"/>
    <w:rsid w:val="00396153"/>
    <w:rsid w:val="003961CF"/>
    <w:rsid w:val="00396381"/>
    <w:rsid w:val="0039646C"/>
    <w:rsid w:val="00396560"/>
    <w:rsid w:val="0039658D"/>
    <w:rsid w:val="003965A1"/>
    <w:rsid w:val="003965AE"/>
    <w:rsid w:val="003968A0"/>
    <w:rsid w:val="003968BF"/>
    <w:rsid w:val="00396902"/>
    <w:rsid w:val="00396933"/>
    <w:rsid w:val="0039697B"/>
    <w:rsid w:val="00396DF6"/>
    <w:rsid w:val="00396F86"/>
    <w:rsid w:val="00396FE6"/>
    <w:rsid w:val="00396FFA"/>
    <w:rsid w:val="003970A6"/>
    <w:rsid w:val="003971AA"/>
    <w:rsid w:val="003972CF"/>
    <w:rsid w:val="00397301"/>
    <w:rsid w:val="003973C9"/>
    <w:rsid w:val="00397493"/>
    <w:rsid w:val="00397508"/>
    <w:rsid w:val="003977AB"/>
    <w:rsid w:val="003977BD"/>
    <w:rsid w:val="003977CF"/>
    <w:rsid w:val="0039783D"/>
    <w:rsid w:val="00397903"/>
    <w:rsid w:val="00397A40"/>
    <w:rsid w:val="00397BC8"/>
    <w:rsid w:val="00397BE0"/>
    <w:rsid w:val="00397C87"/>
    <w:rsid w:val="00397E85"/>
    <w:rsid w:val="00397EE9"/>
    <w:rsid w:val="003A00BF"/>
    <w:rsid w:val="003A0197"/>
    <w:rsid w:val="003A0273"/>
    <w:rsid w:val="003A02E9"/>
    <w:rsid w:val="003A05B5"/>
    <w:rsid w:val="003A05E0"/>
    <w:rsid w:val="003A0651"/>
    <w:rsid w:val="003A0821"/>
    <w:rsid w:val="003A08D7"/>
    <w:rsid w:val="003A0A90"/>
    <w:rsid w:val="003A0AFA"/>
    <w:rsid w:val="003A0BEA"/>
    <w:rsid w:val="003A0BF4"/>
    <w:rsid w:val="003A0BF6"/>
    <w:rsid w:val="003A0E83"/>
    <w:rsid w:val="003A10FD"/>
    <w:rsid w:val="003A115E"/>
    <w:rsid w:val="003A124A"/>
    <w:rsid w:val="003A12A0"/>
    <w:rsid w:val="003A138D"/>
    <w:rsid w:val="003A13D7"/>
    <w:rsid w:val="003A147B"/>
    <w:rsid w:val="003A1517"/>
    <w:rsid w:val="003A1607"/>
    <w:rsid w:val="003A175E"/>
    <w:rsid w:val="003A18C3"/>
    <w:rsid w:val="003A1AAA"/>
    <w:rsid w:val="003A1B13"/>
    <w:rsid w:val="003A1D46"/>
    <w:rsid w:val="003A1D83"/>
    <w:rsid w:val="003A2045"/>
    <w:rsid w:val="003A216B"/>
    <w:rsid w:val="003A21C0"/>
    <w:rsid w:val="003A21E6"/>
    <w:rsid w:val="003A22AE"/>
    <w:rsid w:val="003A22E7"/>
    <w:rsid w:val="003A2326"/>
    <w:rsid w:val="003A247C"/>
    <w:rsid w:val="003A2581"/>
    <w:rsid w:val="003A25BF"/>
    <w:rsid w:val="003A2700"/>
    <w:rsid w:val="003A2789"/>
    <w:rsid w:val="003A27CD"/>
    <w:rsid w:val="003A2850"/>
    <w:rsid w:val="003A291C"/>
    <w:rsid w:val="003A2A0C"/>
    <w:rsid w:val="003A2A29"/>
    <w:rsid w:val="003A2AC7"/>
    <w:rsid w:val="003A2D13"/>
    <w:rsid w:val="003A2DB1"/>
    <w:rsid w:val="003A2DD5"/>
    <w:rsid w:val="003A2E85"/>
    <w:rsid w:val="003A2FA1"/>
    <w:rsid w:val="003A3119"/>
    <w:rsid w:val="003A3229"/>
    <w:rsid w:val="003A32B8"/>
    <w:rsid w:val="003A335A"/>
    <w:rsid w:val="003A3369"/>
    <w:rsid w:val="003A340E"/>
    <w:rsid w:val="003A3420"/>
    <w:rsid w:val="003A34E7"/>
    <w:rsid w:val="003A358F"/>
    <w:rsid w:val="003A361D"/>
    <w:rsid w:val="003A364D"/>
    <w:rsid w:val="003A3722"/>
    <w:rsid w:val="003A3738"/>
    <w:rsid w:val="003A3764"/>
    <w:rsid w:val="003A37B0"/>
    <w:rsid w:val="003A3979"/>
    <w:rsid w:val="003A39AD"/>
    <w:rsid w:val="003A3A41"/>
    <w:rsid w:val="003A3A61"/>
    <w:rsid w:val="003A3A8F"/>
    <w:rsid w:val="003A3B1F"/>
    <w:rsid w:val="003A3B3C"/>
    <w:rsid w:val="003A3B65"/>
    <w:rsid w:val="003A3BCF"/>
    <w:rsid w:val="003A3C67"/>
    <w:rsid w:val="003A3CBB"/>
    <w:rsid w:val="003A3E73"/>
    <w:rsid w:val="003A3EEE"/>
    <w:rsid w:val="003A3F00"/>
    <w:rsid w:val="003A3F2A"/>
    <w:rsid w:val="003A3FD1"/>
    <w:rsid w:val="003A4089"/>
    <w:rsid w:val="003A4092"/>
    <w:rsid w:val="003A40DF"/>
    <w:rsid w:val="003A412C"/>
    <w:rsid w:val="003A42DA"/>
    <w:rsid w:val="003A42E0"/>
    <w:rsid w:val="003A43BA"/>
    <w:rsid w:val="003A4401"/>
    <w:rsid w:val="003A4574"/>
    <w:rsid w:val="003A4713"/>
    <w:rsid w:val="003A49B4"/>
    <w:rsid w:val="003A4B92"/>
    <w:rsid w:val="003A4BA6"/>
    <w:rsid w:val="003A4DB9"/>
    <w:rsid w:val="003A4F93"/>
    <w:rsid w:val="003A4FAC"/>
    <w:rsid w:val="003A5005"/>
    <w:rsid w:val="003A50A5"/>
    <w:rsid w:val="003A50E5"/>
    <w:rsid w:val="003A50F3"/>
    <w:rsid w:val="003A515A"/>
    <w:rsid w:val="003A51FC"/>
    <w:rsid w:val="003A522E"/>
    <w:rsid w:val="003A5326"/>
    <w:rsid w:val="003A532A"/>
    <w:rsid w:val="003A53ED"/>
    <w:rsid w:val="003A53FA"/>
    <w:rsid w:val="003A5681"/>
    <w:rsid w:val="003A58B5"/>
    <w:rsid w:val="003A58D1"/>
    <w:rsid w:val="003A59A1"/>
    <w:rsid w:val="003A5A0A"/>
    <w:rsid w:val="003A5A0E"/>
    <w:rsid w:val="003A5B00"/>
    <w:rsid w:val="003A5B8B"/>
    <w:rsid w:val="003A5D15"/>
    <w:rsid w:val="003A5DC0"/>
    <w:rsid w:val="003A5DD1"/>
    <w:rsid w:val="003A5DDC"/>
    <w:rsid w:val="003A5FD3"/>
    <w:rsid w:val="003A6044"/>
    <w:rsid w:val="003A60A1"/>
    <w:rsid w:val="003A616B"/>
    <w:rsid w:val="003A62B6"/>
    <w:rsid w:val="003A63F6"/>
    <w:rsid w:val="003A64E2"/>
    <w:rsid w:val="003A66BE"/>
    <w:rsid w:val="003A672C"/>
    <w:rsid w:val="003A67F0"/>
    <w:rsid w:val="003A67FD"/>
    <w:rsid w:val="003A6853"/>
    <w:rsid w:val="003A68C2"/>
    <w:rsid w:val="003A695F"/>
    <w:rsid w:val="003A69B1"/>
    <w:rsid w:val="003A6A8A"/>
    <w:rsid w:val="003A6A9E"/>
    <w:rsid w:val="003A6AE9"/>
    <w:rsid w:val="003A6B44"/>
    <w:rsid w:val="003A6B4A"/>
    <w:rsid w:val="003A6B7F"/>
    <w:rsid w:val="003A6C1A"/>
    <w:rsid w:val="003A6DC2"/>
    <w:rsid w:val="003A6E01"/>
    <w:rsid w:val="003A6E2C"/>
    <w:rsid w:val="003A6E30"/>
    <w:rsid w:val="003A6E78"/>
    <w:rsid w:val="003A6E7D"/>
    <w:rsid w:val="003A6F0D"/>
    <w:rsid w:val="003A6FA1"/>
    <w:rsid w:val="003A6FFA"/>
    <w:rsid w:val="003A7091"/>
    <w:rsid w:val="003A727B"/>
    <w:rsid w:val="003A7284"/>
    <w:rsid w:val="003A74B4"/>
    <w:rsid w:val="003A7614"/>
    <w:rsid w:val="003A7661"/>
    <w:rsid w:val="003A76E3"/>
    <w:rsid w:val="003A775B"/>
    <w:rsid w:val="003A7793"/>
    <w:rsid w:val="003A77FE"/>
    <w:rsid w:val="003A7A2C"/>
    <w:rsid w:val="003A7AED"/>
    <w:rsid w:val="003A7BB8"/>
    <w:rsid w:val="003A7C79"/>
    <w:rsid w:val="003A7DBE"/>
    <w:rsid w:val="003A7DEA"/>
    <w:rsid w:val="003A7E7A"/>
    <w:rsid w:val="003A7EB0"/>
    <w:rsid w:val="003A7F44"/>
    <w:rsid w:val="003A7F50"/>
    <w:rsid w:val="003A7F62"/>
    <w:rsid w:val="003A7F70"/>
    <w:rsid w:val="003B0248"/>
    <w:rsid w:val="003B027B"/>
    <w:rsid w:val="003B02E9"/>
    <w:rsid w:val="003B03C5"/>
    <w:rsid w:val="003B03F3"/>
    <w:rsid w:val="003B057B"/>
    <w:rsid w:val="003B0644"/>
    <w:rsid w:val="003B071E"/>
    <w:rsid w:val="003B08BA"/>
    <w:rsid w:val="003B096F"/>
    <w:rsid w:val="003B0980"/>
    <w:rsid w:val="003B0A30"/>
    <w:rsid w:val="003B0A75"/>
    <w:rsid w:val="003B0B94"/>
    <w:rsid w:val="003B0BF2"/>
    <w:rsid w:val="003B0C37"/>
    <w:rsid w:val="003B0CB6"/>
    <w:rsid w:val="003B0D26"/>
    <w:rsid w:val="003B0D81"/>
    <w:rsid w:val="003B0D93"/>
    <w:rsid w:val="003B0DD7"/>
    <w:rsid w:val="003B0E38"/>
    <w:rsid w:val="003B0F65"/>
    <w:rsid w:val="003B0F74"/>
    <w:rsid w:val="003B1028"/>
    <w:rsid w:val="003B1114"/>
    <w:rsid w:val="003B115D"/>
    <w:rsid w:val="003B132B"/>
    <w:rsid w:val="003B13FC"/>
    <w:rsid w:val="003B1458"/>
    <w:rsid w:val="003B1519"/>
    <w:rsid w:val="003B169A"/>
    <w:rsid w:val="003B19B9"/>
    <w:rsid w:val="003B1A0F"/>
    <w:rsid w:val="003B1A5C"/>
    <w:rsid w:val="003B1AA1"/>
    <w:rsid w:val="003B1AEE"/>
    <w:rsid w:val="003B1B20"/>
    <w:rsid w:val="003B1B3E"/>
    <w:rsid w:val="003B1BF5"/>
    <w:rsid w:val="003B1C0A"/>
    <w:rsid w:val="003B1E16"/>
    <w:rsid w:val="003B1E1D"/>
    <w:rsid w:val="003B1EB1"/>
    <w:rsid w:val="003B1F64"/>
    <w:rsid w:val="003B21B2"/>
    <w:rsid w:val="003B2220"/>
    <w:rsid w:val="003B2265"/>
    <w:rsid w:val="003B2392"/>
    <w:rsid w:val="003B2418"/>
    <w:rsid w:val="003B24CD"/>
    <w:rsid w:val="003B2567"/>
    <w:rsid w:val="003B2591"/>
    <w:rsid w:val="003B25EC"/>
    <w:rsid w:val="003B25F1"/>
    <w:rsid w:val="003B265C"/>
    <w:rsid w:val="003B266C"/>
    <w:rsid w:val="003B28FB"/>
    <w:rsid w:val="003B29FA"/>
    <w:rsid w:val="003B2BC9"/>
    <w:rsid w:val="003B2BE8"/>
    <w:rsid w:val="003B2C81"/>
    <w:rsid w:val="003B2CA9"/>
    <w:rsid w:val="003B2CB6"/>
    <w:rsid w:val="003B2D61"/>
    <w:rsid w:val="003B2FD6"/>
    <w:rsid w:val="003B300A"/>
    <w:rsid w:val="003B3106"/>
    <w:rsid w:val="003B3186"/>
    <w:rsid w:val="003B31A1"/>
    <w:rsid w:val="003B32A9"/>
    <w:rsid w:val="003B32FC"/>
    <w:rsid w:val="003B332F"/>
    <w:rsid w:val="003B34A0"/>
    <w:rsid w:val="003B350E"/>
    <w:rsid w:val="003B35F0"/>
    <w:rsid w:val="003B373A"/>
    <w:rsid w:val="003B37DB"/>
    <w:rsid w:val="003B3896"/>
    <w:rsid w:val="003B3954"/>
    <w:rsid w:val="003B397E"/>
    <w:rsid w:val="003B39AD"/>
    <w:rsid w:val="003B3A42"/>
    <w:rsid w:val="003B3A96"/>
    <w:rsid w:val="003B3AE8"/>
    <w:rsid w:val="003B3BB4"/>
    <w:rsid w:val="003B3E36"/>
    <w:rsid w:val="003B3E6D"/>
    <w:rsid w:val="003B3F98"/>
    <w:rsid w:val="003B402F"/>
    <w:rsid w:val="003B4108"/>
    <w:rsid w:val="003B4426"/>
    <w:rsid w:val="003B4485"/>
    <w:rsid w:val="003B4500"/>
    <w:rsid w:val="003B4541"/>
    <w:rsid w:val="003B463C"/>
    <w:rsid w:val="003B4699"/>
    <w:rsid w:val="003B46B0"/>
    <w:rsid w:val="003B47A9"/>
    <w:rsid w:val="003B4A3C"/>
    <w:rsid w:val="003B4ABF"/>
    <w:rsid w:val="003B4B18"/>
    <w:rsid w:val="003B4B23"/>
    <w:rsid w:val="003B4BD4"/>
    <w:rsid w:val="003B4C40"/>
    <w:rsid w:val="003B4C72"/>
    <w:rsid w:val="003B4C96"/>
    <w:rsid w:val="003B4D60"/>
    <w:rsid w:val="003B4E18"/>
    <w:rsid w:val="003B4EC9"/>
    <w:rsid w:val="003B504B"/>
    <w:rsid w:val="003B50AD"/>
    <w:rsid w:val="003B50DC"/>
    <w:rsid w:val="003B510B"/>
    <w:rsid w:val="003B51A8"/>
    <w:rsid w:val="003B5210"/>
    <w:rsid w:val="003B5280"/>
    <w:rsid w:val="003B52DF"/>
    <w:rsid w:val="003B5335"/>
    <w:rsid w:val="003B566E"/>
    <w:rsid w:val="003B5700"/>
    <w:rsid w:val="003B578D"/>
    <w:rsid w:val="003B586B"/>
    <w:rsid w:val="003B5961"/>
    <w:rsid w:val="003B59BF"/>
    <w:rsid w:val="003B5A42"/>
    <w:rsid w:val="003B5B80"/>
    <w:rsid w:val="003B5BB6"/>
    <w:rsid w:val="003B5BC9"/>
    <w:rsid w:val="003B5C1A"/>
    <w:rsid w:val="003B5C1C"/>
    <w:rsid w:val="003B5C7D"/>
    <w:rsid w:val="003B5D39"/>
    <w:rsid w:val="003B5E5D"/>
    <w:rsid w:val="003B5FB9"/>
    <w:rsid w:val="003B6011"/>
    <w:rsid w:val="003B616D"/>
    <w:rsid w:val="003B627E"/>
    <w:rsid w:val="003B6293"/>
    <w:rsid w:val="003B6362"/>
    <w:rsid w:val="003B636A"/>
    <w:rsid w:val="003B63A7"/>
    <w:rsid w:val="003B649A"/>
    <w:rsid w:val="003B6577"/>
    <w:rsid w:val="003B66BF"/>
    <w:rsid w:val="003B6828"/>
    <w:rsid w:val="003B6846"/>
    <w:rsid w:val="003B69D2"/>
    <w:rsid w:val="003B6A59"/>
    <w:rsid w:val="003B6AE4"/>
    <w:rsid w:val="003B6B11"/>
    <w:rsid w:val="003B6CBC"/>
    <w:rsid w:val="003B6ED9"/>
    <w:rsid w:val="003B6EDA"/>
    <w:rsid w:val="003B6F2C"/>
    <w:rsid w:val="003B702C"/>
    <w:rsid w:val="003B7033"/>
    <w:rsid w:val="003B709C"/>
    <w:rsid w:val="003B70F4"/>
    <w:rsid w:val="003B7190"/>
    <w:rsid w:val="003B7241"/>
    <w:rsid w:val="003B72A2"/>
    <w:rsid w:val="003B72F2"/>
    <w:rsid w:val="003B73A2"/>
    <w:rsid w:val="003B73AA"/>
    <w:rsid w:val="003B740A"/>
    <w:rsid w:val="003B740C"/>
    <w:rsid w:val="003B7496"/>
    <w:rsid w:val="003B754E"/>
    <w:rsid w:val="003B76EC"/>
    <w:rsid w:val="003B7831"/>
    <w:rsid w:val="003B7860"/>
    <w:rsid w:val="003B7910"/>
    <w:rsid w:val="003B79BA"/>
    <w:rsid w:val="003B7A4F"/>
    <w:rsid w:val="003B7A59"/>
    <w:rsid w:val="003B7B52"/>
    <w:rsid w:val="003B7B64"/>
    <w:rsid w:val="003B7B95"/>
    <w:rsid w:val="003B7BF0"/>
    <w:rsid w:val="003B7C3A"/>
    <w:rsid w:val="003B7CDC"/>
    <w:rsid w:val="003B7E84"/>
    <w:rsid w:val="003B7ED6"/>
    <w:rsid w:val="003B7F6C"/>
    <w:rsid w:val="003B7FA7"/>
    <w:rsid w:val="003B7FB1"/>
    <w:rsid w:val="003B7FD9"/>
    <w:rsid w:val="003C002B"/>
    <w:rsid w:val="003C0037"/>
    <w:rsid w:val="003C006B"/>
    <w:rsid w:val="003C00DA"/>
    <w:rsid w:val="003C0122"/>
    <w:rsid w:val="003C012C"/>
    <w:rsid w:val="003C0147"/>
    <w:rsid w:val="003C0229"/>
    <w:rsid w:val="003C056E"/>
    <w:rsid w:val="003C05C9"/>
    <w:rsid w:val="003C068F"/>
    <w:rsid w:val="003C07B3"/>
    <w:rsid w:val="003C07BF"/>
    <w:rsid w:val="003C08D1"/>
    <w:rsid w:val="003C0909"/>
    <w:rsid w:val="003C0A03"/>
    <w:rsid w:val="003C0A7A"/>
    <w:rsid w:val="003C0C71"/>
    <w:rsid w:val="003C0C79"/>
    <w:rsid w:val="003C0CAE"/>
    <w:rsid w:val="003C0DDF"/>
    <w:rsid w:val="003C0DE6"/>
    <w:rsid w:val="003C0E44"/>
    <w:rsid w:val="003C0E86"/>
    <w:rsid w:val="003C0EB9"/>
    <w:rsid w:val="003C0F1D"/>
    <w:rsid w:val="003C1195"/>
    <w:rsid w:val="003C11C0"/>
    <w:rsid w:val="003C11E5"/>
    <w:rsid w:val="003C1247"/>
    <w:rsid w:val="003C125A"/>
    <w:rsid w:val="003C1417"/>
    <w:rsid w:val="003C146E"/>
    <w:rsid w:val="003C1482"/>
    <w:rsid w:val="003C14C1"/>
    <w:rsid w:val="003C158B"/>
    <w:rsid w:val="003C15F2"/>
    <w:rsid w:val="003C16CD"/>
    <w:rsid w:val="003C1781"/>
    <w:rsid w:val="003C1805"/>
    <w:rsid w:val="003C1842"/>
    <w:rsid w:val="003C198F"/>
    <w:rsid w:val="003C19E6"/>
    <w:rsid w:val="003C1A71"/>
    <w:rsid w:val="003C1A77"/>
    <w:rsid w:val="003C1A8F"/>
    <w:rsid w:val="003C1B03"/>
    <w:rsid w:val="003C1D3E"/>
    <w:rsid w:val="003C1D6A"/>
    <w:rsid w:val="003C1D92"/>
    <w:rsid w:val="003C1F37"/>
    <w:rsid w:val="003C1FFE"/>
    <w:rsid w:val="003C2122"/>
    <w:rsid w:val="003C2183"/>
    <w:rsid w:val="003C2228"/>
    <w:rsid w:val="003C24DB"/>
    <w:rsid w:val="003C2535"/>
    <w:rsid w:val="003C258F"/>
    <w:rsid w:val="003C26B9"/>
    <w:rsid w:val="003C26D4"/>
    <w:rsid w:val="003C26D5"/>
    <w:rsid w:val="003C272A"/>
    <w:rsid w:val="003C2733"/>
    <w:rsid w:val="003C2826"/>
    <w:rsid w:val="003C2847"/>
    <w:rsid w:val="003C2944"/>
    <w:rsid w:val="003C2971"/>
    <w:rsid w:val="003C297F"/>
    <w:rsid w:val="003C2A3A"/>
    <w:rsid w:val="003C2ACA"/>
    <w:rsid w:val="003C2B6B"/>
    <w:rsid w:val="003C2B81"/>
    <w:rsid w:val="003C2BF8"/>
    <w:rsid w:val="003C2C13"/>
    <w:rsid w:val="003C2CEE"/>
    <w:rsid w:val="003C2D63"/>
    <w:rsid w:val="003C2DF4"/>
    <w:rsid w:val="003C2E0D"/>
    <w:rsid w:val="003C2E37"/>
    <w:rsid w:val="003C2F59"/>
    <w:rsid w:val="003C3004"/>
    <w:rsid w:val="003C305D"/>
    <w:rsid w:val="003C3070"/>
    <w:rsid w:val="003C309E"/>
    <w:rsid w:val="003C31D3"/>
    <w:rsid w:val="003C3259"/>
    <w:rsid w:val="003C34BE"/>
    <w:rsid w:val="003C34C3"/>
    <w:rsid w:val="003C3538"/>
    <w:rsid w:val="003C3571"/>
    <w:rsid w:val="003C3686"/>
    <w:rsid w:val="003C37A4"/>
    <w:rsid w:val="003C3845"/>
    <w:rsid w:val="003C3879"/>
    <w:rsid w:val="003C398B"/>
    <w:rsid w:val="003C3A0D"/>
    <w:rsid w:val="003C3A7E"/>
    <w:rsid w:val="003C3B7E"/>
    <w:rsid w:val="003C3BF3"/>
    <w:rsid w:val="003C3D66"/>
    <w:rsid w:val="003C3E3B"/>
    <w:rsid w:val="003C3E51"/>
    <w:rsid w:val="003C3EE5"/>
    <w:rsid w:val="003C3F52"/>
    <w:rsid w:val="003C4098"/>
    <w:rsid w:val="003C40A5"/>
    <w:rsid w:val="003C4515"/>
    <w:rsid w:val="003C4659"/>
    <w:rsid w:val="003C4695"/>
    <w:rsid w:val="003C46A4"/>
    <w:rsid w:val="003C46AF"/>
    <w:rsid w:val="003C46B5"/>
    <w:rsid w:val="003C47E2"/>
    <w:rsid w:val="003C47EE"/>
    <w:rsid w:val="003C4865"/>
    <w:rsid w:val="003C4B5D"/>
    <w:rsid w:val="003C4B61"/>
    <w:rsid w:val="003C4CF4"/>
    <w:rsid w:val="003C4DDD"/>
    <w:rsid w:val="003C4E12"/>
    <w:rsid w:val="003C51AC"/>
    <w:rsid w:val="003C51BF"/>
    <w:rsid w:val="003C51F4"/>
    <w:rsid w:val="003C5273"/>
    <w:rsid w:val="003C52D6"/>
    <w:rsid w:val="003C52F7"/>
    <w:rsid w:val="003C5326"/>
    <w:rsid w:val="003C53CD"/>
    <w:rsid w:val="003C54C7"/>
    <w:rsid w:val="003C5527"/>
    <w:rsid w:val="003C567B"/>
    <w:rsid w:val="003C5702"/>
    <w:rsid w:val="003C5823"/>
    <w:rsid w:val="003C582C"/>
    <w:rsid w:val="003C5AD7"/>
    <w:rsid w:val="003C5BB6"/>
    <w:rsid w:val="003C5BC4"/>
    <w:rsid w:val="003C5C49"/>
    <w:rsid w:val="003C5C6C"/>
    <w:rsid w:val="003C5D3B"/>
    <w:rsid w:val="003C5DC7"/>
    <w:rsid w:val="003C5DEE"/>
    <w:rsid w:val="003C5E00"/>
    <w:rsid w:val="003C5E3B"/>
    <w:rsid w:val="003C5E81"/>
    <w:rsid w:val="003C5ED0"/>
    <w:rsid w:val="003C5FCA"/>
    <w:rsid w:val="003C614B"/>
    <w:rsid w:val="003C6256"/>
    <w:rsid w:val="003C6319"/>
    <w:rsid w:val="003C6389"/>
    <w:rsid w:val="003C67D9"/>
    <w:rsid w:val="003C687F"/>
    <w:rsid w:val="003C68D8"/>
    <w:rsid w:val="003C6908"/>
    <w:rsid w:val="003C6963"/>
    <w:rsid w:val="003C69D9"/>
    <w:rsid w:val="003C69DA"/>
    <w:rsid w:val="003C6AF9"/>
    <w:rsid w:val="003C6B10"/>
    <w:rsid w:val="003C6C18"/>
    <w:rsid w:val="003C6CC4"/>
    <w:rsid w:val="003C6DC8"/>
    <w:rsid w:val="003C6DF5"/>
    <w:rsid w:val="003C6E52"/>
    <w:rsid w:val="003C6EDD"/>
    <w:rsid w:val="003C6FE8"/>
    <w:rsid w:val="003C70E8"/>
    <w:rsid w:val="003C70FB"/>
    <w:rsid w:val="003C7221"/>
    <w:rsid w:val="003C7282"/>
    <w:rsid w:val="003C7296"/>
    <w:rsid w:val="003C7365"/>
    <w:rsid w:val="003C7368"/>
    <w:rsid w:val="003C737F"/>
    <w:rsid w:val="003C752A"/>
    <w:rsid w:val="003C753A"/>
    <w:rsid w:val="003C75F7"/>
    <w:rsid w:val="003C763A"/>
    <w:rsid w:val="003C765E"/>
    <w:rsid w:val="003C7668"/>
    <w:rsid w:val="003C7725"/>
    <w:rsid w:val="003C779D"/>
    <w:rsid w:val="003C7820"/>
    <w:rsid w:val="003C7895"/>
    <w:rsid w:val="003C7979"/>
    <w:rsid w:val="003C79CC"/>
    <w:rsid w:val="003C79D8"/>
    <w:rsid w:val="003C7A0A"/>
    <w:rsid w:val="003C7A46"/>
    <w:rsid w:val="003C7AD5"/>
    <w:rsid w:val="003C7ADD"/>
    <w:rsid w:val="003C7B3B"/>
    <w:rsid w:val="003C7B43"/>
    <w:rsid w:val="003C7B76"/>
    <w:rsid w:val="003C7BAA"/>
    <w:rsid w:val="003C7BCD"/>
    <w:rsid w:val="003C7EB0"/>
    <w:rsid w:val="003C7F9A"/>
    <w:rsid w:val="003D015A"/>
    <w:rsid w:val="003D0228"/>
    <w:rsid w:val="003D03C0"/>
    <w:rsid w:val="003D03D4"/>
    <w:rsid w:val="003D0533"/>
    <w:rsid w:val="003D0649"/>
    <w:rsid w:val="003D068B"/>
    <w:rsid w:val="003D09E1"/>
    <w:rsid w:val="003D09FF"/>
    <w:rsid w:val="003D0A00"/>
    <w:rsid w:val="003D0AC2"/>
    <w:rsid w:val="003D0AC7"/>
    <w:rsid w:val="003D0B34"/>
    <w:rsid w:val="003D0BAC"/>
    <w:rsid w:val="003D0C09"/>
    <w:rsid w:val="003D0C6B"/>
    <w:rsid w:val="003D0D89"/>
    <w:rsid w:val="003D0E68"/>
    <w:rsid w:val="003D0E9C"/>
    <w:rsid w:val="003D0F01"/>
    <w:rsid w:val="003D1032"/>
    <w:rsid w:val="003D148C"/>
    <w:rsid w:val="003D14D0"/>
    <w:rsid w:val="003D14E3"/>
    <w:rsid w:val="003D158C"/>
    <w:rsid w:val="003D163D"/>
    <w:rsid w:val="003D1690"/>
    <w:rsid w:val="003D172A"/>
    <w:rsid w:val="003D1782"/>
    <w:rsid w:val="003D1795"/>
    <w:rsid w:val="003D1A9D"/>
    <w:rsid w:val="003D1B33"/>
    <w:rsid w:val="003D1B51"/>
    <w:rsid w:val="003D1B87"/>
    <w:rsid w:val="003D1BDF"/>
    <w:rsid w:val="003D1C58"/>
    <w:rsid w:val="003D1CDD"/>
    <w:rsid w:val="003D1E0F"/>
    <w:rsid w:val="003D1E2D"/>
    <w:rsid w:val="003D1FB4"/>
    <w:rsid w:val="003D203E"/>
    <w:rsid w:val="003D209B"/>
    <w:rsid w:val="003D20A1"/>
    <w:rsid w:val="003D222D"/>
    <w:rsid w:val="003D234F"/>
    <w:rsid w:val="003D24BD"/>
    <w:rsid w:val="003D24CE"/>
    <w:rsid w:val="003D2694"/>
    <w:rsid w:val="003D27CF"/>
    <w:rsid w:val="003D2891"/>
    <w:rsid w:val="003D28D0"/>
    <w:rsid w:val="003D28F6"/>
    <w:rsid w:val="003D2936"/>
    <w:rsid w:val="003D2CC6"/>
    <w:rsid w:val="003D2CE8"/>
    <w:rsid w:val="003D2D2B"/>
    <w:rsid w:val="003D2D93"/>
    <w:rsid w:val="003D2E07"/>
    <w:rsid w:val="003D2E77"/>
    <w:rsid w:val="003D2EAB"/>
    <w:rsid w:val="003D30BD"/>
    <w:rsid w:val="003D31B0"/>
    <w:rsid w:val="003D3257"/>
    <w:rsid w:val="003D32F6"/>
    <w:rsid w:val="003D3341"/>
    <w:rsid w:val="003D339D"/>
    <w:rsid w:val="003D34D1"/>
    <w:rsid w:val="003D3542"/>
    <w:rsid w:val="003D3621"/>
    <w:rsid w:val="003D362F"/>
    <w:rsid w:val="003D36A1"/>
    <w:rsid w:val="003D37D2"/>
    <w:rsid w:val="003D3800"/>
    <w:rsid w:val="003D3892"/>
    <w:rsid w:val="003D397D"/>
    <w:rsid w:val="003D3A01"/>
    <w:rsid w:val="003D3B6C"/>
    <w:rsid w:val="003D3B90"/>
    <w:rsid w:val="003D3C50"/>
    <w:rsid w:val="003D3C5E"/>
    <w:rsid w:val="003D3CD5"/>
    <w:rsid w:val="003D3CE3"/>
    <w:rsid w:val="003D3D10"/>
    <w:rsid w:val="003D3D12"/>
    <w:rsid w:val="003D3D40"/>
    <w:rsid w:val="003D3E10"/>
    <w:rsid w:val="003D3EC6"/>
    <w:rsid w:val="003D3F0D"/>
    <w:rsid w:val="003D3F63"/>
    <w:rsid w:val="003D3FAF"/>
    <w:rsid w:val="003D3FFC"/>
    <w:rsid w:val="003D4035"/>
    <w:rsid w:val="003D40F0"/>
    <w:rsid w:val="003D4486"/>
    <w:rsid w:val="003D451B"/>
    <w:rsid w:val="003D4555"/>
    <w:rsid w:val="003D4585"/>
    <w:rsid w:val="003D45D8"/>
    <w:rsid w:val="003D45DE"/>
    <w:rsid w:val="003D4620"/>
    <w:rsid w:val="003D469F"/>
    <w:rsid w:val="003D46F8"/>
    <w:rsid w:val="003D4749"/>
    <w:rsid w:val="003D478B"/>
    <w:rsid w:val="003D47D1"/>
    <w:rsid w:val="003D491B"/>
    <w:rsid w:val="003D4939"/>
    <w:rsid w:val="003D49D6"/>
    <w:rsid w:val="003D4B5D"/>
    <w:rsid w:val="003D4BD9"/>
    <w:rsid w:val="003D4C69"/>
    <w:rsid w:val="003D4D15"/>
    <w:rsid w:val="003D4DB2"/>
    <w:rsid w:val="003D4E0B"/>
    <w:rsid w:val="003D4E86"/>
    <w:rsid w:val="003D4F4A"/>
    <w:rsid w:val="003D4FE5"/>
    <w:rsid w:val="003D526A"/>
    <w:rsid w:val="003D52A0"/>
    <w:rsid w:val="003D5312"/>
    <w:rsid w:val="003D5383"/>
    <w:rsid w:val="003D5578"/>
    <w:rsid w:val="003D55E3"/>
    <w:rsid w:val="003D578F"/>
    <w:rsid w:val="003D57EB"/>
    <w:rsid w:val="003D582D"/>
    <w:rsid w:val="003D58F5"/>
    <w:rsid w:val="003D596C"/>
    <w:rsid w:val="003D59E0"/>
    <w:rsid w:val="003D5A08"/>
    <w:rsid w:val="003D5B78"/>
    <w:rsid w:val="003D5BAA"/>
    <w:rsid w:val="003D5BB6"/>
    <w:rsid w:val="003D5DEA"/>
    <w:rsid w:val="003D5F12"/>
    <w:rsid w:val="003D5FA2"/>
    <w:rsid w:val="003D5FEF"/>
    <w:rsid w:val="003D603C"/>
    <w:rsid w:val="003D6222"/>
    <w:rsid w:val="003D62A5"/>
    <w:rsid w:val="003D633C"/>
    <w:rsid w:val="003D640A"/>
    <w:rsid w:val="003D6436"/>
    <w:rsid w:val="003D64BF"/>
    <w:rsid w:val="003D65B5"/>
    <w:rsid w:val="003D663F"/>
    <w:rsid w:val="003D66FB"/>
    <w:rsid w:val="003D67A1"/>
    <w:rsid w:val="003D67A8"/>
    <w:rsid w:val="003D68E2"/>
    <w:rsid w:val="003D6996"/>
    <w:rsid w:val="003D6A56"/>
    <w:rsid w:val="003D6AF2"/>
    <w:rsid w:val="003D6C54"/>
    <w:rsid w:val="003D6CCB"/>
    <w:rsid w:val="003D6D6F"/>
    <w:rsid w:val="003D6D9D"/>
    <w:rsid w:val="003D6D9F"/>
    <w:rsid w:val="003D6EA8"/>
    <w:rsid w:val="003D6EFC"/>
    <w:rsid w:val="003D6F2C"/>
    <w:rsid w:val="003D6F89"/>
    <w:rsid w:val="003D7034"/>
    <w:rsid w:val="003D7104"/>
    <w:rsid w:val="003D714F"/>
    <w:rsid w:val="003D7197"/>
    <w:rsid w:val="003D71E0"/>
    <w:rsid w:val="003D7213"/>
    <w:rsid w:val="003D7324"/>
    <w:rsid w:val="003D736B"/>
    <w:rsid w:val="003D7422"/>
    <w:rsid w:val="003D74A7"/>
    <w:rsid w:val="003D74CB"/>
    <w:rsid w:val="003D75F6"/>
    <w:rsid w:val="003D7697"/>
    <w:rsid w:val="003D76A1"/>
    <w:rsid w:val="003D771E"/>
    <w:rsid w:val="003D77D6"/>
    <w:rsid w:val="003D7898"/>
    <w:rsid w:val="003D79D0"/>
    <w:rsid w:val="003D7A46"/>
    <w:rsid w:val="003D7A71"/>
    <w:rsid w:val="003D7B94"/>
    <w:rsid w:val="003D7BB1"/>
    <w:rsid w:val="003D7D4D"/>
    <w:rsid w:val="003D7D54"/>
    <w:rsid w:val="003D7DA0"/>
    <w:rsid w:val="003D7E92"/>
    <w:rsid w:val="003D7E98"/>
    <w:rsid w:val="003E00B5"/>
    <w:rsid w:val="003E0171"/>
    <w:rsid w:val="003E018E"/>
    <w:rsid w:val="003E023B"/>
    <w:rsid w:val="003E026D"/>
    <w:rsid w:val="003E04CB"/>
    <w:rsid w:val="003E0722"/>
    <w:rsid w:val="003E0723"/>
    <w:rsid w:val="003E07F3"/>
    <w:rsid w:val="003E0885"/>
    <w:rsid w:val="003E08DA"/>
    <w:rsid w:val="003E0A2E"/>
    <w:rsid w:val="003E0B3D"/>
    <w:rsid w:val="003E0B95"/>
    <w:rsid w:val="003E0C09"/>
    <w:rsid w:val="003E0D58"/>
    <w:rsid w:val="003E0DC8"/>
    <w:rsid w:val="003E0EC7"/>
    <w:rsid w:val="003E0F16"/>
    <w:rsid w:val="003E114A"/>
    <w:rsid w:val="003E1280"/>
    <w:rsid w:val="003E1368"/>
    <w:rsid w:val="003E1385"/>
    <w:rsid w:val="003E13B2"/>
    <w:rsid w:val="003E1438"/>
    <w:rsid w:val="003E1479"/>
    <w:rsid w:val="003E150A"/>
    <w:rsid w:val="003E156B"/>
    <w:rsid w:val="003E164B"/>
    <w:rsid w:val="003E1659"/>
    <w:rsid w:val="003E16B7"/>
    <w:rsid w:val="003E16E5"/>
    <w:rsid w:val="003E1848"/>
    <w:rsid w:val="003E18FB"/>
    <w:rsid w:val="003E1954"/>
    <w:rsid w:val="003E19BB"/>
    <w:rsid w:val="003E1AE5"/>
    <w:rsid w:val="003E1D45"/>
    <w:rsid w:val="003E1DE4"/>
    <w:rsid w:val="003E1EDA"/>
    <w:rsid w:val="003E2074"/>
    <w:rsid w:val="003E20D6"/>
    <w:rsid w:val="003E216E"/>
    <w:rsid w:val="003E217A"/>
    <w:rsid w:val="003E2224"/>
    <w:rsid w:val="003E230E"/>
    <w:rsid w:val="003E2447"/>
    <w:rsid w:val="003E24CA"/>
    <w:rsid w:val="003E24D9"/>
    <w:rsid w:val="003E2528"/>
    <w:rsid w:val="003E25D4"/>
    <w:rsid w:val="003E2659"/>
    <w:rsid w:val="003E26A4"/>
    <w:rsid w:val="003E27D2"/>
    <w:rsid w:val="003E283A"/>
    <w:rsid w:val="003E2889"/>
    <w:rsid w:val="003E29B9"/>
    <w:rsid w:val="003E2B1E"/>
    <w:rsid w:val="003E2C2E"/>
    <w:rsid w:val="003E2C83"/>
    <w:rsid w:val="003E2DB7"/>
    <w:rsid w:val="003E2DD2"/>
    <w:rsid w:val="003E2E71"/>
    <w:rsid w:val="003E2F05"/>
    <w:rsid w:val="003E2F4F"/>
    <w:rsid w:val="003E306A"/>
    <w:rsid w:val="003E30D7"/>
    <w:rsid w:val="003E3137"/>
    <w:rsid w:val="003E318C"/>
    <w:rsid w:val="003E32A9"/>
    <w:rsid w:val="003E3443"/>
    <w:rsid w:val="003E345B"/>
    <w:rsid w:val="003E348E"/>
    <w:rsid w:val="003E349B"/>
    <w:rsid w:val="003E35AC"/>
    <w:rsid w:val="003E3609"/>
    <w:rsid w:val="003E36CE"/>
    <w:rsid w:val="003E36F5"/>
    <w:rsid w:val="003E377F"/>
    <w:rsid w:val="003E388E"/>
    <w:rsid w:val="003E38A7"/>
    <w:rsid w:val="003E3956"/>
    <w:rsid w:val="003E3A4D"/>
    <w:rsid w:val="003E3AE4"/>
    <w:rsid w:val="003E3C09"/>
    <w:rsid w:val="003E3C17"/>
    <w:rsid w:val="003E3C53"/>
    <w:rsid w:val="003E3D02"/>
    <w:rsid w:val="003E3DFF"/>
    <w:rsid w:val="003E3E08"/>
    <w:rsid w:val="003E4020"/>
    <w:rsid w:val="003E4067"/>
    <w:rsid w:val="003E41AA"/>
    <w:rsid w:val="003E4417"/>
    <w:rsid w:val="003E4429"/>
    <w:rsid w:val="003E44AE"/>
    <w:rsid w:val="003E4708"/>
    <w:rsid w:val="003E4753"/>
    <w:rsid w:val="003E47ED"/>
    <w:rsid w:val="003E48A0"/>
    <w:rsid w:val="003E498F"/>
    <w:rsid w:val="003E4992"/>
    <w:rsid w:val="003E4A91"/>
    <w:rsid w:val="003E4AE4"/>
    <w:rsid w:val="003E4B34"/>
    <w:rsid w:val="003E4BD7"/>
    <w:rsid w:val="003E4CBD"/>
    <w:rsid w:val="003E4CDC"/>
    <w:rsid w:val="003E4D27"/>
    <w:rsid w:val="003E4D5E"/>
    <w:rsid w:val="003E4E42"/>
    <w:rsid w:val="003E4E70"/>
    <w:rsid w:val="003E4E7B"/>
    <w:rsid w:val="003E4E86"/>
    <w:rsid w:val="003E4FB0"/>
    <w:rsid w:val="003E4FEB"/>
    <w:rsid w:val="003E5471"/>
    <w:rsid w:val="003E5619"/>
    <w:rsid w:val="003E5648"/>
    <w:rsid w:val="003E5651"/>
    <w:rsid w:val="003E56F8"/>
    <w:rsid w:val="003E5725"/>
    <w:rsid w:val="003E5816"/>
    <w:rsid w:val="003E5869"/>
    <w:rsid w:val="003E5C84"/>
    <w:rsid w:val="003E5D62"/>
    <w:rsid w:val="003E5D79"/>
    <w:rsid w:val="003E5D90"/>
    <w:rsid w:val="003E5E33"/>
    <w:rsid w:val="003E5E8B"/>
    <w:rsid w:val="003E5ECC"/>
    <w:rsid w:val="003E5EDD"/>
    <w:rsid w:val="003E5F27"/>
    <w:rsid w:val="003E5F4F"/>
    <w:rsid w:val="003E5F97"/>
    <w:rsid w:val="003E5FDB"/>
    <w:rsid w:val="003E6098"/>
    <w:rsid w:val="003E618F"/>
    <w:rsid w:val="003E6284"/>
    <w:rsid w:val="003E63E4"/>
    <w:rsid w:val="003E656B"/>
    <w:rsid w:val="003E65B0"/>
    <w:rsid w:val="003E6668"/>
    <w:rsid w:val="003E692A"/>
    <w:rsid w:val="003E696D"/>
    <w:rsid w:val="003E6BA5"/>
    <w:rsid w:val="003E6BB9"/>
    <w:rsid w:val="003E6C2F"/>
    <w:rsid w:val="003E6F92"/>
    <w:rsid w:val="003E707D"/>
    <w:rsid w:val="003E7096"/>
    <w:rsid w:val="003E71D8"/>
    <w:rsid w:val="003E7262"/>
    <w:rsid w:val="003E7280"/>
    <w:rsid w:val="003E7329"/>
    <w:rsid w:val="003E73FF"/>
    <w:rsid w:val="003E74AF"/>
    <w:rsid w:val="003E7544"/>
    <w:rsid w:val="003E75DC"/>
    <w:rsid w:val="003E75E0"/>
    <w:rsid w:val="003E7930"/>
    <w:rsid w:val="003E79F6"/>
    <w:rsid w:val="003E7A67"/>
    <w:rsid w:val="003E7A69"/>
    <w:rsid w:val="003E7A86"/>
    <w:rsid w:val="003E7BAA"/>
    <w:rsid w:val="003E7C6B"/>
    <w:rsid w:val="003E7C77"/>
    <w:rsid w:val="003E7CF1"/>
    <w:rsid w:val="003E7D04"/>
    <w:rsid w:val="003E7D3B"/>
    <w:rsid w:val="003E7D9E"/>
    <w:rsid w:val="003E7DA6"/>
    <w:rsid w:val="003E7DB3"/>
    <w:rsid w:val="003E7DB8"/>
    <w:rsid w:val="003E7E8D"/>
    <w:rsid w:val="003E7E96"/>
    <w:rsid w:val="003E7F42"/>
    <w:rsid w:val="003E7F8B"/>
    <w:rsid w:val="003E7FD8"/>
    <w:rsid w:val="003F020B"/>
    <w:rsid w:val="003F02DF"/>
    <w:rsid w:val="003F03BD"/>
    <w:rsid w:val="003F048D"/>
    <w:rsid w:val="003F04A0"/>
    <w:rsid w:val="003F0593"/>
    <w:rsid w:val="003F05DC"/>
    <w:rsid w:val="003F0631"/>
    <w:rsid w:val="003F0742"/>
    <w:rsid w:val="003F0754"/>
    <w:rsid w:val="003F07D9"/>
    <w:rsid w:val="003F096F"/>
    <w:rsid w:val="003F0976"/>
    <w:rsid w:val="003F0994"/>
    <w:rsid w:val="003F0A1A"/>
    <w:rsid w:val="003F0A3C"/>
    <w:rsid w:val="003F0B24"/>
    <w:rsid w:val="003F0C4F"/>
    <w:rsid w:val="003F0DA1"/>
    <w:rsid w:val="003F0E61"/>
    <w:rsid w:val="003F0E97"/>
    <w:rsid w:val="003F0EC7"/>
    <w:rsid w:val="003F0EF7"/>
    <w:rsid w:val="003F10D0"/>
    <w:rsid w:val="003F1132"/>
    <w:rsid w:val="003F11EB"/>
    <w:rsid w:val="003F1220"/>
    <w:rsid w:val="003F1292"/>
    <w:rsid w:val="003F12D5"/>
    <w:rsid w:val="003F1446"/>
    <w:rsid w:val="003F155F"/>
    <w:rsid w:val="003F15EE"/>
    <w:rsid w:val="003F1649"/>
    <w:rsid w:val="003F169F"/>
    <w:rsid w:val="003F16DA"/>
    <w:rsid w:val="003F181F"/>
    <w:rsid w:val="003F18D2"/>
    <w:rsid w:val="003F18EE"/>
    <w:rsid w:val="003F19F2"/>
    <w:rsid w:val="003F1A09"/>
    <w:rsid w:val="003F1A49"/>
    <w:rsid w:val="003F1A6F"/>
    <w:rsid w:val="003F1A88"/>
    <w:rsid w:val="003F1AE9"/>
    <w:rsid w:val="003F1B0C"/>
    <w:rsid w:val="003F1BB9"/>
    <w:rsid w:val="003F1BD8"/>
    <w:rsid w:val="003F1D41"/>
    <w:rsid w:val="003F1D53"/>
    <w:rsid w:val="003F2081"/>
    <w:rsid w:val="003F2098"/>
    <w:rsid w:val="003F2119"/>
    <w:rsid w:val="003F212A"/>
    <w:rsid w:val="003F246D"/>
    <w:rsid w:val="003F2621"/>
    <w:rsid w:val="003F266E"/>
    <w:rsid w:val="003F27C6"/>
    <w:rsid w:val="003F27C9"/>
    <w:rsid w:val="003F27D3"/>
    <w:rsid w:val="003F293F"/>
    <w:rsid w:val="003F29BD"/>
    <w:rsid w:val="003F29D4"/>
    <w:rsid w:val="003F29D9"/>
    <w:rsid w:val="003F29F2"/>
    <w:rsid w:val="003F2A23"/>
    <w:rsid w:val="003F2A4C"/>
    <w:rsid w:val="003F2A5F"/>
    <w:rsid w:val="003F2A72"/>
    <w:rsid w:val="003F2C2F"/>
    <w:rsid w:val="003F2CB2"/>
    <w:rsid w:val="003F2CD7"/>
    <w:rsid w:val="003F2CFA"/>
    <w:rsid w:val="003F2E3B"/>
    <w:rsid w:val="003F2E41"/>
    <w:rsid w:val="003F2EAE"/>
    <w:rsid w:val="003F2F0D"/>
    <w:rsid w:val="003F3065"/>
    <w:rsid w:val="003F306F"/>
    <w:rsid w:val="003F338D"/>
    <w:rsid w:val="003F35FD"/>
    <w:rsid w:val="003F3672"/>
    <w:rsid w:val="003F384E"/>
    <w:rsid w:val="003F3951"/>
    <w:rsid w:val="003F399D"/>
    <w:rsid w:val="003F3A83"/>
    <w:rsid w:val="003F3AEA"/>
    <w:rsid w:val="003F3CFE"/>
    <w:rsid w:val="003F3D2E"/>
    <w:rsid w:val="003F3F54"/>
    <w:rsid w:val="003F3FBD"/>
    <w:rsid w:val="003F427B"/>
    <w:rsid w:val="003F4327"/>
    <w:rsid w:val="003F4475"/>
    <w:rsid w:val="003F4550"/>
    <w:rsid w:val="003F45EF"/>
    <w:rsid w:val="003F4824"/>
    <w:rsid w:val="003F48B4"/>
    <w:rsid w:val="003F49B7"/>
    <w:rsid w:val="003F4A76"/>
    <w:rsid w:val="003F4B80"/>
    <w:rsid w:val="003F4D26"/>
    <w:rsid w:val="003F4D5B"/>
    <w:rsid w:val="003F4DE9"/>
    <w:rsid w:val="003F4E6C"/>
    <w:rsid w:val="003F4FBB"/>
    <w:rsid w:val="003F4FEC"/>
    <w:rsid w:val="003F5193"/>
    <w:rsid w:val="003F51A9"/>
    <w:rsid w:val="003F520F"/>
    <w:rsid w:val="003F523E"/>
    <w:rsid w:val="003F529C"/>
    <w:rsid w:val="003F539F"/>
    <w:rsid w:val="003F53E6"/>
    <w:rsid w:val="003F555B"/>
    <w:rsid w:val="003F557A"/>
    <w:rsid w:val="003F5607"/>
    <w:rsid w:val="003F568A"/>
    <w:rsid w:val="003F5778"/>
    <w:rsid w:val="003F57A6"/>
    <w:rsid w:val="003F5866"/>
    <w:rsid w:val="003F586C"/>
    <w:rsid w:val="003F58D6"/>
    <w:rsid w:val="003F5A4A"/>
    <w:rsid w:val="003F5BF0"/>
    <w:rsid w:val="003F5D5D"/>
    <w:rsid w:val="003F5D5E"/>
    <w:rsid w:val="003F606A"/>
    <w:rsid w:val="003F6147"/>
    <w:rsid w:val="003F6357"/>
    <w:rsid w:val="003F6478"/>
    <w:rsid w:val="003F64D8"/>
    <w:rsid w:val="003F6513"/>
    <w:rsid w:val="003F653D"/>
    <w:rsid w:val="003F65CE"/>
    <w:rsid w:val="003F670A"/>
    <w:rsid w:val="003F69F7"/>
    <w:rsid w:val="003F6B34"/>
    <w:rsid w:val="003F6BCC"/>
    <w:rsid w:val="003F6BD4"/>
    <w:rsid w:val="003F6C2A"/>
    <w:rsid w:val="003F6C4F"/>
    <w:rsid w:val="003F6D2F"/>
    <w:rsid w:val="003F6F39"/>
    <w:rsid w:val="003F6FBA"/>
    <w:rsid w:val="003F704F"/>
    <w:rsid w:val="003F713E"/>
    <w:rsid w:val="003F7224"/>
    <w:rsid w:val="003F7258"/>
    <w:rsid w:val="003F7261"/>
    <w:rsid w:val="003F7306"/>
    <w:rsid w:val="003F738A"/>
    <w:rsid w:val="003F73DB"/>
    <w:rsid w:val="003F7610"/>
    <w:rsid w:val="003F766E"/>
    <w:rsid w:val="003F7859"/>
    <w:rsid w:val="003F7AE2"/>
    <w:rsid w:val="003F7C15"/>
    <w:rsid w:val="003F7C60"/>
    <w:rsid w:val="003F7C70"/>
    <w:rsid w:val="003F7D6A"/>
    <w:rsid w:val="003F7E1D"/>
    <w:rsid w:val="003F7FED"/>
    <w:rsid w:val="00400499"/>
    <w:rsid w:val="00400515"/>
    <w:rsid w:val="004005B7"/>
    <w:rsid w:val="004005E8"/>
    <w:rsid w:val="00400642"/>
    <w:rsid w:val="004006C2"/>
    <w:rsid w:val="004006D9"/>
    <w:rsid w:val="0040077A"/>
    <w:rsid w:val="0040080A"/>
    <w:rsid w:val="00400902"/>
    <w:rsid w:val="00400917"/>
    <w:rsid w:val="00400ACF"/>
    <w:rsid w:val="00400AEE"/>
    <w:rsid w:val="00400B19"/>
    <w:rsid w:val="00400C76"/>
    <w:rsid w:val="00400C78"/>
    <w:rsid w:val="00400CF4"/>
    <w:rsid w:val="00400D9F"/>
    <w:rsid w:val="00400EDC"/>
    <w:rsid w:val="00400FBE"/>
    <w:rsid w:val="00401044"/>
    <w:rsid w:val="004010AC"/>
    <w:rsid w:val="004012BF"/>
    <w:rsid w:val="004013D5"/>
    <w:rsid w:val="004013FA"/>
    <w:rsid w:val="0040143D"/>
    <w:rsid w:val="004015A8"/>
    <w:rsid w:val="004015B8"/>
    <w:rsid w:val="004015CA"/>
    <w:rsid w:val="004016CC"/>
    <w:rsid w:val="0040172D"/>
    <w:rsid w:val="00401776"/>
    <w:rsid w:val="004017D3"/>
    <w:rsid w:val="004017F3"/>
    <w:rsid w:val="004018DD"/>
    <w:rsid w:val="00401A71"/>
    <w:rsid w:val="00401C46"/>
    <w:rsid w:val="00401C59"/>
    <w:rsid w:val="00401CF4"/>
    <w:rsid w:val="00401D36"/>
    <w:rsid w:val="00401F08"/>
    <w:rsid w:val="00402090"/>
    <w:rsid w:val="00402101"/>
    <w:rsid w:val="0040213E"/>
    <w:rsid w:val="004021B0"/>
    <w:rsid w:val="004021E0"/>
    <w:rsid w:val="00402272"/>
    <w:rsid w:val="004023B5"/>
    <w:rsid w:val="00402411"/>
    <w:rsid w:val="00402464"/>
    <w:rsid w:val="00402542"/>
    <w:rsid w:val="00402643"/>
    <w:rsid w:val="00402650"/>
    <w:rsid w:val="004027E8"/>
    <w:rsid w:val="0040280F"/>
    <w:rsid w:val="00402890"/>
    <w:rsid w:val="00402AF2"/>
    <w:rsid w:val="00402B60"/>
    <w:rsid w:val="00402B83"/>
    <w:rsid w:val="00402B86"/>
    <w:rsid w:val="00402C82"/>
    <w:rsid w:val="00402C89"/>
    <w:rsid w:val="00402CE1"/>
    <w:rsid w:val="00402D82"/>
    <w:rsid w:val="0040320E"/>
    <w:rsid w:val="00403274"/>
    <w:rsid w:val="004032B5"/>
    <w:rsid w:val="004034F1"/>
    <w:rsid w:val="004035A7"/>
    <w:rsid w:val="004035EA"/>
    <w:rsid w:val="00403623"/>
    <w:rsid w:val="00403701"/>
    <w:rsid w:val="0040372F"/>
    <w:rsid w:val="004037B9"/>
    <w:rsid w:val="004037BA"/>
    <w:rsid w:val="00403871"/>
    <w:rsid w:val="00403982"/>
    <w:rsid w:val="004039E8"/>
    <w:rsid w:val="00403A04"/>
    <w:rsid w:val="00403A95"/>
    <w:rsid w:val="00403BF9"/>
    <w:rsid w:val="00403E6B"/>
    <w:rsid w:val="00403F65"/>
    <w:rsid w:val="00404000"/>
    <w:rsid w:val="004041C1"/>
    <w:rsid w:val="004041E1"/>
    <w:rsid w:val="00404353"/>
    <w:rsid w:val="004043CB"/>
    <w:rsid w:val="00404480"/>
    <w:rsid w:val="004044CA"/>
    <w:rsid w:val="00404508"/>
    <w:rsid w:val="00404604"/>
    <w:rsid w:val="00404881"/>
    <w:rsid w:val="00404899"/>
    <w:rsid w:val="004048F7"/>
    <w:rsid w:val="00404938"/>
    <w:rsid w:val="00404AD9"/>
    <w:rsid w:val="00404B19"/>
    <w:rsid w:val="00404DBC"/>
    <w:rsid w:val="00404E42"/>
    <w:rsid w:val="00404E75"/>
    <w:rsid w:val="00404EB0"/>
    <w:rsid w:val="00404F34"/>
    <w:rsid w:val="00404FB3"/>
    <w:rsid w:val="0040508C"/>
    <w:rsid w:val="004050DD"/>
    <w:rsid w:val="0040514D"/>
    <w:rsid w:val="004051F4"/>
    <w:rsid w:val="004051F9"/>
    <w:rsid w:val="004053EC"/>
    <w:rsid w:val="0040555D"/>
    <w:rsid w:val="004055AC"/>
    <w:rsid w:val="00405647"/>
    <w:rsid w:val="00405678"/>
    <w:rsid w:val="00405745"/>
    <w:rsid w:val="00405831"/>
    <w:rsid w:val="00405842"/>
    <w:rsid w:val="00405882"/>
    <w:rsid w:val="00405A31"/>
    <w:rsid w:val="00405A64"/>
    <w:rsid w:val="00405D01"/>
    <w:rsid w:val="00405D40"/>
    <w:rsid w:val="00405D81"/>
    <w:rsid w:val="00405E00"/>
    <w:rsid w:val="00405E7F"/>
    <w:rsid w:val="004060F3"/>
    <w:rsid w:val="00406164"/>
    <w:rsid w:val="0040622A"/>
    <w:rsid w:val="0040626A"/>
    <w:rsid w:val="004063CB"/>
    <w:rsid w:val="004063D9"/>
    <w:rsid w:val="004063FE"/>
    <w:rsid w:val="00406462"/>
    <w:rsid w:val="0040656C"/>
    <w:rsid w:val="00406652"/>
    <w:rsid w:val="0040673D"/>
    <w:rsid w:val="004067B1"/>
    <w:rsid w:val="00406A66"/>
    <w:rsid w:val="00406CAD"/>
    <w:rsid w:val="00406DA9"/>
    <w:rsid w:val="00406E97"/>
    <w:rsid w:val="00406EEB"/>
    <w:rsid w:val="00406F77"/>
    <w:rsid w:val="00406F98"/>
    <w:rsid w:val="0040701C"/>
    <w:rsid w:val="0040701D"/>
    <w:rsid w:val="004071A3"/>
    <w:rsid w:val="004071B3"/>
    <w:rsid w:val="00407350"/>
    <w:rsid w:val="004073F4"/>
    <w:rsid w:val="0040764E"/>
    <w:rsid w:val="00407766"/>
    <w:rsid w:val="00407B21"/>
    <w:rsid w:val="00407C3E"/>
    <w:rsid w:val="00407C9E"/>
    <w:rsid w:val="00407E30"/>
    <w:rsid w:val="00407EC8"/>
    <w:rsid w:val="00407F64"/>
    <w:rsid w:val="00407F78"/>
    <w:rsid w:val="00407FFB"/>
    <w:rsid w:val="004100DB"/>
    <w:rsid w:val="0041013C"/>
    <w:rsid w:val="0041019A"/>
    <w:rsid w:val="004101CE"/>
    <w:rsid w:val="004101E4"/>
    <w:rsid w:val="00410475"/>
    <w:rsid w:val="0041059A"/>
    <w:rsid w:val="004105FB"/>
    <w:rsid w:val="00410617"/>
    <w:rsid w:val="004108CD"/>
    <w:rsid w:val="0041091B"/>
    <w:rsid w:val="004109CA"/>
    <w:rsid w:val="00410CA8"/>
    <w:rsid w:val="00410CD4"/>
    <w:rsid w:val="00410CFC"/>
    <w:rsid w:val="00410D46"/>
    <w:rsid w:val="00410D4A"/>
    <w:rsid w:val="00410D55"/>
    <w:rsid w:val="00410D7B"/>
    <w:rsid w:val="00410FAC"/>
    <w:rsid w:val="00410FF5"/>
    <w:rsid w:val="00411070"/>
    <w:rsid w:val="004110FF"/>
    <w:rsid w:val="00411171"/>
    <w:rsid w:val="004111CD"/>
    <w:rsid w:val="004111F7"/>
    <w:rsid w:val="00411212"/>
    <w:rsid w:val="00411282"/>
    <w:rsid w:val="004112E1"/>
    <w:rsid w:val="00411463"/>
    <w:rsid w:val="0041152B"/>
    <w:rsid w:val="0041160C"/>
    <w:rsid w:val="004119A2"/>
    <w:rsid w:val="00411B16"/>
    <w:rsid w:val="00411B86"/>
    <w:rsid w:val="00411BA6"/>
    <w:rsid w:val="00411C21"/>
    <w:rsid w:val="00411D85"/>
    <w:rsid w:val="00411DAA"/>
    <w:rsid w:val="00411DEF"/>
    <w:rsid w:val="00411E86"/>
    <w:rsid w:val="00411F01"/>
    <w:rsid w:val="00411F38"/>
    <w:rsid w:val="00411FF4"/>
    <w:rsid w:val="00412026"/>
    <w:rsid w:val="00412070"/>
    <w:rsid w:val="0041216C"/>
    <w:rsid w:val="0041224C"/>
    <w:rsid w:val="004122C7"/>
    <w:rsid w:val="004122FE"/>
    <w:rsid w:val="00412318"/>
    <w:rsid w:val="0041232C"/>
    <w:rsid w:val="00412449"/>
    <w:rsid w:val="00412586"/>
    <w:rsid w:val="00412607"/>
    <w:rsid w:val="00412683"/>
    <w:rsid w:val="004127D6"/>
    <w:rsid w:val="00412816"/>
    <w:rsid w:val="00412849"/>
    <w:rsid w:val="004129ED"/>
    <w:rsid w:val="00412A43"/>
    <w:rsid w:val="00412A99"/>
    <w:rsid w:val="00412ABA"/>
    <w:rsid w:val="00412C05"/>
    <w:rsid w:val="00412D49"/>
    <w:rsid w:val="00412E2E"/>
    <w:rsid w:val="00412F5A"/>
    <w:rsid w:val="0041300A"/>
    <w:rsid w:val="00413023"/>
    <w:rsid w:val="00413081"/>
    <w:rsid w:val="004130CF"/>
    <w:rsid w:val="004131AC"/>
    <w:rsid w:val="0041336E"/>
    <w:rsid w:val="0041341B"/>
    <w:rsid w:val="0041347C"/>
    <w:rsid w:val="004134E8"/>
    <w:rsid w:val="004134FD"/>
    <w:rsid w:val="00413688"/>
    <w:rsid w:val="0041368F"/>
    <w:rsid w:val="00413719"/>
    <w:rsid w:val="0041376C"/>
    <w:rsid w:val="004137A2"/>
    <w:rsid w:val="004137BF"/>
    <w:rsid w:val="00413800"/>
    <w:rsid w:val="00413820"/>
    <w:rsid w:val="004138FC"/>
    <w:rsid w:val="004139E9"/>
    <w:rsid w:val="00413AE6"/>
    <w:rsid w:val="00413B4E"/>
    <w:rsid w:val="00413C65"/>
    <w:rsid w:val="00413E86"/>
    <w:rsid w:val="004140E9"/>
    <w:rsid w:val="00414329"/>
    <w:rsid w:val="0041443F"/>
    <w:rsid w:val="0041446D"/>
    <w:rsid w:val="004144D0"/>
    <w:rsid w:val="00414627"/>
    <w:rsid w:val="0041465C"/>
    <w:rsid w:val="00414740"/>
    <w:rsid w:val="00414773"/>
    <w:rsid w:val="0041478D"/>
    <w:rsid w:val="004147B2"/>
    <w:rsid w:val="004148EE"/>
    <w:rsid w:val="0041496F"/>
    <w:rsid w:val="004149A1"/>
    <w:rsid w:val="00414A28"/>
    <w:rsid w:val="00414ACE"/>
    <w:rsid w:val="00414BA9"/>
    <w:rsid w:val="00414D11"/>
    <w:rsid w:val="00414E86"/>
    <w:rsid w:val="00414F0C"/>
    <w:rsid w:val="00414FAD"/>
    <w:rsid w:val="00414FBC"/>
    <w:rsid w:val="0041503C"/>
    <w:rsid w:val="004152AB"/>
    <w:rsid w:val="00415387"/>
    <w:rsid w:val="004154EC"/>
    <w:rsid w:val="0041557F"/>
    <w:rsid w:val="00415582"/>
    <w:rsid w:val="00415637"/>
    <w:rsid w:val="0041576A"/>
    <w:rsid w:val="004157A4"/>
    <w:rsid w:val="004158A6"/>
    <w:rsid w:val="00415972"/>
    <w:rsid w:val="004159DD"/>
    <w:rsid w:val="00415A41"/>
    <w:rsid w:val="00415BB7"/>
    <w:rsid w:val="00415BC2"/>
    <w:rsid w:val="00415BFE"/>
    <w:rsid w:val="00415CB5"/>
    <w:rsid w:val="00415DC1"/>
    <w:rsid w:val="00415EFF"/>
    <w:rsid w:val="00415F2D"/>
    <w:rsid w:val="00415F8B"/>
    <w:rsid w:val="00415FC2"/>
    <w:rsid w:val="00415FC8"/>
    <w:rsid w:val="004160CF"/>
    <w:rsid w:val="004161F0"/>
    <w:rsid w:val="004161FF"/>
    <w:rsid w:val="0041628D"/>
    <w:rsid w:val="00416469"/>
    <w:rsid w:val="0041648B"/>
    <w:rsid w:val="0041655B"/>
    <w:rsid w:val="0041655C"/>
    <w:rsid w:val="00416598"/>
    <w:rsid w:val="00416604"/>
    <w:rsid w:val="00416791"/>
    <w:rsid w:val="004167C3"/>
    <w:rsid w:val="00416880"/>
    <w:rsid w:val="004169BD"/>
    <w:rsid w:val="00416AF1"/>
    <w:rsid w:val="00416B8C"/>
    <w:rsid w:val="00416CDC"/>
    <w:rsid w:val="00416D23"/>
    <w:rsid w:val="00416E1E"/>
    <w:rsid w:val="00416FB6"/>
    <w:rsid w:val="00417002"/>
    <w:rsid w:val="0041704B"/>
    <w:rsid w:val="004170D5"/>
    <w:rsid w:val="004173E4"/>
    <w:rsid w:val="00417555"/>
    <w:rsid w:val="00417696"/>
    <w:rsid w:val="004176D9"/>
    <w:rsid w:val="0041793C"/>
    <w:rsid w:val="00417985"/>
    <w:rsid w:val="00417A33"/>
    <w:rsid w:val="00417A6F"/>
    <w:rsid w:val="00417A98"/>
    <w:rsid w:val="00417AD1"/>
    <w:rsid w:val="00417B10"/>
    <w:rsid w:val="00417B1B"/>
    <w:rsid w:val="00417BBF"/>
    <w:rsid w:val="00417C21"/>
    <w:rsid w:val="00417C7E"/>
    <w:rsid w:val="00417D11"/>
    <w:rsid w:val="00417D8A"/>
    <w:rsid w:val="00417E1A"/>
    <w:rsid w:val="00417E32"/>
    <w:rsid w:val="00420143"/>
    <w:rsid w:val="0042014E"/>
    <w:rsid w:val="004204FD"/>
    <w:rsid w:val="004205EF"/>
    <w:rsid w:val="00420629"/>
    <w:rsid w:val="0042065D"/>
    <w:rsid w:val="0042070F"/>
    <w:rsid w:val="00420793"/>
    <w:rsid w:val="004207D0"/>
    <w:rsid w:val="0042085A"/>
    <w:rsid w:val="00420874"/>
    <w:rsid w:val="004208AD"/>
    <w:rsid w:val="004208C7"/>
    <w:rsid w:val="00420C64"/>
    <w:rsid w:val="00420E3D"/>
    <w:rsid w:val="00420E4C"/>
    <w:rsid w:val="00420E90"/>
    <w:rsid w:val="00420ECE"/>
    <w:rsid w:val="00420EF0"/>
    <w:rsid w:val="00420F06"/>
    <w:rsid w:val="00420FC0"/>
    <w:rsid w:val="0042101B"/>
    <w:rsid w:val="00421073"/>
    <w:rsid w:val="0042117E"/>
    <w:rsid w:val="004212D0"/>
    <w:rsid w:val="0042130D"/>
    <w:rsid w:val="004213F3"/>
    <w:rsid w:val="0042146F"/>
    <w:rsid w:val="00421692"/>
    <w:rsid w:val="00421868"/>
    <w:rsid w:val="0042188F"/>
    <w:rsid w:val="00421918"/>
    <w:rsid w:val="0042191F"/>
    <w:rsid w:val="00421A92"/>
    <w:rsid w:val="00421AAF"/>
    <w:rsid w:val="00421B05"/>
    <w:rsid w:val="00421B72"/>
    <w:rsid w:val="00421BEC"/>
    <w:rsid w:val="00421D47"/>
    <w:rsid w:val="00421E43"/>
    <w:rsid w:val="00421E63"/>
    <w:rsid w:val="00421E79"/>
    <w:rsid w:val="00421E87"/>
    <w:rsid w:val="00421F04"/>
    <w:rsid w:val="004220A9"/>
    <w:rsid w:val="0042212B"/>
    <w:rsid w:val="00422132"/>
    <w:rsid w:val="0042238C"/>
    <w:rsid w:val="0042239D"/>
    <w:rsid w:val="00422511"/>
    <w:rsid w:val="0042266B"/>
    <w:rsid w:val="004226CB"/>
    <w:rsid w:val="00422764"/>
    <w:rsid w:val="004227D3"/>
    <w:rsid w:val="00422934"/>
    <w:rsid w:val="00422A08"/>
    <w:rsid w:val="00422B2A"/>
    <w:rsid w:val="00422B80"/>
    <w:rsid w:val="00422B93"/>
    <w:rsid w:val="00422B96"/>
    <w:rsid w:val="00422BCF"/>
    <w:rsid w:val="00422C3F"/>
    <w:rsid w:val="00422C54"/>
    <w:rsid w:val="00422C63"/>
    <w:rsid w:val="00422CB9"/>
    <w:rsid w:val="00422CEA"/>
    <w:rsid w:val="00422DC5"/>
    <w:rsid w:val="00422DF4"/>
    <w:rsid w:val="00422E0A"/>
    <w:rsid w:val="00422EBA"/>
    <w:rsid w:val="00422F61"/>
    <w:rsid w:val="0042302A"/>
    <w:rsid w:val="004230C4"/>
    <w:rsid w:val="00423334"/>
    <w:rsid w:val="00423391"/>
    <w:rsid w:val="004233B9"/>
    <w:rsid w:val="004234BF"/>
    <w:rsid w:val="00423609"/>
    <w:rsid w:val="0042371D"/>
    <w:rsid w:val="004238D3"/>
    <w:rsid w:val="004239A9"/>
    <w:rsid w:val="00423A39"/>
    <w:rsid w:val="00423BBD"/>
    <w:rsid w:val="00423C59"/>
    <w:rsid w:val="00423C81"/>
    <w:rsid w:val="00423C8A"/>
    <w:rsid w:val="00423DBC"/>
    <w:rsid w:val="00424046"/>
    <w:rsid w:val="004240D2"/>
    <w:rsid w:val="00424123"/>
    <w:rsid w:val="00424226"/>
    <w:rsid w:val="004242B7"/>
    <w:rsid w:val="004242F8"/>
    <w:rsid w:val="004244B4"/>
    <w:rsid w:val="00424546"/>
    <w:rsid w:val="004245E2"/>
    <w:rsid w:val="00424630"/>
    <w:rsid w:val="004246CA"/>
    <w:rsid w:val="00424710"/>
    <w:rsid w:val="0042481B"/>
    <w:rsid w:val="004248CF"/>
    <w:rsid w:val="00424918"/>
    <w:rsid w:val="00424941"/>
    <w:rsid w:val="0042499F"/>
    <w:rsid w:val="004249B3"/>
    <w:rsid w:val="00424ADD"/>
    <w:rsid w:val="00424BBE"/>
    <w:rsid w:val="00424DD6"/>
    <w:rsid w:val="0042504C"/>
    <w:rsid w:val="004250A8"/>
    <w:rsid w:val="004250F2"/>
    <w:rsid w:val="0042512E"/>
    <w:rsid w:val="004251DC"/>
    <w:rsid w:val="00425216"/>
    <w:rsid w:val="0042532C"/>
    <w:rsid w:val="004253D7"/>
    <w:rsid w:val="004253F4"/>
    <w:rsid w:val="0042546A"/>
    <w:rsid w:val="004254E1"/>
    <w:rsid w:val="004254E5"/>
    <w:rsid w:val="004257C9"/>
    <w:rsid w:val="00425801"/>
    <w:rsid w:val="00425810"/>
    <w:rsid w:val="00425904"/>
    <w:rsid w:val="0042592F"/>
    <w:rsid w:val="00425976"/>
    <w:rsid w:val="00425A77"/>
    <w:rsid w:val="00425CE9"/>
    <w:rsid w:val="00425DD2"/>
    <w:rsid w:val="00425EA2"/>
    <w:rsid w:val="00425EEC"/>
    <w:rsid w:val="00425F35"/>
    <w:rsid w:val="004260FB"/>
    <w:rsid w:val="004261CC"/>
    <w:rsid w:val="00426249"/>
    <w:rsid w:val="00426254"/>
    <w:rsid w:val="00426255"/>
    <w:rsid w:val="004262B1"/>
    <w:rsid w:val="004262C4"/>
    <w:rsid w:val="004262CD"/>
    <w:rsid w:val="00426393"/>
    <w:rsid w:val="00426444"/>
    <w:rsid w:val="004264B5"/>
    <w:rsid w:val="0042663E"/>
    <w:rsid w:val="00426693"/>
    <w:rsid w:val="004266E0"/>
    <w:rsid w:val="00426701"/>
    <w:rsid w:val="00426814"/>
    <w:rsid w:val="00426824"/>
    <w:rsid w:val="00426879"/>
    <w:rsid w:val="00426967"/>
    <w:rsid w:val="0042698B"/>
    <w:rsid w:val="004269ED"/>
    <w:rsid w:val="00426B0C"/>
    <w:rsid w:val="00426B18"/>
    <w:rsid w:val="00426C14"/>
    <w:rsid w:val="00426D94"/>
    <w:rsid w:val="00426D9C"/>
    <w:rsid w:val="00426F97"/>
    <w:rsid w:val="00427068"/>
    <w:rsid w:val="00427176"/>
    <w:rsid w:val="00427402"/>
    <w:rsid w:val="00427427"/>
    <w:rsid w:val="00427632"/>
    <w:rsid w:val="00427851"/>
    <w:rsid w:val="0042788F"/>
    <w:rsid w:val="00427A38"/>
    <w:rsid w:val="00427A72"/>
    <w:rsid w:val="00427A80"/>
    <w:rsid w:val="00427BC1"/>
    <w:rsid w:val="00427C7D"/>
    <w:rsid w:val="00427D07"/>
    <w:rsid w:val="00427D5E"/>
    <w:rsid w:val="00427D7F"/>
    <w:rsid w:val="00427DD4"/>
    <w:rsid w:val="00427EFE"/>
    <w:rsid w:val="00427F22"/>
    <w:rsid w:val="00427F91"/>
    <w:rsid w:val="00427FAF"/>
    <w:rsid w:val="00427FF9"/>
    <w:rsid w:val="00430014"/>
    <w:rsid w:val="00430027"/>
    <w:rsid w:val="00430090"/>
    <w:rsid w:val="00430092"/>
    <w:rsid w:val="004300D2"/>
    <w:rsid w:val="00430260"/>
    <w:rsid w:val="00430263"/>
    <w:rsid w:val="004302C6"/>
    <w:rsid w:val="0043033D"/>
    <w:rsid w:val="00430391"/>
    <w:rsid w:val="0043049C"/>
    <w:rsid w:val="00430697"/>
    <w:rsid w:val="00430760"/>
    <w:rsid w:val="00430866"/>
    <w:rsid w:val="004308FB"/>
    <w:rsid w:val="004309CA"/>
    <w:rsid w:val="00430A37"/>
    <w:rsid w:val="00430A4D"/>
    <w:rsid w:val="00430BE8"/>
    <w:rsid w:val="00430C35"/>
    <w:rsid w:val="00430C95"/>
    <w:rsid w:val="00430CB3"/>
    <w:rsid w:val="00430D21"/>
    <w:rsid w:val="00430D4E"/>
    <w:rsid w:val="00430DB4"/>
    <w:rsid w:val="00430E5A"/>
    <w:rsid w:val="00430E8A"/>
    <w:rsid w:val="00430EDB"/>
    <w:rsid w:val="00430EE8"/>
    <w:rsid w:val="00430F84"/>
    <w:rsid w:val="004311B8"/>
    <w:rsid w:val="00431218"/>
    <w:rsid w:val="0043125C"/>
    <w:rsid w:val="004312A2"/>
    <w:rsid w:val="0043130A"/>
    <w:rsid w:val="00431398"/>
    <w:rsid w:val="0043140C"/>
    <w:rsid w:val="00431471"/>
    <w:rsid w:val="00431664"/>
    <w:rsid w:val="00431675"/>
    <w:rsid w:val="004317F9"/>
    <w:rsid w:val="0043183F"/>
    <w:rsid w:val="004318FC"/>
    <w:rsid w:val="00431955"/>
    <w:rsid w:val="00431A0F"/>
    <w:rsid w:val="00431A79"/>
    <w:rsid w:val="00431AB1"/>
    <w:rsid w:val="00431C78"/>
    <w:rsid w:val="00431C7E"/>
    <w:rsid w:val="00431CC9"/>
    <w:rsid w:val="00431D57"/>
    <w:rsid w:val="00431D66"/>
    <w:rsid w:val="00431DA9"/>
    <w:rsid w:val="00431DD0"/>
    <w:rsid w:val="00431E0A"/>
    <w:rsid w:val="00431EC8"/>
    <w:rsid w:val="00431EF4"/>
    <w:rsid w:val="00431FB5"/>
    <w:rsid w:val="004320AE"/>
    <w:rsid w:val="004320B3"/>
    <w:rsid w:val="004321E3"/>
    <w:rsid w:val="00432288"/>
    <w:rsid w:val="00432333"/>
    <w:rsid w:val="00432474"/>
    <w:rsid w:val="0043248A"/>
    <w:rsid w:val="004325F4"/>
    <w:rsid w:val="00432694"/>
    <w:rsid w:val="00432895"/>
    <w:rsid w:val="004328E4"/>
    <w:rsid w:val="004329B0"/>
    <w:rsid w:val="00432A83"/>
    <w:rsid w:val="00432AE3"/>
    <w:rsid w:val="00432B4A"/>
    <w:rsid w:val="00432CE6"/>
    <w:rsid w:val="00432DAB"/>
    <w:rsid w:val="00432DB8"/>
    <w:rsid w:val="00432DC5"/>
    <w:rsid w:val="00432EB2"/>
    <w:rsid w:val="00432FD1"/>
    <w:rsid w:val="00432FD4"/>
    <w:rsid w:val="004331F3"/>
    <w:rsid w:val="0043322A"/>
    <w:rsid w:val="0043329C"/>
    <w:rsid w:val="004332F7"/>
    <w:rsid w:val="0043353C"/>
    <w:rsid w:val="0043357F"/>
    <w:rsid w:val="004335F2"/>
    <w:rsid w:val="0043364C"/>
    <w:rsid w:val="00433683"/>
    <w:rsid w:val="00433714"/>
    <w:rsid w:val="00433828"/>
    <w:rsid w:val="00433A7B"/>
    <w:rsid w:val="00433BFC"/>
    <w:rsid w:val="00433BFF"/>
    <w:rsid w:val="00433DB5"/>
    <w:rsid w:val="00433E46"/>
    <w:rsid w:val="00433EC3"/>
    <w:rsid w:val="00433F72"/>
    <w:rsid w:val="00434118"/>
    <w:rsid w:val="004341FE"/>
    <w:rsid w:val="004342B8"/>
    <w:rsid w:val="004342CC"/>
    <w:rsid w:val="00434337"/>
    <w:rsid w:val="00434468"/>
    <w:rsid w:val="00434515"/>
    <w:rsid w:val="004345C3"/>
    <w:rsid w:val="00434607"/>
    <w:rsid w:val="00434625"/>
    <w:rsid w:val="0043481F"/>
    <w:rsid w:val="004348B8"/>
    <w:rsid w:val="00434A20"/>
    <w:rsid w:val="00434A6F"/>
    <w:rsid w:val="00434AF1"/>
    <w:rsid w:val="00434E0A"/>
    <w:rsid w:val="00434EB0"/>
    <w:rsid w:val="00434EF9"/>
    <w:rsid w:val="0043508C"/>
    <w:rsid w:val="00435134"/>
    <w:rsid w:val="0043519A"/>
    <w:rsid w:val="00435342"/>
    <w:rsid w:val="00435354"/>
    <w:rsid w:val="004353B6"/>
    <w:rsid w:val="00435672"/>
    <w:rsid w:val="004356C6"/>
    <w:rsid w:val="004356E5"/>
    <w:rsid w:val="0043574C"/>
    <w:rsid w:val="00435916"/>
    <w:rsid w:val="004359EA"/>
    <w:rsid w:val="00435A6B"/>
    <w:rsid w:val="00435A9C"/>
    <w:rsid w:val="00435BA5"/>
    <w:rsid w:val="00435BB8"/>
    <w:rsid w:val="00435D88"/>
    <w:rsid w:val="00435E37"/>
    <w:rsid w:val="0043600C"/>
    <w:rsid w:val="0043601A"/>
    <w:rsid w:val="00436144"/>
    <w:rsid w:val="004362AC"/>
    <w:rsid w:val="004362EA"/>
    <w:rsid w:val="00436425"/>
    <w:rsid w:val="00436696"/>
    <w:rsid w:val="004366AB"/>
    <w:rsid w:val="00436810"/>
    <w:rsid w:val="00436836"/>
    <w:rsid w:val="00436946"/>
    <w:rsid w:val="00436987"/>
    <w:rsid w:val="0043698A"/>
    <w:rsid w:val="004369BE"/>
    <w:rsid w:val="00436A27"/>
    <w:rsid w:val="00436C44"/>
    <w:rsid w:val="00436C84"/>
    <w:rsid w:val="00436D02"/>
    <w:rsid w:val="00436EE2"/>
    <w:rsid w:val="00436F23"/>
    <w:rsid w:val="004370A9"/>
    <w:rsid w:val="004370D4"/>
    <w:rsid w:val="004370D6"/>
    <w:rsid w:val="004370E8"/>
    <w:rsid w:val="0043714C"/>
    <w:rsid w:val="004371A9"/>
    <w:rsid w:val="004371D5"/>
    <w:rsid w:val="0043721E"/>
    <w:rsid w:val="00437291"/>
    <w:rsid w:val="00437294"/>
    <w:rsid w:val="004372C0"/>
    <w:rsid w:val="00437441"/>
    <w:rsid w:val="004374F4"/>
    <w:rsid w:val="0043750F"/>
    <w:rsid w:val="00437717"/>
    <w:rsid w:val="00437751"/>
    <w:rsid w:val="0043780B"/>
    <w:rsid w:val="00437821"/>
    <w:rsid w:val="00437964"/>
    <w:rsid w:val="004379F8"/>
    <w:rsid w:val="00437B46"/>
    <w:rsid w:val="00437BF8"/>
    <w:rsid w:val="00437CD5"/>
    <w:rsid w:val="00437D17"/>
    <w:rsid w:val="00437D1D"/>
    <w:rsid w:val="00437DA3"/>
    <w:rsid w:val="00437DE5"/>
    <w:rsid w:val="00437E70"/>
    <w:rsid w:val="00437E94"/>
    <w:rsid w:val="004400F6"/>
    <w:rsid w:val="00440125"/>
    <w:rsid w:val="004401DF"/>
    <w:rsid w:val="004402B3"/>
    <w:rsid w:val="0044030D"/>
    <w:rsid w:val="0044044E"/>
    <w:rsid w:val="00440474"/>
    <w:rsid w:val="00440481"/>
    <w:rsid w:val="004405B3"/>
    <w:rsid w:val="00440736"/>
    <w:rsid w:val="00440754"/>
    <w:rsid w:val="004407EC"/>
    <w:rsid w:val="00440841"/>
    <w:rsid w:val="00440B8E"/>
    <w:rsid w:val="00440D52"/>
    <w:rsid w:val="00440DC6"/>
    <w:rsid w:val="00440E05"/>
    <w:rsid w:val="00440E67"/>
    <w:rsid w:val="00440FD7"/>
    <w:rsid w:val="004410B8"/>
    <w:rsid w:val="004410C0"/>
    <w:rsid w:val="004410D8"/>
    <w:rsid w:val="00441155"/>
    <w:rsid w:val="00441331"/>
    <w:rsid w:val="004413CE"/>
    <w:rsid w:val="004413E3"/>
    <w:rsid w:val="004413EA"/>
    <w:rsid w:val="00441590"/>
    <w:rsid w:val="00441594"/>
    <w:rsid w:val="00441598"/>
    <w:rsid w:val="0044160D"/>
    <w:rsid w:val="0044162A"/>
    <w:rsid w:val="00441C3C"/>
    <w:rsid w:val="00441C88"/>
    <w:rsid w:val="00441DD3"/>
    <w:rsid w:val="00441EB5"/>
    <w:rsid w:val="00441EE2"/>
    <w:rsid w:val="00441F49"/>
    <w:rsid w:val="00441F5C"/>
    <w:rsid w:val="00442169"/>
    <w:rsid w:val="004421B7"/>
    <w:rsid w:val="004422EA"/>
    <w:rsid w:val="004424E7"/>
    <w:rsid w:val="004424F8"/>
    <w:rsid w:val="0044257F"/>
    <w:rsid w:val="00442624"/>
    <w:rsid w:val="00442875"/>
    <w:rsid w:val="004429C1"/>
    <w:rsid w:val="00442AF9"/>
    <w:rsid w:val="00442C15"/>
    <w:rsid w:val="00442C7A"/>
    <w:rsid w:val="00442C7B"/>
    <w:rsid w:val="00442DD2"/>
    <w:rsid w:val="00442DDF"/>
    <w:rsid w:val="00442E1E"/>
    <w:rsid w:val="00442E2D"/>
    <w:rsid w:val="00442E3F"/>
    <w:rsid w:val="00442EF2"/>
    <w:rsid w:val="00442FC0"/>
    <w:rsid w:val="00443104"/>
    <w:rsid w:val="0044313E"/>
    <w:rsid w:val="004431F2"/>
    <w:rsid w:val="00443223"/>
    <w:rsid w:val="0044328F"/>
    <w:rsid w:val="0044333C"/>
    <w:rsid w:val="00443518"/>
    <w:rsid w:val="00443553"/>
    <w:rsid w:val="00443674"/>
    <w:rsid w:val="004437CC"/>
    <w:rsid w:val="0044390F"/>
    <w:rsid w:val="00443965"/>
    <w:rsid w:val="00443987"/>
    <w:rsid w:val="004439E3"/>
    <w:rsid w:val="00443A0C"/>
    <w:rsid w:val="00443B9E"/>
    <w:rsid w:val="00443C82"/>
    <w:rsid w:val="00443DAD"/>
    <w:rsid w:val="00443DD0"/>
    <w:rsid w:val="00443F39"/>
    <w:rsid w:val="004440AC"/>
    <w:rsid w:val="004440BC"/>
    <w:rsid w:val="004441D7"/>
    <w:rsid w:val="00444276"/>
    <w:rsid w:val="0044428C"/>
    <w:rsid w:val="004442BA"/>
    <w:rsid w:val="00444382"/>
    <w:rsid w:val="004443C2"/>
    <w:rsid w:val="00444506"/>
    <w:rsid w:val="00444572"/>
    <w:rsid w:val="004445E5"/>
    <w:rsid w:val="00444638"/>
    <w:rsid w:val="004446D4"/>
    <w:rsid w:val="00444749"/>
    <w:rsid w:val="00444797"/>
    <w:rsid w:val="004447F3"/>
    <w:rsid w:val="00444972"/>
    <w:rsid w:val="0044499E"/>
    <w:rsid w:val="00444B33"/>
    <w:rsid w:val="00444BC7"/>
    <w:rsid w:val="00444BE6"/>
    <w:rsid w:val="00444BE7"/>
    <w:rsid w:val="00444C68"/>
    <w:rsid w:val="00444C99"/>
    <w:rsid w:val="00444CBF"/>
    <w:rsid w:val="00444DF7"/>
    <w:rsid w:val="00444E18"/>
    <w:rsid w:val="00444E56"/>
    <w:rsid w:val="00445076"/>
    <w:rsid w:val="004450D7"/>
    <w:rsid w:val="0044516C"/>
    <w:rsid w:val="004452B1"/>
    <w:rsid w:val="004452DD"/>
    <w:rsid w:val="00445347"/>
    <w:rsid w:val="004453DA"/>
    <w:rsid w:val="00445474"/>
    <w:rsid w:val="004456CD"/>
    <w:rsid w:val="0044578F"/>
    <w:rsid w:val="0044582A"/>
    <w:rsid w:val="0044588E"/>
    <w:rsid w:val="00445934"/>
    <w:rsid w:val="0044599A"/>
    <w:rsid w:val="00445BDE"/>
    <w:rsid w:val="00445C5A"/>
    <w:rsid w:val="00445D40"/>
    <w:rsid w:val="00445D49"/>
    <w:rsid w:val="00445DC2"/>
    <w:rsid w:val="00445E79"/>
    <w:rsid w:val="00445F08"/>
    <w:rsid w:val="00445F98"/>
    <w:rsid w:val="00445FDA"/>
    <w:rsid w:val="00446075"/>
    <w:rsid w:val="004462DF"/>
    <w:rsid w:val="004463B7"/>
    <w:rsid w:val="00446424"/>
    <w:rsid w:val="00446442"/>
    <w:rsid w:val="004464F4"/>
    <w:rsid w:val="0044659A"/>
    <w:rsid w:val="00446619"/>
    <w:rsid w:val="00446795"/>
    <w:rsid w:val="004467CD"/>
    <w:rsid w:val="004469D3"/>
    <w:rsid w:val="00446A97"/>
    <w:rsid w:val="00446B5B"/>
    <w:rsid w:val="00446BC1"/>
    <w:rsid w:val="00446C44"/>
    <w:rsid w:val="00446C63"/>
    <w:rsid w:val="00446C75"/>
    <w:rsid w:val="00446E03"/>
    <w:rsid w:val="00446E44"/>
    <w:rsid w:val="00446E88"/>
    <w:rsid w:val="00447003"/>
    <w:rsid w:val="004470BB"/>
    <w:rsid w:val="00447349"/>
    <w:rsid w:val="00447409"/>
    <w:rsid w:val="004474AD"/>
    <w:rsid w:val="004475E5"/>
    <w:rsid w:val="00447613"/>
    <w:rsid w:val="0044775D"/>
    <w:rsid w:val="004477B3"/>
    <w:rsid w:val="004478EB"/>
    <w:rsid w:val="0044796A"/>
    <w:rsid w:val="00447A46"/>
    <w:rsid w:val="00447A5B"/>
    <w:rsid w:val="00447B6B"/>
    <w:rsid w:val="00447CC9"/>
    <w:rsid w:val="00447E4D"/>
    <w:rsid w:val="00447E56"/>
    <w:rsid w:val="00447F01"/>
    <w:rsid w:val="00447FD0"/>
    <w:rsid w:val="00450077"/>
    <w:rsid w:val="004500B7"/>
    <w:rsid w:val="0045015F"/>
    <w:rsid w:val="004501BD"/>
    <w:rsid w:val="00450202"/>
    <w:rsid w:val="00450205"/>
    <w:rsid w:val="0045020F"/>
    <w:rsid w:val="00450255"/>
    <w:rsid w:val="004502C6"/>
    <w:rsid w:val="004502D1"/>
    <w:rsid w:val="004502D6"/>
    <w:rsid w:val="00450416"/>
    <w:rsid w:val="00450614"/>
    <w:rsid w:val="00450620"/>
    <w:rsid w:val="00450726"/>
    <w:rsid w:val="004507CC"/>
    <w:rsid w:val="0045080C"/>
    <w:rsid w:val="0045086A"/>
    <w:rsid w:val="004508EB"/>
    <w:rsid w:val="00450912"/>
    <w:rsid w:val="00450CC3"/>
    <w:rsid w:val="00450DAB"/>
    <w:rsid w:val="00450FE9"/>
    <w:rsid w:val="0045122C"/>
    <w:rsid w:val="004512D4"/>
    <w:rsid w:val="00451399"/>
    <w:rsid w:val="004513B9"/>
    <w:rsid w:val="00451452"/>
    <w:rsid w:val="0045151E"/>
    <w:rsid w:val="0045171C"/>
    <w:rsid w:val="004518B2"/>
    <w:rsid w:val="004518DF"/>
    <w:rsid w:val="00451968"/>
    <w:rsid w:val="0045196A"/>
    <w:rsid w:val="004519A5"/>
    <w:rsid w:val="004519B6"/>
    <w:rsid w:val="00451C38"/>
    <w:rsid w:val="00451CC1"/>
    <w:rsid w:val="00451CF9"/>
    <w:rsid w:val="00451F34"/>
    <w:rsid w:val="004520C4"/>
    <w:rsid w:val="004521A6"/>
    <w:rsid w:val="0045221F"/>
    <w:rsid w:val="0045236C"/>
    <w:rsid w:val="00452383"/>
    <w:rsid w:val="004523E5"/>
    <w:rsid w:val="004524D1"/>
    <w:rsid w:val="004524FB"/>
    <w:rsid w:val="00452544"/>
    <w:rsid w:val="004525AC"/>
    <w:rsid w:val="0045267D"/>
    <w:rsid w:val="004526EE"/>
    <w:rsid w:val="0045275C"/>
    <w:rsid w:val="00452788"/>
    <w:rsid w:val="00452885"/>
    <w:rsid w:val="004528CE"/>
    <w:rsid w:val="004528E0"/>
    <w:rsid w:val="004529AE"/>
    <w:rsid w:val="00452AA3"/>
    <w:rsid w:val="00452B4C"/>
    <w:rsid w:val="00452C2A"/>
    <w:rsid w:val="00452D5E"/>
    <w:rsid w:val="00452DC5"/>
    <w:rsid w:val="00452F6F"/>
    <w:rsid w:val="0045309A"/>
    <w:rsid w:val="0045316A"/>
    <w:rsid w:val="00453244"/>
    <w:rsid w:val="00453263"/>
    <w:rsid w:val="0045331C"/>
    <w:rsid w:val="00453323"/>
    <w:rsid w:val="00453356"/>
    <w:rsid w:val="00453425"/>
    <w:rsid w:val="004534FD"/>
    <w:rsid w:val="004536B7"/>
    <w:rsid w:val="00453704"/>
    <w:rsid w:val="00453714"/>
    <w:rsid w:val="00453736"/>
    <w:rsid w:val="0045377F"/>
    <w:rsid w:val="004537D0"/>
    <w:rsid w:val="00453801"/>
    <w:rsid w:val="00453804"/>
    <w:rsid w:val="0045399E"/>
    <w:rsid w:val="00453AAD"/>
    <w:rsid w:val="00453BE5"/>
    <w:rsid w:val="00453EF7"/>
    <w:rsid w:val="00453F8F"/>
    <w:rsid w:val="00454039"/>
    <w:rsid w:val="0045403B"/>
    <w:rsid w:val="0045403E"/>
    <w:rsid w:val="00454101"/>
    <w:rsid w:val="0045410E"/>
    <w:rsid w:val="0045419D"/>
    <w:rsid w:val="004541E8"/>
    <w:rsid w:val="004542EE"/>
    <w:rsid w:val="0045431F"/>
    <w:rsid w:val="00454399"/>
    <w:rsid w:val="00454404"/>
    <w:rsid w:val="00454472"/>
    <w:rsid w:val="0045475A"/>
    <w:rsid w:val="004548BE"/>
    <w:rsid w:val="0045492C"/>
    <w:rsid w:val="0045495B"/>
    <w:rsid w:val="0045496C"/>
    <w:rsid w:val="004549BF"/>
    <w:rsid w:val="00454B2A"/>
    <w:rsid w:val="00454DF3"/>
    <w:rsid w:val="00454E0E"/>
    <w:rsid w:val="00454E68"/>
    <w:rsid w:val="00454F09"/>
    <w:rsid w:val="0045517B"/>
    <w:rsid w:val="00455209"/>
    <w:rsid w:val="004552E0"/>
    <w:rsid w:val="004552ED"/>
    <w:rsid w:val="00455322"/>
    <w:rsid w:val="004553D1"/>
    <w:rsid w:val="00455533"/>
    <w:rsid w:val="004555AA"/>
    <w:rsid w:val="004555B0"/>
    <w:rsid w:val="00455666"/>
    <w:rsid w:val="00455728"/>
    <w:rsid w:val="0045573C"/>
    <w:rsid w:val="0045578F"/>
    <w:rsid w:val="004558AD"/>
    <w:rsid w:val="00455912"/>
    <w:rsid w:val="004559D5"/>
    <w:rsid w:val="00455A1C"/>
    <w:rsid w:val="00455A62"/>
    <w:rsid w:val="00455B78"/>
    <w:rsid w:val="00455C33"/>
    <w:rsid w:val="00455C57"/>
    <w:rsid w:val="00455C77"/>
    <w:rsid w:val="00455DB5"/>
    <w:rsid w:val="00455E0A"/>
    <w:rsid w:val="00455F27"/>
    <w:rsid w:val="00455FE8"/>
    <w:rsid w:val="00456030"/>
    <w:rsid w:val="0045613B"/>
    <w:rsid w:val="00456344"/>
    <w:rsid w:val="004565B1"/>
    <w:rsid w:val="004565E1"/>
    <w:rsid w:val="00456606"/>
    <w:rsid w:val="0045661F"/>
    <w:rsid w:val="00456624"/>
    <w:rsid w:val="00456655"/>
    <w:rsid w:val="004566F3"/>
    <w:rsid w:val="004567E3"/>
    <w:rsid w:val="004569AA"/>
    <w:rsid w:val="004569EB"/>
    <w:rsid w:val="00456A2A"/>
    <w:rsid w:val="00456A91"/>
    <w:rsid w:val="00456A96"/>
    <w:rsid w:val="00456AB7"/>
    <w:rsid w:val="00456C66"/>
    <w:rsid w:val="00456CE7"/>
    <w:rsid w:val="00456CF0"/>
    <w:rsid w:val="00456DB6"/>
    <w:rsid w:val="00456F26"/>
    <w:rsid w:val="00456FBA"/>
    <w:rsid w:val="0045704F"/>
    <w:rsid w:val="004570F8"/>
    <w:rsid w:val="00457174"/>
    <w:rsid w:val="00457295"/>
    <w:rsid w:val="00457300"/>
    <w:rsid w:val="00457471"/>
    <w:rsid w:val="004575B8"/>
    <w:rsid w:val="004576F6"/>
    <w:rsid w:val="004577A1"/>
    <w:rsid w:val="00457853"/>
    <w:rsid w:val="004578D9"/>
    <w:rsid w:val="0045797F"/>
    <w:rsid w:val="00457A2E"/>
    <w:rsid w:val="00457A87"/>
    <w:rsid w:val="00457AA1"/>
    <w:rsid w:val="00457ADF"/>
    <w:rsid w:val="00457B0F"/>
    <w:rsid w:val="00457B26"/>
    <w:rsid w:val="00457B95"/>
    <w:rsid w:val="00457C31"/>
    <w:rsid w:val="00457C9A"/>
    <w:rsid w:val="00457E49"/>
    <w:rsid w:val="00457E52"/>
    <w:rsid w:val="00457F5B"/>
    <w:rsid w:val="00457F71"/>
    <w:rsid w:val="00457FED"/>
    <w:rsid w:val="00460038"/>
    <w:rsid w:val="00460109"/>
    <w:rsid w:val="004601D9"/>
    <w:rsid w:val="004602AF"/>
    <w:rsid w:val="004602C6"/>
    <w:rsid w:val="004603BA"/>
    <w:rsid w:val="00460512"/>
    <w:rsid w:val="004605FA"/>
    <w:rsid w:val="00460614"/>
    <w:rsid w:val="00460723"/>
    <w:rsid w:val="00460738"/>
    <w:rsid w:val="0046077A"/>
    <w:rsid w:val="0046077B"/>
    <w:rsid w:val="004607A0"/>
    <w:rsid w:val="00460825"/>
    <w:rsid w:val="00460886"/>
    <w:rsid w:val="00460985"/>
    <w:rsid w:val="00460AD8"/>
    <w:rsid w:val="00460B1F"/>
    <w:rsid w:val="00460B81"/>
    <w:rsid w:val="00460BFF"/>
    <w:rsid w:val="00460C04"/>
    <w:rsid w:val="00460C08"/>
    <w:rsid w:val="00460CEF"/>
    <w:rsid w:val="00460DCA"/>
    <w:rsid w:val="00460F03"/>
    <w:rsid w:val="00461118"/>
    <w:rsid w:val="0046119A"/>
    <w:rsid w:val="00461293"/>
    <w:rsid w:val="00461495"/>
    <w:rsid w:val="00461510"/>
    <w:rsid w:val="0046154A"/>
    <w:rsid w:val="004615C6"/>
    <w:rsid w:val="0046161C"/>
    <w:rsid w:val="0046169D"/>
    <w:rsid w:val="00461728"/>
    <w:rsid w:val="00461798"/>
    <w:rsid w:val="0046197F"/>
    <w:rsid w:val="004619F6"/>
    <w:rsid w:val="00461A70"/>
    <w:rsid w:val="00461ABB"/>
    <w:rsid w:val="00461B03"/>
    <w:rsid w:val="00461C09"/>
    <w:rsid w:val="00461CB6"/>
    <w:rsid w:val="00461D31"/>
    <w:rsid w:val="00461D8F"/>
    <w:rsid w:val="00461DE1"/>
    <w:rsid w:val="00461FD2"/>
    <w:rsid w:val="0046214D"/>
    <w:rsid w:val="00462211"/>
    <w:rsid w:val="0046226A"/>
    <w:rsid w:val="00462276"/>
    <w:rsid w:val="004622FD"/>
    <w:rsid w:val="004623B5"/>
    <w:rsid w:val="00462448"/>
    <w:rsid w:val="004624B2"/>
    <w:rsid w:val="00462518"/>
    <w:rsid w:val="0046276A"/>
    <w:rsid w:val="00462789"/>
    <w:rsid w:val="004627E4"/>
    <w:rsid w:val="004628F4"/>
    <w:rsid w:val="0046299D"/>
    <w:rsid w:val="004629A5"/>
    <w:rsid w:val="00462AF2"/>
    <w:rsid w:val="00462AF5"/>
    <w:rsid w:val="00462C12"/>
    <w:rsid w:val="00462D5A"/>
    <w:rsid w:val="00462DA2"/>
    <w:rsid w:val="00462DF9"/>
    <w:rsid w:val="00462E86"/>
    <w:rsid w:val="00462FB3"/>
    <w:rsid w:val="004630F0"/>
    <w:rsid w:val="00463113"/>
    <w:rsid w:val="0046316A"/>
    <w:rsid w:val="004631DD"/>
    <w:rsid w:val="004633E8"/>
    <w:rsid w:val="0046376D"/>
    <w:rsid w:val="004637B7"/>
    <w:rsid w:val="00463847"/>
    <w:rsid w:val="00463914"/>
    <w:rsid w:val="0046392F"/>
    <w:rsid w:val="0046397D"/>
    <w:rsid w:val="004639C5"/>
    <w:rsid w:val="00463A5F"/>
    <w:rsid w:val="00463A86"/>
    <w:rsid w:val="00463AAE"/>
    <w:rsid w:val="00463AD8"/>
    <w:rsid w:val="00463B78"/>
    <w:rsid w:val="00463D84"/>
    <w:rsid w:val="00463DE4"/>
    <w:rsid w:val="00463E4A"/>
    <w:rsid w:val="00463F5B"/>
    <w:rsid w:val="00464318"/>
    <w:rsid w:val="004643B0"/>
    <w:rsid w:val="004643FE"/>
    <w:rsid w:val="0046448D"/>
    <w:rsid w:val="00464569"/>
    <w:rsid w:val="0046473B"/>
    <w:rsid w:val="00464751"/>
    <w:rsid w:val="00464761"/>
    <w:rsid w:val="00464782"/>
    <w:rsid w:val="00464858"/>
    <w:rsid w:val="004648EE"/>
    <w:rsid w:val="0046494A"/>
    <w:rsid w:val="00464957"/>
    <w:rsid w:val="00464A81"/>
    <w:rsid w:val="00464B9A"/>
    <w:rsid w:val="00464C09"/>
    <w:rsid w:val="00464C98"/>
    <w:rsid w:val="00464CB6"/>
    <w:rsid w:val="00464DBB"/>
    <w:rsid w:val="00464E9D"/>
    <w:rsid w:val="00464ED8"/>
    <w:rsid w:val="00464F62"/>
    <w:rsid w:val="0046506F"/>
    <w:rsid w:val="004650AF"/>
    <w:rsid w:val="00465203"/>
    <w:rsid w:val="004653FF"/>
    <w:rsid w:val="00465487"/>
    <w:rsid w:val="004654FA"/>
    <w:rsid w:val="00465528"/>
    <w:rsid w:val="004656A8"/>
    <w:rsid w:val="00465734"/>
    <w:rsid w:val="00465739"/>
    <w:rsid w:val="004657E0"/>
    <w:rsid w:val="00465859"/>
    <w:rsid w:val="004658BC"/>
    <w:rsid w:val="004658FC"/>
    <w:rsid w:val="00465A4E"/>
    <w:rsid w:val="00465AD5"/>
    <w:rsid w:val="00465AFA"/>
    <w:rsid w:val="00465B45"/>
    <w:rsid w:val="00465C6B"/>
    <w:rsid w:val="00465CD4"/>
    <w:rsid w:val="00465DA6"/>
    <w:rsid w:val="00465E9C"/>
    <w:rsid w:val="00465EDE"/>
    <w:rsid w:val="00465F24"/>
    <w:rsid w:val="0046609B"/>
    <w:rsid w:val="0046613A"/>
    <w:rsid w:val="004661AF"/>
    <w:rsid w:val="004661C1"/>
    <w:rsid w:val="004662A7"/>
    <w:rsid w:val="0046643A"/>
    <w:rsid w:val="004665B2"/>
    <w:rsid w:val="004665CC"/>
    <w:rsid w:val="00466644"/>
    <w:rsid w:val="00466710"/>
    <w:rsid w:val="00466834"/>
    <w:rsid w:val="0046684F"/>
    <w:rsid w:val="00466AC5"/>
    <w:rsid w:val="00466B39"/>
    <w:rsid w:val="00466B62"/>
    <w:rsid w:val="00466BDD"/>
    <w:rsid w:val="00466C45"/>
    <w:rsid w:val="00466E01"/>
    <w:rsid w:val="00466E9B"/>
    <w:rsid w:val="00466EA2"/>
    <w:rsid w:val="00466EB9"/>
    <w:rsid w:val="00466FF3"/>
    <w:rsid w:val="004671D5"/>
    <w:rsid w:val="00467258"/>
    <w:rsid w:val="004672BE"/>
    <w:rsid w:val="00467376"/>
    <w:rsid w:val="00467577"/>
    <w:rsid w:val="004675C3"/>
    <w:rsid w:val="004675E2"/>
    <w:rsid w:val="00467640"/>
    <w:rsid w:val="004676D4"/>
    <w:rsid w:val="00467772"/>
    <w:rsid w:val="004677A8"/>
    <w:rsid w:val="00467826"/>
    <w:rsid w:val="00467905"/>
    <w:rsid w:val="00467981"/>
    <w:rsid w:val="004679F1"/>
    <w:rsid w:val="00467A1D"/>
    <w:rsid w:val="00467BD4"/>
    <w:rsid w:val="00467C50"/>
    <w:rsid w:val="00467C5C"/>
    <w:rsid w:val="00467D81"/>
    <w:rsid w:val="00467DA2"/>
    <w:rsid w:val="00467E6B"/>
    <w:rsid w:val="00467F57"/>
    <w:rsid w:val="00467FCC"/>
    <w:rsid w:val="0047002A"/>
    <w:rsid w:val="0047012F"/>
    <w:rsid w:val="00470130"/>
    <w:rsid w:val="00470216"/>
    <w:rsid w:val="00470241"/>
    <w:rsid w:val="00470294"/>
    <w:rsid w:val="004703AB"/>
    <w:rsid w:val="004703ED"/>
    <w:rsid w:val="00470426"/>
    <w:rsid w:val="00470477"/>
    <w:rsid w:val="0047049B"/>
    <w:rsid w:val="004704D1"/>
    <w:rsid w:val="00470629"/>
    <w:rsid w:val="004706AA"/>
    <w:rsid w:val="00470724"/>
    <w:rsid w:val="0047075A"/>
    <w:rsid w:val="0047080A"/>
    <w:rsid w:val="004708A3"/>
    <w:rsid w:val="004708E6"/>
    <w:rsid w:val="00470915"/>
    <w:rsid w:val="00470922"/>
    <w:rsid w:val="0047092C"/>
    <w:rsid w:val="00470994"/>
    <w:rsid w:val="004709F1"/>
    <w:rsid w:val="00470A2A"/>
    <w:rsid w:val="00470A75"/>
    <w:rsid w:val="00470B49"/>
    <w:rsid w:val="00470B66"/>
    <w:rsid w:val="00470CFB"/>
    <w:rsid w:val="00470D46"/>
    <w:rsid w:val="00470D78"/>
    <w:rsid w:val="00470E37"/>
    <w:rsid w:val="00470E4D"/>
    <w:rsid w:val="00470F6B"/>
    <w:rsid w:val="00470FB8"/>
    <w:rsid w:val="00470FC3"/>
    <w:rsid w:val="00471037"/>
    <w:rsid w:val="0047104C"/>
    <w:rsid w:val="00471499"/>
    <w:rsid w:val="0047149E"/>
    <w:rsid w:val="00471663"/>
    <w:rsid w:val="0047166D"/>
    <w:rsid w:val="00471726"/>
    <w:rsid w:val="004717C0"/>
    <w:rsid w:val="004717C8"/>
    <w:rsid w:val="004718F6"/>
    <w:rsid w:val="00471946"/>
    <w:rsid w:val="00471951"/>
    <w:rsid w:val="004719BE"/>
    <w:rsid w:val="00471A35"/>
    <w:rsid w:val="00471A80"/>
    <w:rsid w:val="00471A86"/>
    <w:rsid w:val="00471A88"/>
    <w:rsid w:val="00471AAB"/>
    <w:rsid w:val="00471B3A"/>
    <w:rsid w:val="00471B65"/>
    <w:rsid w:val="00471C50"/>
    <w:rsid w:val="00471E76"/>
    <w:rsid w:val="00471EBE"/>
    <w:rsid w:val="00471F78"/>
    <w:rsid w:val="004720CC"/>
    <w:rsid w:val="004720E4"/>
    <w:rsid w:val="004721BD"/>
    <w:rsid w:val="0047220E"/>
    <w:rsid w:val="0047221D"/>
    <w:rsid w:val="0047231A"/>
    <w:rsid w:val="0047236F"/>
    <w:rsid w:val="004723D9"/>
    <w:rsid w:val="004725F0"/>
    <w:rsid w:val="0047261F"/>
    <w:rsid w:val="004727AB"/>
    <w:rsid w:val="004727DE"/>
    <w:rsid w:val="00472853"/>
    <w:rsid w:val="00472C27"/>
    <w:rsid w:val="00472DBB"/>
    <w:rsid w:val="00472E8A"/>
    <w:rsid w:val="00472ED9"/>
    <w:rsid w:val="00472F6F"/>
    <w:rsid w:val="0047307C"/>
    <w:rsid w:val="00473135"/>
    <w:rsid w:val="00473306"/>
    <w:rsid w:val="004733A7"/>
    <w:rsid w:val="004733BE"/>
    <w:rsid w:val="00473458"/>
    <w:rsid w:val="00473546"/>
    <w:rsid w:val="00473581"/>
    <w:rsid w:val="0047366E"/>
    <w:rsid w:val="0047371E"/>
    <w:rsid w:val="0047382A"/>
    <w:rsid w:val="0047391B"/>
    <w:rsid w:val="00473954"/>
    <w:rsid w:val="00473AAD"/>
    <w:rsid w:val="00473B35"/>
    <w:rsid w:val="00473B79"/>
    <w:rsid w:val="00473BBC"/>
    <w:rsid w:val="00473CF5"/>
    <w:rsid w:val="00473D1C"/>
    <w:rsid w:val="00473DC7"/>
    <w:rsid w:val="00473E59"/>
    <w:rsid w:val="00473F0B"/>
    <w:rsid w:val="00473F71"/>
    <w:rsid w:val="00474021"/>
    <w:rsid w:val="004740CB"/>
    <w:rsid w:val="004741C4"/>
    <w:rsid w:val="00474345"/>
    <w:rsid w:val="0047435C"/>
    <w:rsid w:val="0047439B"/>
    <w:rsid w:val="0047439F"/>
    <w:rsid w:val="0047440A"/>
    <w:rsid w:val="00474418"/>
    <w:rsid w:val="00474442"/>
    <w:rsid w:val="004744C3"/>
    <w:rsid w:val="004745A0"/>
    <w:rsid w:val="0047479E"/>
    <w:rsid w:val="00474ACC"/>
    <w:rsid w:val="00474BD6"/>
    <w:rsid w:val="00474D8F"/>
    <w:rsid w:val="00474DA0"/>
    <w:rsid w:val="00474E5B"/>
    <w:rsid w:val="004751FA"/>
    <w:rsid w:val="004752A1"/>
    <w:rsid w:val="00475312"/>
    <w:rsid w:val="004753D5"/>
    <w:rsid w:val="0047540A"/>
    <w:rsid w:val="00475449"/>
    <w:rsid w:val="00475569"/>
    <w:rsid w:val="00475602"/>
    <w:rsid w:val="00475642"/>
    <w:rsid w:val="0047566B"/>
    <w:rsid w:val="00475759"/>
    <w:rsid w:val="0047576F"/>
    <w:rsid w:val="004757AD"/>
    <w:rsid w:val="004757E8"/>
    <w:rsid w:val="004758B0"/>
    <w:rsid w:val="004758B2"/>
    <w:rsid w:val="004759A1"/>
    <w:rsid w:val="00475B0A"/>
    <w:rsid w:val="00475BD9"/>
    <w:rsid w:val="00475CEB"/>
    <w:rsid w:val="00475D24"/>
    <w:rsid w:val="00475D44"/>
    <w:rsid w:val="00475D58"/>
    <w:rsid w:val="00475E49"/>
    <w:rsid w:val="00475E75"/>
    <w:rsid w:val="00475EBB"/>
    <w:rsid w:val="00475F05"/>
    <w:rsid w:val="00475F1D"/>
    <w:rsid w:val="00475F36"/>
    <w:rsid w:val="00475F3B"/>
    <w:rsid w:val="00476037"/>
    <w:rsid w:val="00476138"/>
    <w:rsid w:val="00476263"/>
    <w:rsid w:val="00476350"/>
    <w:rsid w:val="0047652B"/>
    <w:rsid w:val="00476560"/>
    <w:rsid w:val="0047659C"/>
    <w:rsid w:val="004767B2"/>
    <w:rsid w:val="00476800"/>
    <w:rsid w:val="00476835"/>
    <w:rsid w:val="00476AB1"/>
    <w:rsid w:val="00476AB9"/>
    <w:rsid w:val="00476C30"/>
    <w:rsid w:val="00476EA7"/>
    <w:rsid w:val="00476F13"/>
    <w:rsid w:val="00476F72"/>
    <w:rsid w:val="00477024"/>
    <w:rsid w:val="00477140"/>
    <w:rsid w:val="004771A1"/>
    <w:rsid w:val="004771BE"/>
    <w:rsid w:val="004772D2"/>
    <w:rsid w:val="00477319"/>
    <w:rsid w:val="004774A9"/>
    <w:rsid w:val="00477518"/>
    <w:rsid w:val="0047762B"/>
    <w:rsid w:val="004776E5"/>
    <w:rsid w:val="0047770B"/>
    <w:rsid w:val="00477736"/>
    <w:rsid w:val="0047776A"/>
    <w:rsid w:val="004777CD"/>
    <w:rsid w:val="004777E2"/>
    <w:rsid w:val="004779BF"/>
    <w:rsid w:val="00477A3D"/>
    <w:rsid w:val="00477AB2"/>
    <w:rsid w:val="00477C26"/>
    <w:rsid w:val="00477C4F"/>
    <w:rsid w:val="00477D76"/>
    <w:rsid w:val="00477D8A"/>
    <w:rsid w:val="00477D99"/>
    <w:rsid w:val="00477E70"/>
    <w:rsid w:val="00477EC9"/>
    <w:rsid w:val="00477F88"/>
    <w:rsid w:val="00477F94"/>
    <w:rsid w:val="00480060"/>
    <w:rsid w:val="004800B0"/>
    <w:rsid w:val="0048015C"/>
    <w:rsid w:val="00480277"/>
    <w:rsid w:val="004804AF"/>
    <w:rsid w:val="00480657"/>
    <w:rsid w:val="004806AA"/>
    <w:rsid w:val="004806D0"/>
    <w:rsid w:val="00480741"/>
    <w:rsid w:val="00480834"/>
    <w:rsid w:val="00480A78"/>
    <w:rsid w:val="00480BEA"/>
    <w:rsid w:val="00480D00"/>
    <w:rsid w:val="00480D6F"/>
    <w:rsid w:val="00480D91"/>
    <w:rsid w:val="00481072"/>
    <w:rsid w:val="004810B8"/>
    <w:rsid w:val="00481147"/>
    <w:rsid w:val="00481156"/>
    <w:rsid w:val="00481167"/>
    <w:rsid w:val="00481356"/>
    <w:rsid w:val="00481549"/>
    <w:rsid w:val="00481846"/>
    <w:rsid w:val="004818AF"/>
    <w:rsid w:val="004819BB"/>
    <w:rsid w:val="00481A3A"/>
    <w:rsid w:val="00481AB5"/>
    <w:rsid w:val="00481C45"/>
    <w:rsid w:val="00481CA8"/>
    <w:rsid w:val="00481CAA"/>
    <w:rsid w:val="00481DA6"/>
    <w:rsid w:val="00481F47"/>
    <w:rsid w:val="00481FA3"/>
    <w:rsid w:val="0048203E"/>
    <w:rsid w:val="00482093"/>
    <w:rsid w:val="004821AA"/>
    <w:rsid w:val="0048227E"/>
    <w:rsid w:val="0048230E"/>
    <w:rsid w:val="00482419"/>
    <w:rsid w:val="0048247E"/>
    <w:rsid w:val="0048251B"/>
    <w:rsid w:val="00482528"/>
    <w:rsid w:val="00482539"/>
    <w:rsid w:val="00482605"/>
    <w:rsid w:val="004826A8"/>
    <w:rsid w:val="004826B7"/>
    <w:rsid w:val="0048275B"/>
    <w:rsid w:val="004827C8"/>
    <w:rsid w:val="00482A5C"/>
    <w:rsid w:val="00482B0A"/>
    <w:rsid w:val="00482B5B"/>
    <w:rsid w:val="00482B8F"/>
    <w:rsid w:val="00482BA8"/>
    <w:rsid w:val="00482C22"/>
    <w:rsid w:val="00482CAF"/>
    <w:rsid w:val="00482CB0"/>
    <w:rsid w:val="00482DE5"/>
    <w:rsid w:val="00482DFA"/>
    <w:rsid w:val="00483003"/>
    <w:rsid w:val="00483034"/>
    <w:rsid w:val="004830F6"/>
    <w:rsid w:val="00483101"/>
    <w:rsid w:val="00483151"/>
    <w:rsid w:val="004831EB"/>
    <w:rsid w:val="004831EC"/>
    <w:rsid w:val="0048323B"/>
    <w:rsid w:val="0048326A"/>
    <w:rsid w:val="004833A3"/>
    <w:rsid w:val="004833AE"/>
    <w:rsid w:val="004833DF"/>
    <w:rsid w:val="004833EA"/>
    <w:rsid w:val="0048341C"/>
    <w:rsid w:val="0048364C"/>
    <w:rsid w:val="00483659"/>
    <w:rsid w:val="00483731"/>
    <w:rsid w:val="00483831"/>
    <w:rsid w:val="00483947"/>
    <w:rsid w:val="00483B74"/>
    <w:rsid w:val="00483BCA"/>
    <w:rsid w:val="00483C0C"/>
    <w:rsid w:val="00483C26"/>
    <w:rsid w:val="00483C49"/>
    <w:rsid w:val="00483C71"/>
    <w:rsid w:val="00483DDC"/>
    <w:rsid w:val="004840DA"/>
    <w:rsid w:val="00484145"/>
    <w:rsid w:val="00484166"/>
    <w:rsid w:val="00484195"/>
    <w:rsid w:val="0048422F"/>
    <w:rsid w:val="004843A0"/>
    <w:rsid w:val="004843D7"/>
    <w:rsid w:val="0048440D"/>
    <w:rsid w:val="00484527"/>
    <w:rsid w:val="0048462B"/>
    <w:rsid w:val="004846A8"/>
    <w:rsid w:val="0048476A"/>
    <w:rsid w:val="004847A4"/>
    <w:rsid w:val="0048490A"/>
    <w:rsid w:val="004849EC"/>
    <w:rsid w:val="00484A39"/>
    <w:rsid w:val="00484AEE"/>
    <w:rsid w:val="00484B0C"/>
    <w:rsid w:val="00484B70"/>
    <w:rsid w:val="00484C05"/>
    <w:rsid w:val="00484C50"/>
    <w:rsid w:val="00484CAC"/>
    <w:rsid w:val="00484E1B"/>
    <w:rsid w:val="00484EC8"/>
    <w:rsid w:val="00484F63"/>
    <w:rsid w:val="00484FD8"/>
    <w:rsid w:val="0048502C"/>
    <w:rsid w:val="004850D8"/>
    <w:rsid w:val="0048510B"/>
    <w:rsid w:val="0048514E"/>
    <w:rsid w:val="00485154"/>
    <w:rsid w:val="004851A7"/>
    <w:rsid w:val="004852DA"/>
    <w:rsid w:val="0048530F"/>
    <w:rsid w:val="0048541F"/>
    <w:rsid w:val="0048545D"/>
    <w:rsid w:val="004856B3"/>
    <w:rsid w:val="004856BE"/>
    <w:rsid w:val="00485797"/>
    <w:rsid w:val="004858CC"/>
    <w:rsid w:val="00485913"/>
    <w:rsid w:val="00485AED"/>
    <w:rsid w:val="00485B4D"/>
    <w:rsid w:val="00485B88"/>
    <w:rsid w:val="00485BD3"/>
    <w:rsid w:val="00485C1B"/>
    <w:rsid w:val="00485D60"/>
    <w:rsid w:val="00485ECC"/>
    <w:rsid w:val="00485F15"/>
    <w:rsid w:val="00485F18"/>
    <w:rsid w:val="00486088"/>
    <w:rsid w:val="00486204"/>
    <w:rsid w:val="004863E8"/>
    <w:rsid w:val="004864F4"/>
    <w:rsid w:val="0048658F"/>
    <w:rsid w:val="004866DB"/>
    <w:rsid w:val="00486722"/>
    <w:rsid w:val="00486968"/>
    <w:rsid w:val="004869F9"/>
    <w:rsid w:val="00486BD0"/>
    <w:rsid w:val="00486BF6"/>
    <w:rsid w:val="00486D9F"/>
    <w:rsid w:val="00486E5A"/>
    <w:rsid w:val="00486E88"/>
    <w:rsid w:val="00486EB4"/>
    <w:rsid w:val="00486EEC"/>
    <w:rsid w:val="00486F45"/>
    <w:rsid w:val="00487069"/>
    <w:rsid w:val="004871EF"/>
    <w:rsid w:val="00487364"/>
    <w:rsid w:val="004873AF"/>
    <w:rsid w:val="004873CA"/>
    <w:rsid w:val="0048747E"/>
    <w:rsid w:val="004874FB"/>
    <w:rsid w:val="00487660"/>
    <w:rsid w:val="004876CE"/>
    <w:rsid w:val="004876CF"/>
    <w:rsid w:val="004877C6"/>
    <w:rsid w:val="0048788C"/>
    <w:rsid w:val="004878A9"/>
    <w:rsid w:val="00487902"/>
    <w:rsid w:val="00487928"/>
    <w:rsid w:val="00487934"/>
    <w:rsid w:val="00487A45"/>
    <w:rsid w:val="00487A66"/>
    <w:rsid w:val="00487B1A"/>
    <w:rsid w:val="00487B46"/>
    <w:rsid w:val="00487B80"/>
    <w:rsid w:val="00487BCA"/>
    <w:rsid w:val="00487C0F"/>
    <w:rsid w:val="00487E3F"/>
    <w:rsid w:val="00487F04"/>
    <w:rsid w:val="00490082"/>
    <w:rsid w:val="00490301"/>
    <w:rsid w:val="0049032A"/>
    <w:rsid w:val="00490359"/>
    <w:rsid w:val="00490434"/>
    <w:rsid w:val="0049052F"/>
    <w:rsid w:val="004905CA"/>
    <w:rsid w:val="00490637"/>
    <w:rsid w:val="0049068A"/>
    <w:rsid w:val="004906CE"/>
    <w:rsid w:val="00490752"/>
    <w:rsid w:val="00490770"/>
    <w:rsid w:val="004908F8"/>
    <w:rsid w:val="00490920"/>
    <w:rsid w:val="00490943"/>
    <w:rsid w:val="00490B48"/>
    <w:rsid w:val="00490C24"/>
    <w:rsid w:val="00490C68"/>
    <w:rsid w:val="00490D91"/>
    <w:rsid w:val="00490EB1"/>
    <w:rsid w:val="00490EF1"/>
    <w:rsid w:val="0049103B"/>
    <w:rsid w:val="004910A2"/>
    <w:rsid w:val="004910FA"/>
    <w:rsid w:val="004912F6"/>
    <w:rsid w:val="00491352"/>
    <w:rsid w:val="004914A0"/>
    <w:rsid w:val="0049159B"/>
    <w:rsid w:val="00491664"/>
    <w:rsid w:val="00491755"/>
    <w:rsid w:val="0049177C"/>
    <w:rsid w:val="00491876"/>
    <w:rsid w:val="0049191E"/>
    <w:rsid w:val="0049198D"/>
    <w:rsid w:val="00491A73"/>
    <w:rsid w:val="00491A91"/>
    <w:rsid w:val="00491AAF"/>
    <w:rsid w:val="00491AE9"/>
    <w:rsid w:val="00491CAD"/>
    <w:rsid w:val="00491CDC"/>
    <w:rsid w:val="00491D18"/>
    <w:rsid w:val="00491EE1"/>
    <w:rsid w:val="00491F83"/>
    <w:rsid w:val="00492216"/>
    <w:rsid w:val="00492228"/>
    <w:rsid w:val="0049222D"/>
    <w:rsid w:val="004922D9"/>
    <w:rsid w:val="00492471"/>
    <w:rsid w:val="0049258C"/>
    <w:rsid w:val="0049279A"/>
    <w:rsid w:val="00492872"/>
    <w:rsid w:val="0049289F"/>
    <w:rsid w:val="004928C3"/>
    <w:rsid w:val="004928D6"/>
    <w:rsid w:val="00492A66"/>
    <w:rsid w:val="00492BFC"/>
    <w:rsid w:val="00492D36"/>
    <w:rsid w:val="00492D60"/>
    <w:rsid w:val="00492E29"/>
    <w:rsid w:val="0049302A"/>
    <w:rsid w:val="00493197"/>
    <w:rsid w:val="00493299"/>
    <w:rsid w:val="004932A2"/>
    <w:rsid w:val="00493330"/>
    <w:rsid w:val="00493464"/>
    <w:rsid w:val="004934E1"/>
    <w:rsid w:val="0049365C"/>
    <w:rsid w:val="0049365F"/>
    <w:rsid w:val="0049369E"/>
    <w:rsid w:val="004936F2"/>
    <w:rsid w:val="0049385F"/>
    <w:rsid w:val="0049391D"/>
    <w:rsid w:val="00493A07"/>
    <w:rsid w:val="00493B05"/>
    <w:rsid w:val="00493C8D"/>
    <w:rsid w:val="00493CCA"/>
    <w:rsid w:val="00494058"/>
    <w:rsid w:val="0049406D"/>
    <w:rsid w:val="004941E5"/>
    <w:rsid w:val="00494254"/>
    <w:rsid w:val="0049454D"/>
    <w:rsid w:val="00494570"/>
    <w:rsid w:val="0049467E"/>
    <w:rsid w:val="00494720"/>
    <w:rsid w:val="004947A3"/>
    <w:rsid w:val="004947B7"/>
    <w:rsid w:val="00494910"/>
    <w:rsid w:val="00494965"/>
    <w:rsid w:val="004949DB"/>
    <w:rsid w:val="00494A53"/>
    <w:rsid w:val="00494C1E"/>
    <w:rsid w:val="00494C1F"/>
    <w:rsid w:val="00494DC7"/>
    <w:rsid w:val="00494DD1"/>
    <w:rsid w:val="00494E24"/>
    <w:rsid w:val="00494E3D"/>
    <w:rsid w:val="00494E8F"/>
    <w:rsid w:val="00494EE7"/>
    <w:rsid w:val="004951E6"/>
    <w:rsid w:val="0049523D"/>
    <w:rsid w:val="004953F1"/>
    <w:rsid w:val="00495418"/>
    <w:rsid w:val="004954C6"/>
    <w:rsid w:val="004955CB"/>
    <w:rsid w:val="004955CF"/>
    <w:rsid w:val="004956E4"/>
    <w:rsid w:val="0049577B"/>
    <w:rsid w:val="004958CD"/>
    <w:rsid w:val="00495908"/>
    <w:rsid w:val="00495912"/>
    <w:rsid w:val="00495928"/>
    <w:rsid w:val="0049592F"/>
    <w:rsid w:val="00495933"/>
    <w:rsid w:val="004959B5"/>
    <w:rsid w:val="004959DB"/>
    <w:rsid w:val="00495A57"/>
    <w:rsid w:val="00495AF4"/>
    <w:rsid w:val="00495B0F"/>
    <w:rsid w:val="00495B83"/>
    <w:rsid w:val="00495C0F"/>
    <w:rsid w:val="00495C43"/>
    <w:rsid w:val="00495D01"/>
    <w:rsid w:val="00495DF8"/>
    <w:rsid w:val="00495E1D"/>
    <w:rsid w:val="00495F92"/>
    <w:rsid w:val="00496105"/>
    <w:rsid w:val="00496201"/>
    <w:rsid w:val="004962E4"/>
    <w:rsid w:val="0049634B"/>
    <w:rsid w:val="004963C2"/>
    <w:rsid w:val="004963C4"/>
    <w:rsid w:val="0049656B"/>
    <w:rsid w:val="004965AB"/>
    <w:rsid w:val="00496642"/>
    <w:rsid w:val="00496758"/>
    <w:rsid w:val="004967DE"/>
    <w:rsid w:val="00496851"/>
    <w:rsid w:val="00496889"/>
    <w:rsid w:val="004968A3"/>
    <w:rsid w:val="00496AFD"/>
    <w:rsid w:val="00496B12"/>
    <w:rsid w:val="00496B80"/>
    <w:rsid w:val="00496BC8"/>
    <w:rsid w:val="00496C06"/>
    <w:rsid w:val="00496CA8"/>
    <w:rsid w:val="00496CB7"/>
    <w:rsid w:val="00496EA8"/>
    <w:rsid w:val="00496EAF"/>
    <w:rsid w:val="00497055"/>
    <w:rsid w:val="004970C8"/>
    <w:rsid w:val="004970E6"/>
    <w:rsid w:val="004970FF"/>
    <w:rsid w:val="00497237"/>
    <w:rsid w:val="00497282"/>
    <w:rsid w:val="0049731B"/>
    <w:rsid w:val="00497386"/>
    <w:rsid w:val="0049738D"/>
    <w:rsid w:val="004973CC"/>
    <w:rsid w:val="00497559"/>
    <w:rsid w:val="00497566"/>
    <w:rsid w:val="004975ED"/>
    <w:rsid w:val="0049765D"/>
    <w:rsid w:val="004978C0"/>
    <w:rsid w:val="004979A3"/>
    <w:rsid w:val="004979BE"/>
    <w:rsid w:val="004979CE"/>
    <w:rsid w:val="00497AAC"/>
    <w:rsid w:val="00497B49"/>
    <w:rsid w:val="00497C22"/>
    <w:rsid w:val="00497C26"/>
    <w:rsid w:val="00497CE7"/>
    <w:rsid w:val="00497CF0"/>
    <w:rsid w:val="00497D62"/>
    <w:rsid w:val="00497EC7"/>
    <w:rsid w:val="00497F09"/>
    <w:rsid w:val="004A00C7"/>
    <w:rsid w:val="004A00E3"/>
    <w:rsid w:val="004A0319"/>
    <w:rsid w:val="004A032F"/>
    <w:rsid w:val="004A0365"/>
    <w:rsid w:val="004A03B6"/>
    <w:rsid w:val="004A03F9"/>
    <w:rsid w:val="004A045E"/>
    <w:rsid w:val="004A04D8"/>
    <w:rsid w:val="004A054C"/>
    <w:rsid w:val="004A05F8"/>
    <w:rsid w:val="004A0677"/>
    <w:rsid w:val="004A07D7"/>
    <w:rsid w:val="004A0868"/>
    <w:rsid w:val="004A08A2"/>
    <w:rsid w:val="004A08B7"/>
    <w:rsid w:val="004A08D2"/>
    <w:rsid w:val="004A09B3"/>
    <w:rsid w:val="004A0AEE"/>
    <w:rsid w:val="004A0B2F"/>
    <w:rsid w:val="004A0C0F"/>
    <w:rsid w:val="004A0CB5"/>
    <w:rsid w:val="004A0CBE"/>
    <w:rsid w:val="004A0E08"/>
    <w:rsid w:val="004A0F69"/>
    <w:rsid w:val="004A0F6A"/>
    <w:rsid w:val="004A0F72"/>
    <w:rsid w:val="004A10E3"/>
    <w:rsid w:val="004A114F"/>
    <w:rsid w:val="004A1245"/>
    <w:rsid w:val="004A12ED"/>
    <w:rsid w:val="004A1372"/>
    <w:rsid w:val="004A139B"/>
    <w:rsid w:val="004A14E7"/>
    <w:rsid w:val="004A15C1"/>
    <w:rsid w:val="004A1658"/>
    <w:rsid w:val="004A16F0"/>
    <w:rsid w:val="004A18EC"/>
    <w:rsid w:val="004A18FD"/>
    <w:rsid w:val="004A1A5C"/>
    <w:rsid w:val="004A1AC1"/>
    <w:rsid w:val="004A1B53"/>
    <w:rsid w:val="004A1DFB"/>
    <w:rsid w:val="004A1EDC"/>
    <w:rsid w:val="004A1F1E"/>
    <w:rsid w:val="004A1FCD"/>
    <w:rsid w:val="004A1FDA"/>
    <w:rsid w:val="004A2076"/>
    <w:rsid w:val="004A2097"/>
    <w:rsid w:val="004A214A"/>
    <w:rsid w:val="004A22A9"/>
    <w:rsid w:val="004A2372"/>
    <w:rsid w:val="004A23F5"/>
    <w:rsid w:val="004A2431"/>
    <w:rsid w:val="004A2778"/>
    <w:rsid w:val="004A2966"/>
    <w:rsid w:val="004A29A3"/>
    <w:rsid w:val="004A29E4"/>
    <w:rsid w:val="004A2A49"/>
    <w:rsid w:val="004A2AFD"/>
    <w:rsid w:val="004A2BD9"/>
    <w:rsid w:val="004A2C47"/>
    <w:rsid w:val="004A2C63"/>
    <w:rsid w:val="004A2D1C"/>
    <w:rsid w:val="004A2D30"/>
    <w:rsid w:val="004A2DDC"/>
    <w:rsid w:val="004A2E4F"/>
    <w:rsid w:val="004A2E98"/>
    <w:rsid w:val="004A2F67"/>
    <w:rsid w:val="004A2F7D"/>
    <w:rsid w:val="004A31C4"/>
    <w:rsid w:val="004A32FE"/>
    <w:rsid w:val="004A3300"/>
    <w:rsid w:val="004A357E"/>
    <w:rsid w:val="004A3755"/>
    <w:rsid w:val="004A3849"/>
    <w:rsid w:val="004A3882"/>
    <w:rsid w:val="004A3A06"/>
    <w:rsid w:val="004A3A28"/>
    <w:rsid w:val="004A3B4B"/>
    <w:rsid w:val="004A3B62"/>
    <w:rsid w:val="004A3BF5"/>
    <w:rsid w:val="004A3C5B"/>
    <w:rsid w:val="004A3C60"/>
    <w:rsid w:val="004A3C6C"/>
    <w:rsid w:val="004A3C7E"/>
    <w:rsid w:val="004A3C89"/>
    <w:rsid w:val="004A3CF6"/>
    <w:rsid w:val="004A3E13"/>
    <w:rsid w:val="004A3E62"/>
    <w:rsid w:val="004A3F71"/>
    <w:rsid w:val="004A3FE6"/>
    <w:rsid w:val="004A4086"/>
    <w:rsid w:val="004A4225"/>
    <w:rsid w:val="004A437A"/>
    <w:rsid w:val="004A438D"/>
    <w:rsid w:val="004A4423"/>
    <w:rsid w:val="004A44F6"/>
    <w:rsid w:val="004A45BE"/>
    <w:rsid w:val="004A4700"/>
    <w:rsid w:val="004A4800"/>
    <w:rsid w:val="004A4865"/>
    <w:rsid w:val="004A492E"/>
    <w:rsid w:val="004A49BC"/>
    <w:rsid w:val="004A49C5"/>
    <w:rsid w:val="004A49EB"/>
    <w:rsid w:val="004A4C0E"/>
    <w:rsid w:val="004A4C72"/>
    <w:rsid w:val="004A4D11"/>
    <w:rsid w:val="004A4D58"/>
    <w:rsid w:val="004A4EF4"/>
    <w:rsid w:val="004A4F05"/>
    <w:rsid w:val="004A4F0C"/>
    <w:rsid w:val="004A4FEA"/>
    <w:rsid w:val="004A502A"/>
    <w:rsid w:val="004A5084"/>
    <w:rsid w:val="004A51B7"/>
    <w:rsid w:val="004A523C"/>
    <w:rsid w:val="004A5394"/>
    <w:rsid w:val="004A53C2"/>
    <w:rsid w:val="004A53C6"/>
    <w:rsid w:val="004A5655"/>
    <w:rsid w:val="004A56BB"/>
    <w:rsid w:val="004A5889"/>
    <w:rsid w:val="004A5962"/>
    <w:rsid w:val="004A5A31"/>
    <w:rsid w:val="004A5A43"/>
    <w:rsid w:val="004A5A64"/>
    <w:rsid w:val="004A5A85"/>
    <w:rsid w:val="004A5A8E"/>
    <w:rsid w:val="004A5ACC"/>
    <w:rsid w:val="004A5D7C"/>
    <w:rsid w:val="004A6120"/>
    <w:rsid w:val="004A6202"/>
    <w:rsid w:val="004A6234"/>
    <w:rsid w:val="004A6245"/>
    <w:rsid w:val="004A633F"/>
    <w:rsid w:val="004A63CB"/>
    <w:rsid w:val="004A640D"/>
    <w:rsid w:val="004A6456"/>
    <w:rsid w:val="004A64F5"/>
    <w:rsid w:val="004A64F8"/>
    <w:rsid w:val="004A6621"/>
    <w:rsid w:val="004A6665"/>
    <w:rsid w:val="004A6986"/>
    <w:rsid w:val="004A6D36"/>
    <w:rsid w:val="004A6D42"/>
    <w:rsid w:val="004A6D4C"/>
    <w:rsid w:val="004A6DD0"/>
    <w:rsid w:val="004A6E40"/>
    <w:rsid w:val="004A6E46"/>
    <w:rsid w:val="004A6F18"/>
    <w:rsid w:val="004A703C"/>
    <w:rsid w:val="004A70D3"/>
    <w:rsid w:val="004A70DE"/>
    <w:rsid w:val="004A71AA"/>
    <w:rsid w:val="004A7271"/>
    <w:rsid w:val="004A735A"/>
    <w:rsid w:val="004A73FB"/>
    <w:rsid w:val="004A7455"/>
    <w:rsid w:val="004A74F0"/>
    <w:rsid w:val="004A75A4"/>
    <w:rsid w:val="004A762A"/>
    <w:rsid w:val="004A7729"/>
    <w:rsid w:val="004A7937"/>
    <w:rsid w:val="004A7B4A"/>
    <w:rsid w:val="004A7B95"/>
    <w:rsid w:val="004A7C1C"/>
    <w:rsid w:val="004A7C58"/>
    <w:rsid w:val="004A7C9C"/>
    <w:rsid w:val="004A7D44"/>
    <w:rsid w:val="004A7E3C"/>
    <w:rsid w:val="004A7EC8"/>
    <w:rsid w:val="004A7F79"/>
    <w:rsid w:val="004B0242"/>
    <w:rsid w:val="004B03AF"/>
    <w:rsid w:val="004B0426"/>
    <w:rsid w:val="004B044B"/>
    <w:rsid w:val="004B04DE"/>
    <w:rsid w:val="004B05FA"/>
    <w:rsid w:val="004B063C"/>
    <w:rsid w:val="004B06DB"/>
    <w:rsid w:val="004B06E3"/>
    <w:rsid w:val="004B0822"/>
    <w:rsid w:val="004B085A"/>
    <w:rsid w:val="004B099E"/>
    <w:rsid w:val="004B0A6C"/>
    <w:rsid w:val="004B0B50"/>
    <w:rsid w:val="004B0B88"/>
    <w:rsid w:val="004B0C19"/>
    <w:rsid w:val="004B0CDB"/>
    <w:rsid w:val="004B0E11"/>
    <w:rsid w:val="004B0E4C"/>
    <w:rsid w:val="004B0E6C"/>
    <w:rsid w:val="004B0E96"/>
    <w:rsid w:val="004B0EE9"/>
    <w:rsid w:val="004B107B"/>
    <w:rsid w:val="004B10C6"/>
    <w:rsid w:val="004B1161"/>
    <w:rsid w:val="004B11FE"/>
    <w:rsid w:val="004B13B3"/>
    <w:rsid w:val="004B1473"/>
    <w:rsid w:val="004B1538"/>
    <w:rsid w:val="004B17B4"/>
    <w:rsid w:val="004B17DF"/>
    <w:rsid w:val="004B18AA"/>
    <w:rsid w:val="004B18EC"/>
    <w:rsid w:val="004B18FB"/>
    <w:rsid w:val="004B1A2D"/>
    <w:rsid w:val="004B1A85"/>
    <w:rsid w:val="004B1C9C"/>
    <w:rsid w:val="004B1CF6"/>
    <w:rsid w:val="004B1D37"/>
    <w:rsid w:val="004B1E07"/>
    <w:rsid w:val="004B1E64"/>
    <w:rsid w:val="004B1E88"/>
    <w:rsid w:val="004B1EF8"/>
    <w:rsid w:val="004B1F6A"/>
    <w:rsid w:val="004B1FEF"/>
    <w:rsid w:val="004B2187"/>
    <w:rsid w:val="004B2353"/>
    <w:rsid w:val="004B2361"/>
    <w:rsid w:val="004B23DD"/>
    <w:rsid w:val="004B2465"/>
    <w:rsid w:val="004B2512"/>
    <w:rsid w:val="004B2614"/>
    <w:rsid w:val="004B271A"/>
    <w:rsid w:val="004B2789"/>
    <w:rsid w:val="004B2B57"/>
    <w:rsid w:val="004B2C45"/>
    <w:rsid w:val="004B2C62"/>
    <w:rsid w:val="004B2DDD"/>
    <w:rsid w:val="004B2E21"/>
    <w:rsid w:val="004B2E71"/>
    <w:rsid w:val="004B304C"/>
    <w:rsid w:val="004B306B"/>
    <w:rsid w:val="004B3076"/>
    <w:rsid w:val="004B32E1"/>
    <w:rsid w:val="004B3334"/>
    <w:rsid w:val="004B34A2"/>
    <w:rsid w:val="004B3605"/>
    <w:rsid w:val="004B3609"/>
    <w:rsid w:val="004B3643"/>
    <w:rsid w:val="004B36C8"/>
    <w:rsid w:val="004B37C5"/>
    <w:rsid w:val="004B37DA"/>
    <w:rsid w:val="004B39C2"/>
    <w:rsid w:val="004B39EB"/>
    <w:rsid w:val="004B3AAE"/>
    <w:rsid w:val="004B3B9B"/>
    <w:rsid w:val="004B3E31"/>
    <w:rsid w:val="004B3F62"/>
    <w:rsid w:val="004B400E"/>
    <w:rsid w:val="004B4089"/>
    <w:rsid w:val="004B4143"/>
    <w:rsid w:val="004B4211"/>
    <w:rsid w:val="004B4235"/>
    <w:rsid w:val="004B42A9"/>
    <w:rsid w:val="004B4428"/>
    <w:rsid w:val="004B44DE"/>
    <w:rsid w:val="004B452A"/>
    <w:rsid w:val="004B455F"/>
    <w:rsid w:val="004B4595"/>
    <w:rsid w:val="004B45D5"/>
    <w:rsid w:val="004B4648"/>
    <w:rsid w:val="004B4698"/>
    <w:rsid w:val="004B46B4"/>
    <w:rsid w:val="004B46D0"/>
    <w:rsid w:val="004B46D5"/>
    <w:rsid w:val="004B4853"/>
    <w:rsid w:val="004B4959"/>
    <w:rsid w:val="004B4A96"/>
    <w:rsid w:val="004B4B92"/>
    <w:rsid w:val="004B4D4B"/>
    <w:rsid w:val="004B4D91"/>
    <w:rsid w:val="004B4E12"/>
    <w:rsid w:val="004B51B5"/>
    <w:rsid w:val="004B527E"/>
    <w:rsid w:val="004B55FA"/>
    <w:rsid w:val="004B563E"/>
    <w:rsid w:val="004B567E"/>
    <w:rsid w:val="004B5873"/>
    <w:rsid w:val="004B598A"/>
    <w:rsid w:val="004B5A48"/>
    <w:rsid w:val="004B5AE3"/>
    <w:rsid w:val="004B5AE7"/>
    <w:rsid w:val="004B5BB0"/>
    <w:rsid w:val="004B5BBE"/>
    <w:rsid w:val="004B5C89"/>
    <w:rsid w:val="004B5D11"/>
    <w:rsid w:val="004B5FCA"/>
    <w:rsid w:val="004B5FF0"/>
    <w:rsid w:val="004B6102"/>
    <w:rsid w:val="004B6104"/>
    <w:rsid w:val="004B6228"/>
    <w:rsid w:val="004B62B8"/>
    <w:rsid w:val="004B62E6"/>
    <w:rsid w:val="004B630A"/>
    <w:rsid w:val="004B6311"/>
    <w:rsid w:val="004B6429"/>
    <w:rsid w:val="004B6502"/>
    <w:rsid w:val="004B659F"/>
    <w:rsid w:val="004B65AC"/>
    <w:rsid w:val="004B6621"/>
    <w:rsid w:val="004B6675"/>
    <w:rsid w:val="004B66FB"/>
    <w:rsid w:val="004B6839"/>
    <w:rsid w:val="004B6929"/>
    <w:rsid w:val="004B69F1"/>
    <w:rsid w:val="004B6AA4"/>
    <w:rsid w:val="004B6ADD"/>
    <w:rsid w:val="004B6B32"/>
    <w:rsid w:val="004B6CAA"/>
    <w:rsid w:val="004B6CD2"/>
    <w:rsid w:val="004B6D11"/>
    <w:rsid w:val="004B6D30"/>
    <w:rsid w:val="004B6D3D"/>
    <w:rsid w:val="004B6D43"/>
    <w:rsid w:val="004B6DDE"/>
    <w:rsid w:val="004B6E37"/>
    <w:rsid w:val="004B6F68"/>
    <w:rsid w:val="004B718C"/>
    <w:rsid w:val="004B71BC"/>
    <w:rsid w:val="004B71CD"/>
    <w:rsid w:val="004B7290"/>
    <w:rsid w:val="004B72A6"/>
    <w:rsid w:val="004B73BF"/>
    <w:rsid w:val="004B73EC"/>
    <w:rsid w:val="004B7459"/>
    <w:rsid w:val="004B74AB"/>
    <w:rsid w:val="004B74D5"/>
    <w:rsid w:val="004B74E5"/>
    <w:rsid w:val="004B76CB"/>
    <w:rsid w:val="004B7719"/>
    <w:rsid w:val="004B79A9"/>
    <w:rsid w:val="004B79D9"/>
    <w:rsid w:val="004B7A0C"/>
    <w:rsid w:val="004B7A97"/>
    <w:rsid w:val="004B7C83"/>
    <w:rsid w:val="004B7CA6"/>
    <w:rsid w:val="004B7CD9"/>
    <w:rsid w:val="004B7DA6"/>
    <w:rsid w:val="004B7EB0"/>
    <w:rsid w:val="004B7F4D"/>
    <w:rsid w:val="004C00C6"/>
    <w:rsid w:val="004C00CF"/>
    <w:rsid w:val="004C0176"/>
    <w:rsid w:val="004C01D3"/>
    <w:rsid w:val="004C022B"/>
    <w:rsid w:val="004C0361"/>
    <w:rsid w:val="004C036A"/>
    <w:rsid w:val="004C03A6"/>
    <w:rsid w:val="004C03FA"/>
    <w:rsid w:val="004C0457"/>
    <w:rsid w:val="004C074F"/>
    <w:rsid w:val="004C07AF"/>
    <w:rsid w:val="004C0843"/>
    <w:rsid w:val="004C0AD7"/>
    <w:rsid w:val="004C0B39"/>
    <w:rsid w:val="004C0CFF"/>
    <w:rsid w:val="004C0D1C"/>
    <w:rsid w:val="004C0D26"/>
    <w:rsid w:val="004C0D5A"/>
    <w:rsid w:val="004C0D83"/>
    <w:rsid w:val="004C0DE4"/>
    <w:rsid w:val="004C0E02"/>
    <w:rsid w:val="004C0E66"/>
    <w:rsid w:val="004C0F85"/>
    <w:rsid w:val="004C1038"/>
    <w:rsid w:val="004C10D9"/>
    <w:rsid w:val="004C1181"/>
    <w:rsid w:val="004C12B1"/>
    <w:rsid w:val="004C12D8"/>
    <w:rsid w:val="004C146A"/>
    <w:rsid w:val="004C14F5"/>
    <w:rsid w:val="004C1575"/>
    <w:rsid w:val="004C1576"/>
    <w:rsid w:val="004C15FB"/>
    <w:rsid w:val="004C1665"/>
    <w:rsid w:val="004C1752"/>
    <w:rsid w:val="004C1903"/>
    <w:rsid w:val="004C190E"/>
    <w:rsid w:val="004C1A91"/>
    <w:rsid w:val="004C1B3D"/>
    <w:rsid w:val="004C1B8A"/>
    <w:rsid w:val="004C1C79"/>
    <w:rsid w:val="004C1D13"/>
    <w:rsid w:val="004C1DAC"/>
    <w:rsid w:val="004C1EF8"/>
    <w:rsid w:val="004C1F4C"/>
    <w:rsid w:val="004C1F86"/>
    <w:rsid w:val="004C1F8B"/>
    <w:rsid w:val="004C1FA3"/>
    <w:rsid w:val="004C212F"/>
    <w:rsid w:val="004C21F0"/>
    <w:rsid w:val="004C2296"/>
    <w:rsid w:val="004C22DF"/>
    <w:rsid w:val="004C235D"/>
    <w:rsid w:val="004C2581"/>
    <w:rsid w:val="004C2592"/>
    <w:rsid w:val="004C25FD"/>
    <w:rsid w:val="004C2841"/>
    <w:rsid w:val="004C28EB"/>
    <w:rsid w:val="004C2AEF"/>
    <w:rsid w:val="004C2B86"/>
    <w:rsid w:val="004C2BD6"/>
    <w:rsid w:val="004C2DC7"/>
    <w:rsid w:val="004C2EDC"/>
    <w:rsid w:val="004C2EEB"/>
    <w:rsid w:val="004C2F22"/>
    <w:rsid w:val="004C2F28"/>
    <w:rsid w:val="004C3044"/>
    <w:rsid w:val="004C31AF"/>
    <w:rsid w:val="004C344E"/>
    <w:rsid w:val="004C34C5"/>
    <w:rsid w:val="004C38DD"/>
    <w:rsid w:val="004C38E6"/>
    <w:rsid w:val="004C3927"/>
    <w:rsid w:val="004C393F"/>
    <w:rsid w:val="004C3A0B"/>
    <w:rsid w:val="004C3A2A"/>
    <w:rsid w:val="004C3AC1"/>
    <w:rsid w:val="004C3BC9"/>
    <w:rsid w:val="004C3CF9"/>
    <w:rsid w:val="004C3E92"/>
    <w:rsid w:val="004C4082"/>
    <w:rsid w:val="004C410F"/>
    <w:rsid w:val="004C413D"/>
    <w:rsid w:val="004C4191"/>
    <w:rsid w:val="004C4203"/>
    <w:rsid w:val="004C4259"/>
    <w:rsid w:val="004C43FC"/>
    <w:rsid w:val="004C4486"/>
    <w:rsid w:val="004C4500"/>
    <w:rsid w:val="004C455E"/>
    <w:rsid w:val="004C4562"/>
    <w:rsid w:val="004C4577"/>
    <w:rsid w:val="004C4623"/>
    <w:rsid w:val="004C483B"/>
    <w:rsid w:val="004C48E1"/>
    <w:rsid w:val="004C4A1A"/>
    <w:rsid w:val="004C4B50"/>
    <w:rsid w:val="004C4B5A"/>
    <w:rsid w:val="004C4B85"/>
    <w:rsid w:val="004C4C6C"/>
    <w:rsid w:val="004C4C76"/>
    <w:rsid w:val="004C4D2B"/>
    <w:rsid w:val="004C4D91"/>
    <w:rsid w:val="004C5002"/>
    <w:rsid w:val="004C5003"/>
    <w:rsid w:val="004C50D5"/>
    <w:rsid w:val="004C5221"/>
    <w:rsid w:val="004C52B6"/>
    <w:rsid w:val="004C5307"/>
    <w:rsid w:val="004C54BB"/>
    <w:rsid w:val="004C54F1"/>
    <w:rsid w:val="004C5500"/>
    <w:rsid w:val="004C5535"/>
    <w:rsid w:val="004C5577"/>
    <w:rsid w:val="004C55EB"/>
    <w:rsid w:val="004C56A6"/>
    <w:rsid w:val="004C5745"/>
    <w:rsid w:val="004C58B7"/>
    <w:rsid w:val="004C5928"/>
    <w:rsid w:val="004C59EA"/>
    <w:rsid w:val="004C5AC6"/>
    <w:rsid w:val="004C5B1F"/>
    <w:rsid w:val="004C5B3E"/>
    <w:rsid w:val="004C5CB5"/>
    <w:rsid w:val="004C5D65"/>
    <w:rsid w:val="004C5E35"/>
    <w:rsid w:val="004C5E8D"/>
    <w:rsid w:val="004C5E95"/>
    <w:rsid w:val="004C5EC4"/>
    <w:rsid w:val="004C615A"/>
    <w:rsid w:val="004C616B"/>
    <w:rsid w:val="004C61DB"/>
    <w:rsid w:val="004C6273"/>
    <w:rsid w:val="004C62BF"/>
    <w:rsid w:val="004C62FD"/>
    <w:rsid w:val="004C6388"/>
    <w:rsid w:val="004C63E1"/>
    <w:rsid w:val="004C643C"/>
    <w:rsid w:val="004C655A"/>
    <w:rsid w:val="004C6585"/>
    <w:rsid w:val="004C66A2"/>
    <w:rsid w:val="004C69A1"/>
    <w:rsid w:val="004C6A13"/>
    <w:rsid w:val="004C6ACD"/>
    <w:rsid w:val="004C6B6D"/>
    <w:rsid w:val="004C6BAB"/>
    <w:rsid w:val="004C6BDB"/>
    <w:rsid w:val="004C6E42"/>
    <w:rsid w:val="004C6F7D"/>
    <w:rsid w:val="004C6F8E"/>
    <w:rsid w:val="004C702B"/>
    <w:rsid w:val="004C786C"/>
    <w:rsid w:val="004C7959"/>
    <w:rsid w:val="004C79AE"/>
    <w:rsid w:val="004C7B26"/>
    <w:rsid w:val="004C7B63"/>
    <w:rsid w:val="004C7B78"/>
    <w:rsid w:val="004C7C42"/>
    <w:rsid w:val="004C7C8F"/>
    <w:rsid w:val="004C7E04"/>
    <w:rsid w:val="004C7EB5"/>
    <w:rsid w:val="004C7EBA"/>
    <w:rsid w:val="004C7ECC"/>
    <w:rsid w:val="004C7FF1"/>
    <w:rsid w:val="004D00FE"/>
    <w:rsid w:val="004D0230"/>
    <w:rsid w:val="004D0292"/>
    <w:rsid w:val="004D02B5"/>
    <w:rsid w:val="004D02E8"/>
    <w:rsid w:val="004D0435"/>
    <w:rsid w:val="004D04F3"/>
    <w:rsid w:val="004D05B7"/>
    <w:rsid w:val="004D0601"/>
    <w:rsid w:val="004D0688"/>
    <w:rsid w:val="004D06E0"/>
    <w:rsid w:val="004D06FC"/>
    <w:rsid w:val="004D0852"/>
    <w:rsid w:val="004D08BB"/>
    <w:rsid w:val="004D0924"/>
    <w:rsid w:val="004D0D36"/>
    <w:rsid w:val="004D0DB5"/>
    <w:rsid w:val="004D0DC7"/>
    <w:rsid w:val="004D0EE6"/>
    <w:rsid w:val="004D0EED"/>
    <w:rsid w:val="004D0F9E"/>
    <w:rsid w:val="004D0FD0"/>
    <w:rsid w:val="004D100C"/>
    <w:rsid w:val="004D104C"/>
    <w:rsid w:val="004D104F"/>
    <w:rsid w:val="004D1183"/>
    <w:rsid w:val="004D1193"/>
    <w:rsid w:val="004D11F9"/>
    <w:rsid w:val="004D1276"/>
    <w:rsid w:val="004D12EC"/>
    <w:rsid w:val="004D1375"/>
    <w:rsid w:val="004D1517"/>
    <w:rsid w:val="004D1627"/>
    <w:rsid w:val="004D1685"/>
    <w:rsid w:val="004D16F4"/>
    <w:rsid w:val="004D1700"/>
    <w:rsid w:val="004D177B"/>
    <w:rsid w:val="004D182F"/>
    <w:rsid w:val="004D18B3"/>
    <w:rsid w:val="004D18CE"/>
    <w:rsid w:val="004D19D9"/>
    <w:rsid w:val="004D19F6"/>
    <w:rsid w:val="004D1A73"/>
    <w:rsid w:val="004D1AEF"/>
    <w:rsid w:val="004D1D2A"/>
    <w:rsid w:val="004D1DBA"/>
    <w:rsid w:val="004D1DE6"/>
    <w:rsid w:val="004D1E38"/>
    <w:rsid w:val="004D1EE7"/>
    <w:rsid w:val="004D1F32"/>
    <w:rsid w:val="004D1FB2"/>
    <w:rsid w:val="004D2007"/>
    <w:rsid w:val="004D207D"/>
    <w:rsid w:val="004D20AE"/>
    <w:rsid w:val="004D210A"/>
    <w:rsid w:val="004D2218"/>
    <w:rsid w:val="004D233D"/>
    <w:rsid w:val="004D23B4"/>
    <w:rsid w:val="004D245B"/>
    <w:rsid w:val="004D24E9"/>
    <w:rsid w:val="004D250D"/>
    <w:rsid w:val="004D2515"/>
    <w:rsid w:val="004D2545"/>
    <w:rsid w:val="004D25F2"/>
    <w:rsid w:val="004D26C4"/>
    <w:rsid w:val="004D2724"/>
    <w:rsid w:val="004D2789"/>
    <w:rsid w:val="004D2845"/>
    <w:rsid w:val="004D284A"/>
    <w:rsid w:val="004D2950"/>
    <w:rsid w:val="004D2A28"/>
    <w:rsid w:val="004D2A52"/>
    <w:rsid w:val="004D2AFD"/>
    <w:rsid w:val="004D2BA8"/>
    <w:rsid w:val="004D2BF7"/>
    <w:rsid w:val="004D2C2F"/>
    <w:rsid w:val="004D2D0C"/>
    <w:rsid w:val="004D2D4A"/>
    <w:rsid w:val="004D2D5B"/>
    <w:rsid w:val="004D3121"/>
    <w:rsid w:val="004D3172"/>
    <w:rsid w:val="004D3209"/>
    <w:rsid w:val="004D332F"/>
    <w:rsid w:val="004D33BD"/>
    <w:rsid w:val="004D348B"/>
    <w:rsid w:val="004D34AE"/>
    <w:rsid w:val="004D3738"/>
    <w:rsid w:val="004D37B2"/>
    <w:rsid w:val="004D37EF"/>
    <w:rsid w:val="004D38C6"/>
    <w:rsid w:val="004D397D"/>
    <w:rsid w:val="004D3ACC"/>
    <w:rsid w:val="004D3ED9"/>
    <w:rsid w:val="004D3FA6"/>
    <w:rsid w:val="004D40BD"/>
    <w:rsid w:val="004D45BC"/>
    <w:rsid w:val="004D46F3"/>
    <w:rsid w:val="004D46FB"/>
    <w:rsid w:val="004D48F2"/>
    <w:rsid w:val="004D49D3"/>
    <w:rsid w:val="004D4AC1"/>
    <w:rsid w:val="004D4AC3"/>
    <w:rsid w:val="004D4B0C"/>
    <w:rsid w:val="004D4B6B"/>
    <w:rsid w:val="004D4BB8"/>
    <w:rsid w:val="004D4CDA"/>
    <w:rsid w:val="004D4DF0"/>
    <w:rsid w:val="004D4E8F"/>
    <w:rsid w:val="004D4EFF"/>
    <w:rsid w:val="004D5118"/>
    <w:rsid w:val="004D5189"/>
    <w:rsid w:val="004D5263"/>
    <w:rsid w:val="004D526F"/>
    <w:rsid w:val="004D5358"/>
    <w:rsid w:val="004D53A8"/>
    <w:rsid w:val="004D5429"/>
    <w:rsid w:val="004D559C"/>
    <w:rsid w:val="004D55E1"/>
    <w:rsid w:val="004D55FC"/>
    <w:rsid w:val="004D5705"/>
    <w:rsid w:val="004D5778"/>
    <w:rsid w:val="004D5782"/>
    <w:rsid w:val="004D5796"/>
    <w:rsid w:val="004D579C"/>
    <w:rsid w:val="004D5825"/>
    <w:rsid w:val="004D58D4"/>
    <w:rsid w:val="004D5926"/>
    <w:rsid w:val="004D59D6"/>
    <w:rsid w:val="004D5AF2"/>
    <w:rsid w:val="004D5C07"/>
    <w:rsid w:val="004D5C1C"/>
    <w:rsid w:val="004D5C65"/>
    <w:rsid w:val="004D5E6E"/>
    <w:rsid w:val="004D5ED0"/>
    <w:rsid w:val="004D5F39"/>
    <w:rsid w:val="004D6095"/>
    <w:rsid w:val="004D6176"/>
    <w:rsid w:val="004D64E5"/>
    <w:rsid w:val="004D656A"/>
    <w:rsid w:val="004D661E"/>
    <w:rsid w:val="004D6638"/>
    <w:rsid w:val="004D6896"/>
    <w:rsid w:val="004D691E"/>
    <w:rsid w:val="004D6A10"/>
    <w:rsid w:val="004D6ABE"/>
    <w:rsid w:val="004D6AD2"/>
    <w:rsid w:val="004D6D33"/>
    <w:rsid w:val="004D6DAE"/>
    <w:rsid w:val="004D6E8A"/>
    <w:rsid w:val="004D6F01"/>
    <w:rsid w:val="004D6F66"/>
    <w:rsid w:val="004D6FB3"/>
    <w:rsid w:val="004D70FB"/>
    <w:rsid w:val="004D711D"/>
    <w:rsid w:val="004D713E"/>
    <w:rsid w:val="004D71EC"/>
    <w:rsid w:val="004D72E1"/>
    <w:rsid w:val="004D74A7"/>
    <w:rsid w:val="004D74AA"/>
    <w:rsid w:val="004D7519"/>
    <w:rsid w:val="004D7535"/>
    <w:rsid w:val="004D7585"/>
    <w:rsid w:val="004D7666"/>
    <w:rsid w:val="004D76D6"/>
    <w:rsid w:val="004D77EC"/>
    <w:rsid w:val="004D7845"/>
    <w:rsid w:val="004D788D"/>
    <w:rsid w:val="004D78BD"/>
    <w:rsid w:val="004D78DF"/>
    <w:rsid w:val="004D7A02"/>
    <w:rsid w:val="004D7AFA"/>
    <w:rsid w:val="004D7B6B"/>
    <w:rsid w:val="004D7F8C"/>
    <w:rsid w:val="004E0063"/>
    <w:rsid w:val="004E0193"/>
    <w:rsid w:val="004E022D"/>
    <w:rsid w:val="004E024B"/>
    <w:rsid w:val="004E0272"/>
    <w:rsid w:val="004E038E"/>
    <w:rsid w:val="004E04A0"/>
    <w:rsid w:val="004E0557"/>
    <w:rsid w:val="004E059D"/>
    <w:rsid w:val="004E08CA"/>
    <w:rsid w:val="004E0967"/>
    <w:rsid w:val="004E0A43"/>
    <w:rsid w:val="004E0A62"/>
    <w:rsid w:val="004E0ABB"/>
    <w:rsid w:val="004E0AE0"/>
    <w:rsid w:val="004E0C22"/>
    <w:rsid w:val="004E0D57"/>
    <w:rsid w:val="004E0D64"/>
    <w:rsid w:val="004E0D66"/>
    <w:rsid w:val="004E0E3A"/>
    <w:rsid w:val="004E0E6F"/>
    <w:rsid w:val="004E104E"/>
    <w:rsid w:val="004E106F"/>
    <w:rsid w:val="004E10F0"/>
    <w:rsid w:val="004E13CE"/>
    <w:rsid w:val="004E13E9"/>
    <w:rsid w:val="004E172C"/>
    <w:rsid w:val="004E17C1"/>
    <w:rsid w:val="004E17D0"/>
    <w:rsid w:val="004E17E8"/>
    <w:rsid w:val="004E18A4"/>
    <w:rsid w:val="004E18CF"/>
    <w:rsid w:val="004E1A2D"/>
    <w:rsid w:val="004E1B07"/>
    <w:rsid w:val="004E1B9A"/>
    <w:rsid w:val="004E1D71"/>
    <w:rsid w:val="004E1DBF"/>
    <w:rsid w:val="004E1F1F"/>
    <w:rsid w:val="004E1FCD"/>
    <w:rsid w:val="004E20D9"/>
    <w:rsid w:val="004E20EA"/>
    <w:rsid w:val="004E2116"/>
    <w:rsid w:val="004E2173"/>
    <w:rsid w:val="004E21AB"/>
    <w:rsid w:val="004E223E"/>
    <w:rsid w:val="004E2240"/>
    <w:rsid w:val="004E228A"/>
    <w:rsid w:val="004E2385"/>
    <w:rsid w:val="004E2457"/>
    <w:rsid w:val="004E24A7"/>
    <w:rsid w:val="004E24CB"/>
    <w:rsid w:val="004E2541"/>
    <w:rsid w:val="004E25FB"/>
    <w:rsid w:val="004E2698"/>
    <w:rsid w:val="004E274D"/>
    <w:rsid w:val="004E2764"/>
    <w:rsid w:val="004E2873"/>
    <w:rsid w:val="004E2881"/>
    <w:rsid w:val="004E28C2"/>
    <w:rsid w:val="004E293A"/>
    <w:rsid w:val="004E297D"/>
    <w:rsid w:val="004E2A96"/>
    <w:rsid w:val="004E2AAF"/>
    <w:rsid w:val="004E2B34"/>
    <w:rsid w:val="004E2B60"/>
    <w:rsid w:val="004E2B83"/>
    <w:rsid w:val="004E2B87"/>
    <w:rsid w:val="004E2DA7"/>
    <w:rsid w:val="004E2E31"/>
    <w:rsid w:val="004E2ECD"/>
    <w:rsid w:val="004E2F3E"/>
    <w:rsid w:val="004E2F92"/>
    <w:rsid w:val="004E3098"/>
    <w:rsid w:val="004E30E8"/>
    <w:rsid w:val="004E329A"/>
    <w:rsid w:val="004E33DC"/>
    <w:rsid w:val="004E362D"/>
    <w:rsid w:val="004E3671"/>
    <w:rsid w:val="004E36BB"/>
    <w:rsid w:val="004E36C8"/>
    <w:rsid w:val="004E377F"/>
    <w:rsid w:val="004E37DD"/>
    <w:rsid w:val="004E384F"/>
    <w:rsid w:val="004E3944"/>
    <w:rsid w:val="004E395A"/>
    <w:rsid w:val="004E3982"/>
    <w:rsid w:val="004E3A4F"/>
    <w:rsid w:val="004E3ADE"/>
    <w:rsid w:val="004E3B65"/>
    <w:rsid w:val="004E3B7E"/>
    <w:rsid w:val="004E3B85"/>
    <w:rsid w:val="004E3C1B"/>
    <w:rsid w:val="004E3CAE"/>
    <w:rsid w:val="004E3D11"/>
    <w:rsid w:val="004E3D3A"/>
    <w:rsid w:val="004E3E62"/>
    <w:rsid w:val="004E3EB7"/>
    <w:rsid w:val="004E3F0F"/>
    <w:rsid w:val="004E3F32"/>
    <w:rsid w:val="004E3F75"/>
    <w:rsid w:val="004E3F8B"/>
    <w:rsid w:val="004E3FD4"/>
    <w:rsid w:val="004E405D"/>
    <w:rsid w:val="004E40C4"/>
    <w:rsid w:val="004E4113"/>
    <w:rsid w:val="004E4263"/>
    <w:rsid w:val="004E4296"/>
    <w:rsid w:val="004E4328"/>
    <w:rsid w:val="004E4354"/>
    <w:rsid w:val="004E43B4"/>
    <w:rsid w:val="004E444F"/>
    <w:rsid w:val="004E448A"/>
    <w:rsid w:val="004E44AE"/>
    <w:rsid w:val="004E44F3"/>
    <w:rsid w:val="004E4684"/>
    <w:rsid w:val="004E4728"/>
    <w:rsid w:val="004E4736"/>
    <w:rsid w:val="004E4829"/>
    <w:rsid w:val="004E484A"/>
    <w:rsid w:val="004E486E"/>
    <w:rsid w:val="004E4907"/>
    <w:rsid w:val="004E4A95"/>
    <w:rsid w:val="004E4BB7"/>
    <w:rsid w:val="004E4C61"/>
    <w:rsid w:val="004E4CBE"/>
    <w:rsid w:val="004E4CED"/>
    <w:rsid w:val="004E4D09"/>
    <w:rsid w:val="004E4D8D"/>
    <w:rsid w:val="004E4E52"/>
    <w:rsid w:val="004E4E53"/>
    <w:rsid w:val="004E4E66"/>
    <w:rsid w:val="004E4EDD"/>
    <w:rsid w:val="004E4FB0"/>
    <w:rsid w:val="004E50B6"/>
    <w:rsid w:val="004E50DF"/>
    <w:rsid w:val="004E510A"/>
    <w:rsid w:val="004E521B"/>
    <w:rsid w:val="004E53B6"/>
    <w:rsid w:val="004E542A"/>
    <w:rsid w:val="004E559E"/>
    <w:rsid w:val="004E55C8"/>
    <w:rsid w:val="004E56E5"/>
    <w:rsid w:val="004E57A4"/>
    <w:rsid w:val="004E57C4"/>
    <w:rsid w:val="004E5ADC"/>
    <w:rsid w:val="004E5BAE"/>
    <w:rsid w:val="004E5BD3"/>
    <w:rsid w:val="004E5BF2"/>
    <w:rsid w:val="004E5C01"/>
    <w:rsid w:val="004E5C12"/>
    <w:rsid w:val="004E5C7D"/>
    <w:rsid w:val="004E5CFE"/>
    <w:rsid w:val="004E5D94"/>
    <w:rsid w:val="004E5EA8"/>
    <w:rsid w:val="004E600B"/>
    <w:rsid w:val="004E6259"/>
    <w:rsid w:val="004E6304"/>
    <w:rsid w:val="004E636C"/>
    <w:rsid w:val="004E6389"/>
    <w:rsid w:val="004E63A3"/>
    <w:rsid w:val="004E647B"/>
    <w:rsid w:val="004E64E8"/>
    <w:rsid w:val="004E6518"/>
    <w:rsid w:val="004E66D1"/>
    <w:rsid w:val="004E66E5"/>
    <w:rsid w:val="004E671A"/>
    <w:rsid w:val="004E67CE"/>
    <w:rsid w:val="004E69E8"/>
    <w:rsid w:val="004E6AA7"/>
    <w:rsid w:val="004E6AD6"/>
    <w:rsid w:val="004E6AFF"/>
    <w:rsid w:val="004E6B07"/>
    <w:rsid w:val="004E6B65"/>
    <w:rsid w:val="004E6BA3"/>
    <w:rsid w:val="004E6BA9"/>
    <w:rsid w:val="004E6BD0"/>
    <w:rsid w:val="004E6C73"/>
    <w:rsid w:val="004E6D04"/>
    <w:rsid w:val="004E6D9A"/>
    <w:rsid w:val="004E6DC5"/>
    <w:rsid w:val="004E6DE1"/>
    <w:rsid w:val="004E713E"/>
    <w:rsid w:val="004E71B7"/>
    <w:rsid w:val="004E72BD"/>
    <w:rsid w:val="004E747A"/>
    <w:rsid w:val="004E74A0"/>
    <w:rsid w:val="004E75AC"/>
    <w:rsid w:val="004E75C6"/>
    <w:rsid w:val="004E75E7"/>
    <w:rsid w:val="004E7605"/>
    <w:rsid w:val="004E7714"/>
    <w:rsid w:val="004E7881"/>
    <w:rsid w:val="004E7906"/>
    <w:rsid w:val="004E7B85"/>
    <w:rsid w:val="004E7D70"/>
    <w:rsid w:val="004E7E9A"/>
    <w:rsid w:val="004F04A1"/>
    <w:rsid w:val="004F04F6"/>
    <w:rsid w:val="004F0685"/>
    <w:rsid w:val="004F06E5"/>
    <w:rsid w:val="004F06F1"/>
    <w:rsid w:val="004F084A"/>
    <w:rsid w:val="004F094F"/>
    <w:rsid w:val="004F0AA0"/>
    <w:rsid w:val="004F0AEA"/>
    <w:rsid w:val="004F0C9E"/>
    <w:rsid w:val="004F0DD3"/>
    <w:rsid w:val="004F0E31"/>
    <w:rsid w:val="004F0EDA"/>
    <w:rsid w:val="004F0FE7"/>
    <w:rsid w:val="004F1184"/>
    <w:rsid w:val="004F11B0"/>
    <w:rsid w:val="004F12C5"/>
    <w:rsid w:val="004F131B"/>
    <w:rsid w:val="004F133E"/>
    <w:rsid w:val="004F134A"/>
    <w:rsid w:val="004F1396"/>
    <w:rsid w:val="004F13E0"/>
    <w:rsid w:val="004F15B5"/>
    <w:rsid w:val="004F1622"/>
    <w:rsid w:val="004F1710"/>
    <w:rsid w:val="004F172E"/>
    <w:rsid w:val="004F18D2"/>
    <w:rsid w:val="004F1960"/>
    <w:rsid w:val="004F19A6"/>
    <w:rsid w:val="004F1B83"/>
    <w:rsid w:val="004F1BD5"/>
    <w:rsid w:val="004F1D23"/>
    <w:rsid w:val="004F1D73"/>
    <w:rsid w:val="004F1DDA"/>
    <w:rsid w:val="004F1E26"/>
    <w:rsid w:val="004F1EA8"/>
    <w:rsid w:val="004F204F"/>
    <w:rsid w:val="004F20AE"/>
    <w:rsid w:val="004F2189"/>
    <w:rsid w:val="004F21D1"/>
    <w:rsid w:val="004F233F"/>
    <w:rsid w:val="004F2408"/>
    <w:rsid w:val="004F2452"/>
    <w:rsid w:val="004F245B"/>
    <w:rsid w:val="004F24AB"/>
    <w:rsid w:val="004F24AF"/>
    <w:rsid w:val="004F263C"/>
    <w:rsid w:val="004F2887"/>
    <w:rsid w:val="004F2983"/>
    <w:rsid w:val="004F29A6"/>
    <w:rsid w:val="004F2A85"/>
    <w:rsid w:val="004F2A9F"/>
    <w:rsid w:val="004F2B13"/>
    <w:rsid w:val="004F2B16"/>
    <w:rsid w:val="004F2B36"/>
    <w:rsid w:val="004F2C9B"/>
    <w:rsid w:val="004F2FDA"/>
    <w:rsid w:val="004F30F5"/>
    <w:rsid w:val="004F3113"/>
    <w:rsid w:val="004F313F"/>
    <w:rsid w:val="004F320E"/>
    <w:rsid w:val="004F3245"/>
    <w:rsid w:val="004F3438"/>
    <w:rsid w:val="004F363E"/>
    <w:rsid w:val="004F36DC"/>
    <w:rsid w:val="004F383F"/>
    <w:rsid w:val="004F3C0B"/>
    <w:rsid w:val="004F3CBF"/>
    <w:rsid w:val="004F3CEC"/>
    <w:rsid w:val="004F3D45"/>
    <w:rsid w:val="004F3D4C"/>
    <w:rsid w:val="004F3E11"/>
    <w:rsid w:val="004F3E17"/>
    <w:rsid w:val="004F3EE5"/>
    <w:rsid w:val="004F3F17"/>
    <w:rsid w:val="004F4029"/>
    <w:rsid w:val="004F4060"/>
    <w:rsid w:val="004F4071"/>
    <w:rsid w:val="004F4146"/>
    <w:rsid w:val="004F4166"/>
    <w:rsid w:val="004F4261"/>
    <w:rsid w:val="004F4359"/>
    <w:rsid w:val="004F440F"/>
    <w:rsid w:val="004F447F"/>
    <w:rsid w:val="004F44A4"/>
    <w:rsid w:val="004F44FD"/>
    <w:rsid w:val="004F4551"/>
    <w:rsid w:val="004F4746"/>
    <w:rsid w:val="004F47B1"/>
    <w:rsid w:val="004F4849"/>
    <w:rsid w:val="004F4937"/>
    <w:rsid w:val="004F4A76"/>
    <w:rsid w:val="004F4B1C"/>
    <w:rsid w:val="004F4CA8"/>
    <w:rsid w:val="004F4E4B"/>
    <w:rsid w:val="004F4ED4"/>
    <w:rsid w:val="004F4F17"/>
    <w:rsid w:val="004F4F87"/>
    <w:rsid w:val="004F516A"/>
    <w:rsid w:val="004F51A9"/>
    <w:rsid w:val="004F51D9"/>
    <w:rsid w:val="004F523D"/>
    <w:rsid w:val="004F5288"/>
    <w:rsid w:val="004F52F7"/>
    <w:rsid w:val="004F534C"/>
    <w:rsid w:val="004F5353"/>
    <w:rsid w:val="004F5361"/>
    <w:rsid w:val="004F53F6"/>
    <w:rsid w:val="004F5404"/>
    <w:rsid w:val="004F544F"/>
    <w:rsid w:val="004F550A"/>
    <w:rsid w:val="004F5511"/>
    <w:rsid w:val="004F560D"/>
    <w:rsid w:val="004F564B"/>
    <w:rsid w:val="004F584E"/>
    <w:rsid w:val="004F599D"/>
    <w:rsid w:val="004F59CB"/>
    <w:rsid w:val="004F5A79"/>
    <w:rsid w:val="004F5AC2"/>
    <w:rsid w:val="004F5B44"/>
    <w:rsid w:val="004F5BAB"/>
    <w:rsid w:val="004F5D82"/>
    <w:rsid w:val="004F5DF9"/>
    <w:rsid w:val="004F5E55"/>
    <w:rsid w:val="004F5E68"/>
    <w:rsid w:val="004F5F3A"/>
    <w:rsid w:val="004F5F6B"/>
    <w:rsid w:val="004F5F78"/>
    <w:rsid w:val="004F6262"/>
    <w:rsid w:val="004F62C1"/>
    <w:rsid w:val="004F6367"/>
    <w:rsid w:val="004F63E8"/>
    <w:rsid w:val="004F6504"/>
    <w:rsid w:val="004F6534"/>
    <w:rsid w:val="004F657C"/>
    <w:rsid w:val="004F66B9"/>
    <w:rsid w:val="004F66EA"/>
    <w:rsid w:val="004F6782"/>
    <w:rsid w:val="004F6810"/>
    <w:rsid w:val="004F6848"/>
    <w:rsid w:val="004F6B2D"/>
    <w:rsid w:val="004F6B30"/>
    <w:rsid w:val="004F6B57"/>
    <w:rsid w:val="004F6B88"/>
    <w:rsid w:val="004F6C94"/>
    <w:rsid w:val="004F6E6A"/>
    <w:rsid w:val="004F713E"/>
    <w:rsid w:val="004F7154"/>
    <w:rsid w:val="004F7249"/>
    <w:rsid w:val="004F72CB"/>
    <w:rsid w:val="004F7302"/>
    <w:rsid w:val="004F754B"/>
    <w:rsid w:val="004F7595"/>
    <w:rsid w:val="004F75C0"/>
    <w:rsid w:val="004F7626"/>
    <w:rsid w:val="004F7692"/>
    <w:rsid w:val="004F7740"/>
    <w:rsid w:val="004F78C0"/>
    <w:rsid w:val="004F78CD"/>
    <w:rsid w:val="004F79DE"/>
    <w:rsid w:val="004F7B26"/>
    <w:rsid w:val="004F7BD3"/>
    <w:rsid w:val="004F7D17"/>
    <w:rsid w:val="004F7D38"/>
    <w:rsid w:val="004F7F00"/>
    <w:rsid w:val="004F7F39"/>
    <w:rsid w:val="005000A9"/>
    <w:rsid w:val="005000D8"/>
    <w:rsid w:val="0050025B"/>
    <w:rsid w:val="0050026D"/>
    <w:rsid w:val="005002E5"/>
    <w:rsid w:val="00500360"/>
    <w:rsid w:val="0050039B"/>
    <w:rsid w:val="005004EB"/>
    <w:rsid w:val="0050053B"/>
    <w:rsid w:val="0050055B"/>
    <w:rsid w:val="00500572"/>
    <w:rsid w:val="005005A6"/>
    <w:rsid w:val="00500624"/>
    <w:rsid w:val="00500633"/>
    <w:rsid w:val="00500698"/>
    <w:rsid w:val="00500772"/>
    <w:rsid w:val="005007EB"/>
    <w:rsid w:val="00500970"/>
    <w:rsid w:val="00500A2C"/>
    <w:rsid w:val="00500ABB"/>
    <w:rsid w:val="00500ACD"/>
    <w:rsid w:val="00500C13"/>
    <w:rsid w:val="00500CD6"/>
    <w:rsid w:val="00500E96"/>
    <w:rsid w:val="00500ED1"/>
    <w:rsid w:val="00500F5C"/>
    <w:rsid w:val="00500FB9"/>
    <w:rsid w:val="005010B3"/>
    <w:rsid w:val="00501160"/>
    <w:rsid w:val="00501181"/>
    <w:rsid w:val="00501209"/>
    <w:rsid w:val="00501262"/>
    <w:rsid w:val="005012AE"/>
    <w:rsid w:val="005012B5"/>
    <w:rsid w:val="005012C1"/>
    <w:rsid w:val="005013C3"/>
    <w:rsid w:val="00501430"/>
    <w:rsid w:val="0050174B"/>
    <w:rsid w:val="005017D3"/>
    <w:rsid w:val="0050188B"/>
    <w:rsid w:val="005018E5"/>
    <w:rsid w:val="0050198B"/>
    <w:rsid w:val="00501A60"/>
    <w:rsid w:val="00501AFB"/>
    <w:rsid w:val="00501B32"/>
    <w:rsid w:val="00501B57"/>
    <w:rsid w:val="00501BC8"/>
    <w:rsid w:val="00501D4F"/>
    <w:rsid w:val="00501D57"/>
    <w:rsid w:val="00501D90"/>
    <w:rsid w:val="00501DD1"/>
    <w:rsid w:val="00501E7E"/>
    <w:rsid w:val="00501EA6"/>
    <w:rsid w:val="00501FF0"/>
    <w:rsid w:val="005020B6"/>
    <w:rsid w:val="0050216F"/>
    <w:rsid w:val="005021A1"/>
    <w:rsid w:val="00502252"/>
    <w:rsid w:val="00502292"/>
    <w:rsid w:val="0050234A"/>
    <w:rsid w:val="005023A0"/>
    <w:rsid w:val="0050241E"/>
    <w:rsid w:val="005024CD"/>
    <w:rsid w:val="005024FE"/>
    <w:rsid w:val="00502724"/>
    <w:rsid w:val="00502735"/>
    <w:rsid w:val="005027A7"/>
    <w:rsid w:val="00502821"/>
    <w:rsid w:val="00502961"/>
    <w:rsid w:val="005029D1"/>
    <w:rsid w:val="00502B23"/>
    <w:rsid w:val="00502B5E"/>
    <w:rsid w:val="00502BD3"/>
    <w:rsid w:val="00502BFA"/>
    <w:rsid w:val="00502D39"/>
    <w:rsid w:val="00502D4F"/>
    <w:rsid w:val="00502D5E"/>
    <w:rsid w:val="00502F0B"/>
    <w:rsid w:val="00503107"/>
    <w:rsid w:val="0050310C"/>
    <w:rsid w:val="0050335E"/>
    <w:rsid w:val="0050342A"/>
    <w:rsid w:val="0050348F"/>
    <w:rsid w:val="00503558"/>
    <w:rsid w:val="00503672"/>
    <w:rsid w:val="00503689"/>
    <w:rsid w:val="00503944"/>
    <w:rsid w:val="00503979"/>
    <w:rsid w:val="00503A32"/>
    <w:rsid w:val="00503A5F"/>
    <w:rsid w:val="00503B42"/>
    <w:rsid w:val="00503B43"/>
    <w:rsid w:val="00503BFE"/>
    <w:rsid w:val="00503C0C"/>
    <w:rsid w:val="00503C1F"/>
    <w:rsid w:val="00503CAA"/>
    <w:rsid w:val="00503DE7"/>
    <w:rsid w:val="00503DF8"/>
    <w:rsid w:val="00503E77"/>
    <w:rsid w:val="00503E8D"/>
    <w:rsid w:val="00503F10"/>
    <w:rsid w:val="00503FC8"/>
    <w:rsid w:val="005040BA"/>
    <w:rsid w:val="00504196"/>
    <w:rsid w:val="0050437D"/>
    <w:rsid w:val="005043E7"/>
    <w:rsid w:val="005043EE"/>
    <w:rsid w:val="00504462"/>
    <w:rsid w:val="005044FF"/>
    <w:rsid w:val="00504518"/>
    <w:rsid w:val="0050469B"/>
    <w:rsid w:val="005046DB"/>
    <w:rsid w:val="00504822"/>
    <w:rsid w:val="0050484A"/>
    <w:rsid w:val="00504876"/>
    <w:rsid w:val="00504A8C"/>
    <w:rsid w:val="00504BBC"/>
    <w:rsid w:val="00504BE2"/>
    <w:rsid w:val="00504C2C"/>
    <w:rsid w:val="00504C80"/>
    <w:rsid w:val="00504D98"/>
    <w:rsid w:val="00504DE2"/>
    <w:rsid w:val="00504EB3"/>
    <w:rsid w:val="00504F21"/>
    <w:rsid w:val="00504F81"/>
    <w:rsid w:val="0050501E"/>
    <w:rsid w:val="00505080"/>
    <w:rsid w:val="005052D1"/>
    <w:rsid w:val="005052F3"/>
    <w:rsid w:val="00505561"/>
    <w:rsid w:val="00505735"/>
    <w:rsid w:val="005057B3"/>
    <w:rsid w:val="005057C4"/>
    <w:rsid w:val="00505855"/>
    <w:rsid w:val="005058F7"/>
    <w:rsid w:val="00505975"/>
    <w:rsid w:val="005059CB"/>
    <w:rsid w:val="00505A37"/>
    <w:rsid w:val="00505B5B"/>
    <w:rsid w:val="00505BA5"/>
    <w:rsid w:val="00505BC1"/>
    <w:rsid w:val="00505BE5"/>
    <w:rsid w:val="00505C1A"/>
    <w:rsid w:val="00505C78"/>
    <w:rsid w:val="00505E33"/>
    <w:rsid w:val="00505EB3"/>
    <w:rsid w:val="00505F94"/>
    <w:rsid w:val="00505FF9"/>
    <w:rsid w:val="0050603F"/>
    <w:rsid w:val="00506060"/>
    <w:rsid w:val="005060E5"/>
    <w:rsid w:val="005061E9"/>
    <w:rsid w:val="005062A4"/>
    <w:rsid w:val="0050633F"/>
    <w:rsid w:val="005063B8"/>
    <w:rsid w:val="0050658C"/>
    <w:rsid w:val="005065AC"/>
    <w:rsid w:val="00506616"/>
    <w:rsid w:val="00506800"/>
    <w:rsid w:val="0050689C"/>
    <w:rsid w:val="0050695E"/>
    <w:rsid w:val="0050698E"/>
    <w:rsid w:val="00506A3A"/>
    <w:rsid w:val="00506ABC"/>
    <w:rsid w:val="00506C3C"/>
    <w:rsid w:val="00506E23"/>
    <w:rsid w:val="00506E74"/>
    <w:rsid w:val="00506E7D"/>
    <w:rsid w:val="00506F18"/>
    <w:rsid w:val="00506FC4"/>
    <w:rsid w:val="005070E1"/>
    <w:rsid w:val="00507277"/>
    <w:rsid w:val="005072D3"/>
    <w:rsid w:val="00507505"/>
    <w:rsid w:val="0050758C"/>
    <w:rsid w:val="00507646"/>
    <w:rsid w:val="0050764C"/>
    <w:rsid w:val="0050767A"/>
    <w:rsid w:val="0050767E"/>
    <w:rsid w:val="00507683"/>
    <w:rsid w:val="005078AF"/>
    <w:rsid w:val="005078B8"/>
    <w:rsid w:val="005079ED"/>
    <w:rsid w:val="00507A19"/>
    <w:rsid w:val="00507AE4"/>
    <w:rsid w:val="00507C2A"/>
    <w:rsid w:val="00507D2A"/>
    <w:rsid w:val="00507D5D"/>
    <w:rsid w:val="00507E72"/>
    <w:rsid w:val="0051011E"/>
    <w:rsid w:val="005101F9"/>
    <w:rsid w:val="005103E2"/>
    <w:rsid w:val="005106FB"/>
    <w:rsid w:val="0051073F"/>
    <w:rsid w:val="00510764"/>
    <w:rsid w:val="00510813"/>
    <w:rsid w:val="00510838"/>
    <w:rsid w:val="005108B5"/>
    <w:rsid w:val="005109A8"/>
    <w:rsid w:val="00510A55"/>
    <w:rsid w:val="00510C04"/>
    <w:rsid w:val="00510DB6"/>
    <w:rsid w:val="00510DD7"/>
    <w:rsid w:val="00510DEF"/>
    <w:rsid w:val="005111AB"/>
    <w:rsid w:val="005112CB"/>
    <w:rsid w:val="005113D6"/>
    <w:rsid w:val="005113D8"/>
    <w:rsid w:val="00511498"/>
    <w:rsid w:val="00511549"/>
    <w:rsid w:val="005115BB"/>
    <w:rsid w:val="00511651"/>
    <w:rsid w:val="005117B7"/>
    <w:rsid w:val="00511825"/>
    <w:rsid w:val="00511869"/>
    <w:rsid w:val="005118CD"/>
    <w:rsid w:val="005118F4"/>
    <w:rsid w:val="00511A3A"/>
    <w:rsid w:val="00511B2F"/>
    <w:rsid w:val="00511C52"/>
    <w:rsid w:val="00511CD3"/>
    <w:rsid w:val="00511D34"/>
    <w:rsid w:val="00511DA7"/>
    <w:rsid w:val="00511DB3"/>
    <w:rsid w:val="00511E1D"/>
    <w:rsid w:val="00511E70"/>
    <w:rsid w:val="00511E78"/>
    <w:rsid w:val="00511E79"/>
    <w:rsid w:val="00512100"/>
    <w:rsid w:val="0051217C"/>
    <w:rsid w:val="005121C1"/>
    <w:rsid w:val="00512264"/>
    <w:rsid w:val="005123A7"/>
    <w:rsid w:val="005123C8"/>
    <w:rsid w:val="00512588"/>
    <w:rsid w:val="0051258F"/>
    <w:rsid w:val="00512601"/>
    <w:rsid w:val="0051263C"/>
    <w:rsid w:val="00512729"/>
    <w:rsid w:val="00512963"/>
    <w:rsid w:val="005129FD"/>
    <w:rsid w:val="00512A14"/>
    <w:rsid w:val="00512B66"/>
    <w:rsid w:val="00512D46"/>
    <w:rsid w:val="00512E6C"/>
    <w:rsid w:val="00512F39"/>
    <w:rsid w:val="00513103"/>
    <w:rsid w:val="0051314B"/>
    <w:rsid w:val="00513176"/>
    <w:rsid w:val="005131D6"/>
    <w:rsid w:val="005131E6"/>
    <w:rsid w:val="00513224"/>
    <w:rsid w:val="00513283"/>
    <w:rsid w:val="005132AA"/>
    <w:rsid w:val="0051342D"/>
    <w:rsid w:val="005134AC"/>
    <w:rsid w:val="005134B2"/>
    <w:rsid w:val="005134FA"/>
    <w:rsid w:val="005135E6"/>
    <w:rsid w:val="00513667"/>
    <w:rsid w:val="005136C6"/>
    <w:rsid w:val="005137B9"/>
    <w:rsid w:val="005137FC"/>
    <w:rsid w:val="005138EA"/>
    <w:rsid w:val="00513918"/>
    <w:rsid w:val="00513927"/>
    <w:rsid w:val="00513966"/>
    <w:rsid w:val="005139DB"/>
    <w:rsid w:val="00513B5A"/>
    <w:rsid w:val="00513C46"/>
    <w:rsid w:val="00513C4D"/>
    <w:rsid w:val="00513F51"/>
    <w:rsid w:val="00513FE4"/>
    <w:rsid w:val="00514093"/>
    <w:rsid w:val="00514165"/>
    <w:rsid w:val="005141CE"/>
    <w:rsid w:val="005141D0"/>
    <w:rsid w:val="0051421B"/>
    <w:rsid w:val="0051428A"/>
    <w:rsid w:val="005142A9"/>
    <w:rsid w:val="0051436A"/>
    <w:rsid w:val="0051439F"/>
    <w:rsid w:val="00514420"/>
    <w:rsid w:val="005144D0"/>
    <w:rsid w:val="0051459D"/>
    <w:rsid w:val="005146E9"/>
    <w:rsid w:val="00514715"/>
    <w:rsid w:val="00514747"/>
    <w:rsid w:val="005147A4"/>
    <w:rsid w:val="00514821"/>
    <w:rsid w:val="005148FE"/>
    <w:rsid w:val="005149BD"/>
    <w:rsid w:val="005149C0"/>
    <w:rsid w:val="005149EA"/>
    <w:rsid w:val="00514A4B"/>
    <w:rsid w:val="00514AF3"/>
    <w:rsid w:val="00514C22"/>
    <w:rsid w:val="00514CEF"/>
    <w:rsid w:val="00514EE4"/>
    <w:rsid w:val="00515263"/>
    <w:rsid w:val="00515470"/>
    <w:rsid w:val="005154E1"/>
    <w:rsid w:val="005154F4"/>
    <w:rsid w:val="00515510"/>
    <w:rsid w:val="005155E8"/>
    <w:rsid w:val="00515692"/>
    <w:rsid w:val="0051590D"/>
    <w:rsid w:val="0051598B"/>
    <w:rsid w:val="00515A8A"/>
    <w:rsid w:val="00515AA8"/>
    <w:rsid w:val="00515BB2"/>
    <w:rsid w:val="00515D03"/>
    <w:rsid w:val="00515EBF"/>
    <w:rsid w:val="00515F20"/>
    <w:rsid w:val="00515F29"/>
    <w:rsid w:val="00515F33"/>
    <w:rsid w:val="00515F54"/>
    <w:rsid w:val="00515F55"/>
    <w:rsid w:val="005160CA"/>
    <w:rsid w:val="005160D3"/>
    <w:rsid w:val="00516129"/>
    <w:rsid w:val="0051631E"/>
    <w:rsid w:val="0051632B"/>
    <w:rsid w:val="0051635E"/>
    <w:rsid w:val="00516360"/>
    <w:rsid w:val="00516441"/>
    <w:rsid w:val="005164D7"/>
    <w:rsid w:val="0051655B"/>
    <w:rsid w:val="0051657C"/>
    <w:rsid w:val="00516670"/>
    <w:rsid w:val="00516750"/>
    <w:rsid w:val="00516821"/>
    <w:rsid w:val="0051684F"/>
    <w:rsid w:val="00516884"/>
    <w:rsid w:val="0051688C"/>
    <w:rsid w:val="0051699D"/>
    <w:rsid w:val="005169BA"/>
    <w:rsid w:val="00516A5F"/>
    <w:rsid w:val="00516AAE"/>
    <w:rsid w:val="00516BFF"/>
    <w:rsid w:val="00516C17"/>
    <w:rsid w:val="00516C47"/>
    <w:rsid w:val="00516C75"/>
    <w:rsid w:val="00516CF0"/>
    <w:rsid w:val="00516E02"/>
    <w:rsid w:val="00516F4B"/>
    <w:rsid w:val="00516F7D"/>
    <w:rsid w:val="00516FCD"/>
    <w:rsid w:val="00517066"/>
    <w:rsid w:val="00517222"/>
    <w:rsid w:val="00517245"/>
    <w:rsid w:val="0051753B"/>
    <w:rsid w:val="0051753C"/>
    <w:rsid w:val="005177BF"/>
    <w:rsid w:val="0051780B"/>
    <w:rsid w:val="0051785F"/>
    <w:rsid w:val="0051796E"/>
    <w:rsid w:val="005179A0"/>
    <w:rsid w:val="00517A7E"/>
    <w:rsid w:val="00517A8B"/>
    <w:rsid w:val="00517BE8"/>
    <w:rsid w:val="00517BF2"/>
    <w:rsid w:val="00517C72"/>
    <w:rsid w:val="00517D1D"/>
    <w:rsid w:val="00517D8F"/>
    <w:rsid w:val="00517DDD"/>
    <w:rsid w:val="00517F0B"/>
    <w:rsid w:val="00517F4A"/>
    <w:rsid w:val="00520075"/>
    <w:rsid w:val="0052007A"/>
    <w:rsid w:val="005200AF"/>
    <w:rsid w:val="005200CA"/>
    <w:rsid w:val="005202E2"/>
    <w:rsid w:val="00520331"/>
    <w:rsid w:val="005203D0"/>
    <w:rsid w:val="005203D1"/>
    <w:rsid w:val="00520432"/>
    <w:rsid w:val="00520532"/>
    <w:rsid w:val="005206DD"/>
    <w:rsid w:val="005206EA"/>
    <w:rsid w:val="00520745"/>
    <w:rsid w:val="00520A25"/>
    <w:rsid w:val="00520A8E"/>
    <w:rsid w:val="00520D07"/>
    <w:rsid w:val="00520DAC"/>
    <w:rsid w:val="00520E29"/>
    <w:rsid w:val="00520EC3"/>
    <w:rsid w:val="00520F51"/>
    <w:rsid w:val="0052113B"/>
    <w:rsid w:val="005211DB"/>
    <w:rsid w:val="005213FD"/>
    <w:rsid w:val="005214D0"/>
    <w:rsid w:val="005214E4"/>
    <w:rsid w:val="00521521"/>
    <w:rsid w:val="00521559"/>
    <w:rsid w:val="0052166C"/>
    <w:rsid w:val="005216C1"/>
    <w:rsid w:val="0052177E"/>
    <w:rsid w:val="00521843"/>
    <w:rsid w:val="005218C1"/>
    <w:rsid w:val="00521903"/>
    <w:rsid w:val="005219CB"/>
    <w:rsid w:val="00521A66"/>
    <w:rsid w:val="00521B3E"/>
    <w:rsid w:val="00521C9B"/>
    <w:rsid w:val="00521D14"/>
    <w:rsid w:val="00521D56"/>
    <w:rsid w:val="00521D60"/>
    <w:rsid w:val="00521D9B"/>
    <w:rsid w:val="00521DE1"/>
    <w:rsid w:val="00521EAD"/>
    <w:rsid w:val="00521EB0"/>
    <w:rsid w:val="00522044"/>
    <w:rsid w:val="005220A4"/>
    <w:rsid w:val="00522124"/>
    <w:rsid w:val="0052214C"/>
    <w:rsid w:val="005221D6"/>
    <w:rsid w:val="00522383"/>
    <w:rsid w:val="0052275C"/>
    <w:rsid w:val="0052289F"/>
    <w:rsid w:val="005228BC"/>
    <w:rsid w:val="00522916"/>
    <w:rsid w:val="00522975"/>
    <w:rsid w:val="00522D00"/>
    <w:rsid w:val="00522D43"/>
    <w:rsid w:val="00522EC7"/>
    <w:rsid w:val="00522EC8"/>
    <w:rsid w:val="00523001"/>
    <w:rsid w:val="00523153"/>
    <w:rsid w:val="00523202"/>
    <w:rsid w:val="0052322B"/>
    <w:rsid w:val="005232B8"/>
    <w:rsid w:val="005233B2"/>
    <w:rsid w:val="00523530"/>
    <w:rsid w:val="005235C5"/>
    <w:rsid w:val="005235E0"/>
    <w:rsid w:val="005236F1"/>
    <w:rsid w:val="00523747"/>
    <w:rsid w:val="00523781"/>
    <w:rsid w:val="00523799"/>
    <w:rsid w:val="00523840"/>
    <w:rsid w:val="00523A64"/>
    <w:rsid w:val="00523AF6"/>
    <w:rsid w:val="00523B27"/>
    <w:rsid w:val="00523C91"/>
    <w:rsid w:val="00523CDB"/>
    <w:rsid w:val="00523D98"/>
    <w:rsid w:val="00523E17"/>
    <w:rsid w:val="00523E38"/>
    <w:rsid w:val="00523EB6"/>
    <w:rsid w:val="00523FD4"/>
    <w:rsid w:val="005241E7"/>
    <w:rsid w:val="00524473"/>
    <w:rsid w:val="00524567"/>
    <w:rsid w:val="0052456B"/>
    <w:rsid w:val="0052456C"/>
    <w:rsid w:val="005246C2"/>
    <w:rsid w:val="00524721"/>
    <w:rsid w:val="005247F9"/>
    <w:rsid w:val="0052481E"/>
    <w:rsid w:val="005248B8"/>
    <w:rsid w:val="00524910"/>
    <w:rsid w:val="005249B2"/>
    <w:rsid w:val="005249C3"/>
    <w:rsid w:val="00524A9B"/>
    <w:rsid w:val="00524AAD"/>
    <w:rsid w:val="00524AAF"/>
    <w:rsid w:val="00524C0D"/>
    <w:rsid w:val="00524D81"/>
    <w:rsid w:val="00524EA7"/>
    <w:rsid w:val="00524F45"/>
    <w:rsid w:val="00524FAD"/>
    <w:rsid w:val="0052501F"/>
    <w:rsid w:val="0052510B"/>
    <w:rsid w:val="00525136"/>
    <w:rsid w:val="0052554E"/>
    <w:rsid w:val="005255D8"/>
    <w:rsid w:val="0052563C"/>
    <w:rsid w:val="00525708"/>
    <w:rsid w:val="00525756"/>
    <w:rsid w:val="005257EE"/>
    <w:rsid w:val="00525819"/>
    <w:rsid w:val="00525848"/>
    <w:rsid w:val="0052587B"/>
    <w:rsid w:val="00525A15"/>
    <w:rsid w:val="00525A7A"/>
    <w:rsid w:val="00525B3E"/>
    <w:rsid w:val="00525BC5"/>
    <w:rsid w:val="00525CC0"/>
    <w:rsid w:val="00525D4E"/>
    <w:rsid w:val="00525D68"/>
    <w:rsid w:val="00525D8F"/>
    <w:rsid w:val="00525E13"/>
    <w:rsid w:val="00525EBA"/>
    <w:rsid w:val="0052607E"/>
    <w:rsid w:val="00526179"/>
    <w:rsid w:val="005261A3"/>
    <w:rsid w:val="00526203"/>
    <w:rsid w:val="00526238"/>
    <w:rsid w:val="00526266"/>
    <w:rsid w:val="0052636F"/>
    <w:rsid w:val="005263E1"/>
    <w:rsid w:val="005263E7"/>
    <w:rsid w:val="005263F7"/>
    <w:rsid w:val="005263FD"/>
    <w:rsid w:val="0052653E"/>
    <w:rsid w:val="005265B5"/>
    <w:rsid w:val="0052674F"/>
    <w:rsid w:val="00526756"/>
    <w:rsid w:val="0052697C"/>
    <w:rsid w:val="005269D4"/>
    <w:rsid w:val="00526B41"/>
    <w:rsid w:val="00526B5F"/>
    <w:rsid w:val="00526C1D"/>
    <w:rsid w:val="00526C85"/>
    <w:rsid w:val="00526C97"/>
    <w:rsid w:val="00526DB0"/>
    <w:rsid w:val="00526E13"/>
    <w:rsid w:val="00526EC2"/>
    <w:rsid w:val="00527009"/>
    <w:rsid w:val="005270A2"/>
    <w:rsid w:val="0052713C"/>
    <w:rsid w:val="00527243"/>
    <w:rsid w:val="005273A9"/>
    <w:rsid w:val="005273B1"/>
    <w:rsid w:val="005273C4"/>
    <w:rsid w:val="005273D4"/>
    <w:rsid w:val="005275F1"/>
    <w:rsid w:val="005277A0"/>
    <w:rsid w:val="005278BE"/>
    <w:rsid w:val="00527958"/>
    <w:rsid w:val="0052796E"/>
    <w:rsid w:val="00527A47"/>
    <w:rsid w:val="00527A64"/>
    <w:rsid w:val="00527C05"/>
    <w:rsid w:val="00527C22"/>
    <w:rsid w:val="00527C6E"/>
    <w:rsid w:val="00527EDB"/>
    <w:rsid w:val="00527F7B"/>
    <w:rsid w:val="0053007E"/>
    <w:rsid w:val="0053031D"/>
    <w:rsid w:val="0053037B"/>
    <w:rsid w:val="0053039E"/>
    <w:rsid w:val="005303A5"/>
    <w:rsid w:val="00530436"/>
    <w:rsid w:val="0053043B"/>
    <w:rsid w:val="00530548"/>
    <w:rsid w:val="0053058D"/>
    <w:rsid w:val="00530853"/>
    <w:rsid w:val="0053085A"/>
    <w:rsid w:val="00530885"/>
    <w:rsid w:val="00530900"/>
    <w:rsid w:val="00530980"/>
    <w:rsid w:val="005309AD"/>
    <w:rsid w:val="00530A15"/>
    <w:rsid w:val="00530BCB"/>
    <w:rsid w:val="00530EDF"/>
    <w:rsid w:val="005310C5"/>
    <w:rsid w:val="005310EA"/>
    <w:rsid w:val="00531150"/>
    <w:rsid w:val="00531300"/>
    <w:rsid w:val="0053130C"/>
    <w:rsid w:val="00531320"/>
    <w:rsid w:val="0053135B"/>
    <w:rsid w:val="00531364"/>
    <w:rsid w:val="00531405"/>
    <w:rsid w:val="00531453"/>
    <w:rsid w:val="00531486"/>
    <w:rsid w:val="005314FB"/>
    <w:rsid w:val="00531512"/>
    <w:rsid w:val="005315E2"/>
    <w:rsid w:val="005316F7"/>
    <w:rsid w:val="0053170B"/>
    <w:rsid w:val="0053176C"/>
    <w:rsid w:val="005317D3"/>
    <w:rsid w:val="00531984"/>
    <w:rsid w:val="005319B8"/>
    <w:rsid w:val="005319EA"/>
    <w:rsid w:val="00531A92"/>
    <w:rsid w:val="00531AFC"/>
    <w:rsid w:val="00531D75"/>
    <w:rsid w:val="00531E4D"/>
    <w:rsid w:val="00531E92"/>
    <w:rsid w:val="00531FB1"/>
    <w:rsid w:val="00531FCC"/>
    <w:rsid w:val="00532002"/>
    <w:rsid w:val="0053206D"/>
    <w:rsid w:val="00532136"/>
    <w:rsid w:val="0053218D"/>
    <w:rsid w:val="005321F6"/>
    <w:rsid w:val="005323E8"/>
    <w:rsid w:val="0053240E"/>
    <w:rsid w:val="00532427"/>
    <w:rsid w:val="0053249E"/>
    <w:rsid w:val="005326DA"/>
    <w:rsid w:val="005327A8"/>
    <w:rsid w:val="0053282B"/>
    <w:rsid w:val="005329C4"/>
    <w:rsid w:val="00532A73"/>
    <w:rsid w:val="00532AB8"/>
    <w:rsid w:val="00532B16"/>
    <w:rsid w:val="00532B2F"/>
    <w:rsid w:val="00532B59"/>
    <w:rsid w:val="00532BD2"/>
    <w:rsid w:val="00532C96"/>
    <w:rsid w:val="00532C9D"/>
    <w:rsid w:val="00532CFA"/>
    <w:rsid w:val="00532DF3"/>
    <w:rsid w:val="00532DFA"/>
    <w:rsid w:val="00532F38"/>
    <w:rsid w:val="00533094"/>
    <w:rsid w:val="0053317C"/>
    <w:rsid w:val="00533252"/>
    <w:rsid w:val="00533376"/>
    <w:rsid w:val="00533401"/>
    <w:rsid w:val="00533449"/>
    <w:rsid w:val="00533453"/>
    <w:rsid w:val="00533602"/>
    <w:rsid w:val="005336BA"/>
    <w:rsid w:val="0053377E"/>
    <w:rsid w:val="005338CC"/>
    <w:rsid w:val="005338D0"/>
    <w:rsid w:val="00533A1A"/>
    <w:rsid w:val="00533C1F"/>
    <w:rsid w:val="00533CCE"/>
    <w:rsid w:val="00533D55"/>
    <w:rsid w:val="00533DA0"/>
    <w:rsid w:val="00533F92"/>
    <w:rsid w:val="00533FCA"/>
    <w:rsid w:val="00533FE5"/>
    <w:rsid w:val="00534030"/>
    <w:rsid w:val="00534071"/>
    <w:rsid w:val="005340F7"/>
    <w:rsid w:val="005341D2"/>
    <w:rsid w:val="00534284"/>
    <w:rsid w:val="00534296"/>
    <w:rsid w:val="005342D7"/>
    <w:rsid w:val="00534460"/>
    <w:rsid w:val="005344C4"/>
    <w:rsid w:val="00534513"/>
    <w:rsid w:val="00534614"/>
    <w:rsid w:val="0053466F"/>
    <w:rsid w:val="0053467E"/>
    <w:rsid w:val="005346EF"/>
    <w:rsid w:val="005349C0"/>
    <w:rsid w:val="00534A4B"/>
    <w:rsid w:val="00534C4F"/>
    <w:rsid w:val="00534C93"/>
    <w:rsid w:val="00534D57"/>
    <w:rsid w:val="00534D74"/>
    <w:rsid w:val="00534DBD"/>
    <w:rsid w:val="00534F01"/>
    <w:rsid w:val="00534F61"/>
    <w:rsid w:val="0053505F"/>
    <w:rsid w:val="0053508B"/>
    <w:rsid w:val="005350A8"/>
    <w:rsid w:val="00535151"/>
    <w:rsid w:val="00535292"/>
    <w:rsid w:val="00535345"/>
    <w:rsid w:val="005353E3"/>
    <w:rsid w:val="0053540E"/>
    <w:rsid w:val="00535501"/>
    <w:rsid w:val="00535568"/>
    <w:rsid w:val="0053556E"/>
    <w:rsid w:val="00535ABA"/>
    <w:rsid w:val="00535ACF"/>
    <w:rsid w:val="00535B26"/>
    <w:rsid w:val="00535BE3"/>
    <w:rsid w:val="00535C0C"/>
    <w:rsid w:val="00535C25"/>
    <w:rsid w:val="00535CF0"/>
    <w:rsid w:val="00535D23"/>
    <w:rsid w:val="00535D2A"/>
    <w:rsid w:val="00535D64"/>
    <w:rsid w:val="00535D6D"/>
    <w:rsid w:val="00535DBE"/>
    <w:rsid w:val="00535DE3"/>
    <w:rsid w:val="00535E1A"/>
    <w:rsid w:val="00535E6A"/>
    <w:rsid w:val="00535F59"/>
    <w:rsid w:val="00535F6D"/>
    <w:rsid w:val="00535F76"/>
    <w:rsid w:val="0053612E"/>
    <w:rsid w:val="00536173"/>
    <w:rsid w:val="005361B6"/>
    <w:rsid w:val="005361B7"/>
    <w:rsid w:val="00536258"/>
    <w:rsid w:val="00536402"/>
    <w:rsid w:val="0053655C"/>
    <w:rsid w:val="0053664C"/>
    <w:rsid w:val="00536710"/>
    <w:rsid w:val="00536763"/>
    <w:rsid w:val="005367A3"/>
    <w:rsid w:val="005367C1"/>
    <w:rsid w:val="00536B17"/>
    <w:rsid w:val="00536B77"/>
    <w:rsid w:val="00536C1F"/>
    <w:rsid w:val="00536C86"/>
    <w:rsid w:val="00536D16"/>
    <w:rsid w:val="00536D4C"/>
    <w:rsid w:val="00536D67"/>
    <w:rsid w:val="00536D89"/>
    <w:rsid w:val="00536DEE"/>
    <w:rsid w:val="00536E62"/>
    <w:rsid w:val="00536EDE"/>
    <w:rsid w:val="00536F34"/>
    <w:rsid w:val="00537078"/>
    <w:rsid w:val="005370D5"/>
    <w:rsid w:val="0053719D"/>
    <w:rsid w:val="005372AC"/>
    <w:rsid w:val="005372BB"/>
    <w:rsid w:val="005372C8"/>
    <w:rsid w:val="005372E9"/>
    <w:rsid w:val="0053730F"/>
    <w:rsid w:val="00537333"/>
    <w:rsid w:val="00537449"/>
    <w:rsid w:val="00537572"/>
    <w:rsid w:val="005375E9"/>
    <w:rsid w:val="005375FD"/>
    <w:rsid w:val="00537647"/>
    <w:rsid w:val="005376B6"/>
    <w:rsid w:val="005376FA"/>
    <w:rsid w:val="005376FD"/>
    <w:rsid w:val="00537786"/>
    <w:rsid w:val="005378A8"/>
    <w:rsid w:val="00537935"/>
    <w:rsid w:val="0053796E"/>
    <w:rsid w:val="00537975"/>
    <w:rsid w:val="00537C5A"/>
    <w:rsid w:val="00537C8A"/>
    <w:rsid w:val="00537FAD"/>
    <w:rsid w:val="00537FE3"/>
    <w:rsid w:val="00540127"/>
    <w:rsid w:val="005401E1"/>
    <w:rsid w:val="00540287"/>
    <w:rsid w:val="0054033D"/>
    <w:rsid w:val="00540360"/>
    <w:rsid w:val="005404C6"/>
    <w:rsid w:val="00540574"/>
    <w:rsid w:val="00540592"/>
    <w:rsid w:val="0054066F"/>
    <w:rsid w:val="0054084B"/>
    <w:rsid w:val="00540887"/>
    <w:rsid w:val="00540988"/>
    <w:rsid w:val="00540989"/>
    <w:rsid w:val="00540ABB"/>
    <w:rsid w:val="00540AD7"/>
    <w:rsid w:val="00540B8E"/>
    <w:rsid w:val="00540D88"/>
    <w:rsid w:val="00540DDC"/>
    <w:rsid w:val="00540EAD"/>
    <w:rsid w:val="00540FC5"/>
    <w:rsid w:val="00541157"/>
    <w:rsid w:val="00541180"/>
    <w:rsid w:val="0054119E"/>
    <w:rsid w:val="005411A9"/>
    <w:rsid w:val="00541221"/>
    <w:rsid w:val="0054138D"/>
    <w:rsid w:val="005413E4"/>
    <w:rsid w:val="005414F1"/>
    <w:rsid w:val="00541610"/>
    <w:rsid w:val="0054167A"/>
    <w:rsid w:val="005416AF"/>
    <w:rsid w:val="00541956"/>
    <w:rsid w:val="005419E1"/>
    <w:rsid w:val="00541B26"/>
    <w:rsid w:val="00541B67"/>
    <w:rsid w:val="00541BA9"/>
    <w:rsid w:val="00541BAF"/>
    <w:rsid w:val="00541CF8"/>
    <w:rsid w:val="00541D22"/>
    <w:rsid w:val="00541E01"/>
    <w:rsid w:val="00541EB6"/>
    <w:rsid w:val="00541F21"/>
    <w:rsid w:val="00541F33"/>
    <w:rsid w:val="00541FF1"/>
    <w:rsid w:val="0054214E"/>
    <w:rsid w:val="0054221D"/>
    <w:rsid w:val="00542365"/>
    <w:rsid w:val="00542388"/>
    <w:rsid w:val="005423F6"/>
    <w:rsid w:val="005425A6"/>
    <w:rsid w:val="005425B9"/>
    <w:rsid w:val="005425F8"/>
    <w:rsid w:val="005426B7"/>
    <w:rsid w:val="00542760"/>
    <w:rsid w:val="00542834"/>
    <w:rsid w:val="00542884"/>
    <w:rsid w:val="005429C5"/>
    <w:rsid w:val="005429F9"/>
    <w:rsid w:val="00542B27"/>
    <w:rsid w:val="00542BAD"/>
    <w:rsid w:val="00542BCC"/>
    <w:rsid w:val="00542C03"/>
    <w:rsid w:val="00542C8D"/>
    <w:rsid w:val="00542C91"/>
    <w:rsid w:val="00542CE4"/>
    <w:rsid w:val="00542D4D"/>
    <w:rsid w:val="00542D8E"/>
    <w:rsid w:val="00542E17"/>
    <w:rsid w:val="00542E21"/>
    <w:rsid w:val="00542E75"/>
    <w:rsid w:val="00542F8D"/>
    <w:rsid w:val="00542FBA"/>
    <w:rsid w:val="00543027"/>
    <w:rsid w:val="00543089"/>
    <w:rsid w:val="005430B2"/>
    <w:rsid w:val="005430C9"/>
    <w:rsid w:val="005430E7"/>
    <w:rsid w:val="0054316E"/>
    <w:rsid w:val="00543201"/>
    <w:rsid w:val="00543304"/>
    <w:rsid w:val="00543380"/>
    <w:rsid w:val="005433F6"/>
    <w:rsid w:val="0054340C"/>
    <w:rsid w:val="0054354A"/>
    <w:rsid w:val="005435E9"/>
    <w:rsid w:val="00543755"/>
    <w:rsid w:val="005437CE"/>
    <w:rsid w:val="005437D2"/>
    <w:rsid w:val="0054383A"/>
    <w:rsid w:val="00543862"/>
    <w:rsid w:val="0054393C"/>
    <w:rsid w:val="00543A8F"/>
    <w:rsid w:val="00543AA5"/>
    <w:rsid w:val="00543AC3"/>
    <w:rsid w:val="00543B14"/>
    <w:rsid w:val="00543B75"/>
    <w:rsid w:val="00543BD1"/>
    <w:rsid w:val="00543C95"/>
    <w:rsid w:val="00543E21"/>
    <w:rsid w:val="00543FC3"/>
    <w:rsid w:val="0054409A"/>
    <w:rsid w:val="00544179"/>
    <w:rsid w:val="00544224"/>
    <w:rsid w:val="0054424A"/>
    <w:rsid w:val="00544283"/>
    <w:rsid w:val="005442C6"/>
    <w:rsid w:val="005445E7"/>
    <w:rsid w:val="005445FA"/>
    <w:rsid w:val="0054471E"/>
    <w:rsid w:val="00544843"/>
    <w:rsid w:val="0054487F"/>
    <w:rsid w:val="0054490D"/>
    <w:rsid w:val="005449DA"/>
    <w:rsid w:val="00544AD5"/>
    <w:rsid w:val="00544B11"/>
    <w:rsid w:val="00544B1E"/>
    <w:rsid w:val="00544B6A"/>
    <w:rsid w:val="00544C30"/>
    <w:rsid w:val="00544CF5"/>
    <w:rsid w:val="00544D4B"/>
    <w:rsid w:val="00544E8A"/>
    <w:rsid w:val="00544F36"/>
    <w:rsid w:val="00544F55"/>
    <w:rsid w:val="005450B6"/>
    <w:rsid w:val="0054526C"/>
    <w:rsid w:val="00545337"/>
    <w:rsid w:val="00545373"/>
    <w:rsid w:val="0054537B"/>
    <w:rsid w:val="005453D5"/>
    <w:rsid w:val="005454E1"/>
    <w:rsid w:val="005457CB"/>
    <w:rsid w:val="005458A0"/>
    <w:rsid w:val="005458B6"/>
    <w:rsid w:val="0054596A"/>
    <w:rsid w:val="00545A08"/>
    <w:rsid w:val="00545BB7"/>
    <w:rsid w:val="00545C13"/>
    <w:rsid w:val="00545C98"/>
    <w:rsid w:val="00545EA6"/>
    <w:rsid w:val="00545F0B"/>
    <w:rsid w:val="00546004"/>
    <w:rsid w:val="00546275"/>
    <w:rsid w:val="005462B3"/>
    <w:rsid w:val="005462F4"/>
    <w:rsid w:val="0054630B"/>
    <w:rsid w:val="00546436"/>
    <w:rsid w:val="0054643E"/>
    <w:rsid w:val="005464CB"/>
    <w:rsid w:val="0054653E"/>
    <w:rsid w:val="005465B3"/>
    <w:rsid w:val="005465F1"/>
    <w:rsid w:val="005465FC"/>
    <w:rsid w:val="005466ED"/>
    <w:rsid w:val="00546873"/>
    <w:rsid w:val="00546876"/>
    <w:rsid w:val="00546B1F"/>
    <w:rsid w:val="00546B83"/>
    <w:rsid w:val="00546BC1"/>
    <w:rsid w:val="00546BEB"/>
    <w:rsid w:val="00546C5C"/>
    <w:rsid w:val="00546EBD"/>
    <w:rsid w:val="00546F1D"/>
    <w:rsid w:val="00546F24"/>
    <w:rsid w:val="00547008"/>
    <w:rsid w:val="00547035"/>
    <w:rsid w:val="00547241"/>
    <w:rsid w:val="0054728F"/>
    <w:rsid w:val="005472B2"/>
    <w:rsid w:val="0054748B"/>
    <w:rsid w:val="005474C7"/>
    <w:rsid w:val="0054757B"/>
    <w:rsid w:val="00547619"/>
    <w:rsid w:val="005476DD"/>
    <w:rsid w:val="005477A1"/>
    <w:rsid w:val="00547817"/>
    <w:rsid w:val="0054787A"/>
    <w:rsid w:val="00547A9B"/>
    <w:rsid w:val="00547B96"/>
    <w:rsid w:val="00547BF3"/>
    <w:rsid w:val="00547CA2"/>
    <w:rsid w:val="00547DBA"/>
    <w:rsid w:val="00547E92"/>
    <w:rsid w:val="00547EF5"/>
    <w:rsid w:val="00547F22"/>
    <w:rsid w:val="00547F43"/>
    <w:rsid w:val="00547F71"/>
    <w:rsid w:val="00547FB6"/>
    <w:rsid w:val="00547FD5"/>
    <w:rsid w:val="00547FFC"/>
    <w:rsid w:val="00550109"/>
    <w:rsid w:val="0055018B"/>
    <w:rsid w:val="005502A1"/>
    <w:rsid w:val="005502C8"/>
    <w:rsid w:val="00550334"/>
    <w:rsid w:val="005503DB"/>
    <w:rsid w:val="00550535"/>
    <w:rsid w:val="00550718"/>
    <w:rsid w:val="005507AB"/>
    <w:rsid w:val="005507E1"/>
    <w:rsid w:val="0055081E"/>
    <w:rsid w:val="00550906"/>
    <w:rsid w:val="00550A2D"/>
    <w:rsid w:val="00550A6B"/>
    <w:rsid w:val="00550AA0"/>
    <w:rsid w:val="00550AF8"/>
    <w:rsid w:val="00550B16"/>
    <w:rsid w:val="00550B75"/>
    <w:rsid w:val="00550BD2"/>
    <w:rsid w:val="00550C53"/>
    <w:rsid w:val="00550C61"/>
    <w:rsid w:val="00550C8B"/>
    <w:rsid w:val="00550CDA"/>
    <w:rsid w:val="00550EE6"/>
    <w:rsid w:val="00550F39"/>
    <w:rsid w:val="00550FBB"/>
    <w:rsid w:val="00550FFB"/>
    <w:rsid w:val="0055105E"/>
    <w:rsid w:val="005510A7"/>
    <w:rsid w:val="005510CC"/>
    <w:rsid w:val="00551130"/>
    <w:rsid w:val="005511E8"/>
    <w:rsid w:val="005511FD"/>
    <w:rsid w:val="00551296"/>
    <w:rsid w:val="005512D4"/>
    <w:rsid w:val="005513B5"/>
    <w:rsid w:val="0055147A"/>
    <w:rsid w:val="005514A7"/>
    <w:rsid w:val="00551523"/>
    <w:rsid w:val="005515A2"/>
    <w:rsid w:val="005515D8"/>
    <w:rsid w:val="005515ED"/>
    <w:rsid w:val="0055170D"/>
    <w:rsid w:val="0055170E"/>
    <w:rsid w:val="00551A5C"/>
    <w:rsid w:val="00551A89"/>
    <w:rsid w:val="00551AFD"/>
    <w:rsid w:val="00551B28"/>
    <w:rsid w:val="00551BF7"/>
    <w:rsid w:val="00551C83"/>
    <w:rsid w:val="00551CA0"/>
    <w:rsid w:val="00551CC4"/>
    <w:rsid w:val="00551CD7"/>
    <w:rsid w:val="00551D64"/>
    <w:rsid w:val="00551DD1"/>
    <w:rsid w:val="00551E09"/>
    <w:rsid w:val="00551E0D"/>
    <w:rsid w:val="00551E97"/>
    <w:rsid w:val="00551FB0"/>
    <w:rsid w:val="00551FB7"/>
    <w:rsid w:val="00551FC8"/>
    <w:rsid w:val="0055206C"/>
    <w:rsid w:val="0055207D"/>
    <w:rsid w:val="005520EF"/>
    <w:rsid w:val="005521FA"/>
    <w:rsid w:val="00552267"/>
    <w:rsid w:val="0055226B"/>
    <w:rsid w:val="005523E3"/>
    <w:rsid w:val="0055249A"/>
    <w:rsid w:val="0055266C"/>
    <w:rsid w:val="0055266F"/>
    <w:rsid w:val="00552843"/>
    <w:rsid w:val="00552895"/>
    <w:rsid w:val="005529E2"/>
    <w:rsid w:val="00552AD2"/>
    <w:rsid w:val="00552B6E"/>
    <w:rsid w:val="00552BE3"/>
    <w:rsid w:val="00552BF5"/>
    <w:rsid w:val="00552C71"/>
    <w:rsid w:val="00552CF1"/>
    <w:rsid w:val="00552E49"/>
    <w:rsid w:val="00552E60"/>
    <w:rsid w:val="00552E96"/>
    <w:rsid w:val="00553044"/>
    <w:rsid w:val="00553082"/>
    <w:rsid w:val="00553256"/>
    <w:rsid w:val="005532A5"/>
    <w:rsid w:val="005532DB"/>
    <w:rsid w:val="0055350A"/>
    <w:rsid w:val="00553547"/>
    <w:rsid w:val="00553560"/>
    <w:rsid w:val="005535F2"/>
    <w:rsid w:val="005538C3"/>
    <w:rsid w:val="005538FC"/>
    <w:rsid w:val="00553912"/>
    <w:rsid w:val="0055391A"/>
    <w:rsid w:val="005539CB"/>
    <w:rsid w:val="005539E6"/>
    <w:rsid w:val="00553ADA"/>
    <w:rsid w:val="00553B3A"/>
    <w:rsid w:val="00553C0A"/>
    <w:rsid w:val="00553D18"/>
    <w:rsid w:val="00553D76"/>
    <w:rsid w:val="00553E6F"/>
    <w:rsid w:val="00553EB1"/>
    <w:rsid w:val="00553F24"/>
    <w:rsid w:val="00553FD1"/>
    <w:rsid w:val="0055411E"/>
    <w:rsid w:val="005541D4"/>
    <w:rsid w:val="005541FA"/>
    <w:rsid w:val="005542D6"/>
    <w:rsid w:val="005543F4"/>
    <w:rsid w:val="00554450"/>
    <w:rsid w:val="005544B7"/>
    <w:rsid w:val="005544C5"/>
    <w:rsid w:val="005546EC"/>
    <w:rsid w:val="005547BC"/>
    <w:rsid w:val="00554881"/>
    <w:rsid w:val="005548AA"/>
    <w:rsid w:val="00554A0E"/>
    <w:rsid w:val="00554A49"/>
    <w:rsid w:val="00554AD5"/>
    <w:rsid w:val="00554B75"/>
    <w:rsid w:val="00554BF0"/>
    <w:rsid w:val="00554C5F"/>
    <w:rsid w:val="00554D55"/>
    <w:rsid w:val="00554E8C"/>
    <w:rsid w:val="00554F16"/>
    <w:rsid w:val="00554F2C"/>
    <w:rsid w:val="00554FB7"/>
    <w:rsid w:val="00555057"/>
    <w:rsid w:val="00555058"/>
    <w:rsid w:val="00555320"/>
    <w:rsid w:val="00555558"/>
    <w:rsid w:val="005555DC"/>
    <w:rsid w:val="00555683"/>
    <w:rsid w:val="005556EB"/>
    <w:rsid w:val="005557AE"/>
    <w:rsid w:val="005557B3"/>
    <w:rsid w:val="005557CD"/>
    <w:rsid w:val="0055584F"/>
    <w:rsid w:val="005558CB"/>
    <w:rsid w:val="00555913"/>
    <w:rsid w:val="00555955"/>
    <w:rsid w:val="00555A08"/>
    <w:rsid w:val="00555A7E"/>
    <w:rsid w:val="00555B2F"/>
    <w:rsid w:val="00555C02"/>
    <w:rsid w:val="00555C5E"/>
    <w:rsid w:val="00555DAC"/>
    <w:rsid w:val="00555E4A"/>
    <w:rsid w:val="00556126"/>
    <w:rsid w:val="005561A5"/>
    <w:rsid w:val="00556249"/>
    <w:rsid w:val="005562F1"/>
    <w:rsid w:val="005562F8"/>
    <w:rsid w:val="005563DF"/>
    <w:rsid w:val="005564BA"/>
    <w:rsid w:val="00556552"/>
    <w:rsid w:val="00556572"/>
    <w:rsid w:val="00556609"/>
    <w:rsid w:val="005566C0"/>
    <w:rsid w:val="00556708"/>
    <w:rsid w:val="00556714"/>
    <w:rsid w:val="00556799"/>
    <w:rsid w:val="00556941"/>
    <w:rsid w:val="00556B58"/>
    <w:rsid w:val="00556BE1"/>
    <w:rsid w:val="00556DAA"/>
    <w:rsid w:val="00556DCB"/>
    <w:rsid w:val="00556E26"/>
    <w:rsid w:val="00556EC3"/>
    <w:rsid w:val="00556F7B"/>
    <w:rsid w:val="00556FC8"/>
    <w:rsid w:val="00557017"/>
    <w:rsid w:val="005570BC"/>
    <w:rsid w:val="005570CD"/>
    <w:rsid w:val="0055717B"/>
    <w:rsid w:val="0055721F"/>
    <w:rsid w:val="0055728A"/>
    <w:rsid w:val="005572D4"/>
    <w:rsid w:val="0055740D"/>
    <w:rsid w:val="0055740E"/>
    <w:rsid w:val="00557517"/>
    <w:rsid w:val="0055756B"/>
    <w:rsid w:val="0055760C"/>
    <w:rsid w:val="005576B7"/>
    <w:rsid w:val="005577FC"/>
    <w:rsid w:val="00557848"/>
    <w:rsid w:val="005578CE"/>
    <w:rsid w:val="00557A6B"/>
    <w:rsid w:val="00557B39"/>
    <w:rsid w:val="00557B5C"/>
    <w:rsid w:val="00557B69"/>
    <w:rsid w:val="00557E03"/>
    <w:rsid w:val="00557E2D"/>
    <w:rsid w:val="00557EEE"/>
    <w:rsid w:val="00557F3C"/>
    <w:rsid w:val="00557F7E"/>
    <w:rsid w:val="005600B6"/>
    <w:rsid w:val="005601FC"/>
    <w:rsid w:val="0056024D"/>
    <w:rsid w:val="005603AE"/>
    <w:rsid w:val="0056044A"/>
    <w:rsid w:val="005604F2"/>
    <w:rsid w:val="005604FD"/>
    <w:rsid w:val="005606A6"/>
    <w:rsid w:val="005606F6"/>
    <w:rsid w:val="005609D9"/>
    <w:rsid w:val="00560A9A"/>
    <w:rsid w:val="00560BA7"/>
    <w:rsid w:val="00560F1B"/>
    <w:rsid w:val="00560F70"/>
    <w:rsid w:val="00560F92"/>
    <w:rsid w:val="00561048"/>
    <w:rsid w:val="00561232"/>
    <w:rsid w:val="00561271"/>
    <w:rsid w:val="00561275"/>
    <w:rsid w:val="00561326"/>
    <w:rsid w:val="005613AC"/>
    <w:rsid w:val="0056140E"/>
    <w:rsid w:val="00561509"/>
    <w:rsid w:val="0056155F"/>
    <w:rsid w:val="005617A4"/>
    <w:rsid w:val="005617F9"/>
    <w:rsid w:val="005618F5"/>
    <w:rsid w:val="00561901"/>
    <w:rsid w:val="00561A97"/>
    <w:rsid w:val="00561B7E"/>
    <w:rsid w:val="00561B94"/>
    <w:rsid w:val="00561B9C"/>
    <w:rsid w:val="00561BA7"/>
    <w:rsid w:val="00561CBA"/>
    <w:rsid w:val="00561F0E"/>
    <w:rsid w:val="0056204A"/>
    <w:rsid w:val="005620BC"/>
    <w:rsid w:val="005625C0"/>
    <w:rsid w:val="0056261A"/>
    <w:rsid w:val="00562661"/>
    <w:rsid w:val="005626FB"/>
    <w:rsid w:val="005627F8"/>
    <w:rsid w:val="00562825"/>
    <w:rsid w:val="005629CE"/>
    <w:rsid w:val="00562ABB"/>
    <w:rsid w:val="00562C14"/>
    <w:rsid w:val="00562C24"/>
    <w:rsid w:val="00562E31"/>
    <w:rsid w:val="00562E5B"/>
    <w:rsid w:val="00562F7F"/>
    <w:rsid w:val="00562FA7"/>
    <w:rsid w:val="00562FBB"/>
    <w:rsid w:val="005630A6"/>
    <w:rsid w:val="005630E6"/>
    <w:rsid w:val="0056317D"/>
    <w:rsid w:val="005631DA"/>
    <w:rsid w:val="0056320E"/>
    <w:rsid w:val="0056322E"/>
    <w:rsid w:val="0056332F"/>
    <w:rsid w:val="005633BD"/>
    <w:rsid w:val="0056340D"/>
    <w:rsid w:val="00563417"/>
    <w:rsid w:val="005634C5"/>
    <w:rsid w:val="0056360A"/>
    <w:rsid w:val="0056368E"/>
    <w:rsid w:val="0056368F"/>
    <w:rsid w:val="00563838"/>
    <w:rsid w:val="005638DF"/>
    <w:rsid w:val="00563962"/>
    <w:rsid w:val="00563967"/>
    <w:rsid w:val="005639E2"/>
    <w:rsid w:val="00563ADF"/>
    <w:rsid w:val="00563BF3"/>
    <w:rsid w:val="00563C1D"/>
    <w:rsid w:val="00563DAC"/>
    <w:rsid w:val="00563E82"/>
    <w:rsid w:val="00563FC9"/>
    <w:rsid w:val="005641F7"/>
    <w:rsid w:val="005642D7"/>
    <w:rsid w:val="0056431B"/>
    <w:rsid w:val="0056435D"/>
    <w:rsid w:val="00564549"/>
    <w:rsid w:val="00564568"/>
    <w:rsid w:val="005645D8"/>
    <w:rsid w:val="005645E7"/>
    <w:rsid w:val="0056463F"/>
    <w:rsid w:val="00564660"/>
    <w:rsid w:val="005648AA"/>
    <w:rsid w:val="00564970"/>
    <w:rsid w:val="00564B50"/>
    <w:rsid w:val="00564B7C"/>
    <w:rsid w:val="00564C89"/>
    <w:rsid w:val="00564F27"/>
    <w:rsid w:val="00565172"/>
    <w:rsid w:val="005651B6"/>
    <w:rsid w:val="005652C7"/>
    <w:rsid w:val="005653AF"/>
    <w:rsid w:val="00565477"/>
    <w:rsid w:val="0056554B"/>
    <w:rsid w:val="00565655"/>
    <w:rsid w:val="00565679"/>
    <w:rsid w:val="0056573B"/>
    <w:rsid w:val="00565798"/>
    <w:rsid w:val="00565803"/>
    <w:rsid w:val="00565829"/>
    <w:rsid w:val="0056583D"/>
    <w:rsid w:val="005658F9"/>
    <w:rsid w:val="00565A46"/>
    <w:rsid w:val="00565D7C"/>
    <w:rsid w:val="00565D9C"/>
    <w:rsid w:val="00565DA5"/>
    <w:rsid w:val="00565E06"/>
    <w:rsid w:val="00565E86"/>
    <w:rsid w:val="0056607A"/>
    <w:rsid w:val="00566089"/>
    <w:rsid w:val="0056618F"/>
    <w:rsid w:val="0056640F"/>
    <w:rsid w:val="0056646B"/>
    <w:rsid w:val="0056647E"/>
    <w:rsid w:val="00566493"/>
    <w:rsid w:val="005664C5"/>
    <w:rsid w:val="00566516"/>
    <w:rsid w:val="0056653E"/>
    <w:rsid w:val="00566780"/>
    <w:rsid w:val="005667C8"/>
    <w:rsid w:val="005668B7"/>
    <w:rsid w:val="00566A66"/>
    <w:rsid w:val="00566A8E"/>
    <w:rsid w:val="00566B27"/>
    <w:rsid w:val="00566B40"/>
    <w:rsid w:val="00566B5B"/>
    <w:rsid w:val="00566CAD"/>
    <w:rsid w:val="00566CF7"/>
    <w:rsid w:val="00566D38"/>
    <w:rsid w:val="00566E16"/>
    <w:rsid w:val="00566F3C"/>
    <w:rsid w:val="00566F6D"/>
    <w:rsid w:val="00566FC0"/>
    <w:rsid w:val="00567028"/>
    <w:rsid w:val="005670BC"/>
    <w:rsid w:val="00567116"/>
    <w:rsid w:val="0056711A"/>
    <w:rsid w:val="0056723C"/>
    <w:rsid w:val="00567314"/>
    <w:rsid w:val="005674BF"/>
    <w:rsid w:val="00567520"/>
    <w:rsid w:val="0056762C"/>
    <w:rsid w:val="005676BF"/>
    <w:rsid w:val="00567779"/>
    <w:rsid w:val="00567814"/>
    <w:rsid w:val="00567880"/>
    <w:rsid w:val="005679D1"/>
    <w:rsid w:val="00567B6F"/>
    <w:rsid w:val="00567C2F"/>
    <w:rsid w:val="00567CA5"/>
    <w:rsid w:val="00567D79"/>
    <w:rsid w:val="00567E81"/>
    <w:rsid w:val="00567F1F"/>
    <w:rsid w:val="00567F3B"/>
    <w:rsid w:val="00567F86"/>
    <w:rsid w:val="00567FA5"/>
    <w:rsid w:val="00567FBE"/>
    <w:rsid w:val="00567FF3"/>
    <w:rsid w:val="0057029A"/>
    <w:rsid w:val="00570364"/>
    <w:rsid w:val="00570406"/>
    <w:rsid w:val="005704F8"/>
    <w:rsid w:val="0057051F"/>
    <w:rsid w:val="00570576"/>
    <w:rsid w:val="005707D6"/>
    <w:rsid w:val="00570917"/>
    <w:rsid w:val="00570953"/>
    <w:rsid w:val="005709D4"/>
    <w:rsid w:val="00570B4C"/>
    <w:rsid w:val="00570BA0"/>
    <w:rsid w:val="00570CAC"/>
    <w:rsid w:val="00570D82"/>
    <w:rsid w:val="00570E4A"/>
    <w:rsid w:val="00570E5C"/>
    <w:rsid w:val="00570EF0"/>
    <w:rsid w:val="00570F13"/>
    <w:rsid w:val="00570F2B"/>
    <w:rsid w:val="00570F57"/>
    <w:rsid w:val="00570F5C"/>
    <w:rsid w:val="00570F9A"/>
    <w:rsid w:val="00570FE4"/>
    <w:rsid w:val="00571015"/>
    <w:rsid w:val="005710E3"/>
    <w:rsid w:val="00571145"/>
    <w:rsid w:val="005711EC"/>
    <w:rsid w:val="00571432"/>
    <w:rsid w:val="00571622"/>
    <w:rsid w:val="00571732"/>
    <w:rsid w:val="00571799"/>
    <w:rsid w:val="005717D1"/>
    <w:rsid w:val="00571816"/>
    <w:rsid w:val="00571AC0"/>
    <w:rsid w:val="00571AE1"/>
    <w:rsid w:val="00571B07"/>
    <w:rsid w:val="00571B1A"/>
    <w:rsid w:val="00571CFD"/>
    <w:rsid w:val="00571D4D"/>
    <w:rsid w:val="00571DB9"/>
    <w:rsid w:val="00571DD4"/>
    <w:rsid w:val="00571DEC"/>
    <w:rsid w:val="00571DFA"/>
    <w:rsid w:val="00571EB0"/>
    <w:rsid w:val="00571ED8"/>
    <w:rsid w:val="00571F55"/>
    <w:rsid w:val="00571F91"/>
    <w:rsid w:val="00571FE8"/>
    <w:rsid w:val="00572007"/>
    <w:rsid w:val="0057201B"/>
    <w:rsid w:val="00572160"/>
    <w:rsid w:val="005721E1"/>
    <w:rsid w:val="005722E0"/>
    <w:rsid w:val="0057234C"/>
    <w:rsid w:val="0057251D"/>
    <w:rsid w:val="005725ED"/>
    <w:rsid w:val="0057278C"/>
    <w:rsid w:val="00572839"/>
    <w:rsid w:val="00572AD8"/>
    <w:rsid w:val="00572AE0"/>
    <w:rsid w:val="00572AEC"/>
    <w:rsid w:val="00572B62"/>
    <w:rsid w:val="00572B70"/>
    <w:rsid w:val="00572B76"/>
    <w:rsid w:val="00572BBF"/>
    <w:rsid w:val="00572BD5"/>
    <w:rsid w:val="00572C00"/>
    <w:rsid w:val="00572D6C"/>
    <w:rsid w:val="00572D83"/>
    <w:rsid w:val="00572E45"/>
    <w:rsid w:val="00572E73"/>
    <w:rsid w:val="00572ECD"/>
    <w:rsid w:val="00572F71"/>
    <w:rsid w:val="00572FB8"/>
    <w:rsid w:val="005731EA"/>
    <w:rsid w:val="005731F1"/>
    <w:rsid w:val="005735D3"/>
    <w:rsid w:val="0057366A"/>
    <w:rsid w:val="00573679"/>
    <w:rsid w:val="005736CB"/>
    <w:rsid w:val="005736F9"/>
    <w:rsid w:val="00573855"/>
    <w:rsid w:val="00573859"/>
    <w:rsid w:val="00573894"/>
    <w:rsid w:val="00573999"/>
    <w:rsid w:val="005739D4"/>
    <w:rsid w:val="00573A9D"/>
    <w:rsid w:val="00573AAB"/>
    <w:rsid w:val="00573AF7"/>
    <w:rsid w:val="00573B43"/>
    <w:rsid w:val="00573B91"/>
    <w:rsid w:val="00573D29"/>
    <w:rsid w:val="00573D74"/>
    <w:rsid w:val="00573E10"/>
    <w:rsid w:val="00573EA5"/>
    <w:rsid w:val="00573EC2"/>
    <w:rsid w:val="00573F8B"/>
    <w:rsid w:val="00573FAB"/>
    <w:rsid w:val="00573FDF"/>
    <w:rsid w:val="0057403F"/>
    <w:rsid w:val="005741B4"/>
    <w:rsid w:val="00574220"/>
    <w:rsid w:val="0057429D"/>
    <w:rsid w:val="005742F0"/>
    <w:rsid w:val="0057434C"/>
    <w:rsid w:val="00574498"/>
    <w:rsid w:val="005744C8"/>
    <w:rsid w:val="0057453D"/>
    <w:rsid w:val="00574549"/>
    <w:rsid w:val="005745B6"/>
    <w:rsid w:val="005746E2"/>
    <w:rsid w:val="0057474D"/>
    <w:rsid w:val="005747A8"/>
    <w:rsid w:val="005747B0"/>
    <w:rsid w:val="005747B6"/>
    <w:rsid w:val="005747D2"/>
    <w:rsid w:val="00574893"/>
    <w:rsid w:val="00574A71"/>
    <w:rsid w:val="00574A84"/>
    <w:rsid w:val="00574ABA"/>
    <w:rsid w:val="00574B6C"/>
    <w:rsid w:val="00574C6A"/>
    <w:rsid w:val="00574C95"/>
    <w:rsid w:val="00574CBC"/>
    <w:rsid w:val="00574DB0"/>
    <w:rsid w:val="00574E0F"/>
    <w:rsid w:val="00574E7B"/>
    <w:rsid w:val="00574E92"/>
    <w:rsid w:val="00574ECE"/>
    <w:rsid w:val="00574FB2"/>
    <w:rsid w:val="005750DD"/>
    <w:rsid w:val="005754C6"/>
    <w:rsid w:val="005754CA"/>
    <w:rsid w:val="005754F9"/>
    <w:rsid w:val="0057559A"/>
    <w:rsid w:val="0057573E"/>
    <w:rsid w:val="005757A1"/>
    <w:rsid w:val="005758EC"/>
    <w:rsid w:val="00575A9A"/>
    <w:rsid w:val="00575AC4"/>
    <w:rsid w:val="00575B7D"/>
    <w:rsid w:val="00575BB7"/>
    <w:rsid w:val="00575EFD"/>
    <w:rsid w:val="00575F25"/>
    <w:rsid w:val="0057601A"/>
    <w:rsid w:val="00576077"/>
    <w:rsid w:val="0057644E"/>
    <w:rsid w:val="005765B8"/>
    <w:rsid w:val="005766D3"/>
    <w:rsid w:val="005766F2"/>
    <w:rsid w:val="00576901"/>
    <w:rsid w:val="00576923"/>
    <w:rsid w:val="0057699C"/>
    <w:rsid w:val="00576A47"/>
    <w:rsid w:val="00576A4E"/>
    <w:rsid w:val="00576A58"/>
    <w:rsid w:val="00576A7F"/>
    <w:rsid w:val="00576AC4"/>
    <w:rsid w:val="00576AF7"/>
    <w:rsid w:val="00576CD0"/>
    <w:rsid w:val="00576D54"/>
    <w:rsid w:val="00576E91"/>
    <w:rsid w:val="00576EE3"/>
    <w:rsid w:val="00576FF0"/>
    <w:rsid w:val="00577258"/>
    <w:rsid w:val="005772AF"/>
    <w:rsid w:val="005772E9"/>
    <w:rsid w:val="005773A4"/>
    <w:rsid w:val="0057746F"/>
    <w:rsid w:val="005774CA"/>
    <w:rsid w:val="0057766E"/>
    <w:rsid w:val="005776CA"/>
    <w:rsid w:val="00577791"/>
    <w:rsid w:val="00577847"/>
    <w:rsid w:val="005778AF"/>
    <w:rsid w:val="005778CD"/>
    <w:rsid w:val="00577940"/>
    <w:rsid w:val="005779E0"/>
    <w:rsid w:val="00577A58"/>
    <w:rsid w:val="00577C7F"/>
    <w:rsid w:val="00577DD4"/>
    <w:rsid w:val="00577EF9"/>
    <w:rsid w:val="00580040"/>
    <w:rsid w:val="0058007F"/>
    <w:rsid w:val="005800DD"/>
    <w:rsid w:val="0058022F"/>
    <w:rsid w:val="005802C1"/>
    <w:rsid w:val="005804A5"/>
    <w:rsid w:val="005804C0"/>
    <w:rsid w:val="005807AE"/>
    <w:rsid w:val="005807BD"/>
    <w:rsid w:val="005807C1"/>
    <w:rsid w:val="005807C7"/>
    <w:rsid w:val="005807EB"/>
    <w:rsid w:val="005808B4"/>
    <w:rsid w:val="005808F8"/>
    <w:rsid w:val="00580985"/>
    <w:rsid w:val="005809A8"/>
    <w:rsid w:val="00580B16"/>
    <w:rsid w:val="00580B3B"/>
    <w:rsid w:val="00580C5D"/>
    <w:rsid w:val="00580CC3"/>
    <w:rsid w:val="00580DBC"/>
    <w:rsid w:val="00580DD2"/>
    <w:rsid w:val="00580E03"/>
    <w:rsid w:val="00580E26"/>
    <w:rsid w:val="00580E32"/>
    <w:rsid w:val="00580E3A"/>
    <w:rsid w:val="00580E95"/>
    <w:rsid w:val="00580EA2"/>
    <w:rsid w:val="005810C0"/>
    <w:rsid w:val="005810ED"/>
    <w:rsid w:val="005811D1"/>
    <w:rsid w:val="005811ED"/>
    <w:rsid w:val="00581351"/>
    <w:rsid w:val="005813D2"/>
    <w:rsid w:val="00581515"/>
    <w:rsid w:val="005815C4"/>
    <w:rsid w:val="0058160F"/>
    <w:rsid w:val="005816A8"/>
    <w:rsid w:val="00581879"/>
    <w:rsid w:val="00581987"/>
    <w:rsid w:val="00581AA2"/>
    <w:rsid w:val="00581C5D"/>
    <w:rsid w:val="00581D77"/>
    <w:rsid w:val="00581E8E"/>
    <w:rsid w:val="00581ED0"/>
    <w:rsid w:val="00582118"/>
    <w:rsid w:val="005821B6"/>
    <w:rsid w:val="00582260"/>
    <w:rsid w:val="005822EC"/>
    <w:rsid w:val="005822F0"/>
    <w:rsid w:val="0058231E"/>
    <w:rsid w:val="00582324"/>
    <w:rsid w:val="0058232C"/>
    <w:rsid w:val="00582358"/>
    <w:rsid w:val="0058240E"/>
    <w:rsid w:val="005824F3"/>
    <w:rsid w:val="005825F5"/>
    <w:rsid w:val="00582711"/>
    <w:rsid w:val="005827EB"/>
    <w:rsid w:val="00582861"/>
    <w:rsid w:val="005828E7"/>
    <w:rsid w:val="0058292F"/>
    <w:rsid w:val="00582958"/>
    <w:rsid w:val="005829D0"/>
    <w:rsid w:val="005829E4"/>
    <w:rsid w:val="00582A76"/>
    <w:rsid w:val="00582B88"/>
    <w:rsid w:val="00582DE4"/>
    <w:rsid w:val="00582E65"/>
    <w:rsid w:val="00582F9C"/>
    <w:rsid w:val="00582FDA"/>
    <w:rsid w:val="0058304F"/>
    <w:rsid w:val="005830C8"/>
    <w:rsid w:val="005830D1"/>
    <w:rsid w:val="00583197"/>
    <w:rsid w:val="005832AB"/>
    <w:rsid w:val="00583366"/>
    <w:rsid w:val="00583383"/>
    <w:rsid w:val="005833D3"/>
    <w:rsid w:val="00583570"/>
    <w:rsid w:val="00583640"/>
    <w:rsid w:val="00583840"/>
    <w:rsid w:val="00583895"/>
    <w:rsid w:val="0058396A"/>
    <w:rsid w:val="00583AFB"/>
    <w:rsid w:val="00583B09"/>
    <w:rsid w:val="00583B0A"/>
    <w:rsid w:val="00583B9E"/>
    <w:rsid w:val="00583C1C"/>
    <w:rsid w:val="00583C67"/>
    <w:rsid w:val="00583CF7"/>
    <w:rsid w:val="00583D35"/>
    <w:rsid w:val="00583EDB"/>
    <w:rsid w:val="00583F98"/>
    <w:rsid w:val="00584102"/>
    <w:rsid w:val="00584126"/>
    <w:rsid w:val="00584257"/>
    <w:rsid w:val="0058427A"/>
    <w:rsid w:val="0058428F"/>
    <w:rsid w:val="005843F1"/>
    <w:rsid w:val="005844BA"/>
    <w:rsid w:val="0058458E"/>
    <w:rsid w:val="005846AB"/>
    <w:rsid w:val="00584714"/>
    <w:rsid w:val="0058488B"/>
    <w:rsid w:val="00584963"/>
    <w:rsid w:val="00584A36"/>
    <w:rsid w:val="00584B3A"/>
    <w:rsid w:val="00584BA9"/>
    <w:rsid w:val="00584D13"/>
    <w:rsid w:val="00584D6A"/>
    <w:rsid w:val="005851F4"/>
    <w:rsid w:val="00585223"/>
    <w:rsid w:val="0058552C"/>
    <w:rsid w:val="00585580"/>
    <w:rsid w:val="00585628"/>
    <w:rsid w:val="005856A5"/>
    <w:rsid w:val="00585713"/>
    <w:rsid w:val="00585752"/>
    <w:rsid w:val="00585854"/>
    <w:rsid w:val="005858CF"/>
    <w:rsid w:val="00585A5E"/>
    <w:rsid w:val="00585AD1"/>
    <w:rsid w:val="00585AE9"/>
    <w:rsid w:val="00585B0A"/>
    <w:rsid w:val="00585B2B"/>
    <w:rsid w:val="00585B6C"/>
    <w:rsid w:val="00585B96"/>
    <w:rsid w:val="00585CBF"/>
    <w:rsid w:val="00585CC5"/>
    <w:rsid w:val="00585CD7"/>
    <w:rsid w:val="00585CF1"/>
    <w:rsid w:val="00585D6B"/>
    <w:rsid w:val="00585EA4"/>
    <w:rsid w:val="00585EB5"/>
    <w:rsid w:val="00585F1B"/>
    <w:rsid w:val="00585FF2"/>
    <w:rsid w:val="005860C5"/>
    <w:rsid w:val="00586109"/>
    <w:rsid w:val="00586187"/>
    <w:rsid w:val="00586457"/>
    <w:rsid w:val="00586478"/>
    <w:rsid w:val="0058648A"/>
    <w:rsid w:val="005864E3"/>
    <w:rsid w:val="00586529"/>
    <w:rsid w:val="005865EC"/>
    <w:rsid w:val="0058664A"/>
    <w:rsid w:val="005866F8"/>
    <w:rsid w:val="005867B0"/>
    <w:rsid w:val="0058687B"/>
    <w:rsid w:val="005869F5"/>
    <w:rsid w:val="00586AE0"/>
    <w:rsid w:val="00586BA5"/>
    <w:rsid w:val="00586CC6"/>
    <w:rsid w:val="00586DE8"/>
    <w:rsid w:val="00586FDD"/>
    <w:rsid w:val="0058710C"/>
    <w:rsid w:val="005871E0"/>
    <w:rsid w:val="00587280"/>
    <w:rsid w:val="005873CA"/>
    <w:rsid w:val="00587405"/>
    <w:rsid w:val="0058752A"/>
    <w:rsid w:val="00587586"/>
    <w:rsid w:val="005875C6"/>
    <w:rsid w:val="00587694"/>
    <w:rsid w:val="00587702"/>
    <w:rsid w:val="00587738"/>
    <w:rsid w:val="005877B6"/>
    <w:rsid w:val="00587888"/>
    <w:rsid w:val="00587938"/>
    <w:rsid w:val="00587A56"/>
    <w:rsid w:val="00587B82"/>
    <w:rsid w:val="00587B8D"/>
    <w:rsid w:val="00587B98"/>
    <w:rsid w:val="00587CB2"/>
    <w:rsid w:val="00587E42"/>
    <w:rsid w:val="00587E94"/>
    <w:rsid w:val="00587FBF"/>
    <w:rsid w:val="0059001E"/>
    <w:rsid w:val="0059001F"/>
    <w:rsid w:val="005900AE"/>
    <w:rsid w:val="005900BD"/>
    <w:rsid w:val="00590187"/>
    <w:rsid w:val="005901CF"/>
    <w:rsid w:val="005901EA"/>
    <w:rsid w:val="0059045A"/>
    <w:rsid w:val="005905CD"/>
    <w:rsid w:val="005905D0"/>
    <w:rsid w:val="005906CE"/>
    <w:rsid w:val="005906DF"/>
    <w:rsid w:val="0059072A"/>
    <w:rsid w:val="00590810"/>
    <w:rsid w:val="005908A0"/>
    <w:rsid w:val="00590A3C"/>
    <w:rsid w:val="00590B2C"/>
    <w:rsid w:val="00590B2F"/>
    <w:rsid w:val="00590B49"/>
    <w:rsid w:val="00590C30"/>
    <w:rsid w:val="00590CBE"/>
    <w:rsid w:val="00590D3C"/>
    <w:rsid w:val="00590DAA"/>
    <w:rsid w:val="00590DCB"/>
    <w:rsid w:val="00590E7E"/>
    <w:rsid w:val="00590F53"/>
    <w:rsid w:val="00591109"/>
    <w:rsid w:val="0059125B"/>
    <w:rsid w:val="005912F3"/>
    <w:rsid w:val="005913E4"/>
    <w:rsid w:val="00591474"/>
    <w:rsid w:val="005914A4"/>
    <w:rsid w:val="00591607"/>
    <w:rsid w:val="005917BA"/>
    <w:rsid w:val="005918D2"/>
    <w:rsid w:val="005918FD"/>
    <w:rsid w:val="0059196C"/>
    <w:rsid w:val="00591A2F"/>
    <w:rsid w:val="00591A89"/>
    <w:rsid w:val="00591ACE"/>
    <w:rsid w:val="00591B37"/>
    <w:rsid w:val="00591BDE"/>
    <w:rsid w:val="00591C82"/>
    <w:rsid w:val="00591CFB"/>
    <w:rsid w:val="00591D24"/>
    <w:rsid w:val="00591DA6"/>
    <w:rsid w:val="00591E42"/>
    <w:rsid w:val="00591F17"/>
    <w:rsid w:val="00591F78"/>
    <w:rsid w:val="00591FD1"/>
    <w:rsid w:val="00592018"/>
    <w:rsid w:val="0059214C"/>
    <w:rsid w:val="00592246"/>
    <w:rsid w:val="0059226E"/>
    <w:rsid w:val="0059229B"/>
    <w:rsid w:val="005922BE"/>
    <w:rsid w:val="00592334"/>
    <w:rsid w:val="005923BB"/>
    <w:rsid w:val="0059244C"/>
    <w:rsid w:val="00592592"/>
    <w:rsid w:val="00592620"/>
    <w:rsid w:val="0059266B"/>
    <w:rsid w:val="00592731"/>
    <w:rsid w:val="005927C7"/>
    <w:rsid w:val="00592D4E"/>
    <w:rsid w:val="00592D93"/>
    <w:rsid w:val="00592DDA"/>
    <w:rsid w:val="00592EC0"/>
    <w:rsid w:val="00593061"/>
    <w:rsid w:val="00593077"/>
    <w:rsid w:val="0059312F"/>
    <w:rsid w:val="0059313F"/>
    <w:rsid w:val="00593142"/>
    <w:rsid w:val="005933AB"/>
    <w:rsid w:val="005933D3"/>
    <w:rsid w:val="005934CF"/>
    <w:rsid w:val="005936E6"/>
    <w:rsid w:val="005936EF"/>
    <w:rsid w:val="005937AF"/>
    <w:rsid w:val="005938C2"/>
    <w:rsid w:val="005938C4"/>
    <w:rsid w:val="00593959"/>
    <w:rsid w:val="00593964"/>
    <w:rsid w:val="00593B09"/>
    <w:rsid w:val="00593CC1"/>
    <w:rsid w:val="00593CDB"/>
    <w:rsid w:val="00593E7B"/>
    <w:rsid w:val="00593F2D"/>
    <w:rsid w:val="00593FAE"/>
    <w:rsid w:val="00593FBC"/>
    <w:rsid w:val="00594046"/>
    <w:rsid w:val="005941DF"/>
    <w:rsid w:val="00594220"/>
    <w:rsid w:val="00594444"/>
    <w:rsid w:val="00594451"/>
    <w:rsid w:val="005944A9"/>
    <w:rsid w:val="005945AD"/>
    <w:rsid w:val="00594613"/>
    <w:rsid w:val="00594649"/>
    <w:rsid w:val="005946D7"/>
    <w:rsid w:val="0059470B"/>
    <w:rsid w:val="0059484B"/>
    <w:rsid w:val="005948AD"/>
    <w:rsid w:val="00594977"/>
    <w:rsid w:val="005949ED"/>
    <w:rsid w:val="00594A4C"/>
    <w:rsid w:val="00594AFA"/>
    <w:rsid w:val="00594B28"/>
    <w:rsid w:val="00594B3F"/>
    <w:rsid w:val="00594BC3"/>
    <w:rsid w:val="00594BC4"/>
    <w:rsid w:val="00594BEA"/>
    <w:rsid w:val="00594CAE"/>
    <w:rsid w:val="00594D98"/>
    <w:rsid w:val="00594E38"/>
    <w:rsid w:val="00594EBE"/>
    <w:rsid w:val="005953D0"/>
    <w:rsid w:val="005953D6"/>
    <w:rsid w:val="0059547E"/>
    <w:rsid w:val="005954E8"/>
    <w:rsid w:val="00595535"/>
    <w:rsid w:val="00595663"/>
    <w:rsid w:val="0059599D"/>
    <w:rsid w:val="00595C8D"/>
    <w:rsid w:val="00595D29"/>
    <w:rsid w:val="00595DA5"/>
    <w:rsid w:val="00595E55"/>
    <w:rsid w:val="00595EA1"/>
    <w:rsid w:val="00595F26"/>
    <w:rsid w:val="00595F70"/>
    <w:rsid w:val="0059604F"/>
    <w:rsid w:val="005960E7"/>
    <w:rsid w:val="00596118"/>
    <w:rsid w:val="00596162"/>
    <w:rsid w:val="005962AD"/>
    <w:rsid w:val="0059636E"/>
    <w:rsid w:val="0059644B"/>
    <w:rsid w:val="005964B5"/>
    <w:rsid w:val="005964D4"/>
    <w:rsid w:val="00596554"/>
    <w:rsid w:val="00596717"/>
    <w:rsid w:val="005967AA"/>
    <w:rsid w:val="005967C7"/>
    <w:rsid w:val="00596857"/>
    <w:rsid w:val="0059685A"/>
    <w:rsid w:val="005968A9"/>
    <w:rsid w:val="005969BC"/>
    <w:rsid w:val="00596A1E"/>
    <w:rsid w:val="00596A78"/>
    <w:rsid w:val="00596B83"/>
    <w:rsid w:val="00596D6B"/>
    <w:rsid w:val="00596DDC"/>
    <w:rsid w:val="005970A8"/>
    <w:rsid w:val="005970B5"/>
    <w:rsid w:val="0059715A"/>
    <w:rsid w:val="00597168"/>
    <w:rsid w:val="00597173"/>
    <w:rsid w:val="005971E1"/>
    <w:rsid w:val="005971EC"/>
    <w:rsid w:val="005971EF"/>
    <w:rsid w:val="0059730E"/>
    <w:rsid w:val="00597354"/>
    <w:rsid w:val="0059738B"/>
    <w:rsid w:val="00597479"/>
    <w:rsid w:val="00597498"/>
    <w:rsid w:val="00597598"/>
    <w:rsid w:val="005975A0"/>
    <w:rsid w:val="00597600"/>
    <w:rsid w:val="005977B6"/>
    <w:rsid w:val="0059783E"/>
    <w:rsid w:val="005978AC"/>
    <w:rsid w:val="00597A4F"/>
    <w:rsid w:val="00597A89"/>
    <w:rsid w:val="00597AF4"/>
    <w:rsid w:val="00597AF5"/>
    <w:rsid w:val="00597DE3"/>
    <w:rsid w:val="00597EA3"/>
    <w:rsid w:val="00597F08"/>
    <w:rsid w:val="005A0008"/>
    <w:rsid w:val="005A0084"/>
    <w:rsid w:val="005A0117"/>
    <w:rsid w:val="005A0152"/>
    <w:rsid w:val="005A021D"/>
    <w:rsid w:val="005A027D"/>
    <w:rsid w:val="005A036B"/>
    <w:rsid w:val="005A04FC"/>
    <w:rsid w:val="005A05BD"/>
    <w:rsid w:val="005A0653"/>
    <w:rsid w:val="005A0839"/>
    <w:rsid w:val="005A0869"/>
    <w:rsid w:val="005A0A83"/>
    <w:rsid w:val="005A0B45"/>
    <w:rsid w:val="005A0F23"/>
    <w:rsid w:val="005A0F96"/>
    <w:rsid w:val="005A1061"/>
    <w:rsid w:val="005A107B"/>
    <w:rsid w:val="005A10DF"/>
    <w:rsid w:val="005A121A"/>
    <w:rsid w:val="005A121C"/>
    <w:rsid w:val="005A130D"/>
    <w:rsid w:val="005A1384"/>
    <w:rsid w:val="005A1687"/>
    <w:rsid w:val="005A16EC"/>
    <w:rsid w:val="005A1715"/>
    <w:rsid w:val="005A179F"/>
    <w:rsid w:val="005A183A"/>
    <w:rsid w:val="005A185D"/>
    <w:rsid w:val="005A18FF"/>
    <w:rsid w:val="005A1B6A"/>
    <w:rsid w:val="005A1E73"/>
    <w:rsid w:val="005A1E93"/>
    <w:rsid w:val="005A1EA5"/>
    <w:rsid w:val="005A1F79"/>
    <w:rsid w:val="005A2106"/>
    <w:rsid w:val="005A210A"/>
    <w:rsid w:val="005A22E3"/>
    <w:rsid w:val="005A2463"/>
    <w:rsid w:val="005A2551"/>
    <w:rsid w:val="005A2585"/>
    <w:rsid w:val="005A25EA"/>
    <w:rsid w:val="005A262E"/>
    <w:rsid w:val="005A26E3"/>
    <w:rsid w:val="005A2854"/>
    <w:rsid w:val="005A2903"/>
    <w:rsid w:val="005A2952"/>
    <w:rsid w:val="005A2A1C"/>
    <w:rsid w:val="005A2A68"/>
    <w:rsid w:val="005A2B70"/>
    <w:rsid w:val="005A2D8D"/>
    <w:rsid w:val="005A2FD4"/>
    <w:rsid w:val="005A30DA"/>
    <w:rsid w:val="005A3133"/>
    <w:rsid w:val="005A3199"/>
    <w:rsid w:val="005A3202"/>
    <w:rsid w:val="005A324B"/>
    <w:rsid w:val="005A33A8"/>
    <w:rsid w:val="005A34C1"/>
    <w:rsid w:val="005A3858"/>
    <w:rsid w:val="005A38FA"/>
    <w:rsid w:val="005A395A"/>
    <w:rsid w:val="005A3A14"/>
    <w:rsid w:val="005A3AA3"/>
    <w:rsid w:val="005A3BBE"/>
    <w:rsid w:val="005A3C0D"/>
    <w:rsid w:val="005A3C48"/>
    <w:rsid w:val="005A3CB5"/>
    <w:rsid w:val="005A3CBF"/>
    <w:rsid w:val="005A3E6C"/>
    <w:rsid w:val="005A3F0B"/>
    <w:rsid w:val="005A4114"/>
    <w:rsid w:val="005A4195"/>
    <w:rsid w:val="005A4203"/>
    <w:rsid w:val="005A4303"/>
    <w:rsid w:val="005A4352"/>
    <w:rsid w:val="005A43F0"/>
    <w:rsid w:val="005A43FC"/>
    <w:rsid w:val="005A442A"/>
    <w:rsid w:val="005A4436"/>
    <w:rsid w:val="005A46D4"/>
    <w:rsid w:val="005A492A"/>
    <w:rsid w:val="005A493D"/>
    <w:rsid w:val="005A4BE9"/>
    <w:rsid w:val="005A4C6B"/>
    <w:rsid w:val="005A4EC1"/>
    <w:rsid w:val="005A50D5"/>
    <w:rsid w:val="005A510A"/>
    <w:rsid w:val="005A51CC"/>
    <w:rsid w:val="005A52F4"/>
    <w:rsid w:val="005A531C"/>
    <w:rsid w:val="005A54B1"/>
    <w:rsid w:val="005A54C6"/>
    <w:rsid w:val="005A559E"/>
    <w:rsid w:val="005A563D"/>
    <w:rsid w:val="005A56A5"/>
    <w:rsid w:val="005A571B"/>
    <w:rsid w:val="005A587E"/>
    <w:rsid w:val="005A5892"/>
    <w:rsid w:val="005A58F3"/>
    <w:rsid w:val="005A5901"/>
    <w:rsid w:val="005A590F"/>
    <w:rsid w:val="005A5922"/>
    <w:rsid w:val="005A59B2"/>
    <w:rsid w:val="005A5C00"/>
    <w:rsid w:val="005A5C19"/>
    <w:rsid w:val="005A5C56"/>
    <w:rsid w:val="005A5C78"/>
    <w:rsid w:val="005A5CBD"/>
    <w:rsid w:val="005A5D82"/>
    <w:rsid w:val="005A5EA0"/>
    <w:rsid w:val="005A6024"/>
    <w:rsid w:val="005A60AE"/>
    <w:rsid w:val="005A60C8"/>
    <w:rsid w:val="005A611A"/>
    <w:rsid w:val="005A611B"/>
    <w:rsid w:val="005A6128"/>
    <w:rsid w:val="005A637F"/>
    <w:rsid w:val="005A65FD"/>
    <w:rsid w:val="005A663D"/>
    <w:rsid w:val="005A67BE"/>
    <w:rsid w:val="005A6971"/>
    <w:rsid w:val="005A6A36"/>
    <w:rsid w:val="005A6A62"/>
    <w:rsid w:val="005A6AE0"/>
    <w:rsid w:val="005A6BF1"/>
    <w:rsid w:val="005A6C7A"/>
    <w:rsid w:val="005A6CE7"/>
    <w:rsid w:val="005A6D0C"/>
    <w:rsid w:val="005A6D62"/>
    <w:rsid w:val="005A6E1B"/>
    <w:rsid w:val="005A6F2D"/>
    <w:rsid w:val="005A70E0"/>
    <w:rsid w:val="005A71B7"/>
    <w:rsid w:val="005A73CD"/>
    <w:rsid w:val="005A741D"/>
    <w:rsid w:val="005A7474"/>
    <w:rsid w:val="005A747C"/>
    <w:rsid w:val="005A75A4"/>
    <w:rsid w:val="005A75CB"/>
    <w:rsid w:val="005A76A4"/>
    <w:rsid w:val="005A76F4"/>
    <w:rsid w:val="005A78C6"/>
    <w:rsid w:val="005A78FE"/>
    <w:rsid w:val="005A7A47"/>
    <w:rsid w:val="005A7AE6"/>
    <w:rsid w:val="005A7B99"/>
    <w:rsid w:val="005A7B9F"/>
    <w:rsid w:val="005A7D3D"/>
    <w:rsid w:val="005A7D5A"/>
    <w:rsid w:val="005A7DEA"/>
    <w:rsid w:val="005A7DEC"/>
    <w:rsid w:val="005A7E57"/>
    <w:rsid w:val="005A7FFB"/>
    <w:rsid w:val="005B0256"/>
    <w:rsid w:val="005B027B"/>
    <w:rsid w:val="005B02D3"/>
    <w:rsid w:val="005B040F"/>
    <w:rsid w:val="005B0559"/>
    <w:rsid w:val="005B05F3"/>
    <w:rsid w:val="005B06D6"/>
    <w:rsid w:val="005B095D"/>
    <w:rsid w:val="005B0960"/>
    <w:rsid w:val="005B0975"/>
    <w:rsid w:val="005B09AD"/>
    <w:rsid w:val="005B09AF"/>
    <w:rsid w:val="005B0AEE"/>
    <w:rsid w:val="005B0C83"/>
    <w:rsid w:val="005B0CAE"/>
    <w:rsid w:val="005B0E39"/>
    <w:rsid w:val="005B0E4A"/>
    <w:rsid w:val="005B0E86"/>
    <w:rsid w:val="005B0EA2"/>
    <w:rsid w:val="005B0F1F"/>
    <w:rsid w:val="005B0F50"/>
    <w:rsid w:val="005B0FA0"/>
    <w:rsid w:val="005B1030"/>
    <w:rsid w:val="005B1061"/>
    <w:rsid w:val="005B115A"/>
    <w:rsid w:val="005B131A"/>
    <w:rsid w:val="005B131D"/>
    <w:rsid w:val="005B1385"/>
    <w:rsid w:val="005B1495"/>
    <w:rsid w:val="005B1498"/>
    <w:rsid w:val="005B1666"/>
    <w:rsid w:val="005B16C2"/>
    <w:rsid w:val="005B178F"/>
    <w:rsid w:val="005B181C"/>
    <w:rsid w:val="005B18DC"/>
    <w:rsid w:val="005B19C4"/>
    <w:rsid w:val="005B1A5D"/>
    <w:rsid w:val="005B1A80"/>
    <w:rsid w:val="005B1CBB"/>
    <w:rsid w:val="005B1D04"/>
    <w:rsid w:val="005B1D6F"/>
    <w:rsid w:val="005B1F63"/>
    <w:rsid w:val="005B1FEF"/>
    <w:rsid w:val="005B2271"/>
    <w:rsid w:val="005B22DF"/>
    <w:rsid w:val="005B2341"/>
    <w:rsid w:val="005B2389"/>
    <w:rsid w:val="005B25F6"/>
    <w:rsid w:val="005B261D"/>
    <w:rsid w:val="005B270C"/>
    <w:rsid w:val="005B27D4"/>
    <w:rsid w:val="005B27E9"/>
    <w:rsid w:val="005B282A"/>
    <w:rsid w:val="005B2889"/>
    <w:rsid w:val="005B2980"/>
    <w:rsid w:val="005B2A7F"/>
    <w:rsid w:val="005B2A96"/>
    <w:rsid w:val="005B2AD1"/>
    <w:rsid w:val="005B2B9E"/>
    <w:rsid w:val="005B2BED"/>
    <w:rsid w:val="005B2CEF"/>
    <w:rsid w:val="005B2CF7"/>
    <w:rsid w:val="005B2E58"/>
    <w:rsid w:val="005B2F6B"/>
    <w:rsid w:val="005B30DC"/>
    <w:rsid w:val="005B3276"/>
    <w:rsid w:val="005B332E"/>
    <w:rsid w:val="005B3397"/>
    <w:rsid w:val="005B33B8"/>
    <w:rsid w:val="005B33EA"/>
    <w:rsid w:val="005B3437"/>
    <w:rsid w:val="005B3504"/>
    <w:rsid w:val="005B369B"/>
    <w:rsid w:val="005B3704"/>
    <w:rsid w:val="005B3765"/>
    <w:rsid w:val="005B377F"/>
    <w:rsid w:val="005B37D7"/>
    <w:rsid w:val="005B39FA"/>
    <w:rsid w:val="005B3A1C"/>
    <w:rsid w:val="005B3B9E"/>
    <w:rsid w:val="005B3BCC"/>
    <w:rsid w:val="005B3CAE"/>
    <w:rsid w:val="005B3CF9"/>
    <w:rsid w:val="005B3E1B"/>
    <w:rsid w:val="005B3F7B"/>
    <w:rsid w:val="005B40D2"/>
    <w:rsid w:val="005B4237"/>
    <w:rsid w:val="005B43CB"/>
    <w:rsid w:val="005B4443"/>
    <w:rsid w:val="005B44A0"/>
    <w:rsid w:val="005B45B3"/>
    <w:rsid w:val="005B4667"/>
    <w:rsid w:val="005B4688"/>
    <w:rsid w:val="005B47BB"/>
    <w:rsid w:val="005B485C"/>
    <w:rsid w:val="005B4906"/>
    <w:rsid w:val="005B49B6"/>
    <w:rsid w:val="005B4AB2"/>
    <w:rsid w:val="005B4AE5"/>
    <w:rsid w:val="005B4C45"/>
    <w:rsid w:val="005B4DD8"/>
    <w:rsid w:val="005B4DEE"/>
    <w:rsid w:val="005B4E5B"/>
    <w:rsid w:val="005B4E72"/>
    <w:rsid w:val="005B506B"/>
    <w:rsid w:val="005B5072"/>
    <w:rsid w:val="005B50FD"/>
    <w:rsid w:val="005B5243"/>
    <w:rsid w:val="005B540E"/>
    <w:rsid w:val="005B54E7"/>
    <w:rsid w:val="005B55D6"/>
    <w:rsid w:val="005B5796"/>
    <w:rsid w:val="005B57BB"/>
    <w:rsid w:val="005B5805"/>
    <w:rsid w:val="005B580E"/>
    <w:rsid w:val="005B5ACD"/>
    <w:rsid w:val="005B5AFA"/>
    <w:rsid w:val="005B5AFD"/>
    <w:rsid w:val="005B5B47"/>
    <w:rsid w:val="005B5CBD"/>
    <w:rsid w:val="005B5CDA"/>
    <w:rsid w:val="005B5EBF"/>
    <w:rsid w:val="005B5F06"/>
    <w:rsid w:val="005B5F93"/>
    <w:rsid w:val="005B6218"/>
    <w:rsid w:val="005B629E"/>
    <w:rsid w:val="005B62E0"/>
    <w:rsid w:val="005B63DE"/>
    <w:rsid w:val="005B63F9"/>
    <w:rsid w:val="005B6429"/>
    <w:rsid w:val="005B643C"/>
    <w:rsid w:val="005B64EA"/>
    <w:rsid w:val="005B64F7"/>
    <w:rsid w:val="005B6511"/>
    <w:rsid w:val="005B669B"/>
    <w:rsid w:val="005B677D"/>
    <w:rsid w:val="005B67BF"/>
    <w:rsid w:val="005B67C8"/>
    <w:rsid w:val="005B688E"/>
    <w:rsid w:val="005B6890"/>
    <w:rsid w:val="005B68A3"/>
    <w:rsid w:val="005B69A6"/>
    <w:rsid w:val="005B69CC"/>
    <w:rsid w:val="005B69D1"/>
    <w:rsid w:val="005B6B5F"/>
    <w:rsid w:val="005B6B6C"/>
    <w:rsid w:val="005B6BE8"/>
    <w:rsid w:val="005B6C24"/>
    <w:rsid w:val="005B6C31"/>
    <w:rsid w:val="005B6C63"/>
    <w:rsid w:val="005B6C76"/>
    <w:rsid w:val="005B6C83"/>
    <w:rsid w:val="005B6C85"/>
    <w:rsid w:val="005B6CB6"/>
    <w:rsid w:val="005B6D46"/>
    <w:rsid w:val="005B6E40"/>
    <w:rsid w:val="005B6E94"/>
    <w:rsid w:val="005B6F7D"/>
    <w:rsid w:val="005B7063"/>
    <w:rsid w:val="005B7073"/>
    <w:rsid w:val="005B7112"/>
    <w:rsid w:val="005B72D3"/>
    <w:rsid w:val="005B733F"/>
    <w:rsid w:val="005B744F"/>
    <w:rsid w:val="005B773F"/>
    <w:rsid w:val="005B78FE"/>
    <w:rsid w:val="005B799C"/>
    <w:rsid w:val="005B7A41"/>
    <w:rsid w:val="005B7B4A"/>
    <w:rsid w:val="005B7B98"/>
    <w:rsid w:val="005B7D45"/>
    <w:rsid w:val="005B7D5E"/>
    <w:rsid w:val="005B7D9D"/>
    <w:rsid w:val="005B7EAC"/>
    <w:rsid w:val="005C0297"/>
    <w:rsid w:val="005C033F"/>
    <w:rsid w:val="005C04A1"/>
    <w:rsid w:val="005C04C5"/>
    <w:rsid w:val="005C06C6"/>
    <w:rsid w:val="005C070F"/>
    <w:rsid w:val="005C08B1"/>
    <w:rsid w:val="005C08F2"/>
    <w:rsid w:val="005C095A"/>
    <w:rsid w:val="005C0A3B"/>
    <w:rsid w:val="005C0AD9"/>
    <w:rsid w:val="005C0AE5"/>
    <w:rsid w:val="005C0B14"/>
    <w:rsid w:val="005C0B9D"/>
    <w:rsid w:val="005C0D2D"/>
    <w:rsid w:val="005C0F46"/>
    <w:rsid w:val="005C1007"/>
    <w:rsid w:val="005C12CC"/>
    <w:rsid w:val="005C134D"/>
    <w:rsid w:val="005C1587"/>
    <w:rsid w:val="005C15FB"/>
    <w:rsid w:val="005C1607"/>
    <w:rsid w:val="005C1691"/>
    <w:rsid w:val="005C16AB"/>
    <w:rsid w:val="005C1786"/>
    <w:rsid w:val="005C18B1"/>
    <w:rsid w:val="005C18DB"/>
    <w:rsid w:val="005C1901"/>
    <w:rsid w:val="005C1909"/>
    <w:rsid w:val="005C19BC"/>
    <w:rsid w:val="005C19BE"/>
    <w:rsid w:val="005C19E5"/>
    <w:rsid w:val="005C1A10"/>
    <w:rsid w:val="005C1A1F"/>
    <w:rsid w:val="005C1A98"/>
    <w:rsid w:val="005C1AAC"/>
    <w:rsid w:val="005C1B35"/>
    <w:rsid w:val="005C1B7F"/>
    <w:rsid w:val="005C1BDA"/>
    <w:rsid w:val="005C1CD9"/>
    <w:rsid w:val="005C1D42"/>
    <w:rsid w:val="005C1EBA"/>
    <w:rsid w:val="005C1F47"/>
    <w:rsid w:val="005C1F53"/>
    <w:rsid w:val="005C1FDC"/>
    <w:rsid w:val="005C22CE"/>
    <w:rsid w:val="005C2338"/>
    <w:rsid w:val="005C244F"/>
    <w:rsid w:val="005C2485"/>
    <w:rsid w:val="005C25BE"/>
    <w:rsid w:val="005C2662"/>
    <w:rsid w:val="005C2781"/>
    <w:rsid w:val="005C27BD"/>
    <w:rsid w:val="005C287F"/>
    <w:rsid w:val="005C2A0E"/>
    <w:rsid w:val="005C2CCC"/>
    <w:rsid w:val="005C2DBC"/>
    <w:rsid w:val="005C2E05"/>
    <w:rsid w:val="005C2FF4"/>
    <w:rsid w:val="005C2FF9"/>
    <w:rsid w:val="005C302D"/>
    <w:rsid w:val="005C30BC"/>
    <w:rsid w:val="005C32A9"/>
    <w:rsid w:val="005C3363"/>
    <w:rsid w:val="005C336E"/>
    <w:rsid w:val="005C33EE"/>
    <w:rsid w:val="005C3497"/>
    <w:rsid w:val="005C35DE"/>
    <w:rsid w:val="005C35E0"/>
    <w:rsid w:val="005C3800"/>
    <w:rsid w:val="005C38C3"/>
    <w:rsid w:val="005C3987"/>
    <w:rsid w:val="005C39CD"/>
    <w:rsid w:val="005C3B06"/>
    <w:rsid w:val="005C3D09"/>
    <w:rsid w:val="005C3D9C"/>
    <w:rsid w:val="005C3EC1"/>
    <w:rsid w:val="005C3F4E"/>
    <w:rsid w:val="005C3F7F"/>
    <w:rsid w:val="005C3F84"/>
    <w:rsid w:val="005C4011"/>
    <w:rsid w:val="005C40C7"/>
    <w:rsid w:val="005C4106"/>
    <w:rsid w:val="005C4117"/>
    <w:rsid w:val="005C4139"/>
    <w:rsid w:val="005C41E1"/>
    <w:rsid w:val="005C4228"/>
    <w:rsid w:val="005C43C2"/>
    <w:rsid w:val="005C46AB"/>
    <w:rsid w:val="005C46BF"/>
    <w:rsid w:val="005C46DE"/>
    <w:rsid w:val="005C496F"/>
    <w:rsid w:val="005C4A3C"/>
    <w:rsid w:val="005C4B04"/>
    <w:rsid w:val="005C4B87"/>
    <w:rsid w:val="005C4BB6"/>
    <w:rsid w:val="005C4C31"/>
    <w:rsid w:val="005C4C3D"/>
    <w:rsid w:val="005C4C92"/>
    <w:rsid w:val="005C4D02"/>
    <w:rsid w:val="005C4D71"/>
    <w:rsid w:val="005C4D95"/>
    <w:rsid w:val="005C4DA1"/>
    <w:rsid w:val="005C4E02"/>
    <w:rsid w:val="005C4F05"/>
    <w:rsid w:val="005C4F2C"/>
    <w:rsid w:val="005C4FDD"/>
    <w:rsid w:val="005C5087"/>
    <w:rsid w:val="005C5135"/>
    <w:rsid w:val="005C51E1"/>
    <w:rsid w:val="005C530C"/>
    <w:rsid w:val="005C54C8"/>
    <w:rsid w:val="005C54D1"/>
    <w:rsid w:val="005C559B"/>
    <w:rsid w:val="005C55E1"/>
    <w:rsid w:val="005C55F0"/>
    <w:rsid w:val="005C5770"/>
    <w:rsid w:val="005C5788"/>
    <w:rsid w:val="005C5911"/>
    <w:rsid w:val="005C5915"/>
    <w:rsid w:val="005C5953"/>
    <w:rsid w:val="005C59BB"/>
    <w:rsid w:val="005C59CB"/>
    <w:rsid w:val="005C5C89"/>
    <w:rsid w:val="005C5D23"/>
    <w:rsid w:val="005C5D26"/>
    <w:rsid w:val="005C5D98"/>
    <w:rsid w:val="005C5E00"/>
    <w:rsid w:val="005C5F24"/>
    <w:rsid w:val="005C604C"/>
    <w:rsid w:val="005C62AB"/>
    <w:rsid w:val="005C6324"/>
    <w:rsid w:val="005C6536"/>
    <w:rsid w:val="005C65AE"/>
    <w:rsid w:val="005C65DC"/>
    <w:rsid w:val="005C6612"/>
    <w:rsid w:val="005C661B"/>
    <w:rsid w:val="005C6643"/>
    <w:rsid w:val="005C6783"/>
    <w:rsid w:val="005C67A4"/>
    <w:rsid w:val="005C67B1"/>
    <w:rsid w:val="005C684F"/>
    <w:rsid w:val="005C68CC"/>
    <w:rsid w:val="005C694B"/>
    <w:rsid w:val="005C69AC"/>
    <w:rsid w:val="005C69FC"/>
    <w:rsid w:val="005C6A92"/>
    <w:rsid w:val="005C6C44"/>
    <w:rsid w:val="005C6C4F"/>
    <w:rsid w:val="005C6C7C"/>
    <w:rsid w:val="005C6CD0"/>
    <w:rsid w:val="005C6D4E"/>
    <w:rsid w:val="005C6DBA"/>
    <w:rsid w:val="005C6EC8"/>
    <w:rsid w:val="005C6EDC"/>
    <w:rsid w:val="005C6EE4"/>
    <w:rsid w:val="005C6FB5"/>
    <w:rsid w:val="005C70D3"/>
    <w:rsid w:val="005C70F1"/>
    <w:rsid w:val="005C7158"/>
    <w:rsid w:val="005C71A9"/>
    <w:rsid w:val="005C7235"/>
    <w:rsid w:val="005C7447"/>
    <w:rsid w:val="005C7502"/>
    <w:rsid w:val="005C7525"/>
    <w:rsid w:val="005C757A"/>
    <w:rsid w:val="005C75CE"/>
    <w:rsid w:val="005C75D2"/>
    <w:rsid w:val="005C760A"/>
    <w:rsid w:val="005C76D6"/>
    <w:rsid w:val="005C77E4"/>
    <w:rsid w:val="005C7873"/>
    <w:rsid w:val="005C7C96"/>
    <w:rsid w:val="005C7CC7"/>
    <w:rsid w:val="005C7E27"/>
    <w:rsid w:val="005C7E42"/>
    <w:rsid w:val="005D009B"/>
    <w:rsid w:val="005D00FB"/>
    <w:rsid w:val="005D0244"/>
    <w:rsid w:val="005D039D"/>
    <w:rsid w:val="005D03C1"/>
    <w:rsid w:val="005D046F"/>
    <w:rsid w:val="005D0487"/>
    <w:rsid w:val="005D04C6"/>
    <w:rsid w:val="005D04E3"/>
    <w:rsid w:val="005D06C6"/>
    <w:rsid w:val="005D06D3"/>
    <w:rsid w:val="005D0706"/>
    <w:rsid w:val="005D070B"/>
    <w:rsid w:val="005D070D"/>
    <w:rsid w:val="005D092C"/>
    <w:rsid w:val="005D0972"/>
    <w:rsid w:val="005D0994"/>
    <w:rsid w:val="005D09A4"/>
    <w:rsid w:val="005D0A18"/>
    <w:rsid w:val="005D0AF1"/>
    <w:rsid w:val="005D0B2E"/>
    <w:rsid w:val="005D0B9D"/>
    <w:rsid w:val="005D0BEF"/>
    <w:rsid w:val="005D0C14"/>
    <w:rsid w:val="005D0C99"/>
    <w:rsid w:val="005D1078"/>
    <w:rsid w:val="005D118C"/>
    <w:rsid w:val="005D1288"/>
    <w:rsid w:val="005D1331"/>
    <w:rsid w:val="005D13BD"/>
    <w:rsid w:val="005D1403"/>
    <w:rsid w:val="005D1511"/>
    <w:rsid w:val="005D1697"/>
    <w:rsid w:val="005D16DA"/>
    <w:rsid w:val="005D17D1"/>
    <w:rsid w:val="005D184B"/>
    <w:rsid w:val="005D1935"/>
    <w:rsid w:val="005D1962"/>
    <w:rsid w:val="005D198F"/>
    <w:rsid w:val="005D1A85"/>
    <w:rsid w:val="005D1AE3"/>
    <w:rsid w:val="005D1AEE"/>
    <w:rsid w:val="005D1C36"/>
    <w:rsid w:val="005D1CB8"/>
    <w:rsid w:val="005D1CF8"/>
    <w:rsid w:val="005D1D23"/>
    <w:rsid w:val="005D1D89"/>
    <w:rsid w:val="005D1E18"/>
    <w:rsid w:val="005D1E2B"/>
    <w:rsid w:val="005D1F3E"/>
    <w:rsid w:val="005D2084"/>
    <w:rsid w:val="005D220B"/>
    <w:rsid w:val="005D2270"/>
    <w:rsid w:val="005D23A8"/>
    <w:rsid w:val="005D2475"/>
    <w:rsid w:val="005D2484"/>
    <w:rsid w:val="005D25E2"/>
    <w:rsid w:val="005D2860"/>
    <w:rsid w:val="005D294D"/>
    <w:rsid w:val="005D296D"/>
    <w:rsid w:val="005D2A04"/>
    <w:rsid w:val="005D2A20"/>
    <w:rsid w:val="005D2AC7"/>
    <w:rsid w:val="005D2AFB"/>
    <w:rsid w:val="005D2C21"/>
    <w:rsid w:val="005D2CD1"/>
    <w:rsid w:val="005D2D9C"/>
    <w:rsid w:val="005D2DAD"/>
    <w:rsid w:val="005D2DF3"/>
    <w:rsid w:val="005D2F98"/>
    <w:rsid w:val="005D2FCA"/>
    <w:rsid w:val="005D3001"/>
    <w:rsid w:val="005D307B"/>
    <w:rsid w:val="005D3120"/>
    <w:rsid w:val="005D31D5"/>
    <w:rsid w:val="005D3268"/>
    <w:rsid w:val="005D33C4"/>
    <w:rsid w:val="005D3454"/>
    <w:rsid w:val="005D34A7"/>
    <w:rsid w:val="005D3674"/>
    <w:rsid w:val="005D3675"/>
    <w:rsid w:val="005D36A5"/>
    <w:rsid w:val="005D379F"/>
    <w:rsid w:val="005D3858"/>
    <w:rsid w:val="005D3965"/>
    <w:rsid w:val="005D3A22"/>
    <w:rsid w:val="005D3A76"/>
    <w:rsid w:val="005D3AB1"/>
    <w:rsid w:val="005D3AEC"/>
    <w:rsid w:val="005D3B56"/>
    <w:rsid w:val="005D3B69"/>
    <w:rsid w:val="005D3C8C"/>
    <w:rsid w:val="005D3C99"/>
    <w:rsid w:val="005D3E01"/>
    <w:rsid w:val="005D3E3C"/>
    <w:rsid w:val="005D3E94"/>
    <w:rsid w:val="005D3EF5"/>
    <w:rsid w:val="005D3F02"/>
    <w:rsid w:val="005D3F1F"/>
    <w:rsid w:val="005D40EA"/>
    <w:rsid w:val="005D4183"/>
    <w:rsid w:val="005D4199"/>
    <w:rsid w:val="005D41CC"/>
    <w:rsid w:val="005D4352"/>
    <w:rsid w:val="005D458E"/>
    <w:rsid w:val="005D45D1"/>
    <w:rsid w:val="005D4644"/>
    <w:rsid w:val="005D4658"/>
    <w:rsid w:val="005D4659"/>
    <w:rsid w:val="005D46E3"/>
    <w:rsid w:val="005D477E"/>
    <w:rsid w:val="005D4810"/>
    <w:rsid w:val="005D499B"/>
    <w:rsid w:val="005D49BE"/>
    <w:rsid w:val="005D4A06"/>
    <w:rsid w:val="005D4A1C"/>
    <w:rsid w:val="005D4A69"/>
    <w:rsid w:val="005D4A86"/>
    <w:rsid w:val="005D4ADC"/>
    <w:rsid w:val="005D4B96"/>
    <w:rsid w:val="005D4C55"/>
    <w:rsid w:val="005D4C68"/>
    <w:rsid w:val="005D4E8D"/>
    <w:rsid w:val="005D4F0B"/>
    <w:rsid w:val="005D4FBC"/>
    <w:rsid w:val="005D4FBF"/>
    <w:rsid w:val="005D52D1"/>
    <w:rsid w:val="005D54A6"/>
    <w:rsid w:val="005D5511"/>
    <w:rsid w:val="005D5601"/>
    <w:rsid w:val="005D5642"/>
    <w:rsid w:val="005D59A6"/>
    <w:rsid w:val="005D59AA"/>
    <w:rsid w:val="005D59CA"/>
    <w:rsid w:val="005D5A4C"/>
    <w:rsid w:val="005D5AAE"/>
    <w:rsid w:val="005D5B7B"/>
    <w:rsid w:val="005D5B89"/>
    <w:rsid w:val="005D5DF9"/>
    <w:rsid w:val="005D6099"/>
    <w:rsid w:val="005D60D2"/>
    <w:rsid w:val="005D6172"/>
    <w:rsid w:val="005D6202"/>
    <w:rsid w:val="005D62EE"/>
    <w:rsid w:val="005D631E"/>
    <w:rsid w:val="005D65A6"/>
    <w:rsid w:val="005D6623"/>
    <w:rsid w:val="005D6659"/>
    <w:rsid w:val="005D66B4"/>
    <w:rsid w:val="005D6770"/>
    <w:rsid w:val="005D6842"/>
    <w:rsid w:val="005D6ABC"/>
    <w:rsid w:val="005D6B88"/>
    <w:rsid w:val="005D6CCA"/>
    <w:rsid w:val="005D6D99"/>
    <w:rsid w:val="005D6F16"/>
    <w:rsid w:val="005D6F29"/>
    <w:rsid w:val="005D6FC0"/>
    <w:rsid w:val="005D7087"/>
    <w:rsid w:val="005D7096"/>
    <w:rsid w:val="005D7360"/>
    <w:rsid w:val="005D73A2"/>
    <w:rsid w:val="005D73FE"/>
    <w:rsid w:val="005D746B"/>
    <w:rsid w:val="005D7622"/>
    <w:rsid w:val="005D76CA"/>
    <w:rsid w:val="005D775C"/>
    <w:rsid w:val="005D78CA"/>
    <w:rsid w:val="005D791C"/>
    <w:rsid w:val="005D7992"/>
    <w:rsid w:val="005D7B6F"/>
    <w:rsid w:val="005D7C13"/>
    <w:rsid w:val="005D7C60"/>
    <w:rsid w:val="005D7D20"/>
    <w:rsid w:val="005D7E71"/>
    <w:rsid w:val="005D7E91"/>
    <w:rsid w:val="005D7EE6"/>
    <w:rsid w:val="005E002A"/>
    <w:rsid w:val="005E007B"/>
    <w:rsid w:val="005E00E4"/>
    <w:rsid w:val="005E019F"/>
    <w:rsid w:val="005E0232"/>
    <w:rsid w:val="005E0299"/>
    <w:rsid w:val="005E0399"/>
    <w:rsid w:val="005E04D9"/>
    <w:rsid w:val="005E0548"/>
    <w:rsid w:val="005E07CA"/>
    <w:rsid w:val="005E0828"/>
    <w:rsid w:val="005E0965"/>
    <w:rsid w:val="005E096E"/>
    <w:rsid w:val="005E098E"/>
    <w:rsid w:val="005E0AB7"/>
    <w:rsid w:val="005E0AF7"/>
    <w:rsid w:val="005E0BC8"/>
    <w:rsid w:val="005E0E27"/>
    <w:rsid w:val="005E0E4E"/>
    <w:rsid w:val="005E10C5"/>
    <w:rsid w:val="005E1143"/>
    <w:rsid w:val="005E11B7"/>
    <w:rsid w:val="005E124F"/>
    <w:rsid w:val="005E13CA"/>
    <w:rsid w:val="005E145C"/>
    <w:rsid w:val="005E1484"/>
    <w:rsid w:val="005E14AA"/>
    <w:rsid w:val="005E1615"/>
    <w:rsid w:val="005E1692"/>
    <w:rsid w:val="005E16E9"/>
    <w:rsid w:val="005E194B"/>
    <w:rsid w:val="005E1987"/>
    <w:rsid w:val="005E1A16"/>
    <w:rsid w:val="005E1A23"/>
    <w:rsid w:val="005E1B32"/>
    <w:rsid w:val="005E1B93"/>
    <w:rsid w:val="005E1BE7"/>
    <w:rsid w:val="005E1C8D"/>
    <w:rsid w:val="005E1D51"/>
    <w:rsid w:val="005E1DC2"/>
    <w:rsid w:val="005E1E22"/>
    <w:rsid w:val="005E1E35"/>
    <w:rsid w:val="005E1E7E"/>
    <w:rsid w:val="005E1EC6"/>
    <w:rsid w:val="005E1F5B"/>
    <w:rsid w:val="005E1F7C"/>
    <w:rsid w:val="005E1FDB"/>
    <w:rsid w:val="005E2029"/>
    <w:rsid w:val="005E212C"/>
    <w:rsid w:val="005E21FE"/>
    <w:rsid w:val="005E2205"/>
    <w:rsid w:val="005E2232"/>
    <w:rsid w:val="005E2273"/>
    <w:rsid w:val="005E22F7"/>
    <w:rsid w:val="005E2400"/>
    <w:rsid w:val="005E2502"/>
    <w:rsid w:val="005E255E"/>
    <w:rsid w:val="005E26ED"/>
    <w:rsid w:val="005E27AF"/>
    <w:rsid w:val="005E2A9B"/>
    <w:rsid w:val="005E2AB7"/>
    <w:rsid w:val="005E2B4B"/>
    <w:rsid w:val="005E2BEA"/>
    <w:rsid w:val="005E2D5D"/>
    <w:rsid w:val="005E2DF0"/>
    <w:rsid w:val="005E2DF3"/>
    <w:rsid w:val="005E2E14"/>
    <w:rsid w:val="005E3174"/>
    <w:rsid w:val="005E333A"/>
    <w:rsid w:val="005E33CF"/>
    <w:rsid w:val="005E3422"/>
    <w:rsid w:val="005E351C"/>
    <w:rsid w:val="005E366C"/>
    <w:rsid w:val="005E36A3"/>
    <w:rsid w:val="005E3780"/>
    <w:rsid w:val="005E3849"/>
    <w:rsid w:val="005E3A11"/>
    <w:rsid w:val="005E3BC2"/>
    <w:rsid w:val="005E3BDC"/>
    <w:rsid w:val="005E3BFB"/>
    <w:rsid w:val="005E3E65"/>
    <w:rsid w:val="005E3EA5"/>
    <w:rsid w:val="005E4132"/>
    <w:rsid w:val="005E420E"/>
    <w:rsid w:val="005E43F5"/>
    <w:rsid w:val="005E4490"/>
    <w:rsid w:val="005E44D7"/>
    <w:rsid w:val="005E45C4"/>
    <w:rsid w:val="005E4667"/>
    <w:rsid w:val="005E475A"/>
    <w:rsid w:val="005E4849"/>
    <w:rsid w:val="005E4855"/>
    <w:rsid w:val="005E494E"/>
    <w:rsid w:val="005E4B0B"/>
    <w:rsid w:val="005E4B43"/>
    <w:rsid w:val="005E4B69"/>
    <w:rsid w:val="005E4BA1"/>
    <w:rsid w:val="005E4CC1"/>
    <w:rsid w:val="005E4D36"/>
    <w:rsid w:val="005E4E03"/>
    <w:rsid w:val="005E4ECF"/>
    <w:rsid w:val="005E4FC0"/>
    <w:rsid w:val="005E50FA"/>
    <w:rsid w:val="005E514C"/>
    <w:rsid w:val="005E52F0"/>
    <w:rsid w:val="005E5315"/>
    <w:rsid w:val="005E534E"/>
    <w:rsid w:val="005E53E5"/>
    <w:rsid w:val="005E5409"/>
    <w:rsid w:val="005E545E"/>
    <w:rsid w:val="005E5472"/>
    <w:rsid w:val="005E54D0"/>
    <w:rsid w:val="005E56B0"/>
    <w:rsid w:val="005E571A"/>
    <w:rsid w:val="005E57C9"/>
    <w:rsid w:val="005E57D5"/>
    <w:rsid w:val="005E5815"/>
    <w:rsid w:val="005E58D2"/>
    <w:rsid w:val="005E5A24"/>
    <w:rsid w:val="005E5A33"/>
    <w:rsid w:val="005E5B40"/>
    <w:rsid w:val="005E5B74"/>
    <w:rsid w:val="005E5CF6"/>
    <w:rsid w:val="005E5D1D"/>
    <w:rsid w:val="005E5EBE"/>
    <w:rsid w:val="005E5F10"/>
    <w:rsid w:val="005E5F61"/>
    <w:rsid w:val="005E5F94"/>
    <w:rsid w:val="005E6021"/>
    <w:rsid w:val="005E6039"/>
    <w:rsid w:val="005E60BC"/>
    <w:rsid w:val="005E6120"/>
    <w:rsid w:val="005E6150"/>
    <w:rsid w:val="005E6213"/>
    <w:rsid w:val="005E6222"/>
    <w:rsid w:val="005E628B"/>
    <w:rsid w:val="005E628F"/>
    <w:rsid w:val="005E632D"/>
    <w:rsid w:val="005E6495"/>
    <w:rsid w:val="005E64D1"/>
    <w:rsid w:val="005E666E"/>
    <w:rsid w:val="005E6790"/>
    <w:rsid w:val="005E681A"/>
    <w:rsid w:val="005E6BDD"/>
    <w:rsid w:val="005E6C3D"/>
    <w:rsid w:val="005E6C89"/>
    <w:rsid w:val="005E6C8E"/>
    <w:rsid w:val="005E6DFE"/>
    <w:rsid w:val="005E6E24"/>
    <w:rsid w:val="005E6EC7"/>
    <w:rsid w:val="005E6F61"/>
    <w:rsid w:val="005E6F86"/>
    <w:rsid w:val="005E70F9"/>
    <w:rsid w:val="005E719D"/>
    <w:rsid w:val="005E71D1"/>
    <w:rsid w:val="005E736B"/>
    <w:rsid w:val="005E73D7"/>
    <w:rsid w:val="005E752E"/>
    <w:rsid w:val="005E754D"/>
    <w:rsid w:val="005E7564"/>
    <w:rsid w:val="005E7581"/>
    <w:rsid w:val="005E75A6"/>
    <w:rsid w:val="005E769B"/>
    <w:rsid w:val="005E770C"/>
    <w:rsid w:val="005E7760"/>
    <w:rsid w:val="005E7807"/>
    <w:rsid w:val="005E78C8"/>
    <w:rsid w:val="005E79C7"/>
    <w:rsid w:val="005E7B15"/>
    <w:rsid w:val="005E7B31"/>
    <w:rsid w:val="005E7CB1"/>
    <w:rsid w:val="005E7DF2"/>
    <w:rsid w:val="005E7F8B"/>
    <w:rsid w:val="005F0073"/>
    <w:rsid w:val="005F0087"/>
    <w:rsid w:val="005F00E9"/>
    <w:rsid w:val="005F01BC"/>
    <w:rsid w:val="005F03AA"/>
    <w:rsid w:val="005F03F7"/>
    <w:rsid w:val="005F052B"/>
    <w:rsid w:val="005F052C"/>
    <w:rsid w:val="005F0605"/>
    <w:rsid w:val="005F078A"/>
    <w:rsid w:val="005F08DB"/>
    <w:rsid w:val="005F08DD"/>
    <w:rsid w:val="005F0912"/>
    <w:rsid w:val="005F0AED"/>
    <w:rsid w:val="005F0B1C"/>
    <w:rsid w:val="005F0B36"/>
    <w:rsid w:val="005F0B93"/>
    <w:rsid w:val="005F0BD5"/>
    <w:rsid w:val="005F0C27"/>
    <w:rsid w:val="005F0C4F"/>
    <w:rsid w:val="005F0CC3"/>
    <w:rsid w:val="005F0DF9"/>
    <w:rsid w:val="005F0F86"/>
    <w:rsid w:val="005F0FEA"/>
    <w:rsid w:val="005F1057"/>
    <w:rsid w:val="005F1106"/>
    <w:rsid w:val="005F155D"/>
    <w:rsid w:val="005F1572"/>
    <w:rsid w:val="005F16D5"/>
    <w:rsid w:val="005F1777"/>
    <w:rsid w:val="005F18FA"/>
    <w:rsid w:val="005F1A7F"/>
    <w:rsid w:val="005F1AEC"/>
    <w:rsid w:val="005F1C76"/>
    <w:rsid w:val="005F1D6D"/>
    <w:rsid w:val="005F1DE4"/>
    <w:rsid w:val="005F1DEF"/>
    <w:rsid w:val="005F1F53"/>
    <w:rsid w:val="005F1FCE"/>
    <w:rsid w:val="005F207B"/>
    <w:rsid w:val="005F208E"/>
    <w:rsid w:val="005F2231"/>
    <w:rsid w:val="005F22A8"/>
    <w:rsid w:val="005F22B6"/>
    <w:rsid w:val="005F2309"/>
    <w:rsid w:val="005F234E"/>
    <w:rsid w:val="005F2394"/>
    <w:rsid w:val="005F24BA"/>
    <w:rsid w:val="005F24DB"/>
    <w:rsid w:val="005F25FB"/>
    <w:rsid w:val="005F2601"/>
    <w:rsid w:val="005F26BF"/>
    <w:rsid w:val="005F2713"/>
    <w:rsid w:val="005F286D"/>
    <w:rsid w:val="005F28B4"/>
    <w:rsid w:val="005F2974"/>
    <w:rsid w:val="005F2A80"/>
    <w:rsid w:val="005F2A89"/>
    <w:rsid w:val="005F2BCA"/>
    <w:rsid w:val="005F2D31"/>
    <w:rsid w:val="005F2D68"/>
    <w:rsid w:val="005F2D6D"/>
    <w:rsid w:val="005F2DBD"/>
    <w:rsid w:val="005F2E93"/>
    <w:rsid w:val="005F2F78"/>
    <w:rsid w:val="005F2FAD"/>
    <w:rsid w:val="005F3166"/>
    <w:rsid w:val="005F31BE"/>
    <w:rsid w:val="005F326B"/>
    <w:rsid w:val="005F331F"/>
    <w:rsid w:val="005F334B"/>
    <w:rsid w:val="005F3391"/>
    <w:rsid w:val="005F33F3"/>
    <w:rsid w:val="005F3416"/>
    <w:rsid w:val="005F3673"/>
    <w:rsid w:val="005F38A4"/>
    <w:rsid w:val="005F39BD"/>
    <w:rsid w:val="005F3A15"/>
    <w:rsid w:val="005F3A40"/>
    <w:rsid w:val="005F3A59"/>
    <w:rsid w:val="005F3A5A"/>
    <w:rsid w:val="005F3B3D"/>
    <w:rsid w:val="005F3D71"/>
    <w:rsid w:val="005F3DFA"/>
    <w:rsid w:val="005F3FBB"/>
    <w:rsid w:val="005F3FD7"/>
    <w:rsid w:val="005F404F"/>
    <w:rsid w:val="005F41B3"/>
    <w:rsid w:val="005F41DF"/>
    <w:rsid w:val="005F43DA"/>
    <w:rsid w:val="005F447C"/>
    <w:rsid w:val="005F453C"/>
    <w:rsid w:val="005F4540"/>
    <w:rsid w:val="005F4587"/>
    <w:rsid w:val="005F45CE"/>
    <w:rsid w:val="005F45DE"/>
    <w:rsid w:val="005F46AE"/>
    <w:rsid w:val="005F4727"/>
    <w:rsid w:val="005F4739"/>
    <w:rsid w:val="005F47A6"/>
    <w:rsid w:val="005F4824"/>
    <w:rsid w:val="005F4871"/>
    <w:rsid w:val="005F489E"/>
    <w:rsid w:val="005F48F2"/>
    <w:rsid w:val="005F4A36"/>
    <w:rsid w:val="005F4AC7"/>
    <w:rsid w:val="005F4B70"/>
    <w:rsid w:val="005F4BA4"/>
    <w:rsid w:val="005F4BE3"/>
    <w:rsid w:val="005F4C40"/>
    <w:rsid w:val="005F4CA2"/>
    <w:rsid w:val="005F4E3B"/>
    <w:rsid w:val="005F4E40"/>
    <w:rsid w:val="005F4EFF"/>
    <w:rsid w:val="005F4F0F"/>
    <w:rsid w:val="005F5139"/>
    <w:rsid w:val="005F51D1"/>
    <w:rsid w:val="005F51E3"/>
    <w:rsid w:val="005F521E"/>
    <w:rsid w:val="005F522A"/>
    <w:rsid w:val="005F53E0"/>
    <w:rsid w:val="005F53F0"/>
    <w:rsid w:val="005F5537"/>
    <w:rsid w:val="005F5704"/>
    <w:rsid w:val="005F5852"/>
    <w:rsid w:val="005F586E"/>
    <w:rsid w:val="005F589E"/>
    <w:rsid w:val="005F5985"/>
    <w:rsid w:val="005F5A59"/>
    <w:rsid w:val="005F5A9D"/>
    <w:rsid w:val="005F5BB9"/>
    <w:rsid w:val="005F5BBE"/>
    <w:rsid w:val="005F5BC0"/>
    <w:rsid w:val="005F5BEF"/>
    <w:rsid w:val="005F5C2D"/>
    <w:rsid w:val="005F5C99"/>
    <w:rsid w:val="005F5D4D"/>
    <w:rsid w:val="005F5DA3"/>
    <w:rsid w:val="005F5E60"/>
    <w:rsid w:val="005F5E98"/>
    <w:rsid w:val="005F5FD2"/>
    <w:rsid w:val="005F6239"/>
    <w:rsid w:val="005F6295"/>
    <w:rsid w:val="005F62A9"/>
    <w:rsid w:val="005F6338"/>
    <w:rsid w:val="005F6514"/>
    <w:rsid w:val="005F65AD"/>
    <w:rsid w:val="005F674F"/>
    <w:rsid w:val="005F677C"/>
    <w:rsid w:val="005F67EA"/>
    <w:rsid w:val="005F683A"/>
    <w:rsid w:val="005F68F4"/>
    <w:rsid w:val="005F697C"/>
    <w:rsid w:val="005F6A34"/>
    <w:rsid w:val="005F6B31"/>
    <w:rsid w:val="005F6D38"/>
    <w:rsid w:val="005F6D89"/>
    <w:rsid w:val="005F6D92"/>
    <w:rsid w:val="005F6DBF"/>
    <w:rsid w:val="005F6E7F"/>
    <w:rsid w:val="005F704B"/>
    <w:rsid w:val="005F7054"/>
    <w:rsid w:val="005F7070"/>
    <w:rsid w:val="005F709A"/>
    <w:rsid w:val="005F71E9"/>
    <w:rsid w:val="005F71EF"/>
    <w:rsid w:val="005F71FD"/>
    <w:rsid w:val="005F72A2"/>
    <w:rsid w:val="005F7353"/>
    <w:rsid w:val="005F73E1"/>
    <w:rsid w:val="005F7518"/>
    <w:rsid w:val="005F7576"/>
    <w:rsid w:val="005F75D4"/>
    <w:rsid w:val="005F76A7"/>
    <w:rsid w:val="005F7731"/>
    <w:rsid w:val="005F780A"/>
    <w:rsid w:val="005F785F"/>
    <w:rsid w:val="005F78A0"/>
    <w:rsid w:val="005F78FF"/>
    <w:rsid w:val="005F792C"/>
    <w:rsid w:val="005F7972"/>
    <w:rsid w:val="005F798B"/>
    <w:rsid w:val="005F7BD0"/>
    <w:rsid w:val="005F7BEF"/>
    <w:rsid w:val="005F7C18"/>
    <w:rsid w:val="005F7C83"/>
    <w:rsid w:val="005F7C8E"/>
    <w:rsid w:val="005F7DE7"/>
    <w:rsid w:val="005F7E2B"/>
    <w:rsid w:val="005F7ED7"/>
    <w:rsid w:val="00600020"/>
    <w:rsid w:val="00600021"/>
    <w:rsid w:val="0060009C"/>
    <w:rsid w:val="006000A3"/>
    <w:rsid w:val="006000D1"/>
    <w:rsid w:val="006002F9"/>
    <w:rsid w:val="0060036F"/>
    <w:rsid w:val="00600523"/>
    <w:rsid w:val="0060054E"/>
    <w:rsid w:val="006005AE"/>
    <w:rsid w:val="0060069D"/>
    <w:rsid w:val="006006DB"/>
    <w:rsid w:val="006007DF"/>
    <w:rsid w:val="00600899"/>
    <w:rsid w:val="00600AD7"/>
    <w:rsid w:val="00600B24"/>
    <w:rsid w:val="00600B4C"/>
    <w:rsid w:val="00600B6F"/>
    <w:rsid w:val="00600CBB"/>
    <w:rsid w:val="00600CBE"/>
    <w:rsid w:val="00600DAB"/>
    <w:rsid w:val="00600E9A"/>
    <w:rsid w:val="00600F2D"/>
    <w:rsid w:val="00600F85"/>
    <w:rsid w:val="00601169"/>
    <w:rsid w:val="0060116D"/>
    <w:rsid w:val="00601191"/>
    <w:rsid w:val="00601244"/>
    <w:rsid w:val="0060148D"/>
    <w:rsid w:val="006015AB"/>
    <w:rsid w:val="00601809"/>
    <w:rsid w:val="0060194F"/>
    <w:rsid w:val="00601B9F"/>
    <w:rsid w:val="00601BE1"/>
    <w:rsid w:val="00601BF8"/>
    <w:rsid w:val="00601C10"/>
    <w:rsid w:val="00601C32"/>
    <w:rsid w:val="00601CC7"/>
    <w:rsid w:val="00601D02"/>
    <w:rsid w:val="00601D05"/>
    <w:rsid w:val="00601E37"/>
    <w:rsid w:val="00601EA1"/>
    <w:rsid w:val="00601EC5"/>
    <w:rsid w:val="00601F65"/>
    <w:rsid w:val="00601F6F"/>
    <w:rsid w:val="0060205E"/>
    <w:rsid w:val="00602109"/>
    <w:rsid w:val="006021C2"/>
    <w:rsid w:val="006021C9"/>
    <w:rsid w:val="0060223F"/>
    <w:rsid w:val="00602407"/>
    <w:rsid w:val="006024A1"/>
    <w:rsid w:val="006024C9"/>
    <w:rsid w:val="0060255F"/>
    <w:rsid w:val="006025A7"/>
    <w:rsid w:val="006025E7"/>
    <w:rsid w:val="006028A0"/>
    <w:rsid w:val="00602A89"/>
    <w:rsid w:val="00602AD0"/>
    <w:rsid w:val="00602AD1"/>
    <w:rsid w:val="00602ADB"/>
    <w:rsid w:val="00602BD1"/>
    <w:rsid w:val="00602C76"/>
    <w:rsid w:val="00602D2A"/>
    <w:rsid w:val="00602D79"/>
    <w:rsid w:val="00602EDD"/>
    <w:rsid w:val="00603098"/>
    <w:rsid w:val="006031D4"/>
    <w:rsid w:val="006031D6"/>
    <w:rsid w:val="00603273"/>
    <w:rsid w:val="0060327D"/>
    <w:rsid w:val="006032E4"/>
    <w:rsid w:val="0060330F"/>
    <w:rsid w:val="00603398"/>
    <w:rsid w:val="0060339C"/>
    <w:rsid w:val="006033C5"/>
    <w:rsid w:val="00603525"/>
    <w:rsid w:val="0060357A"/>
    <w:rsid w:val="006035B4"/>
    <w:rsid w:val="00603683"/>
    <w:rsid w:val="0060386E"/>
    <w:rsid w:val="00603884"/>
    <w:rsid w:val="0060388E"/>
    <w:rsid w:val="0060392F"/>
    <w:rsid w:val="00603947"/>
    <w:rsid w:val="006039C5"/>
    <w:rsid w:val="00603A64"/>
    <w:rsid w:val="00603B25"/>
    <w:rsid w:val="00603B79"/>
    <w:rsid w:val="00603C40"/>
    <w:rsid w:val="00603C8B"/>
    <w:rsid w:val="00603D55"/>
    <w:rsid w:val="00603E24"/>
    <w:rsid w:val="00603E35"/>
    <w:rsid w:val="00603E7E"/>
    <w:rsid w:val="00603EAC"/>
    <w:rsid w:val="00604083"/>
    <w:rsid w:val="006041E5"/>
    <w:rsid w:val="006042D4"/>
    <w:rsid w:val="00604331"/>
    <w:rsid w:val="0060436C"/>
    <w:rsid w:val="0060463F"/>
    <w:rsid w:val="00604652"/>
    <w:rsid w:val="006046AE"/>
    <w:rsid w:val="0060474E"/>
    <w:rsid w:val="006047A6"/>
    <w:rsid w:val="006049AE"/>
    <w:rsid w:val="006049D4"/>
    <w:rsid w:val="00604A2A"/>
    <w:rsid w:val="00604A3B"/>
    <w:rsid w:val="00604EFC"/>
    <w:rsid w:val="00604F96"/>
    <w:rsid w:val="0060503E"/>
    <w:rsid w:val="006050B9"/>
    <w:rsid w:val="0060516F"/>
    <w:rsid w:val="0060517C"/>
    <w:rsid w:val="00605198"/>
    <w:rsid w:val="006054EE"/>
    <w:rsid w:val="00605638"/>
    <w:rsid w:val="006056D7"/>
    <w:rsid w:val="0060571C"/>
    <w:rsid w:val="00605914"/>
    <w:rsid w:val="0060591A"/>
    <w:rsid w:val="0060598A"/>
    <w:rsid w:val="00605A3B"/>
    <w:rsid w:val="00605AD4"/>
    <w:rsid w:val="00605C42"/>
    <w:rsid w:val="00605C7F"/>
    <w:rsid w:val="00605CB5"/>
    <w:rsid w:val="00605DD2"/>
    <w:rsid w:val="00605DF8"/>
    <w:rsid w:val="00605E27"/>
    <w:rsid w:val="00605EA0"/>
    <w:rsid w:val="006060E3"/>
    <w:rsid w:val="0060611B"/>
    <w:rsid w:val="00606122"/>
    <w:rsid w:val="00606217"/>
    <w:rsid w:val="00606318"/>
    <w:rsid w:val="00606361"/>
    <w:rsid w:val="006063DF"/>
    <w:rsid w:val="006064E1"/>
    <w:rsid w:val="006065AE"/>
    <w:rsid w:val="00606674"/>
    <w:rsid w:val="00606723"/>
    <w:rsid w:val="006067B0"/>
    <w:rsid w:val="006067CA"/>
    <w:rsid w:val="006068AB"/>
    <w:rsid w:val="00606925"/>
    <w:rsid w:val="00606AE9"/>
    <w:rsid w:val="00606B23"/>
    <w:rsid w:val="00606B75"/>
    <w:rsid w:val="00606B79"/>
    <w:rsid w:val="00606C7E"/>
    <w:rsid w:val="00606D20"/>
    <w:rsid w:val="00606D56"/>
    <w:rsid w:val="00606E77"/>
    <w:rsid w:val="00606EDC"/>
    <w:rsid w:val="00607066"/>
    <w:rsid w:val="006071AB"/>
    <w:rsid w:val="006071E3"/>
    <w:rsid w:val="0060723F"/>
    <w:rsid w:val="0060728D"/>
    <w:rsid w:val="0060735D"/>
    <w:rsid w:val="0060736D"/>
    <w:rsid w:val="00607444"/>
    <w:rsid w:val="006074F1"/>
    <w:rsid w:val="0060757C"/>
    <w:rsid w:val="00607589"/>
    <w:rsid w:val="00607603"/>
    <w:rsid w:val="0060763D"/>
    <w:rsid w:val="0060774D"/>
    <w:rsid w:val="0060791B"/>
    <w:rsid w:val="00607A0E"/>
    <w:rsid w:val="00607A25"/>
    <w:rsid w:val="00607B30"/>
    <w:rsid w:val="00607B81"/>
    <w:rsid w:val="00607D88"/>
    <w:rsid w:val="00607D92"/>
    <w:rsid w:val="00607EF0"/>
    <w:rsid w:val="00607F96"/>
    <w:rsid w:val="00607FA6"/>
    <w:rsid w:val="00607FED"/>
    <w:rsid w:val="00610020"/>
    <w:rsid w:val="006101CF"/>
    <w:rsid w:val="006101E2"/>
    <w:rsid w:val="0061024B"/>
    <w:rsid w:val="0061036B"/>
    <w:rsid w:val="006104FF"/>
    <w:rsid w:val="006107D9"/>
    <w:rsid w:val="006107EC"/>
    <w:rsid w:val="00610875"/>
    <w:rsid w:val="00610953"/>
    <w:rsid w:val="00610A94"/>
    <w:rsid w:val="00610AC8"/>
    <w:rsid w:val="00610B42"/>
    <w:rsid w:val="00610B93"/>
    <w:rsid w:val="00610CC6"/>
    <w:rsid w:val="00610CDD"/>
    <w:rsid w:val="00610DAA"/>
    <w:rsid w:val="00610E1C"/>
    <w:rsid w:val="00610E81"/>
    <w:rsid w:val="00610F0C"/>
    <w:rsid w:val="00610F26"/>
    <w:rsid w:val="0061100A"/>
    <w:rsid w:val="006111F9"/>
    <w:rsid w:val="0061127E"/>
    <w:rsid w:val="00611311"/>
    <w:rsid w:val="00611494"/>
    <w:rsid w:val="006114F4"/>
    <w:rsid w:val="006114F7"/>
    <w:rsid w:val="006114F8"/>
    <w:rsid w:val="00611582"/>
    <w:rsid w:val="0061170C"/>
    <w:rsid w:val="0061174C"/>
    <w:rsid w:val="00611767"/>
    <w:rsid w:val="00611793"/>
    <w:rsid w:val="006117C5"/>
    <w:rsid w:val="006117E5"/>
    <w:rsid w:val="00611829"/>
    <w:rsid w:val="0061182B"/>
    <w:rsid w:val="00611864"/>
    <w:rsid w:val="00611A56"/>
    <w:rsid w:val="00611BD5"/>
    <w:rsid w:val="00611BEE"/>
    <w:rsid w:val="00611C1A"/>
    <w:rsid w:val="00611C82"/>
    <w:rsid w:val="00611CCC"/>
    <w:rsid w:val="00611EA5"/>
    <w:rsid w:val="00611EE4"/>
    <w:rsid w:val="00612015"/>
    <w:rsid w:val="00612023"/>
    <w:rsid w:val="006120C9"/>
    <w:rsid w:val="00612212"/>
    <w:rsid w:val="0061227A"/>
    <w:rsid w:val="006122E3"/>
    <w:rsid w:val="00612454"/>
    <w:rsid w:val="00612482"/>
    <w:rsid w:val="00612490"/>
    <w:rsid w:val="006124D5"/>
    <w:rsid w:val="00612535"/>
    <w:rsid w:val="006126F1"/>
    <w:rsid w:val="0061273E"/>
    <w:rsid w:val="00612765"/>
    <w:rsid w:val="006127D0"/>
    <w:rsid w:val="0061284F"/>
    <w:rsid w:val="0061291C"/>
    <w:rsid w:val="00612957"/>
    <w:rsid w:val="00612A4B"/>
    <w:rsid w:val="00612B7C"/>
    <w:rsid w:val="00612C62"/>
    <w:rsid w:val="00612D96"/>
    <w:rsid w:val="00612F7B"/>
    <w:rsid w:val="00612F7F"/>
    <w:rsid w:val="00612FCB"/>
    <w:rsid w:val="0061310A"/>
    <w:rsid w:val="00613217"/>
    <w:rsid w:val="006133BE"/>
    <w:rsid w:val="006133C7"/>
    <w:rsid w:val="006133DE"/>
    <w:rsid w:val="006134CB"/>
    <w:rsid w:val="0061350A"/>
    <w:rsid w:val="00613636"/>
    <w:rsid w:val="0061364D"/>
    <w:rsid w:val="0061368B"/>
    <w:rsid w:val="00613697"/>
    <w:rsid w:val="006137CD"/>
    <w:rsid w:val="006137CE"/>
    <w:rsid w:val="0061392B"/>
    <w:rsid w:val="00613A10"/>
    <w:rsid w:val="00613A1D"/>
    <w:rsid w:val="00613B3D"/>
    <w:rsid w:val="00613BE4"/>
    <w:rsid w:val="00613CD5"/>
    <w:rsid w:val="00613D12"/>
    <w:rsid w:val="00613D85"/>
    <w:rsid w:val="00613D8F"/>
    <w:rsid w:val="00613F51"/>
    <w:rsid w:val="00614032"/>
    <w:rsid w:val="0061411E"/>
    <w:rsid w:val="0061413C"/>
    <w:rsid w:val="00614142"/>
    <w:rsid w:val="006141A8"/>
    <w:rsid w:val="006141DF"/>
    <w:rsid w:val="00614225"/>
    <w:rsid w:val="00614294"/>
    <w:rsid w:val="006142D6"/>
    <w:rsid w:val="006142DA"/>
    <w:rsid w:val="006143B3"/>
    <w:rsid w:val="006143CA"/>
    <w:rsid w:val="00614416"/>
    <w:rsid w:val="006145F7"/>
    <w:rsid w:val="006148BA"/>
    <w:rsid w:val="006148ED"/>
    <w:rsid w:val="006148FE"/>
    <w:rsid w:val="00614A43"/>
    <w:rsid w:val="00614B0F"/>
    <w:rsid w:val="00614C6B"/>
    <w:rsid w:val="00614CF4"/>
    <w:rsid w:val="00614D23"/>
    <w:rsid w:val="00614E17"/>
    <w:rsid w:val="00614FF2"/>
    <w:rsid w:val="006150F8"/>
    <w:rsid w:val="0061532F"/>
    <w:rsid w:val="0061541B"/>
    <w:rsid w:val="00615460"/>
    <w:rsid w:val="00615549"/>
    <w:rsid w:val="006155C1"/>
    <w:rsid w:val="006155F3"/>
    <w:rsid w:val="0061562A"/>
    <w:rsid w:val="00615695"/>
    <w:rsid w:val="00615801"/>
    <w:rsid w:val="0061583B"/>
    <w:rsid w:val="00615855"/>
    <w:rsid w:val="006158B9"/>
    <w:rsid w:val="00615955"/>
    <w:rsid w:val="0061596B"/>
    <w:rsid w:val="006159B7"/>
    <w:rsid w:val="00615B37"/>
    <w:rsid w:val="00615B4A"/>
    <w:rsid w:val="00615B9D"/>
    <w:rsid w:val="00615C47"/>
    <w:rsid w:val="00615D9B"/>
    <w:rsid w:val="00615E3A"/>
    <w:rsid w:val="00615ED5"/>
    <w:rsid w:val="00615F24"/>
    <w:rsid w:val="00616297"/>
    <w:rsid w:val="006162BB"/>
    <w:rsid w:val="006162FF"/>
    <w:rsid w:val="00616327"/>
    <w:rsid w:val="00616572"/>
    <w:rsid w:val="006165A2"/>
    <w:rsid w:val="006166D2"/>
    <w:rsid w:val="00616736"/>
    <w:rsid w:val="00616835"/>
    <w:rsid w:val="00616A78"/>
    <w:rsid w:val="00616B15"/>
    <w:rsid w:val="00616BB6"/>
    <w:rsid w:val="00616BD0"/>
    <w:rsid w:val="00616C8C"/>
    <w:rsid w:val="00616D8B"/>
    <w:rsid w:val="00616EEF"/>
    <w:rsid w:val="00616F8A"/>
    <w:rsid w:val="00616FCF"/>
    <w:rsid w:val="00617036"/>
    <w:rsid w:val="0061720F"/>
    <w:rsid w:val="006174A6"/>
    <w:rsid w:val="006174AA"/>
    <w:rsid w:val="006174BC"/>
    <w:rsid w:val="006175FE"/>
    <w:rsid w:val="00617607"/>
    <w:rsid w:val="00617867"/>
    <w:rsid w:val="00617AB7"/>
    <w:rsid w:val="00617B74"/>
    <w:rsid w:val="00617D1A"/>
    <w:rsid w:val="00617D2E"/>
    <w:rsid w:val="00617D7F"/>
    <w:rsid w:val="00617FA4"/>
    <w:rsid w:val="00620164"/>
    <w:rsid w:val="0062016D"/>
    <w:rsid w:val="0062018A"/>
    <w:rsid w:val="006201E0"/>
    <w:rsid w:val="006202D6"/>
    <w:rsid w:val="00620335"/>
    <w:rsid w:val="0062047A"/>
    <w:rsid w:val="006204CA"/>
    <w:rsid w:val="00620733"/>
    <w:rsid w:val="006208B0"/>
    <w:rsid w:val="00620998"/>
    <w:rsid w:val="00620D81"/>
    <w:rsid w:val="006211A5"/>
    <w:rsid w:val="006211EA"/>
    <w:rsid w:val="00621238"/>
    <w:rsid w:val="00621357"/>
    <w:rsid w:val="00621358"/>
    <w:rsid w:val="006213B3"/>
    <w:rsid w:val="006213C1"/>
    <w:rsid w:val="006213CB"/>
    <w:rsid w:val="00621432"/>
    <w:rsid w:val="0062143B"/>
    <w:rsid w:val="0062145C"/>
    <w:rsid w:val="006216B2"/>
    <w:rsid w:val="00621725"/>
    <w:rsid w:val="00621744"/>
    <w:rsid w:val="00621790"/>
    <w:rsid w:val="006217C6"/>
    <w:rsid w:val="00621925"/>
    <w:rsid w:val="00621978"/>
    <w:rsid w:val="00621A7F"/>
    <w:rsid w:val="00621C9F"/>
    <w:rsid w:val="00621D8C"/>
    <w:rsid w:val="00621EFC"/>
    <w:rsid w:val="00621F64"/>
    <w:rsid w:val="00621FD9"/>
    <w:rsid w:val="00621FFD"/>
    <w:rsid w:val="006220B4"/>
    <w:rsid w:val="006221B1"/>
    <w:rsid w:val="0062242B"/>
    <w:rsid w:val="0062243D"/>
    <w:rsid w:val="006224A4"/>
    <w:rsid w:val="006226C0"/>
    <w:rsid w:val="006229B5"/>
    <w:rsid w:val="006229F1"/>
    <w:rsid w:val="00622B30"/>
    <w:rsid w:val="00622B66"/>
    <w:rsid w:val="00622BA5"/>
    <w:rsid w:val="00622CB7"/>
    <w:rsid w:val="00622CBE"/>
    <w:rsid w:val="00622CC8"/>
    <w:rsid w:val="00622D40"/>
    <w:rsid w:val="00622EB8"/>
    <w:rsid w:val="00622F1C"/>
    <w:rsid w:val="00622FA7"/>
    <w:rsid w:val="00623019"/>
    <w:rsid w:val="006230A1"/>
    <w:rsid w:val="006231B1"/>
    <w:rsid w:val="006231D5"/>
    <w:rsid w:val="0062335E"/>
    <w:rsid w:val="00623446"/>
    <w:rsid w:val="0062344C"/>
    <w:rsid w:val="00623485"/>
    <w:rsid w:val="006234ED"/>
    <w:rsid w:val="006235A7"/>
    <w:rsid w:val="006236D7"/>
    <w:rsid w:val="00623781"/>
    <w:rsid w:val="006237DD"/>
    <w:rsid w:val="00623888"/>
    <w:rsid w:val="006238A7"/>
    <w:rsid w:val="00623A22"/>
    <w:rsid w:val="00623A74"/>
    <w:rsid w:val="00623A94"/>
    <w:rsid w:val="00623B00"/>
    <w:rsid w:val="00623BC5"/>
    <w:rsid w:val="00623CCD"/>
    <w:rsid w:val="00623D18"/>
    <w:rsid w:val="00623E44"/>
    <w:rsid w:val="00623EBE"/>
    <w:rsid w:val="00623F1A"/>
    <w:rsid w:val="00623FBB"/>
    <w:rsid w:val="00624050"/>
    <w:rsid w:val="0062411A"/>
    <w:rsid w:val="006243F8"/>
    <w:rsid w:val="0062440B"/>
    <w:rsid w:val="00624488"/>
    <w:rsid w:val="00624644"/>
    <w:rsid w:val="006247A2"/>
    <w:rsid w:val="00624925"/>
    <w:rsid w:val="00624942"/>
    <w:rsid w:val="00624A53"/>
    <w:rsid w:val="00624B76"/>
    <w:rsid w:val="00624B9A"/>
    <w:rsid w:val="00624C77"/>
    <w:rsid w:val="00624E07"/>
    <w:rsid w:val="00624F00"/>
    <w:rsid w:val="00625020"/>
    <w:rsid w:val="00625033"/>
    <w:rsid w:val="0062510B"/>
    <w:rsid w:val="006253C9"/>
    <w:rsid w:val="00625404"/>
    <w:rsid w:val="0062549F"/>
    <w:rsid w:val="006254FE"/>
    <w:rsid w:val="00625545"/>
    <w:rsid w:val="0062576A"/>
    <w:rsid w:val="00625782"/>
    <w:rsid w:val="006258A7"/>
    <w:rsid w:val="0062593C"/>
    <w:rsid w:val="00625954"/>
    <w:rsid w:val="00625985"/>
    <w:rsid w:val="006259A5"/>
    <w:rsid w:val="006259EA"/>
    <w:rsid w:val="00625A03"/>
    <w:rsid w:val="00625A5F"/>
    <w:rsid w:val="00625B3C"/>
    <w:rsid w:val="00625B9C"/>
    <w:rsid w:val="00625C14"/>
    <w:rsid w:val="00625C7A"/>
    <w:rsid w:val="00625E09"/>
    <w:rsid w:val="00625F1C"/>
    <w:rsid w:val="00625F5E"/>
    <w:rsid w:val="006260BD"/>
    <w:rsid w:val="006260EA"/>
    <w:rsid w:val="006260FB"/>
    <w:rsid w:val="006261A3"/>
    <w:rsid w:val="006261A4"/>
    <w:rsid w:val="006262AE"/>
    <w:rsid w:val="00626394"/>
    <w:rsid w:val="006263A7"/>
    <w:rsid w:val="006263A8"/>
    <w:rsid w:val="006264BC"/>
    <w:rsid w:val="006264D1"/>
    <w:rsid w:val="00626544"/>
    <w:rsid w:val="00626597"/>
    <w:rsid w:val="006265CC"/>
    <w:rsid w:val="006265E7"/>
    <w:rsid w:val="006267AE"/>
    <w:rsid w:val="006267C3"/>
    <w:rsid w:val="006267F2"/>
    <w:rsid w:val="00626848"/>
    <w:rsid w:val="0062684D"/>
    <w:rsid w:val="0062699A"/>
    <w:rsid w:val="00626A09"/>
    <w:rsid w:val="00626AEE"/>
    <w:rsid w:val="00626BE0"/>
    <w:rsid w:val="00626C96"/>
    <w:rsid w:val="00626D04"/>
    <w:rsid w:val="00626D61"/>
    <w:rsid w:val="00626D7D"/>
    <w:rsid w:val="00626D89"/>
    <w:rsid w:val="00626DB9"/>
    <w:rsid w:val="00626E94"/>
    <w:rsid w:val="00626FDA"/>
    <w:rsid w:val="006270CD"/>
    <w:rsid w:val="00627106"/>
    <w:rsid w:val="0062713D"/>
    <w:rsid w:val="006273D5"/>
    <w:rsid w:val="00627545"/>
    <w:rsid w:val="0062776C"/>
    <w:rsid w:val="006277BD"/>
    <w:rsid w:val="006277F3"/>
    <w:rsid w:val="00627817"/>
    <w:rsid w:val="0062781E"/>
    <w:rsid w:val="00627825"/>
    <w:rsid w:val="00627B30"/>
    <w:rsid w:val="00627BD0"/>
    <w:rsid w:val="00627DFA"/>
    <w:rsid w:val="00627E95"/>
    <w:rsid w:val="00627EB8"/>
    <w:rsid w:val="00627F45"/>
    <w:rsid w:val="006300C0"/>
    <w:rsid w:val="006300C7"/>
    <w:rsid w:val="006300CB"/>
    <w:rsid w:val="0063014C"/>
    <w:rsid w:val="006301B0"/>
    <w:rsid w:val="006302D0"/>
    <w:rsid w:val="0063037F"/>
    <w:rsid w:val="00630547"/>
    <w:rsid w:val="0063059F"/>
    <w:rsid w:val="006305FA"/>
    <w:rsid w:val="0063071D"/>
    <w:rsid w:val="0063075E"/>
    <w:rsid w:val="006307B0"/>
    <w:rsid w:val="006307EF"/>
    <w:rsid w:val="0063082A"/>
    <w:rsid w:val="0063087E"/>
    <w:rsid w:val="006308D0"/>
    <w:rsid w:val="006308DA"/>
    <w:rsid w:val="006309C1"/>
    <w:rsid w:val="00630A74"/>
    <w:rsid w:val="00630AA6"/>
    <w:rsid w:val="00630AD1"/>
    <w:rsid w:val="00630AE9"/>
    <w:rsid w:val="00630D21"/>
    <w:rsid w:val="00630D93"/>
    <w:rsid w:val="00630DC5"/>
    <w:rsid w:val="00631196"/>
    <w:rsid w:val="00631499"/>
    <w:rsid w:val="006314A4"/>
    <w:rsid w:val="006314DC"/>
    <w:rsid w:val="0063150B"/>
    <w:rsid w:val="006315D8"/>
    <w:rsid w:val="00631700"/>
    <w:rsid w:val="00631774"/>
    <w:rsid w:val="0063177A"/>
    <w:rsid w:val="006317E5"/>
    <w:rsid w:val="00631827"/>
    <w:rsid w:val="0063186C"/>
    <w:rsid w:val="006318A6"/>
    <w:rsid w:val="006318ED"/>
    <w:rsid w:val="00631A1E"/>
    <w:rsid w:val="00631A75"/>
    <w:rsid w:val="00631B7F"/>
    <w:rsid w:val="00631BB9"/>
    <w:rsid w:val="00631BDE"/>
    <w:rsid w:val="00631C23"/>
    <w:rsid w:val="00631C55"/>
    <w:rsid w:val="00631D26"/>
    <w:rsid w:val="00631E49"/>
    <w:rsid w:val="00631E5A"/>
    <w:rsid w:val="00631FC2"/>
    <w:rsid w:val="00631FE2"/>
    <w:rsid w:val="00632017"/>
    <w:rsid w:val="006320A5"/>
    <w:rsid w:val="006320E6"/>
    <w:rsid w:val="0063217D"/>
    <w:rsid w:val="00632182"/>
    <w:rsid w:val="00632260"/>
    <w:rsid w:val="00632270"/>
    <w:rsid w:val="0063227E"/>
    <w:rsid w:val="0063227F"/>
    <w:rsid w:val="0063235E"/>
    <w:rsid w:val="0063238F"/>
    <w:rsid w:val="00632549"/>
    <w:rsid w:val="00632643"/>
    <w:rsid w:val="0063264C"/>
    <w:rsid w:val="00632701"/>
    <w:rsid w:val="0063270D"/>
    <w:rsid w:val="00632841"/>
    <w:rsid w:val="006328E6"/>
    <w:rsid w:val="006329DD"/>
    <w:rsid w:val="00632A5B"/>
    <w:rsid w:val="00632AC4"/>
    <w:rsid w:val="00632B30"/>
    <w:rsid w:val="00632B46"/>
    <w:rsid w:val="00632BD6"/>
    <w:rsid w:val="00632BEA"/>
    <w:rsid w:val="00632D4C"/>
    <w:rsid w:val="00632DD0"/>
    <w:rsid w:val="00632DD7"/>
    <w:rsid w:val="00632EEA"/>
    <w:rsid w:val="00633051"/>
    <w:rsid w:val="00633289"/>
    <w:rsid w:val="00633312"/>
    <w:rsid w:val="00633370"/>
    <w:rsid w:val="006333F1"/>
    <w:rsid w:val="006334CB"/>
    <w:rsid w:val="006334F0"/>
    <w:rsid w:val="00633534"/>
    <w:rsid w:val="00633651"/>
    <w:rsid w:val="006336E6"/>
    <w:rsid w:val="006336F6"/>
    <w:rsid w:val="00633709"/>
    <w:rsid w:val="0063387C"/>
    <w:rsid w:val="0063399B"/>
    <w:rsid w:val="006339F6"/>
    <w:rsid w:val="00633A03"/>
    <w:rsid w:val="00633A0B"/>
    <w:rsid w:val="00633AA1"/>
    <w:rsid w:val="00633ACA"/>
    <w:rsid w:val="00633B36"/>
    <w:rsid w:val="00633B48"/>
    <w:rsid w:val="00633C3E"/>
    <w:rsid w:val="00633C41"/>
    <w:rsid w:val="00633D09"/>
    <w:rsid w:val="00633F1D"/>
    <w:rsid w:val="00633FB8"/>
    <w:rsid w:val="00634061"/>
    <w:rsid w:val="006340B0"/>
    <w:rsid w:val="006341B6"/>
    <w:rsid w:val="00634357"/>
    <w:rsid w:val="006343DA"/>
    <w:rsid w:val="00634417"/>
    <w:rsid w:val="006344B3"/>
    <w:rsid w:val="006344C8"/>
    <w:rsid w:val="006344DC"/>
    <w:rsid w:val="00634511"/>
    <w:rsid w:val="006345D5"/>
    <w:rsid w:val="006347BE"/>
    <w:rsid w:val="006347F4"/>
    <w:rsid w:val="0063481F"/>
    <w:rsid w:val="0063485E"/>
    <w:rsid w:val="00634875"/>
    <w:rsid w:val="00634907"/>
    <w:rsid w:val="00634955"/>
    <w:rsid w:val="00634970"/>
    <w:rsid w:val="00634981"/>
    <w:rsid w:val="00634999"/>
    <w:rsid w:val="00634AAD"/>
    <w:rsid w:val="00634D2E"/>
    <w:rsid w:val="00634D3E"/>
    <w:rsid w:val="00634D74"/>
    <w:rsid w:val="00634E3C"/>
    <w:rsid w:val="00634E70"/>
    <w:rsid w:val="00634E86"/>
    <w:rsid w:val="00634F1C"/>
    <w:rsid w:val="00634FA6"/>
    <w:rsid w:val="00635042"/>
    <w:rsid w:val="00635077"/>
    <w:rsid w:val="006350C8"/>
    <w:rsid w:val="00635256"/>
    <w:rsid w:val="0063525F"/>
    <w:rsid w:val="006354BA"/>
    <w:rsid w:val="00635617"/>
    <w:rsid w:val="0063564E"/>
    <w:rsid w:val="006357CB"/>
    <w:rsid w:val="006357CE"/>
    <w:rsid w:val="006358A8"/>
    <w:rsid w:val="00635A85"/>
    <w:rsid w:val="00635AB5"/>
    <w:rsid w:val="00635E05"/>
    <w:rsid w:val="0063617F"/>
    <w:rsid w:val="006361A2"/>
    <w:rsid w:val="0063628B"/>
    <w:rsid w:val="006362C8"/>
    <w:rsid w:val="006362EC"/>
    <w:rsid w:val="00636555"/>
    <w:rsid w:val="00636561"/>
    <w:rsid w:val="0063656F"/>
    <w:rsid w:val="00636781"/>
    <w:rsid w:val="0063685D"/>
    <w:rsid w:val="00636877"/>
    <w:rsid w:val="0063693E"/>
    <w:rsid w:val="00636966"/>
    <w:rsid w:val="00636984"/>
    <w:rsid w:val="006369A6"/>
    <w:rsid w:val="00636A00"/>
    <w:rsid w:val="00636B65"/>
    <w:rsid w:val="00636BF8"/>
    <w:rsid w:val="00636C0E"/>
    <w:rsid w:val="00636C72"/>
    <w:rsid w:val="00636DE1"/>
    <w:rsid w:val="00636E8D"/>
    <w:rsid w:val="00636EE4"/>
    <w:rsid w:val="00636F35"/>
    <w:rsid w:val="00636FAC"/>
    <w:rsid w:val="006370CA"/>
    <w:rsid w:val="006370DD"/>
    <w:rsid w:val="006370F3"/>
    <w:rsid w:val="00637202"/>
    <w:rsid w:val="006373DC"/>
    <w:rsid w:val="00637570"/>
    <w:rsid w:val="00637789"/>
    <w:rsid w:val="0063784E"/>
    <w:rsid w:val="006379C7"/>
    <w:rsid w:val="006379D4"/>
    <w:rsid w:val="006379EB"/>
    <w:rsid w:val="00637A42"/>
    <w:rsid w:val="00637A43"/>
    <w:rsid w:val="00637A98"/>
    <w:rsid w:val="00637B23"/>
    <w:rsid w:val="00637C47"/>
    <w:rsid w:val="00637C72"/>
    <w:rsid w:val="00637DA9"/>
    <w:rsid w:val="00637E12"/>
    <w:rsid w:val="00637E56"/>
    <w:rsid w:val="00637E8D"/>
    <w:rsid w:val="00637F2A"/>
    <w:rsid w:val="006400A0"/>
    <w:rsid w:val="006400A3"/>
    <w:rsid w:val="0064029F"/>
    <w:rsid w:val="006402FF"/>
    <w:rsid w:val="00640365"/>
    <w:rsid w:val="00640417"/>
    <w:rsid w:val="0064052A"/>
    <w:rsid w:val="0064055C"/>
    <w:rsid w:val="00640652"/>
    <w:rsid w:val="006407A6"/>
    <w:rsid w:val="006407B1"/>
    <w:rsid w:val="0064082B"/>
    <w:rsid w:val="006408DA"/>
    <w:rsid w:val="006408ED"/>
    <w:rsid w:val="00640943"/>
    <w:rsid w:val="00640958"/>
    <w:rsid w:val="006409A6"/>
    <w:rsid w:val="00640AE1"/>
    <w:rsid w:val="00640B08"/>
    <w:rsid w:val="00640B19"/>
    <w:rsid w:val="00640C28"/>
    <w:rsid w:val="00640C3A"/>
    <w:rsid w:val="00640D96"/>
    <w:rsid w:val="00640E43"/>
    <w:rsid w:val="00640EF7"/>
    <w:rsid w:val="006410EC"/>
    <w:rsid w:val="006412F8"/>
    <w:rsid w:val="00641305"/>
    <w:rsid w:val="0064131E"/>
    <w:rsid w:val="00641385"/>
    <w:rsid w:val="0064141E"/>
    <w:rsid w:val="006414C8"/>
    <w:rsid w:val="0064161F"/>
    <w:rsid w:val="0064169C"/>
    <w:rsid w:val="006419A6"/>
    <w:rsid w:val="00641A08"/>
    <w:rsid w:val="00641AEF"/>
    <w:rsid w:val="00641B30"/>
    <w:rsid w:val="00641B31"/>
    <w:rsid w:val="00641B40"/>
    <w:rsid w:val="00641B49"/>
    <w:rsid w:val="00641C7E"/>
    <w:rsid w:val="00641D45"/>
    <w:rsid w:val="00641D6A"/>
    <w:rsid w:val="00641DEC"/>
    <w:rsid w:val="00641F22"/>
    <w:rsid w:val="00641FBE"/>
    <w:rsid w:val="00642183"/>
    <w:rsid w:val="006421D2"/>
    <w:rsid w:val="0064221F"/>
    <w:rsid w:val="006423E0"/>
    <w:rsid w:val="006424A9"/>
    <w:rsid w:val="006425AB"/>
    <w:rsid w:val="0064263F"/>
    <w:rsid w:val="00642670"/>
    <w:rsid w:val="00642717"/>
    <w:rsid w:val="00642744"/>
    <w:rsid w:val="0064278D"/>
    <w:rsid w:val="006427C4"/>
    <w:rsid w:val="006428B4"/>
    <w:rsid w:val="006428E2"/>
    <w:rsid w:val="0064292F"/>
    <w:rsid w:val="00642948"/>
    <w:rsid w:val="0064294E"/>
    <w:rsid w:val="00642971"/>
    <w:rsid w:val="006429DE"/>
    <w:rsid w:val="00642AC3"/>
    <w:rsid w:val="00642B1B"/>
    <w:rsid w:val="00642C4E"/>
    <w:rsid w:val="00642D89"/>
    <w:rsid w:val="00642E8B"/>
    <w:rsid w:val="00643030"/>
    <w:rsid w:val="00643038"/>
    <w:rsid w:val="0064303C"/>
    <w:rsid w:val="00643075"/>
    <w:rsid w:val="00643134"/>
    <w:rsid w:val="0064316C"/>
    <w:rsid w:val="0064316E"/>
    <w:rsid w:val="006431DD"/>
    <w:rsid w:val="00643222"/>
    <w:rsid w:val="00643312"/>
    <w:rsid w:val="0064333F"/>
    <w:rsid w:val="006433CC"/>
    <w:rsid w:val="00643428"/>
    <w:rsid w:val="00643437"/>
    <w:rsid w:val="006434CA"/>
    <w:rsid w:val="006434ED"/>
    <w:rsid w:val="006435EB"/>
    <w:rsid w:val="00643860"/>
    <w:rsid w:val="006438EF"/>
    <w:rsid w:val="00643924"/>
    <w:rsid w:val="00643955"/>
    <w:rsid w:val="00643ABF"/>
    <w:rsid w:val="00643B52"/>
    <w:rsid w:val="00643DA6"/>
    <w:rsid w:val="00643E05"/>
    <w:rsid w:val="00643E88"/>
    <w:rsid w:val="00643F63"/>
    <w:rsid w:val="00643F80"/>
    <w:rsid w:val="00644009"/>
    <w:rsid w:val="00644014"/>
    <w:rsid w:val="006441CE"/>
    <w:rsid w:val="006442C1"/>
    <w:rsid w:val="00644331"/>
    <w:rsid w:val="006443CC"/>
    <w:rsid w:val="006443DE"/>
    <w:rsid w:val="00644464"/>
    <w:rsid w:val="006444F6"/>
    <w:rsid w:val="00644507"/>
    <w:rsid w:val="006445D6"/>
    <w:rsid w:val="006445FA"/>
    <w:rsid w:val="0064462B"/>
    <w:rsid w:val="00644690"/>
    <w:rsid w:val="0064473F"/>
    <w:rsid w:val="00644907"/>
    <w:rsid w:val="00644979"/>
    <w:rsid w:val="006449B9"/>
    <w:rsid w:val="00644A85"/>
    <w:rsid w:val="00644A95"/>
    <w:rsid w:val="00644C3D"/>
    <w:rsid w:val="00644CBE"/>
    <w:rsid w:val="00644DFB"/>
    <w:rsid w:val="00644F9D"/>
    <w:rsid w:val="00644FF3"/>
    <w:rsid w:val="006451AE"/>
    <w:rsid w:val="00645218"/>
    <w:rsid w:val="006452B0"/>
    <w:rsid w:val="00645695"/>
    <w:rsid w:val="006456AA"/>
    <w:rsid w:val="00645712"/>
    <w:rsid w:val="00645786"/>
    <w:rsid w:val="0064579C"/>
    <w:rsid w:val="006458C0"/>
    <w:rsid w:val="00645AA0"/>
    <w:rsid w:val="00645BCF"/>
    <w:rsid w:val="00645CA3"/>
    <w:rsid w:val="00645CD5"/>
    <w:rsid w:val="00645DBC"/>
    <w:rsid w:val="00645E36"/>
    <w:rsid w:val="00645E8C"/>
    <w:rsid w:val="00645E96"/>
    <w:rsid w:val="00645F27"/>
    <w:rsid w:val="0064603A"/>
    <w:rsid w:val="006460E9"/>
    <w:rsid w:val="00646120"/>
    <w:rsid w:val="00646183"/>
    <w:rsid w:val="00646218"/>
    <w:rsid w:val="0064630C"/>
    <w:rsid w:val="00646360"/>
    <w:rsid w:val="006463A3"/>
    <w:rsid w:val="006464CA"/>
    <w:rsid w:val="006465CC"/>
    <w:rsid w:val="00646741"/>
    <w:rsid w:val="00646751"/>
    <w:rsid w:val="0064675F"/>
    <w:rsid w:val="006467A0"/>
    <w:rsid w:val="006467BE"/>
    <w:rsid w:val="00646823"/>
    <w:rsid w:val="00646833"/>
    <w:rsid w:val="0064689A"/>
    <w:rsid w:val="006468D2"/>
    <w:rsid w:val="00646B4F"/>
    <w:rsid w:val="00646B65"/>
    <w:rsid w:val="00646BA4"/>
    <w:rsid w:val="00646C4E"/>
    <w:rsid w:val="00646CAC"/>
    <w:rsid w:val="00646CFE"/>
    <w:rsid w:val="00646F46"/>
    <w:rsid w:val="00647090"/>
    <w:rsid w:val="00647091"/>
    <w:rsid w:val="006470A7"/>
    <w:rsid w:val="006470B2"/>
    <w:rsid w:val="0064715B"/>
    <w:rsid w:val="0064717D"/>
    <w:rsid w:val="006471C5"/>
    <w:rsid w:val="00647298"/>
    <w:rsid w:val="00647396"/>
    <w:rsid w:val="006473DE"/>
    <w:rsid w:val="006476A3"/>
    <w:rsid w:val="006476BF"/>
    <w:rsid w:val="0064771B"/>
    <w:rsid w:val="00647778"/>
    <w:rsid w:val="006478EB"/>
    <w:rsid w:val="00647916"/>
    <w:rsid w:val="0064792A"/>
    <w:rsid w:val="00647956"/>
    <w:rsid w:val="00647C1C"/>
    <w:rsid w:val="00647D0A"/>
    <w:rsid w:val="00647D84"/>
    <w:rsid w:val="00647DDD"/>
    <w:rsid w:val="00650217"/>
    <w:rsid w:val="0065024B"/>
    <w:rsid w:val="00650360"/>
    <w:rsid w:val="00650447"/>
    <w:rsid w:val="00650520"/>
    <w:rsid w:val="00650564"/>
    <w:rsid w:val="0065058B"/>
    <w:rsid w:val="0065060D"/>
    <w:rsid w:val="00650611"/>
    <w:rsid w:val="006506AD"/>
    <w:rsid w:val="00650701"/>
    <w:rsid w:val="0065080B"/>
    <w:rsid w:val="00650829"/>
    <w:rsid w:val="0065082B"/>
    <w:rsid w:val="00650831"/>
    <w:rsid w:val="00650833"/>
    <w:rsid w:val="0065087C"/>
    <w:rsid w:val="0065090A"/>
    <w:rsid w:val="00650A33"/>
    <w:rsid w:val="00650AC2"/>
    <w:rsid w:val="00650AF6"/>
    <w:rsid w:val="00650B9D"/>
    <w:rsid w:val="00650BA6"/>
    <w:rsid w:val="00650C5E"/>
    <w:rsid w:val="00650C92"/>
    <w:rsid w:val="00650E57"/>
    <w:rsid w:val="00650F52"/>
    <w:rsid w:val="00650FF7"/>
    <w:rsid w:val="006510A2"/>
    <w:rsid w:val="006510B0"/>
    <w:rsid w:val="0065110B"/>
    <w:rsid w:val="006511A2"/>
    <w:rsid w:val="006514D6"/>
    <w:rsid w:val="006515BF"/>
    <w:rsid w:val="006515CE"/>
    <w:rsid w:val="006516B3"/>
    <w:rsid w:val="006516C1"/>
    <w:rsid w:val="006516FD"/>
    <w:rsid w:val="0065183E"/>
    <w:rsid w:val="00651897"/>
    <w:rsid w:val="006518BD"/>
    <w:rsid w:val="00651957"/>
    <w:rsid w:val="0065197F"/>
    <w:rsid w:val="006519B4"/>
    <w:rsid w:val="00651A0C"/>
    <w:rsid w:val="00651A1D"/>
    <w:rsid w:val="00651A35"/>
    <w:rsid w:val="00651B55"/>
    <w:rsid w:val="00651D2F"/>
    <w:rsid w:val="00651DB9"/>
    <w:rsid w:val="00651E6F"/>
    <w:rsid w:val="00651F1A"/>
    <w:rsid w:val="00651F1C"/>
    <w:rsid w:val="00651F61"/>
    <w:rsid w:val="00652027"/>
    <w:rsid w:val="006520C2"/>
    <w:rsid w:val="006520C8"/>
    <w:rsid w:val="0065216E"/>
    <w:rsid w:val="00652397"/>
    <w:rsid w:val="006523F7"/>
    <w:rsid w:val="006524AF"/>
    <w:rsid w:val="00652505"/>
    <w:rsid w:val="00652565"/>
    <w:rsid w:val="0065259F"/>
    <w:rsid w:val="0065260E"/>
    <w:rsid w:val="00652614"/>
    <w:rsid w:val="00652745"/>
    <w:rsid w:val="00652782"/>
    <w:rsid w:val="0065291C"/>
    <w:rsid w:val="0065296F"/>
    <w:rsid w:val="00652CB2"/>
    <w:rsid w:val="00652D05"/>
    <w:rsid w:val="00652E28"/>
    <w:rsid w:val="00652EDF"/>
    <w:rsid w:val="00652F06"/>
    <w:rsid w:val="00652F34"/>
    <w:rsid w:val="00652F79"/>
    <w:rsid w:val="00653102"/>
    <w:rsid w:val="0065312C"/>
    <w:rsid w:val="00653145"/>
    <w:rsid w:val="006531AD"/>
    <w:rsid w:val="006531B5"/>
    <w:rsid w:val="006531DE"/>
    <w:rsid w:val="00653212"/>
    <w:rsid w:val="006532B3"/>
    <w:rsid w:val="006533E7"/>
    <w:rsid w:val="00653450"/>
    <w:rsid w:val="00653536"/>
    <w:rsid w:val="006536E0"/>
    <w:rsid w:val="0065373A"/>
    <w:rsid w:val="00653747"/>
    <w:rsid w:val="006537C8"/>
    <w:rsid w:val="0065393F"/>
    <w:rsid w:val="00653965"/>
    <w:rsid w:val="006539B3"/>
    <w:rsid w:val="00653B57"/>
    <w:rsid w:val="00653C72"/>
    <w:rsid w:val="00653D48"/>
    <w:rsid w:val="00653DAE"/>
    <w:rsid w:val="00653F37"/>
    <w:rsid w:val="00653F49"/>
    <w:rsid w:val="00653FE6"/>
    <w:rsid w:val="006540DE"/>
    <w:rsid w:val="006540F4"/>
    <w:rsid w:val="0065411E"/>
    <w:rsid w:val="0065419B"/>
    <w:rsid w:val="0065421F"/>
    <w:rsid w:val="00654337"/>
    <w:rsid w:val="0065437F"/>
    <w:rsid w:val="00654464"/>
    <w:rsid w:val="006544B2"/>
    <w:rsid w:val="006544D0"/>
    <w:rsid w:val="0065453A"/>
    <w:rsid w:val="006545C0"/>
    <w:rsid w:val="0065464F"/>
    <w:rsid w:val="00654672"/>
    <w:rsid w:val="006546A6"/>
    <w:rsid w:val="00654789"/>
    <w:rsid w:val="00654894"/>
    <w:rsid w:val="006548A1"/>
    <w:rsid w:val="0065495F"/>
    <w:rsid w:val="00654973"/>
    <w:rsid w:val="006549B6"/>
    <w:rsid w:val="00654AFA"/>
    <w:rsid w:val="00654B1F"/>
    <w:rsid w:val="00654B32"/>
    <w:rsid w:val="00654BC8"/>
    <w:rsid w:val="00654BEC"/>
    <w:rsid w:val="00654C3C"/>
    <w:rsid w:val="00654CB0"/>
    <w:rsid w:val="00654D8C"/>
    <w:rsid w:val="00654E57"/>
    <w:rsid w:val="00654E95"/>
    <w:rsid w:val="00654EF3"/>
    <w:rsid w:val="00655246"/>
    <w:rsid w:val="006552E1"/>
    <w:rsid w:val="00655326"/>
    <w:rsid w:val="00655432"/>
    <w:rsid w:val="00655480"/>
    <w:rsid w:val="006554FD"/>
    <w:rsid w:val="0065555A"/>
    <w:rsid w:val="006556BB"/>
    <w:rsid w:val="00655760"/>
    <w:rsid w:val="0065582D"/>
    <w:rsid w:val="00655872"/>
    <w:rsid w:val="006558BC"/>
    <w:rsid w:val="006558EE"/>
    <w:rsid w:val="0065592C"/>
    <w:rsid w:val="0065594E"/>
    <w:rsid w:val="00655B68"/>
    <w:rsid w:val="00655B7C"/>
    <w:rsid w:val="00655BDB"/>
    <w:rsid w:val="00655BDC"/>
    <w:rsid w:val="00655C2A"/>
    <w:rsid w:val="00655CCB"/>
    <w:rsid w:val="00655F91"/>
    <w:rsid w:val="0065622F"/>
    <w:rsid w:val="00656418"/>
    <w:rsid w:val="00656520"/>
    <w:rsid w:val="00656593"/>
    <w:rsid w:val="0065667A"/>
    <w:rsid w:val="006567CB"/>
    <w:rsid w:val="00656888"/>
    <w:rsid w:val="006568F3"/>
    <w:rsid w:val="0065694F"/>
    <w:rsid w:val="00656976"/>
    <w:rsid w:val="00656A55"/>
    <w:rsid w:val="00656AA6"/>
    <w:rsid w:val="00656C97"/>
    <w:rsid w:val="00656CC6"/>
    <w:rsid w:val="00656D0B"/>
    <w:rsid w:val="00656D61"/>
    <w:rsid w:val="00656DC4"/>
    <w:rsid w:val="00656F2F"/>
    <w:rsid w:val="0065703F"/>
    <w:rsid w:val="006570CE"/>
    <w:rsid w:val="00657306"/>
    <w:rsid w:val="00657417"/>
    <w:rsid w:val="006575B0"/>
    <w:rsid w:val="0065773F"/>
    <w:rsid w:val="006577E9"/>
    <w:rsid w:val="006577F0"/>
    <w:rsid w:val="0065789B"/>
    <w:rsid w:val="0065797B"/>
    <w:rsid w:val="006579A4"/>
    <w:rsid w:val="00657B57"/>
    <w:rsid w:val="00657BD2"/>
    <w:rsid w:val="00657C50"/>
    <w:rsid w:val="00657C8E"/>
    <w:rsid w:val="00657D13"/>
    <w:rsid w:val="00657EA3"/>
    <w:rsid w:val="00657FC0"/>
    <w:rsid w:val="00660069"/>
    <w:rsid w:val="006600FE"/>
    <w:rsid w:val="006602E7"/>
    <w:rsid w:val="00660310"/>
    <w:rsid w:val="0066032E"/>
    <w:rsid w:val="0066033C"/>
    <w:rsid w:val="006603D2"/>
    <w:rsid w:val="00660554"/>
    <w:rsid w:val="006605C2"/>
    <w:rsid w:val="00660631"/>
    <w:rsid w:val="00660661"/>
    <w:rsid w:val="006606F7"/>
    <w:rsid w:val="0066076A"/>
    <w:rsid w:val="0066078A"/>
    <w:rsid w:val="00660871"/>
    <w:rsid w:val="0066096D"/>
    <w:rsid w:val="00660982"/>
    <w:rsid w:val="00660A13"/>
    <w:rsid w:val="00660A2D"/>
    <w:rsid w:val="00660BBA"/>
    <w:rsid w:val="00660BFB"/>
    <w:rsid w:val="00660C15"/>
    <w:rsid w:val="00660C1C"/>
    <w:rsid w:val="00660C62"/>
    <w:rsid w:val="00660CC6"/>
    <w:rsid w:val="00660CD2"/>
    <w:rsid w:val="00660D0B"/>
    <w:rsid w:val="00660EEF"/>
    <w:rsid w:val="00660F00"/>
    <w:rsid w:val="00660F52"/>
    <w:rsid w:val="00660F60"/>
    <w:rsid w:val="00660FD1"/>
    <w:rsid w:val="00661179"/>
    <w:rsid w:val="006612E5"/>
    <w:rsid w:val="006613B5"/>
    <w:rsid w:val="006613ED"/>
    <w:rsid w:val="00661571"/>
    <w:rsid w:val="0066166B"/>
    <w:rsid w:val="006616A1"/>
    <w:rsid w:val="0066173A"/>
    <w:rsid w:val="0066186E"/>
    <w:rsid w:val="00661952"/>
    <w:rsid w:val="00661A5B"/>
    <w:rsid w:val="00661AEF"/>
    <w:rsid w:val="00661BEF"/>
    <w:rsid w:val="00661C6E"/>
    <w:rsid w:val="00661D2E"/>
    <w:rsid w:val="00661D54"/>
    <w:rsid w:val="00661E14"/>
    <w:rsid w:val="00661E3E"/>
    <w:rsid w:val="00661F7D"/>
    <w:rsid w:val="00661FAA"/>
    <w:rsid w:val="00662098"/>
    <w:rsid w:val="00662145"/>
    <w:rsid w:val="00662147"/>
    <w:rsid w:val="0066216E"/>
    <w:rsid w:val="00662222"/>
    <w:rsid w:val="006623CF"/>
    <w:rsid w:val="00662440"/>
    <w:rsid w:val="00662575"/>
    <w:rsid w:val="00662661"/>
    <w:rsid w:val="0066275F"/>
    <w:rsid w:val="006627DB"/>
    <w:rsid w:val="006628EB"/>
    <w:rsid w:val="00662A06"/>
    <w:rsid w:val="00662B8E"/>
    <w:rsid w:val="00662BFB"/>
    <w:rsid w:val="00662CDA"/>
    <w:rsid w:val="00662DA0"/>
    <w:rsid w:val="00662E0B"/>
    <w:rsid w:val="00662E23"/>
    <w:rsid w:val="00662E50"/>
    <w:rsid w:val="00662E52"/>
    <w:rsid w:val="00662EB3"/>
    <w:rsid w:val="00663124"/>
    <w:rsid w:val="00663131"/>
    <w:rsid w:val="0066315A"/>
    <w:rsid w:val="00663181"/>
    <w:rsid w:val="00663229"/>
    <w:rsid w:val="006633B5"/>
    <w:rsid w:val="006633BE"/>
    <w:rsid w:val="00663450"/>
    <w:rsid w:val="006634AE"/>
    <w:rsid w:val="00663548"/>
    <w:rsid w:val="00663648"/>
    <w:rsid w:val="006636A6"/>
    <w:rsid w:val="00663725"/>
    <w:rsid w:val="006637B8"/>
    <w:rsid w:val="006637E2"/>
    <w:rsid w:val="006638FD"/>
    <w:rsid w:val="0066391F"/>
    <w:rsid w:val="006639BB"/>
    <w:rsid w:val="006639CC"/>
    <w:rsid w:val="00663B7E"/>
    <w:rsid w:val="00663BAA"/>
    <w:rsid w:val="00663C16"/>
    <w:rsid w:val="00663C52"/>
    <w:rsid w:val="00663DDB"/>
    <w:rsid w:val="00663E31"/>
    <w:rsid w:val="00663E74"/>
    <w:rsid w:val="00663E88"/>
    <w:rsid w:val="00663F7C"/>
    <w:rsid w:val="006641A8"/>
    <w:rsid w:val="00664275"/>
    <w:rsid w:val="00664282"/>
    <w:rsid w:val="006642EA"/>
    <w:rsid w:val="006642FF"/>
    <w:rsid w:val="006643A2"/>
    <w:rsid w:val="0066440F"/>
    <w:rsid w:val="006644F1"/>
    <w:rsid w:val="006645BA"/>
    <w:rsid w:val="006646EE"/>
    <w:rsid w:val="006647D7"/>
    <w:rsid w:val="0066488B"/>
    <w:rsid w:val="006648C2"/>
    <w:rsid w:val="0066490C"/>
    <w:rsid w:val="00664985"/>
    <w:rsid w:val="00664A11"/>
    <w:rsid w:val="00664A4F"/>
    <w:rsid w:val="00664C9A"/>
    <w:rsid w:val="00664ED9"/>
    <w:rsid w:val="00664F00"/>
    <w:rsid w:val="00665032"/>
    <w:rsid w:val="00665074"/>
    <w:rsid w:val="006650B6"/>
    <w:rsid w:val="006650FA"/>
    <w:rsid w:val="00665148"/>
    <w:rsid w:val="0066520B"/>
    <w:rsid w:val="0066529A"/>
    <w:rsid w:val="00665349"/>
    <w:rsid w:val="006653C9"/>
    <w:rsid w:val="00665454"/>
    <w:rsid w:val="006654B9"/>
    <w:rsid w:val="006654D2"/>
    <w:rsid w:val="006654E7"/>
    <w:rsid w:val="0066554B"/>
    <w:rsid w:val="0066565B"/>
    <w:rsid w:val="00665703"/>
    <w:rsid w:val="006657B7"/>
    <w:rsid w:val="006657EE"/>
    <w:rsid w:val="00665802"/>
    <w:rsid w:val="00665803"/>
    <w:rsid w:val="00665887"/>
    <w:rsid w:val="006658BE"/>
    <w:rsid w:val="006659A3"/>
    <w:rsid w:val="00665A9B"/>
    <w:rsid w:val="00665B2B"/>
    <w:rsid w:val="00665C31"/>
    <w:rsid w:val="00665CBF"/>
    <w:rsid w:val="00665DA3"/>
    <w:rsid w:val="00665DD7"/>
    <w:rsid w:val="00665EE0"/>
    <w:rsid w:val="00665EF6"/>
    <w:rsid w:val="0066603F"/>
    <w:rsid w:val="0066633F"/>
    <w:rsid w:val="00666408"/>
    <w:rsid w:val="0066642C"/>
    <w:rsid w:val="0066665A"/>
    <w:rsid w:val="006667A9"/>
    <w:rsid w:val="0066683D"/>
    <w:rsid w:val="00666904"/>
    <w:rsid w:val="00666987"/>
    <w:rsid w:val="00666B21"/>
    <w:rsid w:val="00666BDC"/>
    <w:rsid w:val="00666D48"/>
    <w:rsid w:val="00666FA4"/>
    <w:rsid w:val="00667004"/>
    <w:rsid w:val="006670F0"/>
    <w:rsid w:val="00667119"/>
    <w:rsid w:val="006672CA"/>
    <w:rsid w:val="0066735F"/>
    <w:rsid w:val="006673EF"/>
    <w:rsid w:val="0066740E"/>
    <w:rsid w:val="006675E1"/>
    <w:rsid w:val="0066776C"/>
    <w:rsid w:val="0066791E"/>
    <w:rsid w:val="006679F9"/>
    <w:rsid w:val="00667B6D"/>
    <w:rsid w:val="00667E37"/>
    <w:rsid w:val="00667EBE"/>
    <w:rsid w:val="00667F25"/>
    <w:rsid w:val="00667F31"/>
    <w:rsid w:val="00667F44"/>
    <w:rsid w:val="00667F4C"/>
    <w:rsid w:val="00667F89"/>
    <w:rsid w:val="00667FB3"/>
    <w:rsid w:val="00670018"/>
    <w:rsid w:val="00670181"/>
    <w:rsid w:val="00670199"/>
    <w:rsid w:val="006702AF"/>
    <w:rsid w:val="00670331"/>
    <w:rsid w:val="00670439"/>
    <w:rsid w:val="006707D7"/>
    <w:rsid w:val="00670B26"/>
    <w:rsid w:val="00670C37"/>
    <w:rsid w:val="00670C45"/>
    <w:rsid w:val="00670C4D"/>
    <w:rsid w:val="00670CC9"/>
    <w:rsid w:val="00670D37"/>
    <w:rsid w:val="00670D45"/>
    <w:rsid w:val="00670D4B"/>
    <w:rsid w:val="00670F7E"/>
    <w:rsid w:val="00671064"/>
    <w:rsid w:val="0067116F"/>
    <w:rsid w:val="0067120A"/>
    <w:rsid w:val="00671221"/>
    <w:rsid w:val="00671279"/>
    <w:rsid w:val="0067128B"/>
    <w:rsid w:val="00671301"/>
    <w:rsid w:val="00671494"/>
    <w:rsid w:val="006714B9"/>
    <w:rsid w:val="00671571"/>
    <w:rsid w:val="006715AE"/>
    <w:rsid w:val="006715EE"/>
    <w:rsid w:val="00671643"/>
    <w:rsid w:val="00671720"/>
    <w:rsid w:val="006717C5"/>
    <w:rsid w:val="006718F6"/>
    <w:rsid w:val="00671A3F"/>
    <w:rsid w:val="00671B72"/>
    <w:rsid w:val="00671BA6"/>
    <w:rsid w:val="00671C96"/>
    <w:rsid w:val="00671CB6"/>
    <w:rsid w:val="00671D44"/>
    <w:rsid w:val="00671D8D"/>
    <w:rsid w:val="00671F49"/>
    <w:rsid w:val="00671F66"/>
    <w:rsid w:val="00672088"/>
    <w:rsid w:val="00672199"/>
    <w:rsid w:val="0067226B"/>
    <w:rsid w:val="0067226D"/>
    <w:rsid w:val="006722EA"/>
    <w:rsid w:val="0067231E"/>
    <w:rsid w:val="00672470"/>
    <w:rsid w:val="006724C1"/>
    <w:rsid w:val="00672526"/>
    <w:rsid w:val="00672556"/>
    <w:rsid w:val="00672893"/>
    <w:rsid w:val="00672927"/>
    <w:rsid w:val="00672A30"/>
    <w:rsid w:val="00672B76"/>
    <w:rsid w:val="00672C49"/>
    <w:rsid w:val="00672D9E"/>
    <w:rsid w:val="00672E3E"/>
    <w:rsid w:val="00672E41"/>
    <w:rsid w:val="00672EDA"/>
    <w:rsid w:val="00672F7C"/>
    <w:rsid w:val="00672FC8"/>
    <w:rsid w:val="00673055"/>
    <w:rsid w:val="0067313E"/>
    <w:rsid w:val="0067324F"/>
    <w:rsid w:val="0067327C"/>
    <w:rsid w:val="00673448"/>
    <w:rsid w:val="006734CA"/>
    <w:rsid w:val="00673646"/>
    <w:rsid w:val="006736F3"/>
    <w:rsid w:val="00673871"/>
    <w:rsid w:val="006738FA"/>
    <w:rsid w:val="0067398C"/>
    <w:rsid w:val="00673A17"/>
    <w:rsid w:val="00673B46"/>
    <w:rsid w:val="00673E39"/>
    <w:rsid w:val="00673F08"/>
    <w:rsid w:val="0067419A"/>
    <w:rsid w:val="00674260"/>
    <w:rsid w:val="00674493"/>
    <w:rsid w:val="006746A5"/>
    <w:rsid w:val="006746B0"/>
    <w:rsid w:val="00674739"/>
    <w:rsid w:val="00674802"/>
    <w:rsid w:val="00674874"/>
    <w:rsid w:val="00674895"/>
    <w:rsid w:val="00674906"/>
    <w:rsid w:val="0067496D"/>
    <w:rsid w:val="00674A08"/>
    <w:rsid w:val="00674A32"/>
    <w:rsid w:val="00674B0A"/>
    <w:rsid w:val="00674E76"/>
    <w:rsid w:val="00674E97"/>
    <w:rsid w:val="00674EF3"/>
    <w:rsid w:val="00674F41"/>
    <w:rsid w:val="0067500D"/>
    <w:rsid w:val="00675064"/>
    <w:rsid w:val="0067525B"/>
    <w:rsid w:val="006752AF"/>
    <w:rsid w:val="00675543"/>
    <w:rsid w:val="0067557A"/>
    <w:rsid w:val="006756FA"/>
    <w:rsid w:val="00675701"/>
    <w:rsid w:val="0067570F"/>
    <w:rsid w:val="00675717"/>
    <w:rsid w:val="00675720"/>
    <w:rsid w:val="006757CC"/>
    <w:rsid w:val="00675873"/>
    <w:rsid w:val="00675B99"/>
    <w:rsid w:val="00675C40"/>
    <w:rsid w:val="00675C63"/>
    <w:rsid w:val="00675C9B"/>
    <w:rsid w:val="00675D6C"/>
    <w:rsid w:val="00675DAA"/>
    <w:rsid w:val="00675E66"/>
    <w:rsid w:val="00675FDA"/>
    <w:rsid w:val="006760F2"/>
    <w:rsid w:val="00676136"/>
    <w:rsid w:val="00676171"/>
    <w:rsid w:val="006761E9"/>
    <w:rsid w:val="00676223"/>
    <w:rsid w:val="00676357"/>
    <w:rsid w:val="006763D2"/>
    <w:rsid w:val="006763F6"/>
    <w:rsid w:val="0067640A"/>
    <w:rsid w:val="00676412"/>
    <w:rsid w:val="006764C1"/>
    <w:rsid w:val="006764D1"/>
    <w:rsid w:val="00676526"/>
    <w:rsid w:val="00676596"/>
    <w:rsid w:val="00676687"/>
    <w:rsid w:val="00676690"/>
    <w:rsid w:val="00676837"/>
    <w:rsid w:val="00676949"/>
    <w:rsid w:val="0067695F"/>
    <w:rsid w:val="0067699D"/>
    <w:rsid w:val="00676BA8"/>
    <w:rsid w:val="00676C10"/>
    <w:rsid w:val="00676CBA"/>
    <w:rsid w:val="00676D85"/>
    <w:rsid w:val="00676DA3"/>
    <w:rsid w:val="00676E3C"/>
    <w:rsid w:val="00676ED1"/>
    <w:rsid w:val="00676ED3"/>
    <w:rsid w:val="00676F4F"/>
    <w:rsid w:val="00677135"/>
    <w:rsid w:val="00677170"/>
    <w:rsid w:val="0067721C"/>
    <w:rsid w:val="006772AC"/>
    <w:rsid w:val="006772E4"/>
    <w:rsid w:val="0067733C"/>
    <w:rsid w:val="00677486"/>
    <w:rsid w:val="00677665"/>
    <w:rsid w:val="00677673"/>
    <w:rsid w:val="006776DB"/>
    <w:rsid w:val="006777D5"/>
    <w:rsid w:val="00677876"/>
    <w:rsid w:val="00677887"/>
    <w:rsid w:val="006778B6"/>
    <w:rsid w:val="006778C9"/>
    <w:rsid w:val="00677A17"/>
    <w:rsid w:val="00677B7D"/>
    <w:rsid w:val="00677C5C"/>
    <w:rsid w:val="00677CC7"/>
    <w:rsid w:val="00677CFC"/>
    <w:rsid w:val="00677D09"/>
    <w:rsid w:val="00677D86"/>
    <w:rsid w:val="00677DEC"/>
    <w:rsid w:val="00677F49"/>
    <w:rsid w:val="0068015B"/>
    <w:rsid w:val="00680298"/>
    <w:rsid w:val="006802DE"/>
    <w:rsid w:val="00680349"/>
    <w:rsid w:val="006803A3"/>
    <w:rsid w:val="00680408"/>
    <w:rsid w:val="00680585"/>
    <w:rsid w:val="00680607"/>
    <w:rsid w:val="006806C0"/>
    <w:rsid w:val="0068071E"/>
    <w:rsid w:val="00680738"/>
    <w:rsid w:val="006807CC"/>
    <w:rsid w:val="00680863"/>
    <w:rsid w:val="0068095D"/>
    <w:rsid w:val="00680981"/>
    <w:rsid w:val="006809B9"/>
    <w:rsid w:val="00680A30"/>
    <w:rsid w:val="00680A44"/>
    <w:rsid w:val="00680B0F"/>
    <w:rsid w:val="00680B9D"/>
    <w:rsid w:val="00680CE8"/>
    <w:rsid w:val="00680F15"/>
    <w:rsid w:val="00680F31"/>
    <w:rsid w:val="00680FA3"/>
    <w:rsid w:val="006810D5"/>
    <w:rsid w:val="0068112F"/>
    <w:rsid w:val="0068120F"/>
    <w:rsid w:val="0068121D"/>
    <w:rsid w:val="00681235"/>
    <w:rsid w:val="0068139F"/>
    <w:rsid w:val="00681707"/>
    <w:rsid w:val="00681764"/>
    <w:rsid w:val="00681783"/>
    <w:rsid w:val="006817EE"/>
    <w:rsid w:val="0068182C"/>
    <w:rsid w:val="006818C0"/>
    <w:rsid w:val="00681969"/>
    <w:rsid w:val="006819D8"/>
    <w:rsid w:val="00681A00"/>
    <w:rsid w:val="00681A6B"/>
    <w:rsid w:val="00681A7A"/>
    <w:rsid w:val="00681BB6"/>
    <w:rsid w:val="00681E8D"/>
    <w:rsid w:val="00681F8B"/>
    <w:rsid w:val="00681FA1"/>
    <w:rsid w:val="0068201D"/>
    <w:rsid w:val="00682170"/>
    <w:rsid w:val="00682190"/>
    <w:rsid w:val="00682203"/>
    <w:rsid w:val="006822A2"/>
    <w:rsid w:val="006824D3"/>
    <w:rsid w:val="006824E0"/>
    <w:rsid w:val="00682699"/>
    <w:rsid w:val="006826D7"/>
    <w:rsid w:val="006829A2"/>
    <w:rsid w:val="00682BE5"/>
    <w:rsid w:val="00682C36"/>
    <w:rsid w:val="00682CC2"/>
    <w:rsid w:val="00682CC5"/>
    <w:rsid w:val="00682CC7"/>
    <w:rsid w:val="00682D7C"/>
    <w:rsid w:val="00682E70"/>
    <w:rsid w:val="00682EAD"/>
    <w:rsid w:val="00682F64"/>
    <w:rsid w:val="00683162"/>
    <w:rsid w:val="00683176"/>
    <w:rsid w:val="00683285"/>
    <w:rsid w:val="0068329A"/>
    <w:rsid w:val="006832F1"/>
    <w:rsid w:val="006834ED"/>
    <w:rsid w:val="00683576"/>
    <w:rsid w:val="0068358C"/>
    <w:rsid w:val="00683705"/>
    <w:rsid w:val="00683892"/>
    <w:rsid w:val="00683973"/>
    <w:rsid w:val="00683B55"/>
    <w:rsid w:val="00683C6B"/>
    <w:rsid w:val="00683C7E"/>
    <w:rsid w:val="00683C89"/>
    <w:rsid w:val="00683CA9"/>
    <w:rsid w:val="00683D98"/>
    <w:rsid w:val="00683E6D"/>
    <w:rsid w:val="00683EAA"/>
    <w:rsid w:val="00683EC7"/>
    <w:rsid w:val="00683F1D"/>
    <w:rsid w:val="00683F6B"/>
    <w:rsid w:val="006840C5"/>
    <w:rsid w:val="006840EE"/>
    <w:rsid w:val="0068410D"/>
    <w:rsid w:val="0068421D"/>
    <w:rsid w:val="006843CB"/>
    <w:rsid w:val="006844E6"/>
    <w:rsid w:val="006845E5"/>
    <w:rsid w:val="00684678"/>
    <w:rsid w:val="00684763"/>
    <w:rsid w:val="0068480E"/>
    <w:rsid w:val="00684A6F"/>
    <w:rsid w:val="00684AB8"/>
    <w:rsid w:val="00684B25"/>
    <w:rsid w:val="00684C4C"/>
    <w:rsid w:val="00684D3E"/>
    <w:rsid w:val="00684DD8"/>
    <w:rsid w:val="00684DE4"/>
    <w:rsid w:val="00684E1B"/>
    <w:rsid w:val="00684E2E"/>
    <w:rsid w:val="00684E33"/>
    <w:rsid w:val="00684E46"/>
    <w:rsid w:val="00684E68"/>
    <w:rsid w:val="0068508A"/>
    <w:rsid w:val="0068516D"/>
    <w:rsid w:val="006853C8"/>
    <w:rsid w:val="00685491"/>
    <w:rsid w:val="006854EC"/>
    <w:rsid w:val="00685668"/>
    <w:rsid w:val="00685A79"/>
    <w:rsid w:val="00685B2A"/>
    <w:rsid w:val="00685B50"/>
    <w:rsid w:val="00685BE5"/>
    <w:rsid w:val="00685BFC"/>
    <w:rsid w:val="00685C34"/>
    <w:rsid w:val="00685C3F"/>
    <w:rsid w:val="00685C5E"/>
    <w:rsid w:val="00685CE6"/>
    <w:rsid w:val="00685D11"/>
    <w:rsid w:val="00685D9C"/>
    <w:rsid w:val="00685E26"/>
    <w:rsid w:val="00685F5F"/>
    <w:rsid w:val="00685FD4"/>
    <w:rsid w:val="006861C8"/>
    <w:rsid w:val="006862F9"/>
    <w:rsid w:val="00686393"/>
    <w:rsid w:val="0068646E"/>
    <w:rsid w:val="00686497"/>
    <w:rsid w:val="00686585"/>
    <w:rsid w:val="0068663D"/>
    <w:rsid w:val="00686986"/>
    <w:rsid w:val="00686A8E"/>
    <w:rsid w:val="00686C15"/>
    <w:rsid w:val="00686CB5"/>
    <w:rsid w:val="00686CF6"/>
    <w:rsid w:val="00686D73"/>
    <w:rsid w:val="00686DC4"/>
    <w:rsid w:val="00686DCE"/>
    <w:rsid w:val="00686E02"/>
    <w:rsid w:val="00686F65"/>
    <w:rsid w:val="0068703B"/>
    <w:rsid w:val="00687055"/>
    <w:rsid w:val="0068709B"/>
    <w:rsid w:val="00687158"/>
    <w:rsid w:val="00687163"/>
    <w:rsid w:val="0068730C"/>
    <w:rsid w:val="00687829"/>
    <w:rsid w:val="0068789E"/>
    <w:rsid w:val="00687915"/>
    <w:rsid w:val="00687A91"/>
    <w:rsid w:val="00687B1F"/>
    <w:rsid w:val="00687C25"/>
    <w:rsid w:val="00687E48"/>
    <w:rsid w:val="00687ED0"/>
    <w:rsid w:val="00687F28"/>
    <w:rsid w:val="006902B6"/>
    <w:rsid w:val="006903F0"/>
    <w:rsid w:val="006903F2"/>
    <w:rsid w:val="006904BE"/>
    <w:rsid w:val="0069052A"/>
    <w:rsid w:val="0069063F"/>
    <w:rsid w:val="006906F7"/>
    <w:rsid w:val="006907B4"/>
    <w:rsid w:val="00690863"/>
    <w:rsid w:val="006908A3"/>
    <w:rsid w:val="0069092C"/>
    <w:rsid w:val="00690A12"/>
    <w:rsid w:val="00690B0B"/>
    <w:rsid w:val="00690B53"/>
    <w:rsid w:val="00690C90"/>
    <w:rsid w:val="00690CD0"/>
    <w:rsid w:val="00690D66"/>
    <w:rsid w:val="00690E22"/>
    <w:rsid w:val="00690E43"/>
    <w:rsid w:val="00690EC1"/>
    <w:rsid w:val="00690ECE"/>
    <w:rsid w:val="00690F4C"/>
    <w:rsid w:val="00690FA7"/>
    <w:rsid w:val="00691022"/>
    <w:rsid w:val="00691062"/>
    <w:rsid w:val="00691087"/>
    <w:rsid w:val="0069118E"/>
    <w:rsid w:val="006911BE"/>
    <w:rsid w:val="006911F9"/>
    <w:rsid w:val="00691294"/>
    <w:rsid w:val="0069154F"/>
    <w:rsid w:val="00691586"/>
    <w:rsid w:val="006915AA"/>
    <w:rsid w:val="00691628"/>
    <w:rsid w:val="00691690"/>
    <w:rsid w:val="00691718"/>
    <w:rsid w:val="0069178A"/>
    <w:rsid w:val="006918AE"/>
    <w:rsid w:val="00691A03"/>
    <w:rsid w:val="00691BB9"/>
    <w:rsid w:val="00691C0D"/>
    <w:rsid w:val="00691C28"/>
    <w:rsid w:val="00691D23"/>
    <w:rsid w:val="00691DD4"/>
    <w:rsid w:val="00691F0A"/>
    <w:rsid w:val="0069215A"/>
    <w:rsid w:val="006922C2"/>
    <w:rsid w:val="006922DF"/>
    <w:rsid w:val="00692312"/>
    <w:rsid w:val="00692382"/>
    <w:rsid w:val="0069239D"/>
    <w:rsid w:val="00692403"/>
    <w:rsid w:val="00692495"/>
    <w:rsid w:val="00692550"/>
    <w:rsid w:val="0069266A"/>
    <w:rsid w:val="006928BB"/>
    <w:rsid w:val="006929CC"/>
    <w:rsid w:val="00692AAE"/>
    <w:rsid w:val="00692AEA"/>
    <w:rsid w:val="00692C9C"/>
    <w:rsid w:val="00692D2B"/>
    <w:rsid w:val="00692E68"/>
    <w:rsid w:val="00692EE8"/>
    <w:rsid w:val="00692F06"/>
    <w:rsid w:val="00692F18"/>
    <w:rsid w:val="00692F7B"/>
    <w:rsid w:val="00693111"/>
    <w:rsid w:val="0069315B"/>
    <w:rsid w:val="006933EF"/>
    <w:rsid w:val="0069348D"/>
    <w:rsid w:val="006935A0"/>
    <w:rsid w:val="00693654"/>
    <w:rsid w:val="0069366E"/>
    <w:rsid w:val="0069377D"/>
    <w:rsid w:val="0069381B"/>
    <w:rsid w:val="0069382C"/>
    <w:rsid w:val="0069392C"/>
    <w:rsid w:val="00693A79"/>
    <w:rsid w:val="00693CF0"/>
    <w:rsid w:val="00693D79"/>
    <w:rsid w:val="00693F5A"/>
    <w:rsid w:val="00693F8F"/>
    <w:rsid w:val="00694002"/>
    <w:rsid w:val="00694081"/>
    <w:rsid w:val="00694252"/>
    <w:rsid w:val="0069430B"/>
    <w:rsid w:val="00694325"/>
    <w:rsid w:val="00694347"/>
    <w:rsid w:val="00694489"/>
    <w:rsid w:val="00694617"/>
    <w:rsid w:val="006946BD"/>
    <w:rsid w:val="006947F7"/>
    <w:rsid w:val="0069495D"/>
    <w:rsid w:val="0069496F"/>
    <w:rsid w:val="00694A6F"/>
    <w:rsid w:val="00694AA5"/>
    <w:rsid w:val="00694B97"/>
    <w:rsid w:val="00694BCA"/>
    <w:rsid w:val="00694C18"/>
    <w:rsid w:val="00694C4D"/>
    <w:rsid w:val="00694C7F"/>
    <w:rsid w:val="00694DA1"/>
    <w:rsid w:val="00694DD0"/>
    <w:rsid w:val="00694DED"/>
    <w:rsid w:val="00694F1E"/>
    <w:rsid w:val="00694F82"/>
    <w:rsid w:val="00694FCF"/>
    <w:rsid w:val="00694FEB"/>
    <w:rsid w:val="00695025"/>
    <w:rsid w:val="006951CE"/>
    <w:rsid w:val="00695253"/>
    <w:rsid w:val="0069526E"/>
    <w:rsid w:val="006952F4"/>
    <w:rsid w:val="00695321"/>
    <w:rsid w:val="00695363"/>
    <w:rsid w:val="00695392"/>
    <w:rsid w:val="006953BB"/>
    <w:rsid w:val="00695466"/>
    <w:rsid w:val="006954D2"/>
    <w:rsid w:val="0069557B"/>
    <w:rsid w:val="0069558E"/>
    <w:rsid w:val="006955F3"/>
    <w:rsid w:val="006955F7"/>
    <w:rsid w:val="00695620"/>
    <w:rsid w:val="0069562E"/>
    <w:rsid w:val="0069586B"/>
    <w:rsid w:val="00695883"/>
    <w:rsid w:val="00695912"/>
    <w:rsid w:val="00695936"/>
    <w:rsid w:val="00695ABD"/>
    <w:rsid w:val="00695B5F"/>
    <w:rsid w:val="00695DB4"/>
    <w:rsid w:val="00696057"/>
    <w:rsid w:val="0069608C"/>
    <w:rsid w:val="0069609F"/>
    <w:rsid w:val="0069614B"/>
    <w:rsid w:val="00696345"/>
    <w:rsid w:val="0069648B"/>
    <w:rsid w:val="006964ED"/>
    <w:rsid w:val="0069653B"/>
    <w:rsid w:val="0069662E"/>
    <w:rsid w:val="00696666"/>
    <w:rsid w:val="00696724"/>
    <w:rsid w:val="0069674B"/>
    <w:rsid w:val="0069679E"/>
    <w:rsid w:val="00696847"/>
    <w:rsid w:val="00696866"/>
    <w:rsid w:val="00696945"/>
    <w:rsid w:val="00696952"/>
    <w:rsid w:val="006969A5"/>
    <w:rsid w:val="006969DB"/>
    <w:rsid w:val="00696A38"/>
    <w:rsid w:val="00696B0E"/>
    <w:rsid w:val="00696C36"/>
    <w:rsid w:val="00696D4B"/>
    <w:rsid w:val="00696E05"/>
    <w:rsid w:val="00696EC2"/>
    <w:rsid w:val="006970E6"/>
    <w:rsid w:val="00697115"/>
    <w:rsid w:val="00697139"/>
    <w:rsid w:val="006971D5"/>
    <w:rsid w:val="00697496"/>
    <w:rsid w:val="0069755B"/>
    <w:rsid w:val="0069762E"/>
    <w:rsid w:val="006976A0"/>
    <w:rsid w:val="0069781C"/>
    <w:rsid w:val="006978EC"/>
    <w:rsid w:val="006979C8"/>
    <w:rsid w:val="00697AED"/>
    <w:rsid w:val="00697AFF"/>
    <w:rsid w:val="00697C16"/>
    <w:rsid w:val="00697CF9"/>
    <w:rsid w:val="00697DBD"/>
    <w:rsid w:val="00697E08"/>
    <w:rsid w:val="00697E42"/>
    <w:rsid w:val="00697EDC"/>
    <w:rsid w:val="00697F3A"/>
    <w:rsid w:val="00697F3C"/>
    <w:rsid w:val="00697F58"/>
    <w:rsid w:val="00697FF9"/>
    <w:rsid w:val="006A0022"/>
    <w:rsid w:val="006A00A1"/>
    <w:rsid w:val="006A0375"/>
    <w:rsid w:val="006A03C7"/>
    <w:rsid w:val="006A03FE"/>
    <w:rsid w:val="006A03FF"/>
    <w:rsid w:val="006A0450"/>
    <w:rsid w:val="006A0489"/>
    <w:rsid w:val="006A04A7"/>
    <w:rsid w:val="006A0632"/>
    <w:rsid w:val="006A0637"/>
    <w:rsid w:val="006A073A"/>
    <w:rsid w:val="006A0815"/>
    <w:rsid w:val="006A0B0A"/>
    <w:rsid w:val="006A0E31"/>
    <w:rsid w:val="006A1081"/>
    <w:rsid w:val="006A10C7"/>
    <w:rsid w:val="006A1132"/>
    <w:rsid w:val="006A1137"/>
    <w:rsid w:val="006A1175"/>
    <w:rsid w:val="006A1193"/>
    <w:rsid w:val="006A1325"/>
    <w:rsid w:val="006A133D"/>
    <w:rsid w:val="006A13DE"/>
    <w:rsid w:val="006A15AA"/>
    <w:rsid w:val="006A168B"/>
    <w:rsid w:val="006A1772"/>
    <w:rsid w:val="006A177C"/>
    <w:rsid w:val="006A17B8"/>
    <w:rsid w:val="006A17ED"/>
    <w:rsid w:val="006A1874"/>
    <w:rsid w:val="006A18E4"/>
    <w:rsid w:val="006A18E7"/>
    <w:rsid w:val="006A195F"/>
    <w:rsid w:val="006A19B2"/>
    <w:rsid w:val="006A19CA"/>
    <w:rsid w:val="006A1A2A"/>
    <w:rsid w:val="006A1A30"/>
    <w:rsid w:val="006A1AE9"/>
    <w:rsid w:val="006A1BD0"/>
    <w:rsid w:val="006A1C73"/>
    <w:rsid w:val="006A1CF4"/>
    <w:rsid w:val="006A1D12"/>
    <w:rsid w:val="006A1D84"/>
    <w:rsid w:val="006A1FC9"/>
    <w:rsid w:val="006A1FE9"/>
    <w:rsid w:val="006A205A"/>
    <w:rsid w:val="006A2077"/>
    <w:rsid w:val="006A20BB"/>
    <w:rsid w:val="006A23D6"/>
    <w:rsid w:val="006A23FE"/>
    <w:rsid w:val="006A24E1"/>
    <w:rsid w:val="006A259C"/>
    <w:rsid w:val="006A25F7"/>
    <w:rsid w:val="006A2614"/>
    <w:rsid w:val="006A269C"/>
    <w:rsid w:val="006A273B"/>
    <w:rsid w:val="006A292B"/>
    <w:rsid w:val="006A29ED"/>
    <w:rsid w:val="006A2C4A"/>
    <w:rsid w:val="006A2D36"/>
    <w:rsid w:val="006A2D68"/>
    <w:rsid w:val="006A2E50"/>
    <w:rsid w:val="006A2E78"/>
    <w:rsid w:val="006A2F06"/>
    <w:rsid w:val="006A30B8"/>
    <w:rsid w:val="006A31EB"/>
    <w:rsid w:val="006A33B8"/>
    <w:rsid w:val="006A35D2"/>
    <w:rsid w:val="006A366E"/>
    <w:rsid w:val="006A36D1"/>
    <w:rsid w:val="006A3752"/>
    <w:rsid w:val="006A3849"/>
    <w:rsid w:val="006A3962"/>
    <w:rsid w:val="006A3980"/>
    <w:rsid w:val="006A39E8"/>
    <w:rsid w:val="006A3A85"/>
    <w:rsid w:val="006A3B01"/>
    <w:rsid w:val="006A3B8F"/>
    <w:rsid w:val="006A3BB2"/>
    <w:rsid w:val="006A3C5A"/>
    <w:rsid w:val="006A3D33"/>
    <w:rsid w:val="006A3D8B"/>
    <w:rsid w:val="006A3E92"/>
    <w:rsid w:val="006A403A"/>
    <w:rsid w:val="006A411F"/>
    <w:rsid w:val="006A4158"/>
    <w:rsid w:val="006A4239"/>
    <w:rsid w:val="006A4379"/>
    <w:rsid w:val="006A4452"/>
    <w:rsid w:val="006A4522"/>
    <w:rsid w:val="006A456E"/>
    <w:rsid w:val="006A457F"/>
    <w:rsid w:val="006A4583"/>
    <w:rsid w:val="006A45A0"/>
    <w:rsid w:val="006A47A0"/>
    <w:rsid w:val="006A4804"/>
    <w:rsid w:val="006A496A"/>
    <w:rsid w:val="006A4C60"/>
    <w:rsid w:val="006A4E18"/>
    <w:rsid w:val="006A4E7A"/>
    <w:rsid w:val="006A4F25"/>
    <w:rsid w:val="006A4F84"/>
    <w:rsid w:val="006A5008"/>
    <w:rsid w:val="006A508C"/>
    <w:rsid w:val="006A51D3"/>
    <w:rsid w:val="006A53B0"/>
    <w:rsid w:val="006A542D"/>
    <w:rsid w:val="006A54A5"/>
    <w:rsid w:val="006A5503"/>
    <w:rsid w:val="006A569B"/>
    <w:rsid w:val="006A5760"/>
    <w:rsid w:val="006A598E"/>
    <w:rsid w:val="006A5A15"/>
    <w:rsid w:val="006A5A72"/>
    <w:rsid w:val="006A5AAD"/>
    <w:rsid w:val="006A5B0C"/>
    <w:rsid w:val="006A5BA6"/>
    <w:rsid w:val="006A5BB8"/>
    <w:rsid w:val="006A5C04"/>
    <w:rsid w:val="006A5DBA"/>
    <w:rsid w:val="006A5E3A"/>
    <w:rsid w:val="006A5E53"/>
    <w:rsid w:val="006A5E64"/>
    <w:rsid w:val="006A5F83"/>
    <w:rsid w:val="006A6023"/>
    <w:rsid w:val="006A6073"/>
    <w:rsid w:val="006A6126"/>
    <w:rsid w:val="006A629B"/>
    <w:rsid w:val="006A6303"/>
    <w:rsid w:val="006A63F3"/>
    <w:rsid w:val="006A645A"/>
    <w:rsid w:val="006A66AD"/>
    <w:rsid w:val="006A6759"/>
    <w:rsid w:val="006A6802"/>
    <w:rsid w:val="006A68C9"/>
    <w:rsid w:val="006A697E"/>
    <w:rsid w:val="006A69BD"/>
    <w:rsid w:val="006A69E0"/>
    <w:rsid w:val="006A69EA"/>
    <w:rsid w:val="006A6A18"/>
    <w:rsid w:val="006A6B4E"/>
    <w:rsid w:val="006A6BEF"/>
    <w:rsid w:val="006A6C8E"/>
    <w:rsid w:val="006A6D86"/>
    <w:rsid w:val="006A6E9A"/>
    <w:rsid w:val="006A6EC4"/>
    <w:rsid w:val="006A6F85"/>
    <w:rsid w:val="006A6FA1"/>
    <w:rsid w:val="006A6FF1"/>
    <w:rsid w:val="006A701B"/>
    <w:rsid w:val="006A7089"/>
    <w:rsid w:val="006A71BC"/>
    <w:rsid w:val="006A71C8"/>
    <w:rsid w:val="006A71D7"/>
    <w:rsid w:val="006A7278"/>
    <w:rsid w:val="006A72B2"/>
    <w:rsid w:val="006A73CC"/>
    <w:rsid w:val="006A7418"/>
    <w:rsid w:val="006A74C0"/>
    <w:rsid w:val="006A7599"/>
    <w:rsid w:val="006A763B"/>
    <w:rsid w:val="006A7666"/>
    <w:rsid w:val="006A768E"/>
    <w:rsid w:val="006A76DC"/>
    <w:rsid w:val="006A774F"/>
    <w:rsid w:val="006A779D"/>
    <w:rsid w:val="006A77B2"/>
    <w:rsid w:val="006A77DA"/>
    <w:rsid w:val="006A7856"/>
    <w:rsid w:val="006A78E8"/>
    <w:rsid w:val="006A7926"/>
    <w:rsid w:val="006A79AD"/>
    <w:rsid w:val="006A7A2D"/>
    <w:rsid w:val="006A7A88"/>
    <w:rsid w:val="006A7A8A"/>
    <w:rsid w:val="006A7AAC"/>
    <w:rsid w:val="006A7B48"/>
    <w:rsid w:val="006A7BBE"/>
    <w:rsid w:val="006A7BF6"/>
    <w:rsid w:val="006A7CE7"/>
    <w:rsid w:val="006A7CFF"/>
    <w:rsid w:val="006A7D27"/>
    <w:rsid w:val="006A7E31"/>
    <w:rsid w:val="006A7FAD"/>
    <w:rsid w:val="006B0029"/>
    <w:rsid w:val="006B0108"/>
    <w:rsid w:val="006B012C"/>
    <w:rsid w:val="006B0205"/>
    <w:rsid w:val="006B03A4"/>
    <w:rsid w:val="006B05A6"/>
    <w:rsid w:val="006B06DC"/>
    <w:rsid w:val="006B06EC"/>
    <w:rsid w:val="006B0731"/>
    <w:rsid w:val="006B0D4E"/>
    <w:rsid w:val="006B0D98"/>
    <w:rsid w:val="006B0DE6"/>
    <w:rsid w:val="006B0F5F"/>
    <w:rsid w:val="006B1035"/>
    <w:rsid w:val="006B1053"/>
    <w:rsid w:val="006B1108"/>
    <w:rsid w:val="006B1179"/>
    <w:rsid w:val="006B11A8"/>
    <w:rsid w:val="006B12BC"/>
    <w:rsid w:val="006B13DC"/>
    <w:rsid w:val="006B1427"/>
    <w:rsid w:val="006B1458"/>
    <w:rsid w:val="006B1596"/>
    <w:rsid w:val="006B1712"/>
    <w:rsid w:val="006B1742"/>
    <w:rsid w:val="006B18D9"/>
    <w:rsid w:val="006B18EB"/>
    <w:rsid w:val="006B19B1"/>
    <w:rsid w:val="006B1A18"/>
    <w:rsid w:val="006B1D3A"/>
    <w:rsid w:val="006B1D8E"/>
    <w:rsid w:val="006B1D9A"/>
    <w:rsid w:val="006B1E5A"/>
    <w:rsid w:val="006B1EAD"/>
    <w:rsid w:val="006B207F"/>
    <w:rsid w:val="006B21D5"/>
    <w:rsid w:val="006B222B"/>
    <w:rsid w:val="006B22AA"/>
    <w:rsid w:val="006B22AF"/>
    <w:rsid w:val="006B22DD"/>
    <w:rsid w:val="006B231D"/>
    <w:rsid w:val="006B2451"/>
    <w:rsid w:val="006B2612"/>
    <w:rsid w:val="006B2625"/>
    <w:rsid w:val="006B2628"/>
    <w:rsid w:val="006B26F9"/>
    <w:rsid w:val="006B276B"/>
    <w:rsid w:val="006B2791"/>
    <w:rsid w:val="006B2798"/>
    <w:rsid w:val="006B27D2"/>
    <w:rsid w:val="006B28B4"/>
    <w:rsid w:val="006B29D5"/>
    <w:rsid w:val="006B2A06"/>
    <w:rsid w:val="006B2AF2"/>
    <w:rsid w:val="006B2C6E"/>
    <w:rsid w:val="006B2C8D"/>
    <w:rsid w:val="006B2C93"/>
    <w:rsid w:val="006B2D01"/>
    <w:rsid w:val="006B2D3B"/>
    <w:rsid w:val="006B2D9F"/>
    <w:rsid w:val="006B2E5B"/>
    <w:rsid w:val="006B2EB1"/>
    <w:rsid w:val="006B2F54"/>
    <w:rsid w:val="006B332A"/>
    <w:rsid w:val="006B338B"/>
    <w:rsid w:val="006B33A6"/>
    <w:rsid w:val="006B33AA"/>
    <w:rsid w:val="006B3459"/>
    <w:rsid w:val="006B34C3"/>
    <w:rsid w:val="006B3524"/>
    <w:rsid w:val="006B35EE"/>
    <w:rsid w:val="006B3623"/>
    <w:rsid w:val="006B362E"/>
    <w:rsid w:val="006B3684"/>
    <w:rsid w:val="006B370C"/>
    <w:rsid w:val="006B372C"/>
    <w:rsid w:val="006B373E"/>
    <w:rsid w:val="006B38A8"/>
    <w:rsid w:val="006B39DD"/>
    <w:rsid w:val="006B3A38"/>
    <w:rsid w:val="006B3A3A"/>
    <w:rsid w:val="006B3A78"/>
    <w:rsid w:val="006B3B82"/>
    <w:rsid w:val="006B3CFE"/>
    <w:rsid w:val="006B3EB9"/>
    <w:rsid w:val="006B41D7"/>
    <w:rsid w:val="006B423F"/>
    <w:rsid w:val="006B4277"/>
    <w:rsid w:val="006B451F"/>
    <w:rsid w:val="006B45F3"/>
    <w:rsid w:val="006B465D"/>
    <w:rsid w:val="006B4672"/>
    <w:rsid w:val="006B4709"/>
    <w:rsid w:val="006B479D"/>
    <w:rsid w:val="006B47A8"/>
    <w:rsid w:val="006B485B"/>
    <w:rsid w:val="006B489F"/>
    <w:rsid w:val="006B49B1"/>
    <w:rsid w:val="006B49B3"/>
    <w:rsid w:val="006B49EF"/>
    <w:rsid w:val="006B4C90"/>
    <w:rsid w:val="006B4D37"/>
    <w:rsid w:val="006B4E90"/>
    <w:rsid w:val="006B4F7E"/>
    <w:rsid w:val="006B4FBE"/>
    <w:rsid w:val="006B5076"/>
    <w:rsid w:val="006B50AC"/>
    <w:rsid w:val="006B50CE"/>
    <w:rsid w:val="006B517E"/>
    <w:rsid w:val="006B52AD"/>
    <w:rsid w:val="006B541E"/>
    <w:rsid w:val="006B5618"/>
    <w:rsid w:val="006B5670"/>
    <w:rsid w:val="006B58EF"/>
    <w:rsid w:val="006B5A8A"/>
    <w:rsid w:val="006B5C19"/>
    <w:rsid w:val="006B5C56"/>
    <w:rsid w:val="006B5CC0"/>
    <w:rsid w:val="006B5D27"/>
    <w:rsid w:val="006B5DF3"/>
    <w:rsid w:val="006B5DF6"/>
    <w:rsid w:val="006B5EBE"/>
    <w:rsid w:val="006B5FB3"/>
    <w:rsid w:val="006B6119"/>
    <w:rsid w:val="006B6130"/>
    <w:rsid w:val="006B6133"/>
    <w:rsid w:val="006B6171"/>
    <w:rsid w:val="006B617C"/>
    <w:rsid w:val="006B61CF"/>
    <w:rsid w:val="006B6317"/>
    <w:rsid w:val="006B6335"/>
    <w:rsid w:val="006B639C"/>
    <w:rsid w:val="006B650B"/>
    <w:rsid w:val="006B65F7"/>
    <w:rsid w:val="006B662B"/>
    <w:rsid w:val="006B666A"/>
    <w:rsid w:val="006B6671"/>
    <w:rsid w:val="006B6866"/>
    <w:rsid w:val="006B688A"/>
    <w:rsid w:val="006B6984"/>
    <w:rsid w:val="006B69D0"/>
    <w:rsid w:val="006B6A72"/>
    <w:rsid w:val="006B6B0A"/>
    <w:rsid w:val="006B6B8A"/>
    <w:rsid w:val="006B6BB2"/>
    <w:rsid w:val="006B6DB8"/>
    <w:rsid w:val="006B6EF5"/>
    <w:rsid w:val="006B6FB8"/>
    <w:rsid w:val="006B6FFF"/>
    <w:rsid w:val="006B7014"/>
    <w:rsid w:val="006B7055"/>
    <w:rsid w:val="006B7217"/>
    <w:rsid w:val="006B7233"/>
    <w:rsid w:val="006B72A1"/>
    <w:rsid w:val="006B7314"/>
    <w:rsid w:val="006B7321"/>
    <w:rsid w:val="006B749F"/>
    <w:rsid w:val="006B74AC"/>
    <w:rsid w:val="006B750C"/>
    <w:rsid w:val="006B7519"/>
    <w:rsid w:val="006B7579"/>
    <w:rsid w:val="006B76E8"/>
    <w:rsid w:val="006B7BD9"/>
    <w:rsid w:val="006B7CCA"/>
    <w:rsid w:val="006B7E18"/>
    <w:rsid w:val="006B7ECA"/>
    <w:rsid w:val="006B7F4F"/>
    <w:rsid w:val="006C0192"/>
    <w:rsid w:val="006C01DA"/>
    <w:rsid w:val="006C01EB"/>
    <w:rsid w:val="006C01F6"/>
    <w:rsid w:val="006C0428"/>
    <w:rsid w:val="006C04AB"/>
    <w:rsid w:val="006C0653"/>
    <w:rsid w:val="006C06E7"/>
    <w:rsid w:val="006C0740"/>
    <w:rsid w:val="006C0823"/>
    <w:rsid w:val="006C0859"/>
    <w:rsid w:val="006C08F1"/>
    <w:rsid w:val="006C0972"/>
    <w:rsid w:val="006C0A9E"/>
    <w:rsid w:val="006C0BDA"/>
    <w:rsid w:val="006C0D0B"/>
    <w:rsid w:val="006C0D84"/>
    <w:rsid w:val="006C0DB7"/>
    <w:rsid w:val="006C0E80"/>
    <w:rsid w:val="006C0F89"/>
    <w:rsid w:val="006C0FFA"/>
    <w:rsid w:val="006C1003"/>
    <w:rsid w:val="006C1192"/>
    <w:rsid w:val="006C11C2"/>
    <w:rsid w:val="006C1206"/>
    <w:rsid w:val="006C15A8"/>
    <w:rsid w:val="006C1658"/>
    <w:rsid w:val="006C16F3"/>
    <w:rsid w:val="006C1745"/>
    <w:rsid w:val="006C1795"/>
    <w:rsid w:val="006C17D1"/>
    <w:rsid w:val="006C185F"/>
    <w:rsid w:val="006C1919"/>
    <w:rsid w:val="006C197C"/>
    <w:rsid w:val="006C19DD"/>
    <w:rsid w:val="006C1A87"/>
    <w:rsid w:val="006C1C50"/>
    <w:rsid w:val="006C1CE3"/>
    <w:rsid w:val="006C1F0E"/>
    <w:rsid w:val="006C2062"/>
    <w:rsid w:val="006C210A"/>
    <w:rsid w:val="006C2149"/>
    <w:rsid w:val="006C21E3"/>
    <w:rsid w:val="006C22D8"/>
    <w:rsid w:val="006C2456"/>
    <w:rsid w:val="006C265E"/>
    <w:rsid w:val="006C271D"/>
    <w:rsid w:val="006C2887"/>
    <w:rsid w:val="006C2914"/>
    <w:rsid w:val="006C2964"/>
    <w:rsid w:val="006C2A30"/>
    <w:rsid w:val="006C2A36"/>
    <w:rsid w:val="006C2A4B"/>
    <w:rsid w:val="006C2BD7"/>
    <w:rsid w:val="006C2C3F"/>
    <w:rsid w:val="006C2DA9"/>
    <w:rsid w:val="006C2DC1"/>
    <w:rsid w:val="006C2DDD"/>
    <w:rsid w:val="006C2E74"/>
    <w:rsid w:val="006C2EB2"/>
    <w:rsid w:val="006C3001"/>
    <w:rsid w:val="006C309C"/>
    <w:rsid w:val="006C3338"/>
    <w:rsid w:val="006C338C"/>
    <w:rsid w:val="006C3532"/>
    <w:rsid w:val="006C353D"/>
    <w:rsid w:val="006C353F"/>
    <w:rsid w:val="006C364E"/>
    <w:rsid w:val="006C3653"/>
    <w:rsid w:val="006C398D"/>
    <w:rsid w:val="006C39F9"/>
    <w:rsid w:val="006C3A50"/>
    <w:rsid w:val="006C3F7F"/>
    <w:rsid w:val="006C3F99"/>
    <w:rsid w:val="006C4002"/>
    <w:rsid w:val="006C4050"/>
    <w:rsid w:val="006C4062"/>
    <w:rsid w:val="006C4172"/>
    <w:rsid w:val="006C423C"/>
    <w:rsid w:val="006C42FE"/>
    <w:rsid w:val="006C43F5"/>
    <w:rsid w:val="006C44B4"/>
    <w:rsid w:val="006C44B5"/>
    <w:rsid w:val="006C4544"/>
    <w:rsid w:val="006C46A4"/>
    <w:rsid w:val="006C46B3"/>
    <w:rsid w:val="006C46F1"/>
    <w:rsid w:val="006C4730"/>
    <w:rsid w:val="006C487B"/>
    <w:rsid w:val="006C496C"/>
    <w:rsid w:val="006C4ABA"/>
    <w:rsid w:val="006C4B3F"/>
    <w:rsid w:val="006C4B92"/>
    <w:rsid w:val="006C4DB9"/>
    <w:rsid w:val="006C4E07"/>
    <w:rsid w:val="006C4E9C"/>
    <w:rsid w:val="006C4EF3"/>
    <w:rsid w:val="006C4EFD"/>
    <w:rsid w:val="006C4FD1"/>
    <w:rsid w:val="006C503C"/>
    <w:rsid w:val="006C50C5"/>
    <w:rsid w:val="006C510A"/>
    <w:rsid w:val="006C52D7"/>
    <w:rsid w:val="006C531A"/>
    <w:rsid w:val="006C53EB"/>
    <w:rsid w:val="006C54BE"/>
    <w:rsid w:val="006C54D3"/>
    <w:rsid w:val="006C54D8"/>
    <w:rsid w:val="006C55EA"/>
    <w:rsid w:val="006C56AD"/>
    <w:rsid w:val="006C5780"/>
    <w:rsid w:val="006C57FF"/>
    <w:rsid w:val="006C5872"/>
    <w:rsid w:val="006C58ED"/>
    <w:rsid w:val="006C5AFA"/>
    <w:rsid w:val="006C5BB2"/>
    <w:rsid w:val="006C5BE8"/>
    <w:rsid w:val="006C5C56"/>
    <w:rsid w:val="006C5C57"/>
    <w:rsid w:val="006C5C99"/>
    <w:rsid w:val="006C5D16"/>
    <w:rsid w:val="006C5D71"/>
    <w:rsid w:val="006C5DE5"/>
    <w:rsid w:val="006C5F10"/>
    <w:rsid w:val="006C5F5B"/>
    <w:rsid w:val="006C6054"/>
    <w:rsid w:val="006C61C4"/>
    <w:rsid w:val="006C61F4"/>
    <w:rsid w:val="006C61F6"/>
    <w:rsid w:val="006C624B"/>
    <w:rsid w:val="006C62C7"/>
    <w:rsid w:val="006C631B"/>
    <w:rsid w:val="006C6441"/>
    <w:rsid w:val="006C64A3"/>
    <w:rsid w:val="006C66AC"/>
    <w:rsid w:val="006C6787"/>
    <w:rsid w:val="006C67A8"/>
    <w:rsid w:val="006C68A6"/>
    <w:rsid w:val="006C68DF"/>
    <w:rsid w:val="006C69F5"/>
    <w:rsid w:val="006C6A0E"/>
    <w:rsid w:val="006C6CAC"/>
    <w:rsid w:val="006C6D00"/>
    <w:rsid w:val="006C6E7B"/>
    <w:rsid w:val="006C6FDD"/>
    <w:rsid w:val="006C7016"/>
    <w:rsid w:val="006C707B"/>
    <w:rsid w:val="006C7089"/>
    <w:rsid w:val="006C7153"/>
    <w:rsid w:val="006C726F"/>
    <w:rsid w:val="006C737D"/>
    <w:rsid w:val="006C750C"/>
    <w:rsid w:val="006C7564"/>
    <w:rsid w:val="006C767B"/>
    <w:rsid w:val="006C7682"/>
    <w:rsid w:val="006C76AA"/>
    <w:rsid w:val="006C799A"/>
    <w:rsid w:val="006C7A3A"/>
    <w:rsid w:val="006C7B18"/>
    <w:rsid w:val="006C7B2E"/>
    <w:rsid w:val="006C7D22"/>
    <w:rsid w:val="006C7DE4"/>
    <w:rsid w:val="006C7F37"/>
    <w:rsid w:val="006D005D"/>
    <w:rsid w:val="006D0064"/>
    <w:rsid w:val="006D0112"/>
    <w:rsid w:val="006D02B9"/>
    <w:rsid w:val="006D031B"/>
    <w:rsid w:val="006D042F"/>
    <w:rsid w:val="006D046B"/>
    <w:rsid w:val="006D049B"/>
    <w:rsid w:val="006D04CA"/>
    <w:rsid w:val="006D050C"/>
    <w:rsid w:val="006D0665"/>
    <w:rsid w:val="006D067E"/>
    <w:rsid w:val="006D0707"/>
    <w:rsid w:val="006D0745"/>
    <w:rsid w:val="006D0790"/>
    <w:rsid w:val="006D079A"/>
    <w:rsid w:val="006D09B4"/>
    <w:rsid w:val="006D0CC1"/>
    <w:rsid w:val="006D0D31"/>
    <w:rsid w:val="006D0E0D"/>
    <w:rsid w:val="006D0E66"/>
    <w:rsid w:val="006D0F03"/>
    <w:rsid w:val="006D0FF7"/>
    <w:rsid w:val="006D0FF9"/>
    <w:rsid w:val="006D10F1"/>
    <w:rsid w:val="006D1116"/>
    <w:rsid w:val="006D11E4"/>
    <w:rsid w:val="006D125B"/>
    <w:rsid w:val="006D1325"/>
    <w:rsid w:val="006D152B"/>
    <w:rsid w:val="006D15E5"/>
    <w:rsid w:val="006D16B8"/>
    <w:rsid w:val="006D1717"/>
    <w:rsid w:val="006D1719"/>
    <w:rsid w:val="006D171B"/>
    <w:rsid w:val="006D1770"/>
    <w:rsid w:val="006D19B4"/>
    <w:rsid w:val="006D1C8D"/>
    <w:rsid w:val="006D1CDC"/>
    <w:rsid w:val="006D1D38"/>
    <w:rsid w:val="006D1DF2"/>
    <w:rsid w:val="006D1E11"/>
    <w:rsid w:val="006D1EA4"/>
    <w:rsid w:val="006D1EB1"/>
    <w:rsid w:val="006D1F8F"/>
    <w:rsid w:val="006D1FE6"/>
    <w:rsid w:val="006D2016"/>
    <w:rsid w:val="006D209D"/>
    <w:rsid w:val="006D20A8"/>
    <w:rsid w:val="006D215A"/>
    <w:rsid w:val="006D2277"/>
    <w:rsid w:val="006D22E6"/>
    <w:rsid w:val="006D230E"/>
    <w:rsid w:val="006D235E"/>
    <w:rsid w:val="006D2363"/>
    <w:rsid w:val="006D2370"/>
    <w:rsid w:val="006D2406"/>
    <w:rsid w:val="006D24EF"/>
    <w:rsid w:val="006D2612"/>
    <w:rsid w:val="006D26A3"/>
    <w:rsid w:val="006D2774"/>
    <w:rsid w:val="006D27A5"/>
    <w:rsid w:val="006D29DE"/>
    <w:rsid w:val="006D2B8A"/>
    <w:rsid w:val="006D2CC3"/>
    <w:rsid w:val="006D2D0A"/>
    <w:rsid w:val="006D2DE4"/>
    <w:rsid w:val="006D2DE7"/>
    <w:rsid w:val="006D2E46"/>
    <w:rsid w:val="006D2E4F"/>
    <w:rsid w:val="006D2E7C"/>
    <w:rsid w:val="006D2E9F"/>
    <w:rsid w:val="006D301A"/>
    <w:rsid w:val="006D3025"/>
    <w:rsid w:val="006D3161"/>
    <w:rsid w:val="006D3302"/>
    <w:rsid w:val="006D345F"/>
    <w:rsid w:val="006D3589"/>
    <w:rsid w:val="006D3994"/>
    <w:rsid w:val="006D39DD"/>
    <w:rsid w:val="006D3A74"/>
    <w:rsid w:val="006D3AB4"/>
    <w:rsid w:val="006D3BCC"/>
    <w:rsid w:val="006D3BE7"/>
    <w:rsid w:val="006D3BF7"/>
    <w:rsid w:val="006D3D21"/>
    <w:rsid w:val="006D3E08"/>
    <w:rsid w:val="006D3F6C"/>
    <w:rsid w:val="006D4068"/>
    <w:rsid w:val="006D41F3"/>
    <w:rsid w:val="006D4486"/>
    <w:rsid w:val="006D458B"/>
    <w:rsid w:val="006D4631"/>
    <w:rsid w:val="006D4691"/>
    <w:rsid w:val="006D46E7"/>
    <w:rsid w:val="006D479E"/>
    <w:rsid w:val="006D47F5"/>
    <w:rsid w:val="006D4834"/>
    <w:rsid w:val="006D4891"/>
    <w:rsid w:val="006D492D"/>
    <w:rsid w:val="006D4958"/>
    <w:rsid w:val="006D49A1"/>
    <w:rsid w:val="006D4A21"/>
    <w:rsid w:val="006D4AC6"/>
    <w:rsid w:val="006D4B22"/>
    <w:rsid w:val="006D4BF5"/>
    <w:rsid w:val="006D4C67"/>
    <w:rsid w:val="006D4D0F"/>
    <w:rsid w:val="006D4D81"/>
    <w:rsid w:val="006D4E56"/>
    <w:rsid w:val="006D4EC3"/>
    <w:rsid w:val="006D4F3D"/>
    <w:rsid w:val="006D5014"/>
    <w:rsid w:val="006D5112"/>
    <w:rsid w:val="006D51C1"/>
    <w:rsid w:val="006D5221"/>
    <w:rsid w:val="006D5241"/>
    <w:rsid w:val="006D52A6"/>
    <w:rsid w:val="006D53F8"/>
    <w:rsid w:val="006D542B"/>
    <w:rsid w:val="006D557B"/>
    <w:rsid w:val="006D559C"/>
    <w:rsid w:val="006D572D"/>
    <w:rsid w:val="006D5780"/>
    <w:rsid w:val="006D57EF"/>
    <w:rsid w:val="006D57F5"/>
    <w:rsid w:val="006D5879"/>
    <w:rsid w:val="006D58E6"/>
    <w:rsid w:val="006D5A8D"/>
    <w:rsid w:val="006D5AD7"/>
    <w:rsid w:val="006D5B3A"/>
    <w:rsid w:val="006D5B47"/>
    <w:rsid w:val="006D5C12"/>
    <w:rsid w:val="006D5C7B"/>
    <w:rsid w:val="006D5CFF"/>
    <w:rsid w:val="006D5D01"/>
    <w:rsid w:val="006D5D20"/>
    <w:rsid w:val="006D5E1E"/>
    <w:rsid w:val="006D5E26"/>
    <w:rsid w:val="006D5F7A"/>
    <w:rsid w:val="006D5F8E"/>
    <w:rsid w:val="006D5FB4"/>
    <w:rsid w:val="006D609A"/>
    <w:rsid w:val="006D609E"/>
    <w:rsid w:val="006D6356"/>
    <w:rsid w:val="006D63B6"/>
    <w:rsid w:val="006D6476"/>
    <w:rsid w:val="006D64C2"/>
    <w:rsid w:val="006D66CC"/>
    <w:rsid w:val="006D671B"/>
    <w:rsid w:val="006D671C"/>
    <w:rsid w:val="006D67B8"/>
    <w:rsid w:val="006D68D3"/>
    <w:rsid w:val="006D68D7"/>
    <w:rsid w:val="006D6AF5"/>
    <w:rsid w:val="006D6B3A"/>
    <w:rsid w:val="006D6CC8"/>
    <w:rsid w:val="006D6D85"/>
    <w:rsid w:val="006D6DE4"/>
    <w:rsid w:val="006D6F24"/>
    <w:rsid w:val="006D7127"/>
    <w:rsid w:val="006D73F0"/>
    <w:rsid w:val="006D73FD"/>
    <w:rsid w:val="006D7473"/>
    <w:rsid w:val="006D749D"/>
    <w:rsid w:val="006D750E"/>
    <w:rsid w:val="006D7522"/>
    <w:rsid w:val="006D754C"/>
    <w:rsid w:val="006D7681"/>
    <w:rsid w:val="006D76BE"/>
    <w:rsid w:val="006D76E8"/>
    <w:rsid w:val="006D781B"/>
    <w:rsid w:val="006D7845"/>
    <w:rsid w:val="006D7B92"/>
    <w:rsid w:val="006D7CDC"/>
    <w:rsid w:val="006E0059"/>
    <w:rsid w:val="006E00E1"/>
    <w:rsid w:val="006E01BE"/>
    <w:rsid w:val="006E02B6"/>
    <w:rsid w:val="006E0349"/>
    <w:rsid w:val="006E03C9"/>
    <w:rsid w:val="006E03CB"/>
    <w:rsid w:val="006E0486"/>
    <w:rsid w:val="006E04C4"/>
    <w:rsid w:val="006E04D7"/>
    <w:rsid w:val="006E071A"/>
    <w:rsid w:val="006E0968"/>
    <w:rsid w:val="006E0B69"/>
    <w:rsid w:val="006E0C8B"/>
    <w:rsid w:val="006E0D51"/>
    <w:rsid w:val="006E0DD9"/>
    <w:rsid w:val="006E0E2E"/>
    <w:rsid w:val="006E0E61"/>
    <w:rsid w:val="006E0ECD"/>
    <w:rsid w:val="006E0EE1"/>
    <w:rsid w:val="006E0F60"/>
    <w:rsid w:val="006E0FFD"/>
    <w:rsid w:val="006E108D"/>
    <w:rsid w:val="006E111A"/>
    <w:rsid w:val="006E1216"/>
    <w:rsid w:val="006E133C"/>
    <w:rsid w:val="006E13FD"/>
    <w:rsid w:val="006E1465"/>
    <w:rsid w:val="006E1551"/>
    <w:rsid w:val="006E165C"/>
    <w:rsid w:val="006E16D9"/>
    <w:rsid w:val="006E1800"/>
    <w:rsid w:val="006E18AA"/>
    <w:rsid w:val="006E196C"/>
    <w:rsid w:val="006E19DC"/>
    <w:rsid w:val="006E1A78"/>
    <w:rsid w:val="006E1CC9"/>
    <w:rsid w:val="006E1DBB"/>
    <w:rsid w:val="006E1DD5"/>
    <w:rsid w:val="006E1E89"/>
    <w:rsid w:val="006E1FF0"/>
    <w:rsid w:val="006E21A0"/>
    <w:rsid w:val="006E2222"/>
    <w:rsid w:val="006E23E0"/>
    <w:rsid w:val="006E2435"/>
    <w:rsid w:val="006E2601"/>
    <w:rsid w:val="006E262A"/>
    <w:rsid w:val="006E2743"/>
    <w:rsid w:val="006E274C"/>
    <w:rsid w:val="006E27C2"/>
    <w:rsid w:val="006E27E3"/>
    <w:rsid w:val="006E27EE"/>
    <w:rsid w:val="006E2857"/>
    <w:rsid w:val="006E28FB"/>
    <w:rsid w:val="006E2974"/>
    <w:rsid w:val="006E2999"/>
    <w:rsid w:val="006E2A63"/>
    <w:rsid w:val="006E2A96"/>
    <w:rsid w:val="006E2B28"/>
    <w:rsid w:val="006E2F4A"/>
    <w:rsid w:val="006E2F66"/>
    <w:rsid w:val="006E2F6B"/>
    <w:rsid w:val="006E3032"/>
    <w:rsid w:val="006E30DE"/>
    <w:rsid w:val="006E3136"/>
    <w:rsid w:val="006E31F6"/>
    <w:rsid w:val="006E328B"/>
    <w:rsid w:val="006E32B0"/>
    <w:rsid w:val="006E32DF"/>
    <w:rsid w:val="006E3338"/>
    <w:rsid w:val="006E34C6"/>
    <w:rsid w:val="006E369C"/>
    <w:rsid w:val="006E38F9"/>
    <w:rsid w:val="006E3911"/>
    <w:rsid w:val="006E39A6"/>
    <w:rsid w:val="006E39FD"/>
    <w:rsid w:val="006E3B77"/>
    <w:rsid w:val="006E3C18"/>
    <w:rsid w:val="006E3D6B"/>
    <w:rsid w:val="006E3FC8"/>
    <w:rsid w:val="006E41AE"/>
    <w:rsid w:val="006E42A9"/>
    <w:rsid w:val="006E42B9"/>
    <w:rsid w:val="006E42D1"/>
    <w:rsid w:val="006E42DE"/>
    <w:rsid w:val="006E464E"/>
    <w:rsid w:val="006E4829"/>
    <w:rsid w:val="006E48B3"/>
    <w:rsid w:val="006E48B8"/>
    <w:rsid w:val="006E4939"/>
    <w:rsid w:val="006E497B"/>
    <w:rsid w:val="006E498D"/>
    <w:rsid w:val="006E49A1"/>
    <w:rsid w:val="006E4C8B"/>
    <w:rsid w:val="006E4D78"/>
    <w:rsid w:val="006E4DF7"/>
    <w:rsid w:val="006E4EAD"/>
    <w:rsid w:val="006E4F33"/>
    <w:rsid w:val="006E4F3A"/>
    <w:rsid w:val="006E4FBA"/>
    <w:rsid w:val="006E5012"/>
    <w:rsid w:val="006E5145"/>
    <w:rsid w:val="006E5158"/>
    <w:rsid w:val="006E51AC"/>
    <w:rsid w:val="006E51FC"/>
    <w:rsid w:val="006E524A"/>
    <w:rsid w:val="006E53E0"/>
    <w:rsid w:val="006E53F1"/>
    <w:rsid w:val="006E54A7"/>
    <w:rsid w:val="006E5573"/>
    <w:rsid w:val="006E55D5"/>
    <w:rsid w:val="006E5653"/>
    <w:rsid w:val="006E5670"/>
    <w:rsid w:val="006E56A8"/>
    <w:rsid w:val="006E56D2"/>
    <w:rsid w:val="006E5732"/>
    <w:rsid w:val="006E5788"/>
    <w:rsid w:val="006E57E5"/>
    <w:rsid w:val="006E582D"/>
    <w:rsid w:val="006E5BF2"/>
    <w:rsid w:val="006E5CC7"/>
    <w:rsid w:val="006E5D00"/>
    <w:rsid w:val="006E5D7B"/>
    <w:rsid w:val="006E6048"/>
    <w:rsid w:val="006E6084"/>
    <w:rsid w:val="006E60DF"/>
    <w:rsid w:val="006E61EB"/>
    <w:rsid w:val="006E638E"/>
    <w:rsid w:val="006E63D9"/>
    <w:rsid w:val="006E63FC"/>
    <w:rsid w:val="006E64BE"/>
    <w:rsid w:val="006E6531"/>
    <w:rsid w:val="006E6588"/>
    <w:rsid w:val="006E666B"/>
    <w:rsid w:val="006E6788"/>
    <w:rsid w:val="006E6797"/>
    <w:rsid w:val="006E684A"/>
    <w:rsid w:val="006E6871"/>
    <w:rsid w:val="006E692E"/>
    <w:rsid w:val="006E6BCB"/>
    <w:rsid w:val="006E6CA1"/>
    <w:rsid w:val="006E6CE3"/>
    <w:rsid w:val="006E6D5F"/>
    <w:rsid w:val="006E6DAA"/>
    <w:rsid w:val="006E6F34"/>
    <w:rsid w:val="006E6F62"/>
    <w:rsid w:val="006E6FBD"/>
    <w:rsid w:val="006E7067"/>
    <w:rsid w:val="006E71D2"/>
    <w:rsid w:val="006E752B"/>
    <w:rsid w:val="006E7538"/>
    <w:rsid w:val="006E75FA"/>
    <w:rsid w:val="006E7666"/>
    <w:rsid w:val="006E7696"/>
    <w:rsid w:val="006E7763"/>
    <w:rsid w:val="006E77A4"/>
    <w:rsid w:val="006E7845"/>
    <w:rsid w:val="006E78D0"/>
    <w:rsid w:val="006E78EE"/>
    <w:rsid w:val="006E7985"/>
    <w:rsid w:val="006E7A30"/>
    <w:rsid w:val="006E7B2E"/>
    <w:rsid w:val="006E7B39"/>
    <w:rsid w:val="006E7B69"/>
    <w:rsid w:val="006E7C5C"/>
    <w:rsid w:val="006E7D62"/>
    <w:rsid w:val="006E7EFD"/>
    <w:rsid w:val="006E7F8E"/>
    <w:rsid w:val="006F0013"/>
    <w:rsid w:val="006F0027"/>
    <w:rsid w:val="006F00A2"/>
    <w:rsid w:val="006F0139"/>
    <w:rsid w:val="006F0189"/>
    <w:rsid w:val="006F018C"/>
    <w:rsid w:val="006F01DC"/>
    <w:rsid w:val="006F01FE"/>
    <w:rsid w:val="006F024C"/>
    <w:rsid w:val="006F02D7"/>
    <w:rsid w:val="006F032C"/>
    <w:rsid w:val="006F069F"/>
    <w:rsid w:val="006F0729"/>
    <w:rsid w:val="006F0748"/>
    <w:rsid w:val="006F083F"/>
    <w:rsid w:val="006F085D"/>
    <w:rsid w:val="006F0915"/>
    <w:rsid w:val="006F0928"/>
    <w:rsid w:val="006F0951"/>
    <w:rsid w:val="006F0980"/>
    <w:rsid w:val="006F09E4"/>
    <w:rsid w:val="006F0A92"/>
    <w:rsid w:val="006F0AA1"/>
    <w:rsid w:val="006F0AD6"/>
    <w:rsid w:val="006F0B48"/>
    <w:rsid w:val="006F0B92"/>
    <w:rsid w:val="006F0C9A"/>
    <w:rsid w:val="006F0CF7"/>
    <w:rsid w:val="006F0D15"/>
    <w:rsid w:val="006F0E48"/>
    <w:rsid w:val="006F0EEC"/>
    <w:rsid w:val="006F0F1F"/>
    <w:rsid w:val="006F0FED"/>
    <w:rsid w:val="006F106E"/>
    <w:rsid w:val="006F114D"/>
    <w:rsid w:val="006F122F"/>
    <w:rsid w:val="006F12DF"/>
    <w:rsid w:val="006F132D"/>
    <w:rsid w:val="006F138C"/>
    <w:rsid w:val="006F1425"/>
    <w:rsid w:val="006F154D"/>
    <w:rsid w:val="006F169F"/>
    <w:rsid w:val="006F17E0"/>
    <w:rsid w:val="006F19D8"/>
    <w:rsid w:val="006F1C99"/>
    <w:rsid w:val="006F1CF8"/>
    <w:rsid w:val="006F1D54"/>
    <w:rsid w:val="006F1E7D"/>
    <w:rsid w:val="006F1ED1"/>
    <w:rsid w:val="006F20E9"/>
    <w:rsid w:val="006F2178"/>
    <w:rsid w:val="006F21CF"/>
    <w:rsid w:val="006F21D6"/>
    <w:rsid w:val="006F24FD"/>
    <w:rsid w:val="006F2558"/>
    <w:rsid w:val="006F269E"/>
    <w:rsid w:val="006F289B"/>
    <w:rsid w:val="006F28B1"/>
    <w:rsid w:val="006F28D9"/>
    <w:rsid w:val="006F29E1"/>
    <w:rsid w:val="006F2C56"/>
    <w:rsid w:val="006F2C64"/>
    <w:rsid w:val="006F2D26"/>
    <w:rsid w:val="006F2DE6"/>
    <w:rsid w:val="006F2EDD"/>
    <w:rsid w:val="006F31D1"/>
    <w:rsid w:val="006F31DA"/>
    <w:rsid w:val="006F325E"/>
    <w:rsid w:val="006F32F5"/>
    <w:rsid w:val="006F33E5"/>
    <w:rsid w:val="006F3418"/>
    <w:rsid w:val="006F355B"/>
    <w:rsid w:val="006F35C4"/>
    <w:rsid w:val="006F3756"/>
    <w:rsid w:val="006F3792"/>
    <w:rsid w:val="006F3999"/>
    <w:rsid w:val="006F3A56"/>
    <w:rsid w:val="006F3AB8"/>
    <w:rsid w:val="006F3CD7"/>
    <w:rsid w:val="006F3D40"/>
    <w:rsid w:val="006F3DD2"/>
    <w:rsid w:val="006F3E1D"/>
    <w:rsid w:val="006F3F34"/>
    <w:rsid w:val="006F3F92"/>
    <w:rsid w:val="006F409D"/>
    <w:rsid w:val="006F40F9"/>
    <w:rsid w:val="006F4193"/>
    <w:rsid w:val="006F41DA"/>
    <w:rsid w:val="006F420F"/>
    <w:rsid w:val="006F42C4"/>
    <w:rsid w:val="006F42E6"/>
    <w:rsid w:val="006F4326"/>
    <w:rsid w:val="006F446B"/>
    <w:rsid w:val="006F449C"/>
    <w:rsid w:val="006F450B"/>
    <w:rsid w:val="006F4555"/>
    <w:rsid w:val="006F4560"/>
    <w:rsid w:val="006F4580"/>
    <w:rsid w:val="006F4599"/>
    <w:rsid w:val="006F47C6"/>
    <w:rsid w:val="006F47F0"/>
    <w:rsid w:val="006F48D9"/>
    <w:rsid w:val="006F49CE"/>
    <w:rsid w:val="006F49EA"/>
    <w:rsid w:val="006F4A9A"/>
    <w:rsid w:val="006F4AE1"/>
    <w:rsid w:val="006F4B41"/>
    <w:rsid w:val="006F4B49"/>
    <w:rsid w:val="006F4B53"/>
    <w:rsid w:val="006F4B6F"/>
    <w:rsid w:val="006F4B70"/>
    <w:rsid w:val="006F4C32"/>
    <w:rsid w:val="006F4E5C"/>
    <w:rsid w:val="006F4E68"/>
    <w:rsid w:val="006F4E75"/>
    <w:rsid w:val="006F4EC1"/>
    <w:rsid w:val="006F5042"/>
    <w:rsid w:val="006F50AD"/>
    <w:rsid w:val="006F51D3"/>
    <w:rsid w:val="006F52CE"/>
    <w:rsid w:val="006F5307"/>
    <w:rsid w:val="006F5364"/>
    <w:rsid w:val="006F5391"/>
    <w:rsid w:val="006F540C"/>
    <w:rsid w:val="006F5449"/>
    <w:rsid w:val="006F54AB"/>
    <w:rsid w:val="006F552D"/>
    <w:rsid w:val="006F556C"/>
    <w:rsid w:val="006F5578"/>
    <w:rsid w:val="006F5592"/>
    <w:rsid w:val="006F56DC"/>
    <w:rsid w:val="006F573E"/>
    <w:rsid w:val="006F57FC"/>
    <w:rsid w:val="006F587A"/>
    <w:rsid w:val="006F5889"/>
    <w:rsid w:val="006F5915"/>
    <w:rsid w:val="006F5951"/>
    <w:rsid w:val="006F5A05"/>
    <w:rsid w:val="006F5A51"/>
    <w:rsid w:val="006F5B79"/>
    <w:rsid w:val="006F5B94"/>
    <w:rsid w:val="006F5DA7"/>
    <w:rsid w:val="006F5DBC"/>
    <w:rsid w:val="006F5DE6"/>
    <w:rsid w:val="006F5DF1"/>
    <w:rsid w:val="006F5F17"/>
    <w:rsid w:val="006F5F91"/>
    <w:rsid w:val="006F5FA4"/>
    <w:rsid w:val="006F6106"/>
    <w:rsid w:val="006F6124"/>
    <w:rsid w:val="006F618B"/>
    <w:rsid w:val="006F6212"/>
    <w:rsid w:val="006F6273"/>
    <w:rsid w:val="006F62B7"/>
    <w:rsid w:val="006F642D"/>
    <w:rsid w:val="006F647A"/>
    <w:rsid w:val="006F64AA"/>
    <w:rsid w:val="006F67D8"/>
    <w:rsid w:val="006F6832"/>
    <w:rsid w:val="006F6893"/>
    <w:rsid w:val="006F69BB"/>
    <w:rsid w:val="006F6A88"/>
    <w:rsid w:val="006F6B08"/>
    <w:rsid w:val="006F6B0E"/>
    <w:rsid w:val="006F6D32"/>
    <w:rsid w:val="006F6D93"/>
    <w:rsid w:val="006F6E20"/>
    <w:rsid w:val="006F6E7A"/>
    <w:rsid w:val="006F6E8E"/>
    <w:rsid w:val="006F6EDF"/>
    <w:rsid w:val="006F7008"/>
    <w:rsid w:val="006F7044"/>
    <w:rsid w:val="006F705C"/>
    <w:rsid w:val="006F70CA"/>
    <w:rsid w:val="006F72C0"/>
    <w:rsid w:val="006F72D9"/>
    <w:rsid w:val="006F732F"/>
    <w:rsid w:val="006F7489"/>
    <w:rsid w:val="006F7606"/>
    <w:rsid w:val="006F7633"/>
    <w:rsid w:val="006F767C"/>
    <w:rsid w:val="006F776D"/>
    <w:rsid w:val="006F7853"/>
    <w:rsid w:val="006F793C"/>
    <w:rsid w:val="006F7982"/>
    <w:rsid w:val="006F79FC"/>
    <w:rsid w:val="006F7AC7"/>
    <w:rsid w:val="006F7ACE"/>
    <w:rsid w:val="006F7ADD"/>
    <w:rsid w:val="006F7C63"/>
    <w:rsid w:val="006F7D34"/>
    <w:rsid w:val="006F7DCA"/>
    <w:rsid w:val="006F7DE8"/>
    <w:rsid w:val="006F7F7D"/>
    <w:rsid w:val="006F7FA5"/>
    <w:rsid w:val="007000AA"/>
    <w:rsid w:val="007002E1"/>
    <w:rsid w:val="0070032E"/>
    <w:rsid w:val="007003C7"/>
    <w:rsid w:val="007003F3"/>
    <w:rsid w:val="00700418"/>
    <w:rsid w:val="0070044D"/>
    <w:rsid w:val="007004F0"/>
    <w:rsid w:val="00700527"/>
    <w:rsid w:val="00700567"/>
    <w:rsid w:val="00700581"/>
    <w:rsid w:val="007005F3"/>
    <w:rsid w:val="00700640"/>
    <w:rsid w:val="0070069F"/>
    <w:rsid w:val="007006B9"/>
    <w:rsid w:val="00700730"/>
    <w:rsid w:val="00700775"/>
    <w:rsid w:val="007007BE"/>
    <w:rsid w:val="007007C3"/>
    <w:rsid w:val="007007D2"/>
    <w:rsid w:val="007008A7"/>
    <w:rsid w:val="007008D0"/>
    <w:rsid w:val="007008EA"/>
    <w:rsid w:val="00700944"/>
    <w:rsid w:val="00700AD0"/>
    <w:rsid w:val="00700B31"/>
    <w:rsid w:val="00700B61"/>
    <w:rsid w:val="00700B7A"/>
    <w:rsid w:val="00700C05"/>
    <w:rsid w:val="00700C50"/>
    <w:rsid w:val="00700E3F"/>
    <w:rsid w:val="00700E4B"/>
    <w:rsid w:val="007012E0"/>
    <w:rsid w:val="007013A5"/>
    <w:rsid w:val="00701475"/>
    <w:rsid w:val="007014FB"/>
    <w:rsid w:val="0070165E"/>
    <w:rsid w:val="00701665"/>
    <w:rsid w:val="00701910"/>
    <w:rsid w:val="00701956"/>
    <w:rsid w:val="007019DA"/>
    <w:rsid w:val="00701C31"/>
    <w:rsid w:val="00701EAD"/>
    <w:rsid w:val="00701FF8"/>
    <w:rsid w:val="00702033"/>
    <w:rsid w:val="00702095"/>
    <w:rsid w:val="007020B4"/>
    <w:rsid w:val="0070231D"/>
    <w:rsid w:val="007024E0"/>
    <w:rsid w:val="00702551"/>
    <w:rsid w:val="007026CE"/>
    <w:rsid w:val="00702707"/>
    <w:rsid w:val="0070271D"/>
    <w:rsid w:val="007027B6"/>
    <w:rsid w:val="00702A2A"/>
    <w:rsid w:val="00702AC7"/>
    <w:rsid w:val="00702B20"/>
    <w:rsid w:val="00702B44"/>
    <w:rsid w:val="00702BE9"/>
    <w:rsid w:val="00702C15"/>
    <w:rsid w:val="00702C57"/>
    <w:rsid w:val="00702CB7"/>
    <w:rsid w:val="00702D1A"/>
    <w:rsid w:val="00702F0A"/>
    <w:rsid w:val="00702F1C"/>
    <w:rsid w:val="00702F5F"/>
    <w:rsid w:val="00702FE4"/>
    <w:rsid w:val="0070328E"/>
    <w:rsid w:val="0070346F"/>
    <w:rsid w:val="007036B2"/>
    <w:rsid w:val="007037A1"/>
    <w:rsid w:val="007038A2"/>
    <w:rsid w:val="00703963"/>
    <w:rsid w:val="007039BC"/>
    <w:rsid w:val="007039DB"/>
    <w:rsid w:val="00703A40"/>
    <w:rsid w:val="00703B10"/>
    <w:rsid w:val="00703B7B"/>
    <w:rsid w:val="00703BE9"/>
    <w:rsid w:val="00703C96"/>
    <w:rsid w:val="00703DC2"/>
    <w:rsid w:val="00703E0E"/>
    <w:rsid w:val="00703E24"/>
    <w:rsid w:val="00703E9B"/>
    <w:rsid w:val="00703F0D"/>
    <w:rsid w:val="00704044"/>
    <w:rsid w:val="00704151"/>
    <w:rsid w:val="0070430C"/>
    <w:rsid w:val="0070433D"/>
    <w:rsid w:val="00704382"/>
    <w:rsid w:val="007043C8"/>
    <w:rsid w:val="00704441"/>
    <w:rsid w:val="007046AE"/>
    <w:rsid w:val="007048AE"/>
    <w:rsid w:val="00704912"/>
    <w:rsid w:val="00704AE9"/>
    <w:rsid w:val="00704CEA"/>
    <w:rsid w:val="00704D62"/>
    <w:rsid w:val="00704FE7"/>
    <w:rsid w:val="0070505D"/>
    <w:rsid w:val="00705119"/>
    <w:rsid w:val="0070516A"/>
    <w:rsid w:val="00705223"/>
    <w:rsid w:val="00705422"/>
    <w:rsid w:val="00705453"/>
    <w:rsid w:val="007055C3"/>
    <w:rsid w:val="007056ED"/>
    <w:rsid w:val="00705829"/>
    <w:rsid w:val="007059E0"/>
    <w:rsid w:val="00705C44"/>
    <w:rsid w:val="00705D40"/>
    <w:rsid w:val="00705DF6"/>
    <w:rsid w:val="007064C8"/>
    <w:rsid w:val="00706508"/>
    <w:rsid w:val="0070653B"/>
    <w:rsid w:val="00706551"/>
    <w:rsid w:val="0070658E"/>
    <w:rsid w:val="00706642"/>
    <w:rsid w:val="00706839"/>
    <w:rsid w:val="00706866"/>
    <w:rsid w:val="00706908"/>
    <w:rsid w:val="00706930"/>
    <w:rsid w:val="00706B47"/>
    <w:rsid w:val="00706B6B"/>
    <w:rsid w:val="00706DD0"/>
    <w:rsid w:val="00706F67"/>
    <w:rsid w:val="00707007"/>
    <w:rsid w:val="00707023"/>
    <w:rsid w:val="007070A0"/>
    <w:rsid w:val="007070AE"/>
    <w:rsid w:val="00707251"/>
    <w:rsid w:val="007074E4"/>
    <w:rsid w:val="0070765B"/>
    <w:rsid w:val="00707674"/>
    <w:rsid w:val="00707755"/>
    <w:rsid w:val="00707780"/>
    <w:rsid w:val="0070786E"/>
    <w:rsid w:val="0070787D"/>
    <w:rsid w:val="00707899"/>
    <w:rsid w:val="007078FF"/>
    <w:rsid w:val="007079F4"/>
    <w:rsid w:val="00707AF5"/>
    <w:rsid w:val="00707CCB"/>
    <w:rsid w:val="00707F19"/>
    <w:rsid w:val="00707F2F"/>
    <w:rsid w:val="00707F32"/>
    <w:rsid w:val="0071010E"/>
    <w:rsid w:val="007101CF"/>
    <w:rsid w:val="00710224"/>
    <w:rsid w:val="00710263"/>
    <w:rsid w:val="007102CB"/>
    <w:rsid w:val="007102F1"/>
    <w:rsid w:val="007102FC"/>
    <w:rsid w:val="007103A8"/>
    <w:rsid w:val="00710436"/>
    <w:rsid w:val="007104C6"/>
    <w:rsid w:val="00710682"/>
    <w:rsid w:val="007106EB"/>
    <w:rsid w:val="00710785"/>
    <w:rsid w:val="00710982"/>
    <w:rsid w:val="00710A0A"/>
    <w:rsid w:val="00710AF9"/>
    <w:rsid w:val="00710DF9"/>
    <w:rsid w:val="00710DFC"/>
    <w:rsid w:val="00710F6E"/>
    <w:rsid w:val="007111CE"/>
    <w:rsid w:val="007111E5"/>
    <w:rsid w:val="0071125E"/>
    <w:rsid w:val="0071127A"/>
    <w:rsid w:val="0071127F"/>
    <w:rsid w:val="00711374"/>
    <w:rsid w:val="0071138D"/>
    <w:rsid w:val="007113D5"/>
    <w:rsid w:val="00711531"/>
    <w:rsid w:val="00711593"/>
    <w:rsid w:val="00711625"/>
    <w:rsid w:val="00711679"/>
    <w:rsid w:val="007116C5"/>
    <w:rsid w:val="007116FC"/>
    <w:rsid w:val="0071172A"/>
    <w:rsid w:val="00711869"/>
    <w:rsid w:val="0071189A"/>
    <w:rsid w:val="007118D2"/>
    <w:rsid w:val="007119C6"/>
    <w:rsid w:val="007119E7"/>
    <w:rsid w:val="00711A01"/>
    <w:rsid w:val="00711A30"/>
    <w:rsid w:val="00711A51"/>
    <w:rsid w:val="00711B67"/>
    <w:rsid w:val="00711DC3"/>
    <w:rsid w:val="00711DE8"/>
    <w:rsid w:val="00711F34"/>
    <w:rsid w:val="00711F78"/>
    <w:rsid w:val="00712071"/>
    <w:rsid w:val="00712081"/>
    <w:rsid w:val="007120D2"/>
    <w:rsid w:val="007121AC"/>
    <w:rsid w:val="00712230"/>
    <w:rsid w:val="00712295"/>
    <w:rsid w:val="0071229E"/>
    <w:rsid w:val="007122A3"/>
    <w:rsid w:val="007122B6"/>
    <w:rsid w:val="007122FC"/>
    <w:rsid w:val="00712454"/>
    <w:rsid w:val="00712457"/>
    <w:rsid w:val="00712535"/>
    <w:rsid w:val="00712612"/>
    <w:rsid w:val="00712657"/>
    <w:rsid w:val="00712692"/>
    <w:rsid w:val="007127A1"/>
    <w:rsid w:val="00712A48"/>
    <w:rsid w:val="00712C2B"/>
    <w:rsid w:val="00712D9D"/>
    <w:rsid w:val="00712E06"/>
    <w:rsid w:val="00712E5B"/>
    <w:rsid w:val="00712FE5"/>
    <w:rsid w:val="00713103"/>
    <w:rsid w:val="0071340D"/>
    <w:rsid w:val="00713433"/>
    <w:rsid w:val="007134FD"/>
    <w:rsid w:val="00713511"/>
    <w:rsid w:val="007136CD"/>
    <w:rsid w:val="0071374C"/>
    <w:rsid w:val="007137D3"/>
    <w:rsid w:val="007138B5"/>
    <w:rsid w:val="00713A42"/>
    <w:rsid w:val="00713A72"/>
    <w:rsid w:val="00713BC4"/>
    <w:rsid w:val="00713BD5"/>
    <w:rsid w:val="00713CB5"/>
    <w:rsid w:val="00713D0B"/>
    <w:rsid w:val="00713E51"/>
    <w:rsid w:val="00713E9B"/>
    <w:rsid w:val="00713ECD"/>
    <w:rsid w:val="00713ED7"/>
    <w:rsid w:val="00713F3D"/>
    <w:rsid w:val="0071423D"/>
    <w:rsid w:val="007142E4"/>
    <w:rsid w:val="007143F3"/>
    <w:rsid w:val="007144D2"/>
    <w:rsid w:val="007144F9"/>
    <w:rsid w:val="007145A1"/>
    <w:rsid w:val="007145B0"/>
    <w:rsid w:val="007147CF"/>
    <w:rsid w:val="00714842"/>
    <w:rsid w:val="007149B0"/>
    <w:rsid w:val="007149D2"/>
    <w:rsid w:val="00714A16"/>
    <w:rsid w:val="00714AD0"/>
    <w:rsid w:val="00714BDB"/>
    <w:rsid w:val="00714CE0"/>
    <w:rsid w:val="00714CEC"/>
    <w:rsid w:val="00714D2E"/>
    <w:rsid w:val="00714D36"/>
    <w:rsid w:val="007150AC"/>
    <w:rsid w:val="007152AF"/>
    <w:rsid w:val="0071534E"/>
    <w:rsid w:val="00715515"/>
    <w:rsid w:val="00715548"/>
    <w:rsid w:val="0071555A"/>
    <w:rsid w:val="007155E1"/>
    <w:rsid w:val="0071598F"/>
    <w:rsid w:val="007159A1"/>
    <w:rsid w:val="00715B4D"/>
    <w:rsid w:val="00715B7F"/>
    <w:rsid w:val="00715B96"/>
    <w:rsid w:val="00715BA2"/>
    <w:rsid w:val="00715BE7"/>
    <w:rsid w:val="00715E23"/>
    <w:rsid w:val="00715E5D"/>
    <w:rsid w:val="007160F2"/>
    <w:rsid w:val="00716150"/>
    <w:rsid w:val="00716170"/>
    <w:rsid w:val="00716249"/>
    <w:rsid w:val="0071625F"/>
    <w:rsid w:val="007163D3"/>
    <w:rsid w:val="00716499"/>
    <w:rsid w:val="007164E1"/>
    <w:rsid w:val="00716505"/>
    <w:rsid w:val="0071650C"/>
    <w:rsid w:val="00716517"/>
    <w:rsid w:val="00716518"/>
    <w:rsid w:val="0071654D"/>
    <w:rsid w:val="007166CC"/>
    <w:rsid w:val="007166CF"/>
    <w:rsid w:val="007167C3"/>
    <w:rsid w:val="007167C8"/>
    <w:rsid w:val="007167D3"/>
    <w:rsid w:val="0071693B"/>
    <w:rsid w:val="00716BF8"/>
    <w:rsid w:val="00716D45"/>
    <w:rsid w:val="00716D7F"/>
    <w:rsid w:val="00716E0D"/>
    <w:rsid w:val="00716E34"/>
    <w:rsid w:val="00716F78"/>
    <w:rsid w:val="0071706B"/>
    <w:rsid w:val="00717092"/>
    <w:rsid w:val="0071712A"/>
    <w:rsid w:val="0071716E"/>
    <w:rsid w:val="007171B0"/>
    <w:rsid w:val="0071728D"/>
    <w:rsid w:val="0071741D"/>
    <w:rsid w:val="00717442"/>
    <w:rsid w:val="0071756C"/>
    <w:rsid w:val="00717578"/>
    <w:rsid w:val="00717620"/>
    <w:rsid w:val="00717680"/>
    <w:rsid w:val="0071780B"/>
    <w:rsid w:val="0071783A"/>
    <w:rsid w:val="007179A0"/>
    <w:rsid w:val="00717AFC"/>
    <w:rsid w:val="00717C0C"/>
    <w:rsid w:val="00717C64"/>
    <w:rsid w:val="00717CBF"/>
    <w:rsid w:val="00717CD3"/>
    <w:rsid w:val="00717D57"/>
    <w:rsid w:val="00717DC8"/>
    <w:rsid w:val="00717E81"/>
    <w:rsid w:val="007200C8"/>
    <w:rsid w:val="007200EF"/>
    <w:rsid w:val="007200F5"/>
    <w:rsid w:val="0072013B"/>
    <w:rsid w:val="007201D7"/>
    <w:rsid w:val="00720228"/>
    <w:rsid w:val="0072026D"/>
    <w:rsid w:val="00720288"/>
    <w:rsid w:val="007203BF"/>
    <w:rsid w:val="007203DF"/>
    <w:rsid w:val="007204EC"/>
    <w:rsid w:val="00720659"/>
    <w:rsid w:val="00720663"/>
    <w:rsid w:val="00720816"/>
    <w:rsid w:val="0072089F"/>
    <w:rsid w:val="007208AC"/>
    <w:rsid w:val="0072090B"/>
    <w:rsid w:val="007209E7"/>
    <w:rsid w:val="00720A3C"/>
    <w:rsid w:val="00720B71"/>
    <w:rsid w:val="00720B8D"/>
    <w:rsid w:val="00720BA1"/>
    <w:rsid w:val="00720C25"/>
    <w:rsid w:val="00720D6E"/>
    <w:rsid w:val="00720DFE"/>
    <w:rsid w:val="00720E60"/>
    <w:rsid w:val="00720F16"/>
    <w:rsid w:val="00720FCC"/>
    <w:rsid w:val="00720FE7"/>
    <w:rsid w:val="00721033"/>
    <w:rsid w:val="007210C0"/>
    <w:rsid w:val="007210EF"/>
    <w:rsid w:val="007211EE"/>
    <w:rsid w:val="00721248"/>
    <w:rsid w:val="00721297"/>
    <w:rsid w:val="0072131E"/>
    <w:rsid w:val="00721404"/>
    <w:rsid w:val="00721512"/>
    <w:rsid w:val="007215C6"/>
    <w:rsid w:val="00721646"/>
    <w:rsid w:val="007216C2"/>
    <w:rsid w:val="007217DB"/>
    <w:rsid w:val="007217F0"/>
    <w:rsid w:val="007218B8"/>
    <w:rsid w:val="00721937"/>
    <w:rsid w:val="00721972"/>
    <w:rsid w:val="00721983"/>
    <w:rsid w:val="00721C02"/>
    <w:rsid w:val="00721C26"/>
    <w:rsid w:val="00721D2C"/>
    <w:rsid w:val="00721DB1"/>
    <w:rsid w:val="00721EB8"/>
    <w:rsid w:val="00721EE4"/>
    <w:rsid w:val="00722067"/>
    <w:rsid w:val="007220D7"/>
    <w:rsid w:val="007220DB"/>
    <w:rsid w:val="007221F1"/>
    <w:rsid w:val="007222A1"/>
    <w:rsid w:val="007223B7"/>
    <w:rsid w:val="00722474"/>
    <w:rsid w:val="0072268B"/>
    <w:rsid w:val="007226CC"/>
    <w:rsid w:val="007227F3"/>
    <w:rsid w:val="00722806"/>
    <w:rsid w:val="007228AC"/>
    <w:rsid w:val="007228BA"/>
    <w:rsid w:val="00722A5F"/>
    <w:rsid w:val="00722AF9"/>
    <w:rsid w:val="00722AFE"/>
    <w:rsid w:val="00722B8E"/>
    <w:rsid w:val="00722BF0"/>
    <w:rsid w:val="00722C8B"/>
    <w:rsid w:val="00722D74"/>
    <w:rsid w:val="00722F40"/>
    <w:rsid w:val="0072309E"/>
    <w:rsid w:val="007230AB"/>
    <w:rsid w:val="007232BB"/>
    <w:rsid w:val="007232D4"/>
    <w:rsid w:val="0072336F"/>
    <w:rsid w:val="007234E4"/>
    <w:rsid w:val="00723524"/>
    <w:rsid w:val="0072362E"/>
    <w:rsid w:val="00723670"/>
    <w:rsid w:val="00723701"/>
    <w:rsid w:val="0072373A"/>
    <w:rsid w:val="0072379A"/>
    <w:rsid w:val="007237FD"/>
    <w:rsid w:val="007239B2"/>
    <w:rsid w:val="00723A95"/>
    <w:rsid w:val="00723ADC"/>
    <w:rsid w:val="00723B26"/>
    <w:rsid w:val="00723B68"/>
    <w:rsid w:val="00723BE6"/>
    <w:rsid w:val="00723CE0"/>
    <w:rsid w:val="00723F24"/>
    <w:rsid w:val="00723FD9"/>
    <w:rsid w:val="00724027"/>
    <w:rsid w:val="00724162"/>
    <w:rsid w:val="007241F3"/>
    <w:rsid w:val="00724252"/>
    <w:rsid w:val="00724302"/>
    <w:rsid w:val="0072433D"/>
    <w:rsid w:val="0072437F"/>
    <w:rsid w:val="00724394"/>
    <w:rsid w:val="00724661"/>
    <w:rsid w:val="0072480C"/>
    <w:rsid w:val="00724962"/>
    <w:rsid w:val="007249A5"/>
    <w:rsid w:val="007249C1"/>
    <w:rsid w:val="007249D3"/>
    <w:rsid w:val="00724A9A"/>
    <w:rsid w:val="00724ABD"/>
    <w:rsid w:val="00724B4B"/>
    <w:rsid w:val="00724C16"/>
    <w:rsid w:val="00724D4A"/>
    <w:rsid w:val="00724ED0"/>
    <w:rsid w:val="00724EF7"/>
    <w:rsid w:val="00725073"/>
    <w:rsid w:val="0072514E"/>
    <w:rsid w:val="00725180"/>
    <w:rsid w:val="00725331"/>
    <w:rsid w:val="00725344"/>
    <w:rsid w:val="00725398"/>
    <w:rsid w:val="007253CB"/>
    <w:rsid w:val="007253D7"/>
    <w:rsid w:val="007253DC"/>
    <w:rsid w:val="007253FC"/>
    <w:rsid w:val="0072557B"/>
    <w:rsid w:val="007257F8"/>
    <w:rsid w:val="00725809"/>
    <w:rsid w:val="0072586B"/>
    <w:rsid w:val="007258AD"/>
    <w:rsid w:val="007258D0"/>
    <w:rsid w:val="007259E5"/>
    <w:rsid w:val="00725A25"/>
    <w:rsid w:val="00725B03"/>
    <w:rsid w:val="00725B2D"/>
    <w:rsid w:val="00725C9F"/>
    <w:rsid w:val="00725DAF"/>
    <w:rsid w:val="00725FD9"/>
    <w:rsid w:val="007263F9"/>
    <w:rsid w:val="00726497"/>
    <w:rsid w:val="007265FF"/>
    <w:rsid w:val="0072667C"/>
    <w:rsid w:val="007267D3"/>
    <w:rsid w:val="0072687B"/>
    <w:rsid w:val="007269F3"/>
    <w:rsid w:val="00726A15"/>
    <w:rsid w:val="00726A61"/>
    <w:rsid w:val="00726A71"/>
    <w:rsid w:val="00726ADC"/>
    <w:rsid w:val="00726B2D"/>
    <w:rsid w:val="00726B3D"/>
    <w:rsid w:val="00726B6A"/>
    <w:rsid w:val="00726BAB"/>
    <w:rsid w:val="00726BCB"/>
    <w:rsid w:val="00726D09"/>
    <w:rsid w:val="00726D27"/>
    <w:rsid w:val="00726DC6"/>
    <w:rsid w:val="00726E33"/>
    <w:rsid w:val="00726E46"/>
    <w:rsid w:val="00726F85"/>
    <w:rsid w:val="00726F94"/>
    <w:rsid w:val="007270BC"/>
    <w:rsid w:val="00727285"/>
    <w:rsid w:val="007272A0"/>
    <w:rsid w:val="007273F4"/>
    <w:rsid w:val="00727466"/>
    <w:rsid w:val="00727552"/>
    <w:rsid w:val="0072765F"/>
    <w:rsid w:val="0072767D"/>
    <w:rsid w:val="0072773B"/>
    <w:rsid w:val="007277B0"/>
    <w:rsid w:val="0072780B"/>
    <w:rsid w:val="007278C2"/>
    <w:rsid w:val="00727921"/>
    <w:rsid w:val="00727A7E"/>
    <w:rsid w:val="00727B14"/>
    <w:rsid w:val="00727B7C"/>
    <w:rsid w:val="00727C3E"/>
    <w:rsid w:val="00727C87"/>
    <w:rsid w:val="00727C94"/>
    <w:rsid w:val="00727CEA"/>
    <w:rsid w:val="00727F6A"/>
    <w:rsid w:val="00727F7B"/>
    <w:rsid w:val="0073003B"/>
    <w:rsid w:val="00730219"/>
    <w:rsid w:val="007302FC"/>
    <w:rsid w:val="007304D0"/>
    <w:rsid w:val="00730808"/>
    <w:rsid w:val="0073098E"/>
    <w:rsid w:val="007309D7"/>
    <w:rsid w:val="00730BE3"/>
    <w:rsid w:val="00730CF6"/>
    <w:rsid w:val="00730D2C"/>
    <w:rsid w:val="00730DA5"/>
    <w:rsid w:val="00730E43"/>
    <w:rsid w:val="00730F3A"/>
    <w:rsid w:val="00730FDD"/>
    <w:rsid w:val="0073105A"/>
    <w:rsid w:val="00731068"/>
    <w:rsid w:val="00731098"/>
    <w:rsid w:val="007311CF"/>
    <w:rsid w:val="00731441"/>
    <w:rsid w:val="00731532"/>
    <w:rsid w:val="0073153F"/>
    <w:rsid w:val="007315C1"/>
    <w:rsid w:val="00731690"/>
    <w:rsid w:val="007317ED"/>
    <w:rsid w:val="0073190B"/>
    <w:rsid w:val="00731940"/>
    <w:rsid w:val="00731A32"/>
    <w:rsid w:val="00731B93"/>
    <w:rsid w:val="00731BD8"/>
    <w:rsid w:val="00731C07"/>
    <w:rsid w:val="00731C54"/>
    <w:rsid w:val="00731E00"/>
    <w:rsid w:val="00731F00"/>
    <w:rsid w:val="00731FEA"/>
    <w:rsid w:val="00731FFB"/>
    <w:rsid w:val="00732039"/>
    <w:rsid w:val="007320B2"/>
    <w:rsid w:val="0073213A"/>
    <w:rsid w:val="0073221B"/>
    <w:rsid w:val="007323C7"/>
    <w:rsid w:val="00732500"/>
    <w:rsid w:val="00732524"/>
    <w:rsid w:val="007325F8"/>
    <w:rsid w:val="007328CC"/>
    <w:rsid w:val="00732A51"/>
    <w:rsid w:val="00732A84"/>
    <w:rsid w:val="00732AB4"/>
    <w:rsid w:val="00732B7B"/>
    <w:rsid w:val="00732BCF"/>
    <w:rsid w:val="00732C9A"/>
    <w:rsid w:val="00732CEA"/>
    <w:rsid w:val="00732DCF"/>
    <w:rsid w:val="00732EC4"/>
    <w:rsid w:val="00732F32"/>
    <w:rsid w:val="00732F59"/>
    <w:rsid w:val="00732FBD"/>
    <w:rsid w:val="00732FC5"/>
    <w:rsid w:val="007330AF"/>
    <w:rsid w:val="00733119"/>
    <w:rsid w:val="00733197"/>
    <w:rsid w:val="007331EC"/>
    <w:rsid w:val="00733212"/>
    <w:rsid w:val="00733214"/>
    <w:rsid w:val="00733240"/>
    <w:rsid w:val="00733281"/>
    <w:rsid w:val="007332D4"/>
    <w:rsid w:val="00733467"/>
    <w:rsid w:val="007334A9"/>
    <w:rsid w:val="00733518"/>
    <w:rsid w:val="00733541"/>
    <w:rsid w:val="00733561"/>
    <w:rsid w:val="0073374B"/>
    <w:rsid w:val="00733782"/>
    <w:rsid w:val="00733828"/>
    <w:rsid w:val="007338A5"/>
    <w:rsid w:val="007338C4"/>
    <w:rsid w:val="00733919"/>
    <w:rsid w:val="00733920"/>
    <w:rsid w:val="00733B00"/>
    <w:rsid w:val="00733C0C"/>
    <w:rsid w:val="00733CC4"/>
    <w:rsid w:val="00733DBF"/>
    <w:rsid w:val="00733DC6"/>
    <w:rsid w:val="00733E2C"/>
    <w:rsid w:val="00733F61"/>
    <w:rsid w:val="00734012"/>
    <w:rsid w:val="00734059"/>
    <w:rsid w:val="0073431D"/>
    <w:rsid w:val="00734355"/>
    <w:rsid w:val="0073440E"/>
    <w:rsid w:val="00734522"/>
    <w:rsid w:val="007345E3"/>
    <w:rsid w:val="0073463E"/>
    <w:rsid w:val="0073464A"/>
    <w:rsid w:val="007346A1"/>
    <w:rsid w:val="007346F3"/>
    <w:rsid w:val="00734703"/>
    <w:rsid w:val="00734751"/>
    <w:rsid w:val="007347AB"/>
    <w:rsid w:val="0073481A"/>
    <w:rsid w:val="0073491F"/>
    <w:rsid w:val="007349EA"/>
    <w:rsid w:val="00734B11"/>
    <w:rsid w:val="00734B1D"/>
    <w:rsid w:val="00734B2F"/>
    <w:rsid w:val="00734B85"/>
    <w:rsid w:val="00734B87"/>
    <w:rsid w:val="00734C40"/>
    <w:rsid w:val="00734CDC"/>
    <w:rsid w:val="0073500F"/>
    <w:rsid w:val="007350C9"/>
    <w:rsid w:val="007350E7"/>
    <w:rsid w:val="0073513C"/>
    <w:rsid w:val="007351B7"/>
    <w:rsid w:val="0073526F"/>
    <w:rsid w:val="0073547A"/>
    <w:rsid w:val="0073559D"/>
    <w:rsid w:val="007356E5"/>
    <w:rsid w:val="007356EE"/>
    <w:rsid w:val="0073576E"/>
    <w:rsid w:val="007357EB"/>
    <w:rsid w:val="007359FE"/>
    <w:rsid w:val="00735A5A"/>
    <w:rsid w:val="00735A8C"/>
    <w:rsid w:val="00735BAD"/>
    <w:rsid w:val="00735C43"/>
    <w:rsid w:val="00735C9E"/>
    <w:rsid w:val="00735DE6"/>
    <w:rsid w:val="00735E0E"/>
    <w:rsid w:val="007360AE"/>
    <w:rsid w:val="0073623A"/>
    <w:rsid w:val="00736282"/>
    <w:rsid w:val="00736380"/>
    <w:rsid w:val="007363A0"/>
    <w:rsid w:val="00736427"/>
    <w:rsid w:val="00736488"/>
    <w:rsid w:val="0073655D"/>
    <w:rsid w:val="00736779"/>
    <w:rsid w:val="007368B5"/>
    <w:rsid w:val="00736B14"/>
    <w:rsid w:val="00736C76"/>
    <w:rsid w:val="00736CBB"/>
    <w:rsid w:val="00736D2A"/>
    <w:rsid w:val="00736DE0"/>
    <w:rsid w:val="00736E58"/>
    <w:rsid w:val="00736EBC"/>
    <w:rsid w:val="007370D9"/>
    <w:rsid w:val="00737202"/>
    <w:rsid w:val="00737386"/>
    <w:rsid w:val="00737447"/>
    <w:rsid w:val="00737513"/>
    <w:rsid w:val="007375DF"/>
    <w:rsid w:val="0073760F"/>
    <w:rsid w:val="00737670"/>
    <w:rsid w:val="0073767C"/>
    <w:rsid w:val="00737688"/>
    <w:rsid w:val="007376FD"/>
    <w:rsid w:val="007378AD"/>
    <w:rsid w:val="007378F8"/>
    <w:rsid w:val="00737915"/>
    <w:rsid w:val="0073796C"/>
    <w:rsid w:val="00737AA0"/>
    <w:rsid w:val="00737AD7"/>
    <w:rsid w:val="00737AE3"/>
    <w:rsid w:val="00737B09"/>
    <w:rsid w:val="00737BA6"/>
    <w:rsid w:val="00737C25"/>
    <w:rsid w:val="00737C3F"/>
    <w:rsid w:val="00737CAF"/>
    <w:rsid w:val="00737D26"/>
    <w:rsid w:val="00737DBC"/>
    <w:rsid w:val="00737E32"/>
    <w:rsid w:val="007400CE"/>
    <w:rsid w:val="00740192"/>
    <w:rsid w:val="0074021F"/>
    <w:rsid w:val="007403C9"/>
    <w:rsid w:val="00740672"/>
    <w:rsid w:val="0074098C"/>
    <w:rsid w:val="00740A81"/>
    <w:rsid w:val="00740D07"/>
    <w:rsid w:val="00740DD6"/>
    <w:rsid w:val="007410C6"/>
    <w:rsid w:val="00741220"/>
    <w:rsid w:val="007412F8"/>
    <w:rsid w:val="0074136B"/>
    <w:rsid w:val="0074140A"/>
    <w:rsid w:val="0074143E"/>
    <w:rsid w:val="00741554"/>
    <w:rsid w:val="0074155C"/>
    <w:rsid w:val="00741676"/>
    <w:rsid w:val="00741710"/>
    <w:rsid w:val="00741712"/>
    <w:rsid w:val="0074186B"/>
    <w:rsid w:val="0074192A"/>
    <w:rsid w:val="0074194F"/>
    <w:rsid w:val="007419CB"/>
    <w:rsid w:val="00741A25"/>
    <w:rsid w:val="00741B04"/>
    <w:rsid w:val="00741B0F"/>
    <w:rsid w:val="00741B8F"/>
    <w:rsid w:val="00741DF7"/>
    <w:rsid w:val="00741E3E"/>
    <w:rsid w:val="00741F10"/>
    <w:rsid w:val="00741F60"/>
    <w:rsid w:val="00741FD9"/>
    <w:rsid w:val="007420C7"/>
    <w:rsid w:val="0074212E"/>
    <w:rsid w:val="00742135"/>
    <w:rsid w:val="007421F1"/>
    <w:rsid w:val="00742203"/>
    <w:rsid w:val="0074227B"/>
    <w:rsid w:val="0074229E"/>
    <w:rsid w:val="00742382"/>
    <w:rsid w:val="007423E3"/>
    <w:rsid w:val="0074247D"/>
    <w:rsid w:val="00742583"/>
    <w:rsid w:val="00742660"/>
    <w:rsid w:val="007426F4"/>
    <w:rsid w:val="007428A6"/>
    <w:rsid w:val="0074293C"/>
    <w:rsid w:val="00742999"/>
    <w:rsid w:val="00742AA8"/>
    <w:rsid w:val="00742C1B"/>
    <w:rsid w:val="00742C55"/>
    <w:rsid w:val="00742CCA"/>
    <w:rsid w:val="00742DE7"/>
    <w:rsid w:val="00742E1C"/>
    <w:rsid w:val="00742EE4"/>
    <w:rsid w:val="0074301A"/>
    <w:rsid w:val="00743041"/>
    <w:rsid w:val="007430A2"/>
    <w:rsid w:val="00743413"/>
    <w:rsid w:val="0074341D"/>
    <w:rsid w:val="0074342F"/>
    <w:rsid w:val="0074360A"/>
    <w:rsid w:val="0074369F"/>
    <w:rsid w:val="007436C3"/>
    <w:rsid w:val="00743733"/>
    <w:rsid w:val="007437D7"/>
    <w:rsid w:val="007437F6"/>
    <w:rsid w:val="00743876"/>
    <w:rsid w:val="0074397E"/>
    <w:rsid w:val="007439CF"/>
    <w:rsid w:val="007439E0"/>
    <w:rsid w:val="00743B42"/>
    <w:rsid w:val="00743C41"/>
    <w:rsid w:val="00743C48"/>
    <w:rsid w:val="00743CDE"/>
    <w:rsid w:val="00743D3F"/>
    <w:rsid w:val="00743E16"/>
    <w:rsid w:val="00743EAA"/>
    <w:rsid w:val="00744150"/>
    <w:rsid w:val="0074435A"/>
    <w:rsid w:val="00744469"/>
    <w:rsid w:val="00744475"/>
    <w:rsid w:val="00744557"/>
    <w:rsid w:val="00744583"/>
    <w:rsid w:val="007446AD"/>
    <w:rsid w:val="00744775"/>
    <w:rsid w:val="007448A4"/>
    <w:rsid w:val="00744A13"/>
    <w:rsid w:val="00744C01"/>
    <w:rsid w:val="00744CF7"/>
    <w:rsid w:val="00744D17"/>
    <w:rsid w:val="00744DF3"/>
    <w:rsid w:val="00744FF6"/>
    <w:rsid w:val="00745224"/>
    <w:rsid w:val="007452DE"/>
    <w:rsid w:val="007452F9"/>
    <w:rsid w:val="0074538A"/>
    <w:rsid w:val="00745415"/>
    <w:rsid w:val="00745417"/>
    <w:rsid w:val="00745439"/>
    <w:rsid w:val="00745494"/>
    <w:rsid w:val="00745577"/>
    <w:rsid w:val="00745585"/>
    <w:rsid w:val="00745641"/>
    <w:rsid w:val="007456A5"/>
    <w:rsid w:val="0074570D"/>
    <w:rsid w:val="0074571F"/>
    <w:rsid w:val="007457EB"/>
    <w:rsid w:val="00745832"/>
    <w:rsid w:val="007458CA"/>
    <w:rsid w:val="007458F2"/>
    <w:rsid w:val="0074593D"/>
    <w:rsid w:val="00745A6E"/>
    <w:rsid w:val="00745AB5"/>
    <w:rsid w:val="00745B16"/>
    <w:rsid w:val="00745CDA"/>
    <w:rsid w:val="00745D2F"/>
    <w:rsid w:val="00745D9B"/>
    <w:rsid w:val="00745EAA"/>
    <w:rsid w:val="00745F59"/>
    <w:rsid w:val="00745F75"/>
    <w:rsid w:val="00745F9B"/>
    <w:rsid w:val="00745FC8"/>
    <w:rsid w:val="00746068"/>
    <w:rsid w:val="0074612D"/>
    <w:rsid w:val="0074613B"/>
    <w:rsid w:val="0074615F"/>
    <w:rsid w:val="0074635C"/>
    <w:rsid w:val="007463C2"/>
    <w:rsid w:val="0074647F"/>
    <w:rsid w:val="007465BD"/>
    <w:rsid w:val="00746603"/>
    <w:rsid w:val="007468B9"/>
    <w:rsid w:val="0074690C"/>
    <w:rsid w:val="007469F5"/>
    <w:rsid w:val="00746A01"/>
    <w:rsid w:val="00746B5D"/>
    <w:rsid w:val="00746BFE"/>
    <w:rsid w:val="00746C5F"/>
    <w:rsid w:val="00746CA0"/>
    <w:rsid w:val="00746D2A"/>
    <w:rsid w:val="00746D58"/>
    <w:rsid w:val="00746D9B"/>
    <w:rsid w:val="00746E5C"/>
    <w:rsid w:val="00746ED6"/>
    <w:rsid w:val="00746F7E"/>
    <w:rsid w:val="00746F8E"/>
    <w:rsid w:val="00746FB1"/>
    <w:rsid w:val="007471ED"/>
    <w:rsid w:val="0074721E"/>
    <w:rsid w:val="00747282"/>
    <w:rsid w:val="007473C9"/>
    <w:rsid w:val="007474ED"/>
    <w:rsid w:val="00747631"/>
    <w:rsid w:val="00747648"/>
    <w:rsid w:val="0074764D"/>
    <w:rsid w:val="007477F8"/>
    <w:rsid w:val="0074788B"/>
    <w:rsid w:val="00747989"/>
    <w:rsid w:val="00747A58"/>
    <w:rsid w:val="00747AB5"/>
    <w:rsid w:val="00747AFE"/>
    <w:rsid w:val="00747B90"/>
    <w:rsid w:val="00747C5A"/>
    <w:rsid w:val="00747C82"/>
    <w:rsid w:val="00747CC5"/>
    <w:rsid w:val="00747CE1"/>
    <w:rsid w:val="00747E42"/>
    <w:rsid w:val="00747ED7"/>
    <w:rsid w:val="00747F10"/>
    <w:rsid w:val="00747FBA"/>
    <w:rsid w:val="00747FD2"/>
    <w:rsid w:val="00750216"/>
    <w:rsid w:val="00750404"/>
    <w:rsid w:val="0075045A"/>
    <w:rsid w:val="00750557"/>
    <w:rsid w:val="007505CA"/>
    <w:rsid w:val="007505EC"/>
    <w:rsid w:val="00750642"/>
    <w:rsid w:val="0075071B"/>
    <w:rsid w:val="00750757"/>
    <w:rsid w:val="00750810"/>
    <w:rsid w:val="007508EC"/>
    <w:rsid w:val="00750977"/>
    <w:rsid w:val="007509A2"/>
    <w:rsid w:val="007509BF"/>
    <w:rsid w:val="00750AF4"/>
    <w:rsid w:val="00750CE2"/>
    <w:rsid w:val="00750D03"/>
    <w:rsid w:val="00750DF6"/>
    <w:rsid w:val="00750E16"/>
    <w:rsid w:val="00750E44"/>
    <w:rsid w:val="00750F18"/>
    <w:rsid w:val="00750F7C"/>
    <w:rsid w:val="00750FF9"/>
    <w:rsid w:val="007510D6"/>
    <w:rsid w:val="007511EA"/>
    <w:rsid w:val="00751470"/>
    <w:rsid w:val="00751693"/>
    <w:rsid w:val="0075170B"/>
    <w:rsid w:val="0075174F"/>
    <w:rsid w:val="007517C9"/>
    <w:rsid w:val="00751818"/>
    <w:rsid w:val="0075190B"/>
    <w:rsid w:val="00751990"/>
    <w:rsid w:val="00751A43"/>
    <w:rsid w:val="00751B94"/>
    <w:rsid w:val="00751C0A"/>
    <w:rsid w:val="00751D33"/>
    <w:rsid w:val="00751EAA"/>
    <w:rsid w:val="00751EB0"/>
    <w:rsid w:val="00751F20"/>
    <w:rsid w:val="00751F65"/>
    <w:rsid w:val="00752098"/>
    <w:rsid w:val="00752316"/>
    <w:rsid w:val="00752537"/>
    <w:rsid w:val="00752689"/>
    <w:rsid w:val="00752762"/>
    <w:rsid w:val="007527A5"/>
    <w:rsid w:val="007527BA"/>
    <w:rsid w:val="0075295F"/>
    <w:rsid w:val="00752A95"/>
    <w:rsid w:val="00752B27"/>
    <w:rsid w:val="00752BAC"/>
    <w:rsid w:val="00752C89"/>
    <w:rsid w:val="00752CD9"/>
    <w:rsid w:val="00752D4A"/>
    <w:rsid w:val="00752E41"/>
    <w:rsid w:val="00752F7C"/>
    <w:rsid w:val="00752FFE"/>
    <w:rsid w:val="00753090"/>
    <w:rsid w:val="007530DA"/>
    <w:rsid w:val="00753102"/>
    <w:rsid w:val="0075327F"/>
    <w:rsid w:val="007533A7"/>
    <w:rsid w:val="007533AB"/>
    <w:rsid w:val="007533AF"/>
    <w:rsid w:val="00753444"/>
    <w:rsid w:val="007534C6"/>
    <w:rsid w:val="007535C8"/>
    <w:rsid w:val="0075365D"/>
    <w:rsid w:val="0075376D"/>
    <w:rsid w:val="0075376F"/>
    <w:rsid w:val="007537D1"/>
    <w:rsid w:val="007538CA"/>
    <w:rsid w:val="00753942"/>
    <w:rsid w:val="00753952"/>
    <w:rsid w:val="007539C5"/>
    <w:rsid w:val="00753A6E"/>
    <w:rsid w:val="00753A9D"/>
    <w:rsid w:val="00753AC5"/>
    <w:rsid w:val="00753CEB"/>
    <w:rsid w:val="00753DC9"/>
    <w:rsid w:val="00753FEC"/>
    <w:rsid w:val="0075413F"/>
    <w:rsid w:val="0075418D"/>
    <w:rsid w:val="007541D9"/>
    <w:rsid w:val="0075431C"/>
    <w:rsid w:val="0075432D"/>
    <w:rsid w:val="0075454F"/>
    <w:rsid w:val="00754668"/>
    <w:rsid w:val="007546E9"/>
    <w:rsid w:val="00754772"/>
    <w:rsid w:val="007547C0"/>
    <w:rsid w:val="0075488B"/>
    <w:rsid w:val="007548BE"/>
    <w:rsid w:val="0075493E"/>
    <w:rsid w:val="00754A02"/>
    <w:rsid w:val="00754B89"/>
    <w:rsid w:val="00754C65"/>
    <w:rsid w:val="00754D54"/>
    <w:rsid w:val="00754E3A"/>
    <w:rsid w:val="00754E42"/>
    <w:rsid w:val="00754F1E"/>
    <w:rsid w:val="00754F76"/>
    <w:rsid w:val="007550E0"/>
    <w:rsid w:val="0075513D"/>
    <w:rsid w:val="00755228"/>
    <w:rsid w:val="00755325"/>
    <w:rsid w:val="00755480"/>
    <w:rsid w:val="00755484"/>
    <w:rsid w:val="007554E9"/>
    <w:rsid w:val="0075588B"/>
    <w:rsid w:val="0075594E"/>
    <w:rsid w:val="00755B01"/>
    <w:rsid w:val="00755B28"/>
    <w:rsid w:val="00755B39"/>
    <w:rsid w:val="00755C06"/>
    <w:rsid w:val="00755C2C"/>
    <w:rsid w:val="00755CE2"/>
    <w:rsid w:val="00755EA9"/>
    <w:rsid w:val="00755EBA"/>
    <w:rsid w:val="00755F6A"/>
    <w:rsid w:val="00755F9A"/>
    <w:rsid w:val="00756153"/>
    <w:rsid w:val="007562EB"/>
    <w:rsid w:val="0075639F"/>
    <w:rsid w:val="00756409"/>
    <w:rsid w:val="0075647E"/>
    <w:rsid w:val="007564CD"/>
    <w:rsid w:val="007566DF"/>
    <w:rsid w:val="00756701"/>
    <w:rsid w:val="007568CF"/>
    <w:rsid w:val="00756905"/>
    <w:rsid w:val="007569B4"/>
    <w:rsid w:val="00756ACA"/>
    <w:rsid w:val="00756B45"/>
    <w:rsid w:val="00756C0B"/>
    <w:rsid w:val="00756C1F"/>
    <w:rsid w:val="00756C2E"/>
    <w:rsid w:val="00756D0A"/>
    <w:rsid w:val="00756D5E"/>
    <w:rsid w:val="00756E34"/>
    <w:rsid w:val="00756E63"/>
    <w:rsid w:val="00756F60"/>
    <w:rsid w:val="0075703B"/>
    <w:rsid w:val="007570F9"/>
    <w:rsid w:val="00757203"/>
    <w:rsid w:val="007572E7"/>
    <w:rsid w:val="007574B7"/>
    <w:rsid w:val="00757592"/>
    <w:rsid w:val="007575AE"/>
    <w:rsid w:val="00757670"/>
    <w:rsid w:val="007577D1"/>
    <w:rsid w:val="0075792D"/>
    <w:rsid w:val="00757951"/>
    <w:rsid w:val="007579C2"/>
    <w:rsid w:val="00757C7C"/>
    <w:rsid w:val="00757C8A"/>
    <w:rsid w:val="00757D1F"/>
    <w:rsid w:val="00757D86"/>
    <w:rsid w:val="00757DEC"/>
    <w:rsid w:val="00760077"/>
    <w:rsid w:val="007600A7"/>
    <w:rsid w:val="007600CA"/>
    <w:rsid w:val="007601BF"/>
    <w:rsid w:val="007602A3"/>
    <w:rsid w:val="00760318"/>
    <w:rsid w:val="00760486"/>
    <w:rsid w:val="0076058D"/>
    <w:rsid w:val="00760611"/>
    <w:rsid w:val="00760A15"/>
    <w:rsid w:val="00760AA4"/>
    <w:rsid w:val="00760AE0"/>
    <w:rsid w:val="00760B3A"/>
    <w:rsid w:val="00760BC3"/>
    <w:rsid w:val="00760C05"/>
    <w:rsid w:val="00760C66"/>
    <w:rsid w:val="00760D12"/>
    <w:rsid w:val="00760E52"/>
    <w:rsid w:val="00760E85"/>
    <w:rsid w:val="00760EE2"/>
    <w:rsid w:val="0076100D"/>
    <w:rsid w:val="0076108B"/>
    <w:rsid w:val="00761183"/>
    <w:rsid w:val="007611C6"/>
    <w:rsid w:val="007611E7"/>
    <w:rsid w:val="00761366"/>
    <w:rsid w:val="00761376"/>
    <w:rsid w:val="00761433"/>
    <w:rsid w:val="0076145A"/>
    <w:rsid w:val="0076150E"/>
    <w:rsid w:val="0076156D"/>
    <w:rsid w:val="00761603"/>
    <w:rsid w:val="0076162F"/>
    <w:rsid w:val="00761787"/>
    <w:rsid w:val="007617C7"/>
    <w:rsid w:val="00761909"/>
    <w:rsid w:val="00761925"/>
    <w:rsid w:val="00761A01"/>
    <w:rsid w:val="00761AA7"/>
    <w:rsid w:val="00761B83"/>
    <w:rsid w:val="00761B88"/>
    <w:rsid w:val="00761D92"/>
    <w:rsid w:val="00761F69"/>
    <w:rsid w:val="00761F93"/>
    <w:rsid w:val="0076200B"/>
    <w:rsid w:val="0076207E"/>
    <w:rsid w:val="00762295"/>
    <w:rsid w:val="0076243A"/>
    <w:rsid w:val="00762521"/>
    <w:rsid w:val="00762659"/>
    <w:rsid w:val="007626BC"/>
    <w:rsid w:val="00762745"/>
    <w:rsid w:val="007627EC"/>
    <w:rsid w:val="00762814"/>
    <w:rsid w:val="007628F0"/>
    <w:rsid w:val="00762A67"/>
    <w:rsid w:val="00762AB3"/>
    <w:rsid w:val="00762AE7"/>
    <w:rsid w:val="00762BB4"/>
    <w:rsid w:val="00762C31"/>
    <w:rsid w:val="00762C39"/>
    <w:rsid w:val="00762C91"/>
    <w:rsid w:val="00762CA5"/>
    <w:rsid w:val="00762CC0"/>
    <w:rsid w:val="00762CC6"/>
    <w:rsid w:val="00762D30"/>
    <w:rsid w:val="00762D50"/>
    <w:rsid w:val="00762D9F"/>
    <w:rsid w:val="00762EC4"/>
    <w:rsid w:val="0076305D"/>
    <w:rsid w:val="007630F6"/>
    <w:rsid w:val="00763197"/>
    <w:rsid w:val="0076319A"/>
    <w:rsid w:val="00763246"/>
    <w:rsid w:val="0076341B"/>
    <w:rsid w:val="0076357D"/>
    <w:rsid w:val="007636AF"/>
    <w:rsid w:val="007636EB"/>
    <w:rsid w:val="0076376A"/>
    <w:rsid w:val="0076397F"/>
    <w:rsid w:val="00763B5E"/>
    <w:rsid w:val="00763D8A"/>
    <w:rsid w:val="00763EB0"/>
    <w:rsid w:val="00763EBF"/>
    <w:rsid w:val="00763F33"/>
    <w:rsid w:val="00763FB4"/>
    <w:rsid w:val="00763FF1"/>
    <w:rsid w:val="00764214"/>
    <w:rsid w:val="00764256"/>
    <w:rsid w:val="00764270"/>
    <w:rsid w:val="007642EF"/>
    <w:rsid w:val="007643C8"/>
    <w:rsid w:val="007643CF"/>
    <w:rsid w:val="0076444A"/>
    <w:rsid w:val="0076447B"/>
    <w:rsid w:val="007644F0"/>
    <w:rsid w:val="0076470D"/>
    <w:rsid w:val="007647CC"/>
    <w:rsid w:val="0076485E"/>
    <w:rsid w:val="00764A59"/>
    <w:rsid w:val="00764B4D"/>
    <w:rsid w:val="00764BCD"/>
    <w:rsid w:val="00764D0B"/>
    <w:rsid w:val="00764DF4"/>
    <w:rsid w:val="00764EB1"/>
    <w:rsid w:val="00764F38"/>
    <w:rsid w:val="00764F7E"/>
    <w:rsid w:val="00765014"/>
    <w:rsid w:val="00765177"/>
    <w:rsid w:val="00765230"/>
    <w:rsid w:val="00765485"/>
    <w:rsid w:val="0076552C"/>
    <w:rsid w:val="007655FE"/>
    <w:rsid w:val="00765635"/>
    <w:rsid w:val="007657BE"/>
    <w:rsid w:val="00765883"/>
    <w:rsid w:val="0076596E"/>
    <w:rsid w:val="00765996"/>
    <w:rsid w:val="00765A9F"/>
    <w:rsid w:val="00765B59"/>
    <w:rsid w:val="00765BA5"/>
    <w:rsid w:val="00765C86"/>
    <w:rsid w:val="00765CBE"/>
    <w:rsid w:val="00765CD5"/>
    <w:rsid w:val="00765D1A"/>
    <w:rsid w:val="00765DCC"/>
    <w:rsid w:val="00765F21"/>
    <w:rsid w:val="00765F39"/>
    <w:rsid w:val="00766060"/>
    <w:rsid w:val="00766069"/>
    <w:rsid w:val="00766073"/>
    <w:rsid w:val="0076618F"/>
    <w:rsid w:val="00766211"/>
    <w:rsid w:val="007662AA"/>
    <w:rsid w:val="007663B4"/>
    <w:rsid w:val="00766485"/>
    <w:rsid w:val="00766696"/>
    <w:rsid w:val="007666E9"/>
    <w:rsid w:val="007668ED"/>
    <w:rsid w:val="00766AA7"/>
    <w:rsid w:val="00766ABD"/>
    <w:rsid w:val="00766C00"/>
    <w:rsid w:val="00766D5D"/>
    <w:rsid w:val="00766DAF"/>
    <w:rsid w:val="00766E6A"/>
    <w:rsid w:val="007670AF"/>
    <w:rsid w:val="00767106"/>
    <w:rsid w:val="00767191"/>
    <w:rsid w:val="007671C6"/>
    <w:rsid w:val="007672FF"/>
    <w:rsid w:val="00767376"/>
    <w:rsid w:val="007673A5"/>
    <w:rsid w:val="0076748A"/>
    <w:rsid w:val="0076751E"/>
    <w:rsid w:val="0076760E"/>
    <w:rsid w:val="0076765E"/>
    <w:rsid w:val="0076777B"/>
    <w:rsid w:val="0076792A"/>
    <w:rsid w:val="007679D7"/>
    <w:rsid w:val="00767A09"/>
    <w:rsid w:val="00767CC6"/>
    <w:rsid w:val="00767D0D"/>
    <w:rsid w:val="00767E0B"/>
    <w:rsid w:val="00767E73"/>
    <w:rsid w:val="00767FFC"/>
    <w:rsid w:val="00770087"/>
    <w:rsid w:val="0077010C"/>
    <w:rsid w:val="0077013F"/>
    <w:rsid w:val="007701D8"/>
    <w:rsid w:val="007703C1"/>
    <w:rsid w:val="007705A1"/>
    <w:rsid w:val="007705CD"/>
    <w:rsid w:val="00770610"/>
    <w:rsid w:val="007706AF"/>
    <w:rsid w:val="007708C4"/>
    <w:rsid w:val="00770906"/>
    <w:rsid w:val="0077091D"/>
    <w:rsid w:val="00770C5C"/>
    <w:rsid w:val="00770D42"/>
    <w:rsid w:val="00770E37"/>
    <w:rsid w:val="00770E55"/>
    <w:rsid w:val="00770ECA"/>
    <w:rsid w:val="00770F2D"/>
    <w:rsid w:val="00770F97"/>
    <w:rsid w:val="00770F9C"/>
    <w:rsid w:val="00771105"/>
    <w:rsid w:val="00771129"/>
    <w:rsid w:val="00771172"/>
    <w:rsid w:val="007711F6"/>
    <w:rsid w:val="007712C6"/>
    <w:rsid w:val="0077133F"/>
    <w:rsid w:val="00771340"/>
    <w:rsid w:val="007713DC"/>
    <w:rsid w:val="007714F4"/>
    <w:rsid w:val="00771502"/>
    <w:rsid w:val="00771595"/>
    <w:rsid w:val="0077159A"/>
    <w:rsid w:val="00771711"/>
    <w:rsid w:val="00771728"/>
    <w:rsid w:val="007717F2"/>
    <w:rsid w:val="0077182B"/>
    <w:rsid w:val="00771841"/>
    <w:rsid w:val="007718C9"/>
    <w:rsid w:val="007718EC"/>
    <w:rsid w:val="007719AE"/>
    <w:rsid w:val="00771A6F"/>
    <w:rsid w:val="00771B2D"/>
    <w:rsid w:val="00771B3D"/>
    <w:rsid w:val="00771C9C"/>
    <w:rsid w:val="00771D0F"/>
    <w:rsid w:val="00771E5B"/>
    <w:rsid w:val="00771E7C"/>
    <w:rsid w:val="00771E9E"/>
    <w:rsid w:val="00771EBF"/>
    <w:rsid w:val="00771EDE"/>
    <w:rsid w:val="00772077"/>
    <w:rsid w:val="007720B6"/>
    <w:rsid w:val="00772184"/>
    <w:rsid w:val="00772265"/>
    <w:rsid w:val="00772337"/>
    <w:rsid w:val="0077237E"/>
    <w:rsid w:val="0077258A"/>
    <w:rsid w:val="0077296A"/>
    <w:rsid w:val="007729EB"/>
    <w:rsid w:val="00772BAD"/>
    <w:rsid w:val="00772D17"/>
    <w:rsid w:val="00772F31"/>
    <w:rsid w:val="00772FA9"/>
    <w:rsid w:val="00772FE4"/>
    <w:rsid w:val="00773070"/>
    <w:rsid w:val="007730F8"/>
    <w:rsid w:val="00773202"/>
    <w:rsid w:val="00773277"/>
    <w:rsid w:val="00773279"/>
    <w:rsid w:val="00773317"/>
    <w:rsid w:val="007733DD"/>
    <w:rsid w:val="00773412"/>
    <w:rsid w:val="0077343C"/>
    <w:rsid w:val="007735F9"/>
    <w:rsid w:val="007736DE"/>
    <w:rsid w:val="00773743"/>
    <w:rsid w:val="007737FE"/>
    <w:rsid w:val="00773842"/>
    <w:rsid w:val="0077387F"/>
    <w:rsid w:val="00773979"/>
    <w:rsid w:val="0077399A"/>
    <w:rsid w:val="007739C5"/>
    <w:rsid w:val="00773AA6"/>
    <w:rsid w:val="00773B72"/>
    <w:rsid w:val="00773B9D"/>
    <w:rsid w:val="00773BD3"/>
    <w:rsid w:val="00773C1F"/>
    <w:rsid w:val="00773F35"/>
    <w:rsid w:val="00773F6F"/>
    <w:rsid w:val="00773F70"/>
    <w:rsid w:val="00773FC0"/>
    <w:rsid w:val="00774010"/>
    <w:rsid w:val="0077402E"/>
    <w:rsid w:val="00774066"/>
    <w:rsid w:val="0077416E"/>
    <w:rsid w:val="0077418B"/>
    <w:rsid w:val="00774258"/>
    <w:rsid w:val="00774267"/>
    <w:rsid w:val="007743B8"/>
    <w:rsid w:val="00774591"/>
    <w:rsid w:val="007745BB"/>
    <w:rsid w:val="00774670"/>
    <w:rsid w:val="00774697"/>
    <w:rsid w:val="00774712"/>
    <w:rsid w:val="007747E2"/>
    <w:rsid w:val="00774897"/>
    <w:rsid w:val="0077489F"/>
    <w:rsid w:val="007748C9"/>
    <w:rsid w:val="007748FE"/>
    <w:rsid w:val="007749AB"/>
    <w:rsid w:val="00774A23"/>
    <w:rsid w:val="00774AF0"/>
    <w:rsid w:val="00774B1C"/>
    <w:rsid w:val="00774C42"/>
    <w:rsid w:val="00774CF8"/>
    <w:rsid w:val="00774D56"/>
    <w:rsid w:val="00774D72"/>
    <w:rsid w:val="00774E24"/>
    <w:rsid w:val="00774E2D"/>
    <w:rsid w:val="00774E5B"/>
    <w:rsid w:val="00774E6D"/>
    <w:rsid w:val="00774ECB"/>
    <w:rsid w:val="00775016"/>
    <w:rsid w:val="00775034"/>
    <w:rsid w:val="0077518C"/>
    <w:rsid w:val="007751C9"/>
    <w:rsid w:val="00775200"/>
    <w:rsid w:val="00775356"/>
    <w:rsid w:val="00775397"/>
    <w:rsid w:val="007753CC"/>
    <w:rsid w:val="007754F6"/>
    <w:rsid w:val="00775515"/>
    <w:rsid w:val="0077552E"/>
    <w:rsid w:val="00775623"/>
    <w:rsid w:val="00775749"/>
    <w:rsid w:val="00775785"/>
    <w:rsid w:val="00775951"/>
    <w:rsid w:val="00775AA8"/>
    <w:rsid w:val="00775B8D"/>
    <w:rsid w:val="00775B94"/>
    <w:rsid w:val="00775BE2"/>
    <w:rsid w:val="00775BFA"/>
    <w:rsid w:val="00775C2F"/>
    <w:rsid w:val="00775C5C"/>
    <w:rsid w:val="00775D87"/>
    <w:rsid w:val="00775DED"/>
    <w:rsid w:val="00775ED8"/>
    <w:rsid w:val="00775F70"/>
    <w:rsid w:val="00775F9E"/>
    <w:rsid w:val="00775FE5"/>
    <w:rsid w:val="007760AF"/>
    <w:rsid w:val="00776317"/>
    <w:rsid w:val="0077650B"/>
    <w:rsid w:val="00776530"/>
    <w:rsid w:val="00776586"/>
    <w:rsid w:val="00776687"/>
    <w:rsid w:val="00776737"/>
    <w:rsid w:val="007767B3"/>
    <w:rsid w:val="00776907"/>
    <w:rsid w:val="00776939"/>
    <w:rsid w:val="00776F37"/>
    <w:rsid w:val="00776F6B"/>
    <w:rsid w:val="00777096"/>
    <w:rsid w:val="007770A1"/>
    <w:rsid w:val="007770B6"/>
    <w:rsid w:val="0077718C"/>
    <w:rsid w:val="00777351"/>
    <w:rsid w:val="0077743F"/>
    <w:rsid w:val="00777480"/>
    <w:rsid w:val="007774FF"/>
    <w:rsid w:val="00777574"/>
    <w:rsid w:val="0077770E"/>
    <w:rsid w:val="0077779F"/>
    <w:rsid w:val="007778EC"/>
    <w:rsid w:val="00777A0D"/>
    <w:rsid w:val="00777BC7"/>
    <w:rsid w:val="00777CF2"/>
    <w:rsid w:val="00777D37"/>
    <w:rsid w:val="00777E2D"/>
    <w:rsid w:val="00777F19"/>
    <w:rsid w:val="00777FE1"/>
    <w:rsid w:val="007800AD"/>
    <w:rsid w:val="00780182"/>
    <w:rsid w:val="00780275"/>
    <w:rsid w:val="007802EE"/>
    <w:rsid w:val="00780778"/>
    <w:rsid w:val="0078082F"/>
    <w:rsid w:val="007808C7"/>
    <w:rsid w:val="00780930"/>
    <w:rsid w:val="007809B7"/>
    <w:rsid w:val="007809DD"/>
    <w:rsid w:val="00780A87"/>
    <w:rsid w:val="00780AD7"/>
    <w:rsid w:val="00780BBB"/>
    <w:rsid w:val="00780BBE"/>
    <w:rsid w:val="00780CE5"/>
    <w:rsid w:val="00780D28"/>
    <w:rsid w:val="00780D39"/>
    <w:rsid w:val="00780E60"/>
    <w:rsid w:val="00780EFA"/>
    <w:rsid w:val="00780F3D"/>
    <w:rsid w:val="0078104A"/>
    <w:rsid w:val="007810CF"/>
    <w:rsid w:val="0078113E"/>
    <w:rsid w:val="007811E8"/>
    <w:rsid w:val="007813FF"/>
    <w:rsid w:val="0078155F"/>
    <w:rsid w:val="00781566"/>
    <w:rsid w:val="00781687"/>
    <w:rsid w:val="0078168B"/>
    <w:rsid w:val="00781701"/>
    <w:rsid w:val="00781754"/>
    <w:rsid w:val="0078179C"/>
    <w:rsid w:val="007817CD"/>
    <w:rsid w:val="007819D8"/>
    <w:rsid w:val="00781A60"/>
    <w:rsid w:val="00781B53"/>
    <w:rsid w:val="00781D1C"/>
    <w:rsid w:val="00781F3D"/>
    <w:rsid w:val="007820A2"/>
    <w:rsid w:val="00782130"/>
    <w:rsid w:val="0078221B"/>
    <w:rsid w:val="007822BB"/>
    <w:rsid w:val="00782324"/>
    <w:rsid w:val="0078241B"/>
    <w:rsid w:val="007824B2"/>
    <w:rsid w:val="007824DA"/>
    <w:rsid w:val="0078252B"/>
    <w:rsid w:val="0078261A"/>
    <w:rsid w:val="0078265A"/>
    <w:rsid w:val="00782677"/>
    <w:rsid w:val="007826F6"/>
    <w:rsid w:val="00782751"/>
    <w:rsid w:val="00782986"/>
    <w:rsid w:val="00782B7F"/>
    <w:rsid w:val="00782BFE"/>
    <w:rsid w:val="00782C55"/>
    <w:rsid w:val="00782CAD"/>
    <w:rsid w:val="00782E3F"/>
    <w:rsid w:val="00782E47"/>
    <w:rsid w:val="00782E98"/>
    <w:rsid w:val="00782F39"/>
    <w:rsid w:val="00782F43"/>
    <w:rsid w:val="007832D3"/>
    <w:rsid w:val="007833C0"/>
    <w:rsid w:val="0078341D"/>
    <w:rsid w:val="00783463"/>
    <w:rsid w:val="007836E5"/>
    <w:rsid w:val="007836E6"/>
    <w:rsid w:val="007837BF"/>
    <w:rsid w:val="0078388F"/>
    <w:rsid w:val="007838CD"/>
    <w:rsid w:val="0078397D"/>
    <w:rsid w:val="00783B66"/>
    <w:rsid w:val="00783BEB"/>
    <w:rsid w:val="00783C5B"/>
    <w:rsid w:val="00783CDA"/>
    <w:rsid w:val="00783E16"/>
    <w:rsid w:val="00783F8B"/>
    <w:rsid w:val="0078427F"/>
    <w:rsid w:val="00784383"/>
    <w:rsid w:val="007844A4"/>
    <w:rsid w:val="007844AD"/>
    <w:rsid w:val="007846F8"/>
    <w:rsid w:val="0078481C"/>
    <w:rsid w:val="007848D7"/>
    <w:rsid w:val="007848FB"/>
    <w:rsid w:val="0078495E"/>
    <w:rsid w:val="00784A21"/>
    <w:rsid w:val="007850D6"/>
    <w:rsid w:val="007850E5"/>
    <w:rsid w:val="0078524F"/>
    <w:rsid w:val="00785315"/>
    <w:rsid w:val="00785425"/>
    <w:rsid w:val="00785645"/>
    <w:rsid w:val="00785920"/>
    <w:rsid w:val="00785AC5"/>
    <w:rsid w:val="00785B77"/>
    <w:rsid w:val="00785BE5"/>
    <w:rsid w:val="00785C62"/>
    <w:rsid w:val="00785CB5"/>
    <w:rsid w:val="00785D02"/>
    <w:rsid w:val="00785DBB"/>
    <w:rsid w:val="00785E89"/>
    <w:rsid w:val="007861A3"/>
    <w:rsid w:val="007863AD"/>
    <w:rsid w:val="00786429"/>
    <w:rsid w:val="007864A6"/>
    <w:rsid w:val="00786568"/>
    <w:rsid w:val="007865B2"/>
    <w:rsid w:val="00786650"/>
    <w:rsid w:val="007867E0"/>
    <w:rsid w:val="0078681D"/>
    <w:rsid w:val="00786823"/>
    <w:rsid w:val="00786A34"/>
    <w:rsid w:val="00786B80"/>
    <w:rsid w:val="00786B81"/>
    <w:rsid w:val="00786BD0"/>
    <w:rsid w:val="00786C23"/>
    <w:rsid w:val="00786D7C"/>
    <w:rsid w:val="00786DB0"/>
    <w:rsid w:val="00786F2B"/>
    <w:rsid w:val="00786FD7"/>
    <w:rsid w:val="00786FE4"/>
    <w:rsid w:val="00787003"/>
    <w:rsid w:val="0078707A"/>
    <w:rsid w:val="00787084"/>
    <w:rsid w:val="0078708F"/>
    <w:rsid w:val="0078710E"/>
    <w:rsid w:val="00787261"/>
    <w:rsid w:val="0078726F"/>
    <w:rsid w:val="0078732B"/>
    <w:rsid w:val="0078733D"/>
    <w:rsid w:val="00787346"/>
    <w:rsid w:val="00787464"/>
    <w:rsid w:val="0078748E"/>
    <w:rsid w:val="007876F4"/>
    <w:rsid w:val="00787724"/>
    <w:rsid w:val="00787781"/>
    <w:rsid w:val="00787858"/>
    <w:rsid w:val="007878A8"/>
    <w:rsid w:val="007878D2"/>
    <w:rsid w:val="00787ACA"/>
    <w:rsid w:val="00787C8B"/>
    <w:rsid w:val="00787CE0"/>
    <w:rsid w:val="00787D15"/>
    <w:rsid w:val="00787D54"/>
    <w:rsid w:val="00787D94"/>
    <w:rsid w:val="00787F3A"/>
    <w:rsid w:val="00787F7A"/>
    <w:rsid w:val="00787FBC"/>
    <w:rsid w:val="00790075"/>
    <w:rsid w:val="007900A5"/>
    <w:rsid w:val="007900B2"/>
    <w:rsid w:val="00790118"/>
    <w:rsid w:val="0079011D"/>
    <w:rsid w:val="00790123"/>
    <w:rsid w:val="007902A6"/>
    <w:rsid w:val="00790346"/>
    <w:rsid w:val="0079036A"/>
    <w:rsid w:val="0079050E"/>
    <w:rsid w:val="007905C2"/>
    <w:rsid w:val="00790714"/>
    <w:rsid w:val="00790787"/>
    <w:rsid w:val="00790804"/>
    <w:rsid w:val="0079098F"/>
    <w:rsid w:val="007909C9"/>
    <w:rsid w:val="007909E8"/>
    <w:rsid w:val="00790A0A"/>
    <w:rsid w:val="00790A13"/>
    <w:rsid w:val="00790A81"/>
    <w:rsid w:val="00790B4D"/>
    <w:rsid w:val="00790B76"/>
    <w:rsid w:val="00790C19"/>
    <w:rsid w:val="00790C4E"/>
    <w:rsid w:val="00790D12"/>
    <w:rsid w:val="00790DD7"/>
    <w:rsid w:val="00790EC3"/>
    <w:rsid w:val="00790FB1"/>
    <w:rsid w:val="0079114C"/>
    <w:rsid w:val="0079120F"/>
    <w:rsid w:val="007912BE"/>
    <w:rsid w:val="00791475"/>
    <w:rsid w:val="0079155E"/>
    <w:rsid w:val="007915BC"/>
    <w:rsid w:val="007915CD"/>
    <w:rsid w:val="007915E6"/>
    <w:rsid w:val="0079175D"/>
    <w:rsid w:val="007917C4"/>
    <w:rsid w:val="00791830"/>
    <w:rsid w:val="007918B2"/>
    <w:rsid w:val="00791979"/>
    <w:rsid w:val="007919B5"/>
    <w:rsid w:val="00791A4B"/>
    <w:rsid w:val="00791A8D"/>
    <w:rsid w:val="00791B8F"/>
    <w:rsid w:val="00791BA6"/>
    <w:rsid w:val="00791BCC"/>
    <w:rsid w:val="00791CEE"/>
    <w:rsid w:val="00791CF8"/>
    <w:rsid w:val="00791DEC"/>
    <w:rsid w:val="00791E45"/>
    <w:rsid w:val="00791EB7"/>
    <w:rsid w:val="00791EE1"/>
    <w:rsid w:val="00791F74"/>
    <w:rsid w:val="00791FC6"/>
    <w:rsid w:val="00792041"/>
    <w:rsid w:val="00792157"/>
    <w:rsid w:val="00792224"/>
    <w:rsid w:val="00792379"/>
    <w:rsid w:val="007924ED"/>
    <w:rsid w:val="0079278A"/>
    <w:rsid w:val="007927BF"/>
    <w:rsid w:val="007927D8"/>
    <w:rsid w:val="0079291B"/>
    <w:rsid w:val="007929ED"/>
    <w:rsid w:val="00792A0E"/>
    <w:rsid w:val="00792AB8"/>
    <w:rsid w:val="00792B33"/>
    <w:rsid w:val="00792B44"/>
    <w:rsid w:val="00792BE5"/>
    <w:rsid w:val="00792C9E"/>
    <w:rsid w:val="00792CAA"/>
    <w:rsid w:val="00792E76"/>
    <w:rsid w:val="00792E90"/>
    <w:rsid w:val="00792EAF"/>
    <w:rsid w:val="00792F2B"/>
    <w:rsid w:val="00792FD0"/>
    <w:rsid w:val="00793001"/>
    <w:rsid w:val="007930FC"/>
    <w:rsid w:val="007931B5"/>
    <w:rsid w:val="007932EF"/>
    <w:rsid w:val="0079340F"/>
    <w:rsid w:val="0079342B"/>
    <w:rsid w:val="00793434"/>
    <w:rsid w:val="00793439"/>
    <w:rsid w:val="00793455"/>
    <w:rsid w:val="00793460"/>
    <w:rsid w:val="00793463"/>
    <w:rsid w:val="007934A6"/>
    <w:rsid w:val="00793516"/>
    <w:rsid w:val="00793548"/>
    <w:rsid w:val="0079360A"/>
    <w:rsid w:val="0079364A"/>
    <w:rsid w:val="007936A6"/>
    <w:rsid w:val="007936FC"/>
    <w:rsid w:val="00793777"/>
    <w:rsid w:val="007937AB"/>
    <w:rsid w:val="007938B6"/>
    <w:rsid w:val="0079399E"/>
    <w:rsid w:val="00793A9F"/>
    <w:rsid w:val="00793B89"/>
    <w:rsid w:val="00793BFE"/>
    <w:rsid w:val="00793C52"/>
    <w:rsid w:val="00793C68"/>
    <w:rsid w:val="00793DBD"/>
    <w:rsid w:val="00793F9F"/>
    <w:rsid w:val="00794082"/>
    <w:rsid w:val="007940F7"/>
    <w:rsid w:val="00794160"/>
    <w:rsid w:val="00794256"/>
    <w:rsid w:val="0079429F"/>
    <w:rsid w:val="00794330"/>
    <w:rsid w:val="00794455"/>
    <w:rsid w:val="007944E9"/>
    <w:rsid w:val="0079450A"/>
    <w:rsid w:val="00794548"/>
    <w:rsid w:val="007945BE"/>
    <w:rsid w:val="007945D5"/>
    <w:rsid w:val="00794807"/>
    <w:rsid w:val="00794832"/>
    <w:rsid w:val="0079485E"/>
    <w:rsid w:val="0079488D"/>
    <w:rsid w:val="007948B6"/>
    <w:rsid w:val="007948FB"/>
    <w:rsid w:val="00794910"/>
    <w:rsid w:val="00794C69"/>
    <w:rsid w:val="00794C75"/>
    <w:rsid w:val="00794CA1"/>
    <w:rsid w:val="00794CCD"/>
    <w:rsid w:val="00794D00"/>
    <w:rsid w:val="00794DA4"/>
    <w:rsid w:val="00794E0A"/>
    <w:rsid w:val="00794E2F"/>
    <w:rsid w:val="00794E73"/>
    <w:rsid w:val="00794E89"/>
    <w:rsid w:val="00794FA9"/>
    <w:rsid w:val="00794FF5"/>
    <w:rsid w:val="00795269"/>
    <w:rsid w:val="0079529B"/>
    <w:rsid w:val="00795502"/>
    <w:rsid w:val="007955B7"/>
    <w:rsid w:val="007955EA"/>
    <w:rsid w:val="007956D1"/>
    <w:rsid w:val="0079590C"/>
    <w:rsid w:val="00795918"/>
    <w:rsid w:val="00795941"/>
    <w:rsid w:val="007959D6"/>
    <w:rsid w:val="00795A40"/>
    <w:rsid w:val="00795AC5"/>
    <w:rsid w:val="00795ACE"/>
    <w:rsid w:val="00795B20"/>
    <w:rsid w:val="00795C40"/>
    <w:rsid w:val="00795D7F"/>
    <w:rsid w:val="00795D8F"/>
    <w:rsid w:val="00795DC4"/>
    <w:rsid w:val="00795E55"/>
    <w:rsid w:val="00795F02"/>
    <w:rsid w:val="00795F09"/>
    <w:rsid w:val="00795F9F"/>
    <w:rsid w:val="00796019"/>
    <w:rsid w:val="00796087"/>
    <w:rsid w:val="0079615B"/>
    <w:rsid w:val="0079622C"/>
    <w:rsid w:val="0079645C"/>
    <w:rsid w:val="00796479"/>
    <w:rsid w:val="007964A9"/>
    <w:rsid w:val="007964B4"/>
    <w:rsid w:val="0079652B"/>
    <w:rsid w:val="00796637"/>
    <w:rsid w:val="00796698"/>
    <w:rsid w:val="0079670C"/>
    <w:rsid w:val="0079677B"/>
    <w:rsid w:val="0079678E"/>
    <w:rsid w:val="007967B1"/>
    <w:rsid w:val="007967EC"/>
    <w:rsid w:val="00796867"/>
    <w:rsid w:val="007968BA"/>
    <w:rsid w:val="0079696C"/>
    <w:rsid w:val="00796985"/>
    <w:rsid w:val="007969A8"/>
    <w:rsid w:val="00796CF3"/>
    <w:rsid w:val="00796D98"/>
    <w:rsid w:val="007970EA"/>
    <w:rsid w:val="00797145"/>
    <w:rsid w:val="00797184"/>
    <w:rsid w:val="00797221"/>
    <w:rsid w:val="0079732C"/>
    <w:rsid w:val="0079740C"/>
    <w:rsid w:val="007974E2"/>
    <w:rsid w:val="0079753B"/>
    <w:rsid w:val="007976F8"/>
    <w:rsid w:val="007977AC"/>
    <w:rsid w:val="00797878"/>
    <w:rsid w:val="007978C6"/>
    <w:rsid w:val="007978EA"/>
    <w:rsid w:val="00797938"/>
    <w:rsid w:val="007979A1"/>
    <w:rsid w:val="007979AA"/>
    <w:rsid w:val="00797A30"/>
    <w:rsid w:val="00797C58"/>
    <w:rsid w:val="00797C62"/>
    <w:rsid w:val="00797D83"/>
    <w:rsid w:val="00797D9D"/>
    <w:rsid w:val="007A0025"/>
    <w:rsid w:val="007A003C"/>
    <w:rsid w:val="007A00AD"/>
    <w:rsid w:val="007A026A"/>
    <w:rsid w:val="007A0276"/>
    <w:rsid w:val="007A0279"/>
    <w:rsid w:val="007A02CC"/>
    <w:rsid w:val="007A0398"/>
    <w:rsid w:val="007A040E"/>
    <w:rsid w:val="007A047A"/>
    <w:rsid w:val="007A04A7"/>
    <w:rsid w:val="007A0529"/>
    <w:rsid w:val="007A0614"/>
    <w:rsid w:val="007A07D1"/>
    <w:rsid w:val="007A08C0"/>
    <w:rsid w:val="007A0A2A"/>
    <w:rsid w:val="007A0A32"/>
    <w:rsid w:val="007A0AD7"/>
    <w:rsid w:val="007A0B01"/>
    <w:rsid w:val="007A0B87"/>
    <w:rsid w:val="007A0B9E"/>
    <w:rsid w:val="007A0BD2"/>
    <w:rsid w:val="007A0C03"/>
    <w:rsid w:val="007A0C23"/>
    <w:rsid w:val="007A0CA2"/>
    <w:rsid w:val="007A0DD4"/>
    <w:rsid w:val="007A0E8F"/>
    <w:rsid w:val="007A1026"/>
    <w:rsid w:val="007A1031"/>
    <w:rsid w:val="007A10B9"/>
    <w:rsid w:val="007A10BD"/>
    <w:rsid w:val="007A1156"/>
    <w:rsid w:val="007A1165"/>
    <w:rsid w:val="007A1180"/>
    <w:rsid w:val="007A1272"/>
    <w:rsid w:val="007A12D2"/>
    <w:rsid w:val="007A130D"/>
    <w:rsid w:val="007A1345"/>
    <w:rsid w:val="007A1373"/>
    <w:rsid w:val="007A13C8"/>
    <w:rsid w:val="007A1419"/>
    <w:rsid w:val="007A1487"/>
    <w:rsid w:val="007A151D"/>
    <w:rsid w:val="007A158C"/>
    <w:rsid w:val="007A168E"/>
    <w:rsid w:val="007A1793"/>
    <w:rsid w:val="007A1843"/>
    <w:rsid w:val="007A1897"/>
    <w:rsid w:val="007A189C"/>
    <w:rsid w:val="007A1925"/>
    <w:rsid w:val="007A1933"/>
    <w:rsid w:val="007A1A14"/>
    <w:rsid w:val="007A1AF4"/>
    <w:rsid w:val="007A1B66"/>
    <w:rsid w:val="007A1B86"/>
    <w:rsid w:val="007A1C96"/>
    <w:rsid w:val="007A1E13"/>
    <w:rsid w:val="007A1E97"/>
    <w:rsid w:val="007A1F5C"/>
    <w:rsid w:val="007A1F72"/>
    <w:rsid w:val="007A1F82"/>
    <w:rsid w:val="007A2076"/>
    <w:rsid w:val="007A2270"/>
    <w:rsid w:val="007A22FA"/>
    <w:rsid w:val="007A2398"/>
    <w:rsid w:val="007A245F"/>
    <w:rsid w:val="007A2668"/>
    <w:rsid w:val="007A269D"/>
    <w:rsid w:val="007A277A"/>
    <w:rsid w:val="007A27F3"/>
    <w:rsid w:val="007A2830"/>
    <w:rsid w:val="007A2BD7"/>
    <w:rsid w:val="007A2DEE"/>
    <w:rsid w:val="007A2E22"/>
    <w:rsid w:val="007A3116"/>
    <w:rsid w:val="007A3200"/>
    <w:rsid w:val="007A32ED"/>
    <w:rsid w:val="007A340A"/>
    <w:rsid w:val="007A34E6"/>
    <w:rsid w:val="007A3513"/>
    <w:rsid w:val="007A366D"/>
    <w:rsid w:val="007A3688"/>
    <w:rsid w:val="007A37E4"/>
    <w:rsid w:val="007A3840"/>
    <w:rsid w:val="007A38DF"/>
    <w:rsid w:val="007A391E"/>
    <w:rsid w:val="007A39F6"/>
    <w:rsid w:val="007A3A50"/>
    <w:rsid w:val="007A3B13"/>
    <w:rsid w:val="007A3B30"/>
    <w:rsid w:val="007A3C19"/>
    <w:rsid w:val="007A3D51"/>
    <w:rsid w:val="007A3F93"/>
    <w:rsid w:val="007A4040"/>
    <w:rsid w:val="007A4059"/>
    <w:rsid w:val="007A409D"/>
    <w:rsid w:val="007A40CB"/>
    <w:rsid w:val="007A4168"/>
    <w:rsid w:val="007A41A5"/>
    <w:rsid w:val="007A43CC"/>
    <w:rsid w:val="007A449B"/>
    <w:rsid w:val="007A44F9"/>
    <w:rsid w:val="007A454E"/>
    <w:rsid w:val="007A46F4"/>
    <w:rsid w:val="007A4712"/>
    <w:rsid w:val="007A4734"/>
    <w:rsid w:val="007A473E"/>
    <w:rsid w:val="007A48CC"/>
    <w:rsid w:val="007A496B"/>
    <w:rsid w:val="007A499F"/>
    <w:rsid w:val="007A49D7"/>
    <w:rsid w:val="007A4AD4"/>
    <w:rsid w:val="007A4CE8"/>
    <w:rsid w:val="007A4D2F"/>
    <w:rsid w:val="007A4DDA"/>
    <w:rsid w:val="007A4ED1"/>
    <w:rsid w:val="007A4EEF"/>
    <w:rsid w:val="007A4FDD"/>
    <w:rsid w:val="007A51C9"/>
    <w:rsid w:val="007A5206"/>
    <w:rsid w:val="007A535A"/>
    <w:rsid w:val="007A54BC"/>
    <w:rsid w:val="007A54C7"/>
    <w:rsid w:val="007A54DB"/>
    <w:rsid w:val="007A54E7"/>
    <w:rsid w:val="007A56A3"/>
    <w:rsid w:val="007A56B0"/>
    <w:rsid w:val="007A5705"/>
    <w:rsid w:val="007A57AD"/>
    <w:rsid w:val="007A57B4"/>
    <w:rsid w:val="007A589F"/>
    <w:rsid w:val="007A58CA"/>
    <w:rsid w:val="007A58D4"/>
    <w:rsid w:val="007A595D"/>
    <w:rsid w:val="007A5994"/>
    <w:rsid w:val="007A59BB"/>
    <w:rsid w:val="007A5A77"/>
    <w:rsid w:val="007A5ADF"/>
    <w:rsid w:val="007A5B21"/>
    <w:rsid w:val="007A5B7F"/>
    <w:rsid w:val="007A5BED"/>
    <w:rsid w:val="007A5CA2"/>
    <w:rsid w:val="007A5D38"/>
    <w:rsid w:val="007A5E61"/>
    <w:rsid w:val="007A5FDF"/>
    <w:rsid w:val="007A609A"/>
    <w:rsid w:val="007A60C0"/>
    <w:rsid w:val="007A60D8"/>
    <w:rsid w:val="007A61F2"/>
    <w:rsid w:val="007A61F5"/>
    <w:rsid w:val="007A6245"/>
    <w:rsid w:val="007A6267"/>
    <w:rsid w:val="007A63C4"/>
    <w:rsid w:val="007A6497"/>
    <w:rsid w:val="007A64F2"/>
    <w:rsid w:val="007A6505"/>
    <w:rsid w:val="007A651D"/>
    <w:rsid w:val="007A672E"/>
    <w:rsid w:val="007A67A3"/>
    <w:rsid w:val="007A6828"/>
    <w:rsid w:val="007A68D4"/>
    <w:rsid w:val="007A69DD"/>
    <w:rsid w:val="007A6ABF"/>
    <w:rsid w:val="007A6ACB"/>
    <w:rsid w:val="007A6C34"/>
    <w:rsid w:val="007A6C69"/>
    <w:rsid w:val="007A6DDC"/>
    <w:rsid w:val="007A6FD2"/>
    <w:rsid w:val="007A702E"/>
    <w:rsid w:val="007A71C3"/>
    <w:rsid w:val="007A73FC"/>
    <w:rsid w:val="007A7401"/>
    <w:rsid w:val="007A759D"/>
    <w:rsid w:val="007A773C"/>
    <w:rsid w:val="007A7825"/>
    <w:rsid w:val="007A782E"/>
    <w:rsid w:val="007A7869"/>
    <w:rsid w:val="007A7916"/>
    <w:rsid w:val="007A7944"/>
    <w:rsid w:val="007A7966"/>
    <w:rsid w:val="007A7C92"/>
    <w:rsid w:val="007A7C9F"/>
    <w:rsid w:val="007A7D43"/>
    <w:rsid w:val="007A7DC2"/>
    <w:rsid w:val="007A7DD1"/>
    <w:rsid w:val="007A7EFC"/>
    <w:rsid w:val="007B0034"/>
    <w:rsid w:val="007B008D"/>
    <w:rsid w:val="007B00D7"/>
    <w:rsid w:val="007B011F"/>
    <w:rsid w:val="007B0259"/>
    <w:rsid w:val="007B02D4"/>
    <w:rsid w:val="007B0354"/>
    <w:rsid w:val="007B03B9"/>
    <w:rsid w:val="007B0488"/>
    <w:rsid w:val="007B0517"/>
    <w:rsid w:val="007B052C"/>
    <w:rsid w:val="007B0557"/>
    <w:rsid w:val="007B0576"/>
    <w:rsid w:val="007B066A"/>
    <w:rsid w:val="007B074E"/>
    <w:rsid w:val="007B0772"/>
    <w:rsid w:val="007B087D"/>
    <w:rsid w:val="007B0A88"/>
    <w:rsid w:val="007B0C69"/>
    <w:rsid w:val="007B0C96"/>
    <w:rsid w:val="007B0CFD"/>
    <w:rsid w:val="007B0D11"/>
    <w:rsid w:val="007B0D77"/>
    <w:rsid w:val="007B1088"/>
    <w:rsid w:val="007B10E8"/>
    <w:rsid w:val="007B117B"/>
    <w:rsid w:val="007B11F8"/>
    <w:rsid w:val="007B11FC"/>
    <w:rsid w:val="007B1321"/>
    <w:rsid w:val="007B1381"/>
    <w:rsid w:val="007B13C3"/>
    <w:rsid w:val="007B1485"/>
    <w:rsid w:val="007B1544"/>
    <w:rsid w:val="007B15C3"/>
    <w:rsid w:val="007B15F1"/>
    <w:rsid w:val="007B1659"/>
    <w:rsid w:val="007B1676"/>
    <w:rsid w:val="007B1690"/>
    <w:rsid w:val="007B1817"/>
    <w:rsid w:val="007B18C2"/>
    <w:rsid w:val="007B18D3"/>
    <w:rsid w:val="007B1952"/>
    <w:rsid w:val="007B1985"/>
    <w:rsid w:val="007B1AB0"/>
    <w:rsid w:val="007B1E72"/>
    <w:rsid w:val="007B1ECE"/>
    <w:rsid w:val="007B1FB1"/>
    <w:rsid w:val="007B203E"/>
    <w:rsid w:val="007B204B"/>
    <w:rsid w:val="007B208A"/>
    <w:rsid w:val="007B20B3"/>
    <w:rsid w:val="007B21BA"/>
    <w:rsid w:val="007B2269"/>
    <w:rsid w:val="007B2286"/>
    <w:rsid w:val="007B2386"/>
    <w:rsid w:val="007B23B8"/>
    <w:rsid w:val="007B2417"/>
    <w:rsid w:val="007B24D0"/>
    <w:rsid w:val="007B24E8"/>
    <w:rsid w:val="007B27D1"/>
    <w:rsid w:val="007B288A"/>
    <w:rsid w:val="007B2A90"/>
    <w:rsid w:val="007B2AEF"/>
    <w:rsid w:val="007B2C91"/>
    <w:rsid w:val="007B2D2C"/>
    <w:rsid w:val="007B2D74"/>
    <w:rsid w:val="007B2DAF"/>
    <w:rsid w:val="007B2DF1"/>
    <w:rsid w:val="007B2E99"/>
    <w:rsid w:val="007B3198"/>
    <w:rsid w:val="007B3273"/>
    <w:rsid w:val="007B32ED"/>
    <w:rsid w:val="007B334A"/>
    <w:rsid w:val="007B3454"/>
    <w:rsid w:val="007B3658"/>
    <w:rsid w:val="007B3852"/>
    <w:rsid w:val="007B385E"/>
    <w:rsid w:val="007B38BB"/>
    <w:rsid w:val="007B38D6"/>
    <w:rsid w:val="007B38DC"/>
    <w:rsid w:val="007B39BC"/>
    <w:rsid w:val="007B39CC"/>
    <w:rsid w:val="007B39DC"/>
    <w:rsid w:val="007B3A54"/>
    <w:rsid w:val="007B3BCA"/>
    <w:rsid w:val="007B3C73"/>
    <w:rsid w:val="007B3CC8"/>
    <w:rsid w:val="007B3D54"/>
    <w:rsid w:val="007B3E15"/>
    <w:rsid w:val="007B3F0A"/>
    <w:rsid w:val="007B3F12"/>
    <w:rsid w:val="007B3F6E"/>
    <w:rsid w:val="007B40A7"/>
    <w:rsid w:val="007B40B2"/>
    <w:rsid w:val="007B41A8"/>
    <w:rsid w:val="007B4264"/>
    <w:rsid w:val="007B42B0"/>
    <w:rsid w:val="007B430D"/>
    <w:rsid w:val="007B4365"/>
    <w:rsid w:val="007B43AE"/>
    <w:rsid w:val="007B43BF"/>
    <w:rsid w:val="007B456C"/>
    <w:rsid w:val="007B461E"/>
    <w:rsid w:val="007B46B3"/>
    <w:rsid w:val="007B474A"/>
    <w:rsid w:val="007B47D5"/>
    <w:rsid w:val="007B47F5"/>
    <w:rsid w:val="007B49DD"/>
    <w:rsid w:val="007B4B1C"/>
    <w:rsid w:val="007B4B7E"/>
    <w:rsid w:val="007B4C27"/>
    <w:rsid w:val="007B4C6C"/>
    <w:rsid w:val="007B4CA0"/>
    <w:rsid w:val="007B4D32"/>
    <w:rsid w:val="007B4D95"/>
    <w:rsid w:val="007B4D97"/>
    <w:rsid w:val="007B4DB0"/>
    <w:rsid w:val="007B4E69"/>
    <w:rsid w:val="007B4FA7"/>
    <w:rsid w:val="007B5055"/>
    <w:rsid w:val="007B506D"/>
    <w:rsid w:val="007B520A"/>
    <w:rsid w:val="007B527C"/>
    <w:rsid w:val="007B52CD"/>
    <w:rsid w:val="007B5546"/>
    <w:rsid w:val="007B5633"/>
    <w:rsid w:val="007B587F"/>
    <w:rsid w:val="007B5976"/>
    <w:rsid w:val="007B59B3"/>
    <w:rsid w:val="007B59B6"/>
    <w:rsid w:val="007B5A8B"/>
    <w:rsid w:val="007B5BD8"/>
    <w:rsid w:val="007B5BE6"/>
    <w:rsid w:val="007B5DD7"/>
    <w:rsid w:val="007B5EEF"/>
    <w:rsid w:val="007B5F2E"/>
    <w:rsid w:val="007B5FB0"/>
    <w:rsid w:val="007B6097"/>
    <w:rsid w:val="007B6173"/>
    <w:rsid w:val="007B6203"/>
    <w:rsid w:val="007B6297"/>
    <w:rsid w:val="007B63AB"/>
    <w:rsid w:val="007B6400"/>
    <w:rsid w:val="007B642F"/>
    <w:rsid w:val="007B65BA"/>
    <w:rsid w:val="007B6627"/>
    <w:rsid w:val="007B6688"/>
    <w:rsid w:val="007B678D"/>
    <w:rsid w:val="007B680B"/>
    <w:rsid w:val="007B6896"/>
    <w:rsid w:val="007B68F0"/>
    <w:rsid w:val="007B6AB6"/>
    <w:rsid w:val="007B6AFF"/>
    <w:rsid w:val="007B6BE1"/>
    <w:rsid w:val="007B6C45"/>
    <w:rsid w:val="007B6C47"/>
    <w:rsid w:val="007B6CAE"/>
    <w:rsid w:val="007B6D94"/>
    <w:rsid w:val="007B6DEA"/>
    <w:rsid w:val="007B6DFA"/>
    <w:rsid w:val="007B6F98"/>
    <w:rsid w:val="007B6FAC"/>
    <w:rsid w:val="007B701B"/>
    <w:rsid w:val="007B70E4"/>
    <w:rsid w:val="007B7124"/>
    <w:rsid w:val="007B71EA"/>
    <w:rsid w:val="007B720D"/>
    <w:rsid w:val="007B73B6"/>
    <w:rsid w:val="007B73BD"/>
    <w:rsid w:val="007B741D"/>
    <w:rsid w:val="007B74F6"/>
    <w:rsid w:val="007B7531"/>
    <w:rsid w:val="007B7551"/>
    <w:rsid w:val="007B755E"/>
    <w:rsid w:val="007B7585"/>
    <w:rsid w:val="007B762E"/>
    <w:rsid w:val="007B7721"/>
    <w:rsid w:val="007B7768"/>
    <w:rsid w:val="007B77A5"/>
    <w:rsid w:val="007B7876"/>
    <w:rsid w:val="007B79A7"/>
    <w:rsid w:val="007B79E3"/>
    <w:rsid w:val="007B7A0F"/>
    <w:rsid w:val="007B7A85"/>
    <w:rsid w:val="007B7B17"/>
    <w:rsid w:val="007B7B7C"/>
    <w:rsid w:val="007B7BC5"/>
    <w:rsid w:val="007B7BFA"/>
    <w:rsid w:val="007B7C86"/>
    <w:rsid w:val="007B7D6A"/>
    <w:rsid w:val="007B7DA1"/>
    <w:rsid w:val="007B7E4B"/>
    <w:rsid w:val="007C0068"/>
    <w:rsid w:val="007C012A"/>
    <w:rsid w:val="007C01EB"/>
    <w:rsid w:val="007C0200"/>
    <w:rsid w:val="007C02C5"/>
    <w:rsid w:val="007C03BC"/>
    <w:rsid w:val="007C0425"/>
    <w:rsid w:val="007C0716"/>
    <w:rsid w:val="007C07FE"/>
    <w:rsid w:val="007C0847"/>
    <w:rsid w:val="007C08C8"/>
    <w:rsid w:val="007C08D8"/>
    <w:rsid w:val="007C0998"/>
    <w:rsid w:val="007C0AF8"/>
    <w:rsid w:val="007C0B93"/>
    <w:rsid w:val="007C0C52"/>
    <w:rsid w:val="007C0C8A"/>
    <w:rsid w:val="007C0C8E"/>
    <w:rsid w:val="007C0D54"/>
    <w:rsid w:val="007C0F2E"/>
    <w:rsid w:val="007C0F48"/>
    <w:rsid w:val="007C0FE3"/>
    <w:rsid w:val="007C1012"/>
    <w:rsid w:val="007C112D"/>
    <w:rsid w:val="007C11CA"/>
    <w:rsid w:val="007C1225"/>
    <w:rsid w:val="007C139D"/>
    <w:rsid w:val="007C1446"/>
    <w:rsid w:val="007C16BA"/>
    <w:rsid w:val="007C16DA"/>
    <w:rsid w:val="007C1945"/>
    <w:rsid w:val="007C19B6"/>
    <w:rsid w:val="007C1A4F"/>
    <w:rsid w:val="007C1AE2"/>
    <w:rsid w:val="007C1B1E"/>
    <w:rsid w:val="007C1BCF"/>
    <w:rsid w:val="007C1C75"/>
    <w:rsid w:val="007C1CE1"/>
    <w:rsid w:val="007C1DE8"/>
    <w:rsid w:val="007C2046"/>
    <w:rsid w:val="007C2188"/>
    <w:rsid w:val="007C223A"/>
    <w:rsid w:val="007C23BE"/>
    <w:rsid w:val="007C2438"/>
    <w:rsid w:val="007C2499"/>
    <w:rsid w:val="007C2502"/>
    <w:rsid w:val="007C258A"/>
    <w:rsid w:val="007C25F5"/>
    <w:rsid w:val="007C26AC"/>
    <w:rsid w:val="007C2715"/>
    <w:rsid w:val="007C27E1"/>
    <w:rsid w:val="007C288B"/>
    <w:rsid w:val="007C28EB"/>
    <w:rsid w:val="007C29B4"/>
    <w:rsid w:val="007C2A29"/>
    <w:rsid w:val="007C2A2B"/>
    <w:rsid w:val="007C2A9E"/>
    <w:rsid w:val="007C2B5F"/>
    <w:rsid w:val="007C2BF4"/>
    <w:rsid w:val="007C2C57"/>
    <w:rsid w:val="007C2D5F"/>
    <w:rsid w:val="007C2E58"/>
    <w:rsid w:val="007C2E68"/>
    <w:rsid w:val="007C2EF5"/>
    <w:rsid w:val="007C2F2A"/>
    <w:rsid w:val="007C2FFF"/>
    <w:rsid w:val="007C305A"/>
    <w:rsid w:val="007C308D"/>
    <w:rsid w:val="007C3340"/>
    <w:rsid w:val="007C33DC"/>
    <w:rsid w:val="007C33E0"/>
    <w:rsid w:val="007C34DF"/>
    <w:rsid w:val="007C353F"/>
    <w:rsid w:val="007C361C"/>
    <w:rsid w:val="007C36BE"/>
    <w:rsid w:val="007C3786"/>
    <w:rsid w:val="007C379E"/>
    <w:rsid w:val="007C37AE"/>
    <w:rsid w:val="007C37DD"/>
    <w:rsid w:val="007C3809"/>
    <w:rsid w:val="007C387B"/>
    <w:rsid w:val="007C38E0"/>
    <w:rsid w:val="007C39F2"/>
    <w:rsid w:val="007C3AA4"/>
    <w:rsid w:val="007C3B01"/>
    <w:rsid w:val="007C3B7C"/>
    <w:rsid w:val="007C3BC4"/>
    <w:rsid w:val="007C3C1C"/>
    <w:rsid w:val="007C3C3D"/>
    <w:rsid w:val="007C3CC7"/>
    <w:rsid w:val="007C3DA6"/>
    <w:rsid w:val="007C3DD1"/>
    <w:rsid w:val="007C3E30"/>
    <w:rsid w:val="007C3F08"/>
    <w:rsid w:val="007C3F6A"/>
    <w:rsid w:val="007C40E2"/>
    <w:rsid w:val="007C41DE"/>
    <w:rsid w:val="007C426C"/>
    <w:rsid w:val="007C42AD"/>
    <w:rsid w:val="007C430F"/>
    <w:rsid w:val="007C437B"/>
    <w:rsid w:val="007C4489"/>
    <w:rsid w:val="007C4677"/>
    <w:rsid w:val="007C474F"/>
    <w:rsid w:val="007C475F"/>
    <w:rsid w:val="007C477A"/>
    <w:rsid w:val="007C4835"/>
    <w:rsid w:val="007C483F"/>
    <w:rsid w:val="007C49E5"/>
    <w:rsid w:val="007C4A55"/>
    <w:rsid w:val="007C4D3D"/>
    <w:rsid w:val="007C4DC5"/>
    <w:rsid w:val="007C4E43"/>
    <w:rsid w:val="007C4F42"/>
    <w:rsid w:val="007C4FAF"/>
    <w:rsid w:val="007C5074"/>
    <w:rsid w:val="007C5118"/>
    <w:rsid w:val="007C5279"/>
    <w:rsid w:val="007C538E"/>
    <w:rsid w:val="007C53F0"/>
    <w:rsid w:val="007C546F"/>
    <w:rsid w:val="007C54B5"/>
    <w:rsid w:val="007C5516"/>
    <w:rsid w:val="007C5519"/>
    <w:rsid w:val="007C557C"/>
    <w:rsid w:val="007C5602"/>
    <w:rsid w:val="007C5610"/>
    <w:rsid w:val="007C5700"/>
    <w:rsid w:val="007C5704"/>
    <w:rsid w:val="007C5724"/>
    <w:rsid w:val="007C57EB"/>
    <w:rsid w:val="007C585A"/>
    <w:rsid w:val="007C58E1"/>
    <w:rsid w:val="007C5948"/>
    <w:rsid w:val="007C5B6B"/>
    <w:rsid w:val="007C5BAE"/>
    <w:rsid w:val="007C5C83"/>
    <w:rsid w:val="007C5CC1"/>
    <w:rsid w:val="007C5D1B"/>
    <w:rsid w:val="007C5EA8"/>
    <w:rsid w:val="007C5F04"/>
    <w:rsid w:val="007C5FAC"/>
    <w:rsid w:val="007C6087"/>
    <w:rsid w:val="007C60CD"/>
    <w:rsid w:val="007C60D0"/>
    <w:rsid w:val="007C61F7"/>
    <w:rsid w:val="007C63CB"/>
    <w:rsid w:val="007C63FD"/>
    <w:rsid w:val="007C641A"/>
    <w:rsid w:val="007C641C"/>
    <w:rsid w:val="007C64CA"/>
    <w:rsid w:val="007C64F5"/>
    <w:rsid w:val="007C6521"/>
    <w:rsid w:val="007C65C9"/>
    <w:rsid w:val="007C65CF"/>
    <w:rsid w:val="007C6600"/>
    <w:rsid w:val="007C66A1"/>
    <w:rsid w:val="007C67AE"/>
    <w:rsid w:val="007C68DD"/>
    <w:rsid w:val="007C694E"/>
    <w:rsid w:val="007C6989"/>
    <w:rsid w:val="007C6A7E"/>
    <w:rsid w:val="007C6AF4"/>
    <w:rsid w:val="007C6B22"/>
    <w:rsid w:val="007C6B71"/>
    <w:rsid w:val="007C6D36"/>
    <w:rsid w:val="007C6D55"/>
    <w:rsid w:val="007C6D9F"/>
    <w:rsid w:val="007C6DFB"/>
    <w:rsid w:val="007C6E1D"/>
    <w:rsid w:val="007C6E6A"/>
    <w:rsid w:val="007C6EAC"/>
    <w:rsid w:val="007C710C"/>
    <w:rsid w:val="007C7144"/>
    <w:rsid w:val="007C7181"/>
    <w:rsid w:val="007C7185"/>
    <w:rsid w:val="007C736A"/>
    <w:rsid w:val="007C737A"/>
    <w:rsid w:val="007C7406"/>
    <w:rsid w:val="007C74F8"/>
    <w:rsid w:val="007C750D"/>
    <w:rsid w:val="007C756D"/>
    <w:rsid w:val="007C75A8"/>
    <w:rsid w:val="007C7636"/>
    <w:rsid w:val="007C76D9"/>
    <w:rsid w:val="007C7750"/>
    <w:rsid w:val="007C7779"/>
    <w:rsid w:val="007C77D0"/>
    <w:rsid w:val="007C787E"/>
    <w:rsid w:val="007C7892"/>
    <w:rsid w:val="007C78C3"/>
    <w:rsid w:val="007C7910"/>
    <w:rsid w:val="007C797A"/>
    <w:rsid w:val="007C799E"/>
    <w:rsid w:val="007C7A0D"/>
    <w:rsid w:val="007C7A82"/>
    <w:rsid w:val="007C7AA4"/>
    <w:rsid w:val="007C7ABE"/>
    <w:rsid w:val="007C7B45"/>
    <w:rsid w:val="007C7CE5"/>
    <w:rsid w:val="007C7D99"/>
    <w:rsid w:val="007C7DB3"/>
    <w:rsid w:val="007C7E3C"/>
    <w:rsid w:val="007C7E86"/>
    <w:rsid w:val="007C7FD4"/>
    <w:rsid w:val="007D011E"/>
    <w:rsid w:val="007D0170"/>
    <w:rsid w:val="007D02C8"/>
    <w:rsid w:val="007D0473"/>
    <w:rsid w:val="007D0479"/>
    <w:rsid w:val="007D0527"/>
    <w:rsid w:val="007D05A6"/>
    <w:rsid w:val="007D05AF"/>
    <w:rsid w:val="007D06CA"/>
    <w:rsid w:val="007D0786"/>
    <w:rsid w:val="007D0825"/>
    <w:rsid w:val="007D0940"/>
    <w:rsid w:val="007D09D1"/>
    <w:rsid w:val="007D0A41"/>
    <w:rsid w:val="007D0D56"/>
    <w:rsid w:val="007D0E15"/>
    <w:rsid w:val="007D0E61"/>
    <w:rsid w:val="007D0EF3"/>
    <w:rsid w:val="007D0FC2"/>
    <w:rsid w:val="007D100D"/>
    <w:rsid w:val="007D1099"/>
    <w:rsid w:val="007D10D7"/>
    <w:rsid w:val="007D1118"/>
    <w:rsid w:val="007D1228"/>
    <w:rsid w:val="007D1240"/>
    <w:rsid w:val="007D1263"/>
    <w:rsid w:val="007D128D"/>
    <w:rsid w:val="007D1383"/>
    <w:rsid w:val="007D1419"/>
    <w:rsid w:val="007D14CC"/>
    <w:rsid w:val="007D152E"/>
    <w:rsid w:val="007D1669"/>
    <w:rsid w:val="007D1691"/>
    <w:rsid w:val="007D18A0"/>
    <w:rsid w:val="007D196C"/>
    <w:rsid w:val="007D19BF"/>
    <w:rsid w:val="007D1A33"/>
    <w:rsid w:val="007D1A9B"/>
    <w:rsid w:val="007D1B4E"/>
    <w:rsid w:val="007D1BA8"/>
    <w:rsid w:val="007D1C79"/>
    <w:rsid w:val="007D1CB6"/>
    <w:rsid w:val="007D1D16"/>
    <w:rsid w:val="007D1DE1"/>
    <w:rsid w:val="007D1F7F"/>
    <w:rsid w:val="007D1FA3"/>
    <w:rsid w:val="007D204E"/>
    <w:rsid w:val="007D2188"/>
    <w:rsid w:val="007D218B"/>
    <w:rsid w:val="007D22CB"/>
    <w:rsid w:val="007D2348"/>
    <w:rsid w:val="007D24ED"/>
    <w:rsid w:val="007D2507"/>
    <w:rsid w:val="007D25C3"/>
    <w:rsid w:val="007D2608"/>
    <w:rsid w:val="007D2842"/>
    <w:rsid w:val="007D284C"/>
    <w:rsid w:val="007D2870"/>
    <w:rsid w:val="007D28EF"/>
    <w:rsid w:val="007D29E8"/>
    <w:rsid w:val="007D2B85"/>
    <w:rsid w:val="007D2C79"/>
    <w:rsid w:val="007D2D52"/>
    <w:rsid w:val="007D2DD1"/>
    <w:rsid w:val="007D2EF8"/>
    <w:rsid w:val="007D3109"/>
    <w:rsid w:val="007D31BC"/>
    <w:rsid w:val="007D32AE"/>
    <w:rsid w:val="007D331C"/>
    <w:rsid w:val="007D33E8"/>
    <w:rsid w:val="007D345A"/>
    <w:rsid w:val="007D34B8"/>
    <w:rsid w:val="007D34D1"/>
    <w:rsid w:val="007D3671"/>
    <w:rsid w:val="007D3699"/>
    <w:rsid w:val="007D36C5"/>
    <w:rsid w:val="007D36C8"/>
    <w:rsid w:val="007D3711"/>
    <w:rsid w:val="007D378D"/>
    <w:rsid w:val="007D37B2"/>
    <w:rsid w:val="007D383A"/>
    <w:rsid w:val="007D38E3"/>
    <w:rsid w:val="007D398E"/>
    <w:rsid w:val="007D39D2"/>
    <w:rsid w:val="007D3B32"/>
    <w:rsid w:val="007D3B81"/>
    <w:rsid w:val="007D3C38"/>
    <w:rsid w:val="007D3D47"/>
    <w:rsid w:val="007D3D73"/>
    <w:rsid w:val="007D3EAD"/>
    <w:rsid w:val="007D3EC5"/>
    <w:rsid w:val="007D3EE4"/>
    <w:rsid w:val="007D4051"/>
    <w:rsid w:val="007D4066"/>
    <w:rsid w:val="007D4091"/>
    <w:rsid w:val="007D412D"/>
    <w:rsid w:val="007D4177"/>
    <w:rsid w:val="007D41C3"/>
    <w:rsid w:val="007D42DF"/>
    <w:rsid w:val="007D4302"/>
    <w:rsid w:val="007D4314"/>
    <w:rsid w:val="007D4365"/>
    <w:rsid w:val="007D436C"/>
    <w:rsid w:val="007D4377"/>
    <w:rsid w:val="007D43C5"/>
    <w:rsid w:val="007D441A"/>
    <w:rsid w:val="007D461D"/>
    <w:rsid w:val="007D46D9"/>
    <w:rsid w:val="007D4719"/>
    <w:rsid w:val="007D47A9"/>
    <w:rsid w:val="007D47CD"/>
    <w:rsid w:val="007D487F"/>
    <w:rsid w:val="007D4904"/>
    <w:rsid w:val="007D4941"/>
    <w:rsid w:val="007D49AC"/>
    <w:rsid w:val="007D4A1C"/>
    <w:rsid w:val="007D4AB1"/>
    <w:rsid w:val="007D4C5B"/>
    <w:rsid w:val="007D4CE2"/>
    <w:rsid w:val="007D4CEC"/>
    <w:rsid w:val="007D4D9B"/>
    <w:rsid w:val="007D4E8B"/>
    <w:rsid w:val="007D4E93"/>
    <w:rsid w:val="007D4F05"/>
    <w:rsid w:val="007D4FB8"/>
    <w:rsid w:val="007D5034"/>
    <w:rsid w:val="007D5079"/>
    <w:rsid w:val="007D509C"/>
    <w:rsid w:val="007D50DA"/>
    <w:rsid w:val="007D511A"/>
    <w:rsid w:val="007D51E9"/>
    <w:rsid w:val="007D5433"/>
    <w:rsid w:val="007D54CE"/>
    <w:rsid w:val="007D54D9"/>
    <w:rsid w:val="007D551E"/>
    <w:rsid w:val="007D5632"/>
    <w:rsid w:val="007D5670"/>
    <w:rsid w:val="007D5806"/>
    <w:rsid w:val="007D5978"/>
    <w:rsid w:val="007D5A61"/>
    <w:rsid w:val="007D5A77"/>
    <w:rsid w:val="007D5B4C"/>
    <w:rsid w:val="007D5BA2"/>
    <w:rsid w:val="007D5D56"/>
    <w:rsid w:val="007D5D99"/>
    <w:rsid w:val="007D5D9C"/>
    <w:rsid w:val="007D5DFC"/>
    <w:rsid w:val="007D5EBA"/>
    <w:rsid w:val="007D5F8E"/>
    <w:rsid w:val="007D5FC7"/>
    <w:rsid w:val="007D6035"/>
    <w:rsid w:val="007D62AC"/>
    <w:rsid w:val="007D63A0"/>
    <w:rsid w:val="007D6540"/>
    <w:rsid w:val="007D655A"/>
    <w:rsid w:val="007D655D"/>
    <w:rsid w:val="007D6743"/>
    <w:rsid w:val="007D67AF"/>
    <w:rsid w:val="007D68C6"/>
    <w:rsid w:val="007D68D7"/>
    <w:rsid w:val="007D6973"/>
    <w:rsid w:val="007D69A9"/>
    <w:rsid w:val="007D69B4"/>
    <w:rsid w:val="007D6A14"/>
    <w:rsid w:val="007D6C3D"/>
    <w:rsid w:val="007D6D90"/>
    <w:rsid w:val="007D6DA8"/>
    <w:rsid w:val="007D6DEC"/>
    <w:rsid w:val="007D6DF5"/>
    <w:rsid w:val="007D6E3E"/>
    <w:rsid w:val="007D6E47"/>
    <w:rsid w:val="007D6EE9"/>
    <w:rsid w:val="007D6FB2"/>
    <w:rsid w:val="007D70A0"/>
    <w:rsid w:val="007D70B9"/>
    <w:rsid w:val="007D71CD"/>
    <w:rsid w:val="007D72D6"/>
    <w:rsid w:val="007D72E2"/>
    <w:rsid w:val="007D73E4"/>
    <w:rsid w:val="007D743F"/>
    <w:rsid w:val="007D7662"/>
    <w:rsid w:val="007D769A"/>
    <w:rsid w:val="007D78C0"/>
    <w:rsid w:val="007D792B"/>
    <w:rsid w:val="007D792C"/>
    <w:rsid w:val="007D798B"/>
    <w:rsid w:val="007D7A37"/>
    <w:rsid w:val="007D7B3F"/>
    <w:rsid w:val="007D7C04"/>
    <w:rsid w:val="007D7C8B"/>
    <w:rsid w:val="007D7CD0"/>
    <w:rsid w:val="007D7D24"/>
    <w:rsid w:val="007D7F65"/>
    <w:rsid w:val="007E002D"/>
    <w:rsid w:val="007E006B"/>
    <w:rsid w:val="007E00E4"/>
    <w:rsid w:val="007E0254"/>
    <w:rsid w:val="007E026A"/>
    <w:rsid w:val="007E0291"/>
    <w:rsid w:val="007E029C"/>
    <w:rsid w:val="007E02FB"/>
    <w:rsid w:val="007E0393"/>
    <w:rsid w:val="007E03D3"/>
    <w:rsid w:val="007E0449"/>
    <w:rsid w:val="007E04CF"/>
    <w:rsid w:val="007E052F"/>
    <w:rsid w:val="007E06A9"/>
    <w:rsid w:val="007E06CD"/>
    <w:rsid w:val="007E06DA"/>
    <w:rsid w:val="007E079F"/>
    <w:rsid w:val="007E08B4"/>
    <w:rsid w:val="007E0B04"/>
    <w:rsid w:val="007E0B59"/>
    <w:rsid w:val="007E0C78"/>
    <w:rsid w:val="007E0C90"/>
    <w:rsid w:val="007E0D32"/>
    <w:rsid w:val="007E0E7E"/>
    <w:rsid w:val="007E0E91"/>
    <w:rsid w:val="007E0F12"/>
    <w:rsid w:val="007E0F9E"/>
    <w:rsid w:val="007E1064"/>
    <w:rsid w:val="007E116C"/>
    <w:rsid w:val="007E129E"/>
    <w:rsid w:val="007E12E4"/>
    <w:rsid w:val="007E13CF"/>
    <w:rsid w:val="007E13E6"/>
    <w:rsid w:val="007E14B8"/>
    <w:rsid w:val="007E14C3"/>
    <w:rsid w:val="007E1879"/>
    <w:rsid w:val="007E18B7"/>
    <w:rsid w:val="007E1AE0"/>
    <w:rsid w:val="007E1C11"/>
    <w:rsid w:val="007E1D01"/>
    <w:rsid w:val="007E1D5E"/>
    <w:rsid w:val="007E1DA5"/>
    <w:rsid w:val="007E1E45"/>
    <w:rsid w:val="007E1F9E"/>
    <w:rsid w:val="007E2030"/>
    <w:rsid w:val="007E214C"/>
    <w:rsid w:val="007E21D3"/>
    <w:rsid w:val="007E21DB"/>
    <w:rsid w:val="007E2313"/>
    <w:rsid w:val="007E241C"/>
    <w:rsid w:val="007E24F1"/>
    <w:rsid w:val="007E259E"/>
    <w:rsid w:val="007E25CE"/>
    <w:rsid w:val="007E275E"/>
    <w:rsid w:val="007E27B8"/>
    <w:rsid w:val="007E28B2"/>
    <w:rsid w:val="007E28C1"/>
    <w:rsid w:val="007E2A20"/>
    <w:rsid w:val="007E2BB8"/>
    <w:rsid w:val="007E2C64"/>
    <w:rsid w:val="007E2CD2"/>
    <w:rsid w:val="007E2DEA"/>
    <w:rsid w:val="007E2E11"/>
    <w:rsid w:val="007E2E76"/>
    <w:rsid w:val="007E2ECA"/>
    <w:rsid w:val="007E323D"/>
    <w:rsid w:val="007E3266"/>
    <w:rsid w:val="007E3296"/>
    <w:rsid w:val="007E3322"/>
    <w:rsid w:val="007E3342"/>
    <w:rsid w:val="007E3471"/>
    <w:rsid w:val="007E3497"/>
    <w:rsid w:val="007E3556"/>
    <w:rsid w:val="007E3585"/>
    <w:rsid w:val="007E3741"/>
    <w:rsid w:val="007E3754"/>
    <w:rsid w:val="007E384F"/>
    <w:rsid w:val="007E38BB"/>
    <w:rsid w:val="007E3950"/>
    <w:rsid w:val="007E3A25"/>
    <w:rsid w:val="007E3A9B"/>
    <w:rsid w:val="007E3D0B"/>
    <w:rsid w:val="007E3E00"/>
    <w:rsid w:val="007E3EA9"/>
    <w:rsid w:val="007E3FC3"/>
    <w:rsid w:val="007E404B"/>
    <w:rsid w:val="007E40AC"/>
    <w:rsid w:val="007E422F"/>
    <w:rsid w:val="007E43FE"/>
    <w:rsid w:val="007E44A5"/>
    <w:rsid w:val="007E45DE"/>
    <w:rsid w:val="007E46D7"/>
    <w:rsid w:val="007E4703"/>
    <w:rsid w:val="007E4785"/>
    <w:rsid w:val="007E4943"/>
    <w:rsid w:val="007E4954"/>
    <w:rsid w:val="007E49E5"/>
    <w:rsid w:val="007E4C33"/>
    <w:rsid w:val="007E4CAE"/>
    <w:rsid w:val="007E4D7B"/>
    <w:rsid w:val="007E4D7F"/>
    <w:rsid w:val="007E506E"/>
    <w:rsid w:val="007E5091"/>
    <w:rsid w:val="007E50E0"/>
    <w:rsid w:val="007E50E7"/>
    <w:rsid w:val="007E50ED"/>
    <w:rsid w:val="007E5336"/>
    <w:rsid w:val="007E5351"/>
    <w:rsid w:val="007E53F9"/>
    <w:rsid w:val="007E54B1"/>
    <w:rsid w:val="007E5507"/>
    <w:rsid w:val="007E551B"/>
    <w:rsid w:val="007E5623"/>
    <w:rsid w:val="007E5654"/>
    <w:rsid w:val="007E568D"/>
    <w:rsid w:val="007E578F"/>
    <w:rsid w:val="007E5809"/>
    <w:rsid w:val="007E5828"/>
    <w:rsid w:val="007E582E"/>
    <w:rsid w:val="007E58B7"/>
    <w:rsid w:val="007E58C1"/>
    <w:rsid w:val="007E597A"/>
    <w:rsid w:val="007E59C9"/>
    <w:rsid w:val="007E5AAA"/>
    <w:rsid w:val="007E5AE8"/>
    <w:rsid w:val="007E5B74"/>
    <w:rsid w:val="007E5BE6"/>
    <w:rsid w:val="007E5BF4"/>
    <w:rsid w:val="007E5C52"/>
    <w:rsid w:val="007E5E70"/>
    <w:rsid w:val="007E5F12"/>
    <w:rsid w:val="007E61E7"/>
    <w:rsid w:val="007E61EB"/>
    <w:rsid w:val="007E624D"/>
    <w:rsid w:val="007E6267"/>
    <w:rsid w:val="007E633D"/>
    <w:rsid w:val="007E63BC"/>
    <w:rsid w:val="007E6415"/>
    <w:rsid w:val="007E65B4"/>
    <w:rsid w:val="007E6602"/>
    <w:rsid w:val="007E67E1"/>
    <w:rsid w:val="007E6880"/>
    <w:rsid w:val="007E68DB"/>
    <w:rsid w:val="007E6A85"/>
    <w:rsid w:val="007E6B37"/>
    <w:rsid w:val="007E6B66"/>
    <w:rsid w:val="007E6BF4"/>
    <w:rsid w:val="007E6BF7"/>
    <w:rsid w:val="007E6CEE"/>
    <w:rsid w:val="007E6D2A"/>
    <w:rsid w:val="007E6E47"/>
    <w:rsid w:val="007E6E99"/>
    <w:rsid w:val="007E6EBE"/>
    <w:rsid w:val="007E6F16"/>
    <w:rsid w:val="007E6F3C"/>
    <w:rsid w:val="007E6FCE"/>
    <w:rsid w:val="007E6FE7"/>
    <w:rsid w:val="007E712A"/>
    <w:rsid w:val="007E7233"/>
    <w:rsid w:val="007E725D"/>
    <w:rsid w:val="007E731A"/>
    <w:rsid w:val="007E7331"/>
    <w:rsid w:val="007E7377"/>
    <w:rsid w:val="007E73BC"/>
    <w:rsid w:val="007E7487"/>
    <w:rsid w:val="007E74DC"/>
    <w:rsid w:val="007E7685"/>
    <w:rsid w:val="007E77FB"/>
    <w:rsid w:val="007E7819"/>
    <w:rsid w:val="007E7860"/>
    <w:rsid w:val="007E7881"/>
    <w:rsid w:val="007E78CD"/>
    <w:rsid w:val="007E7994"/>
    <w:rsid w:val="007E79E0"/>
    <w:rsid w:val="007E7A69"/>
    <w:rsid w:val="007E7B8C"/>
    <w:rsid w:val="007E7BB8"/>
    <w:rsid w:val="007E7BCB"/>
    <w:rsid w:val="007E7CF5"/>
    <w:rsid w:val="007E7D1C"/>
    <w:rsid w:val="007E7DA5"/>
    <w:rsid w:val="007E7DB8"/>
    <w:rsid w:val="007E7E5B"/>
    <w:rsid w:val="007E7E63"/>
    <w:rsid w:val="007E7E8D"/>
    <w:rsid w:val="007E7ECD"/>
    <w:rsid w:val="007F0130"/>
    <w:rsid w:val="007F01E9"/>
    <w:rsid w:val="007F02F7"/>
    <w:rsid w:val="007F0347"/>
    <w:rsid w:val="007F0371"/>
    <w:rsid w:val="007F03DB"/>
    <w:rsid w:val="007F0498"/>
    <w:rsid w:val="007F049F"/>
    <w:rsid w:val="007F04BD"/>
    <w:rsid w:val="007F04E4"/>
    <w:rsid w:val="007F054B"/>
    <w:rsid w:val="007F0581"/>
    <w:rsid w:val="007F05B6"/>
    <w:rsid w:val="007F05F9"/>
    <w:rsid w:val="007F0610"/>
    <w:rsid w:val="007F06E5"/>
    <w:rsid w:val="007F071C"/>
    <w:rsid w:val="007F0743"/>
    <w:rsid w:val="007F0838"/>
    <w:rsid w:val="007F0916"/>
    <w:rsid w:val="007F091C"/>
    <w:rsid w:val="007F0926"/>
    <w:rsid w:val="007F0A22"/>
    <w:rsid w:val="007F0C85"/>
    <w:rsid w:val="007F0D76"/>
    <w:rsid w:val="007F0E34"/>
    <w:rsid w:val="007F0EB7"/>
    <w:rsid w:val="007F0EFB"/>
    <w:rsid w:val="007F1056"/>
    <w:rsid w:val="007F1083"/>
    <w:rsid w:val="007F10DD"/>
    <w:rsid w:val="007F112E"/>
    <w:rsid w:val="007F117D"/>
    <w:rsid w:val="007F11AD"/>
    <w:rsid w:val="007F1290"/>
    <w:rsid w:val="007F12AA"/>
    <w:rsid w:val="007F13CA"/>
    <w:rsid w:val="007F13DD"/>
    <w:rsid w:val="007F14CD"/>
    <w:rsid w:val="007F1581"/>
    <w:rsid w:val="007F158E"/>
    <w:rsid w:val="007F159B"/>
    <w:rsid w:val="007F1759"/>
    <w:rsid w:val="007F1765"/>
    <w:rsid w:val="007F179A"/>
    <w:rsid w:val="007F18A6"/>
    <w:rsid w:val="007F1A0B"/>
    <w:rsid w:val="007F1A14"/>
    <w:rsid w:val="007F1AC0"/>
    <w:rsid w:val="007F1C99"/>
    <w:rsid w:val="007F1CA3"/>
    <w:rsid w:val="007F1D70"/>
    <w:rsid w:val="007F1DDD"/>
    <w:rsid w:val="007F1ECE"/>
    <w:rsid w:val="007F200A"/>
    <w:rsid w:val="007F20CD"/>
    <w:rsid w:val="007F215C"/>
    <w:rsid w:val="007F2274"/>
    <w:rsid w:val="007F22C4"/>
    <w:rsid w:val="007F2421"/>
    <w:rsid w:val="007F2454"/>
    <w:rsid w:val="007F2486"/>
    <w:rsid w:val="007F24CF"/>
    <w:rsid w:val="007F2552"/>
    <w:rsid w:val="007F2652"/>
    <w:rsid w:val="007F26BD"/>
    <w:rsid w:val="007F26CC"/>
    <w:rsid w:val="007F27A8"/>
    <w:rsid w:val="007F2866"/>
    <w:rsid w:val="007F29FD"/>
    <w:rsid w:val="007F2AC1"/>
    <w:rsid w:val="007F2AC6"/>
    <w:rsid w:val="007F2B11"/>
    <w:rsid w:val="007F2BA1"/>
    <w:rsid w:val="007F2CD3"/>
    <w:rsid w:val="007F2CE4"/>
    <w:rsid w:val="007F2D4B"/>
    <w:rsid w:val="007F2E32"/>
    <w:rsid w:val="007F2EBC"/>
    <w:rsid w:val="007F2FBA"/>
    <w:rsid w:val="007F2FCE"/>
    <w:rsid w:val="007F3020"/>
    <w:rsid w:val="007F3045"/>
    <w:rsid w:val="007F3178"/>
    <w:rsid w:val="007F321A"/>
    <w:rsid w:val="007F3283"/>
    <w:rsid w:val="007F33BF"/>
    <w:rsid w:val="007F3505"/>
    <w:rsid w:val="007F35E0"/>
    <w:rsid w:val="007F3631"/>
    <w:rsid w:val="007F3711"/>
    <w:rsid w:val="007F3753"/>
    <w:rsid w:val="007F37BA"/>
    <w:rsid w:val="007F3818"/>
    <w:rsid w:val="007F383A"/>
    <w:rsid w:val="007F3881"/>
    <w:rsid w:val="007F3889"/>
    <w:rsid w:val="007F38B1"/>
    <w:rsid w:val="007F3925"/>
    <w:rsid w:val="007F3930"/>
    <w:rsid w:val="007F3A11"/>
    <w:rsid w:val="007F3B33"/>
    <w:rsid w:val="007F3BA4"/>
    <w:rsid w:val="007F3C1F"/>
    <w:rsid w:val="007F3D13"/>
    <w:rsid w:val="007F3EA7"/>
    <w:rsid w:val="007F3EBB"/>
    <w:rsid w:val="007F3F36"/>
    <w:rsid w:val="007F3F3C"/>
    <w:rsid w:val="007F4009"/>
    <w:rsid w:val="007F4052"/>
    <w:rsid w:val="007F4113"/>
    <w:rsid w:val="007F4148"/>
    <w:rsid w:val="007F417A"/>
    <w:rsid w:val="007F420A"/>
    <w:rsid w:val="007F4280"/>
    <w:rsid w:val="007F429E"/>
    <w:rsid w:val="007F4337"/>
    <w:rsid w:val="007F4377"/>
    <w:rsid w:val="007F43E0"/>
    <w:rsid w:val="007F446A"/>
    <w:rsid w:val="007F449C"/>
    <w:rsid w:val="007F457D"/>
    <w:rsid w:val="007F45EC"/>
    <w:rsid w:val="007F4739"/>
    <w:rsid w:val="007F473F"/>
    <w:rsid w:val="007F4760"/>
    <w:rsid w:val="007F47D5"/>
    <w:rsid w:val="007F4891"/>
    <w:rsid w:val="007F4893"/>
    <w:rsid w:val="007F489F"/>
    <w:rsid w:val="007F49CB"/>
    <w:rsid w:val="007F4A47"/>
    <w:rsid w:val="007F4A48"/>
    <w:rsid w:val="007F4A9D"/>
    <w:rsid w:val="007F4B02"/>
    <w:rsid w:val="007F4B38"/>
    <w:rsid w:val="007F4B41"/>
    <w:rsid w:val="007F4B89"/>
    <w:rsid w:val="007F4D5A"/>
    <w:rsid w:val="007F4D91"/>
    <w:rsid w:val="007F4E0E"/>
    <w:rsid w:val="007F4EA9"/>
    <w:rsid w:val="007F4F28"/>
    <w:rsid w:val="007F4FBA"/>
    <w:rsid w:val="007F4FC9"/>
    <w:rsid w:val="007F518C"/>
    <w:rsid w:val="007F528F"/>
    <w:rsid w:val="007F5363"/>
    <w:rsid w:val="007F53D2"/>
    <w:rsid w:val="007F53E9"/>
    <w:rsid w:val="007F5433"/>
    <w:rsid w:val="007F5499"/>
    <w:rsid w:val="007F54B1"/>
    <w:rsid w:val="007F55FA"/>
    <w:rsid w:val="007F5671"/>
    <w:rsid w:val="007F5735"/>
    <w:rsid w:val="007F5751"/>
    <w:rsid w:val="007F5779"/>
    <w:rsid w:val="007F58EC"/>
    <w:rsid w:val="007F5A2D"/>
    <w:rsid w:val="007F5A8A"/>
    <w:rsid w:val="007F5B76"/>
    <w:rsid w:val="007F5CA5"/>
    <w:rsid w:val="007F5E92"/>
    <w:rsid w:val="007F5EA7"/>
    <w:rsid w:val="007F5EF3"/>
    <w:rsid w:val="007F5FDE"/>
    <w:rsid w:val="007F6109"/>
    <w:rsid w:val="007F6188"/>
    <w:rsid w:val="007F6236"/>
    <w:rsid w:val="007F62BF"/>
    <w:rsid w:val="007F6318"/>
    <w:rsid w:val="007F636F"/>
    <w:rsid w:val="007F63CB"/>
    <w:rsid w:val="007F6402"/>
    <w:rsid w:val="007F64B2"/>
    <w:rsid w:val="007F64D6"/>
    <w:rsid w:val="007F65DD"/>
    <w:rsid w:val="007F6610"/>
    <w:rsid w:val="007F668D"/>
    <w:rsid w:val="007F6690"/>
    <w:rsid w:val="007F669F"/>
    <w:rsid w:val="007F678D"/>
    <w:rsid w:val="007F696C"/>
    <w:rsid w:val="007F6A16"/>
    <w:rsid w:val="007F6AF1"/>
    <w:rsid w:val="007F6B9C"/>
    <w:rsid w:val="007F6CCB"/>
    <w:rsid w:val="007F6E88"/>
    <w:rsid w:val="007F7008"/>
    <w:rsid w:val="007F701B"/>
    <w:rsid w:val="007F7068"/>
    <w:rsid w:val="007F7198"/>
    <w:rsid w:val="007F71C7"/>
    <w:rsid w:val="007F72FD"/>
    <w:rsid w:val="007F7314"/>
    <w:rsid w:val="007F7326"/>
    <w:rsid w:val="007F73A5"/>
    <w:rsid w:val="007F7520"/>
    <w:rsid w:val="007F7554"/>
    <w:rsid w:val="007F75E7"/>
    <w:rsid w:val="007F7633"/>
    <w:rsid w:val="007F766D"/>
    <w:rsid w:val="007F779A"/>
    <w:rsid w:val="007F794B"/>
    <w:rsid w:val="007F79B2"/>
    <w:rsid w:val="007F7AA3"/>
    <w:rsid w:val="007F7ABD"/>
    <w:rsid w:val="007F7C14"/>
    <w:rsid w:val="007F7C37"/>
    <w:rsid w:val="007F7E1D"/>
    <w:rsid w:val="007F7E47"/>
    <w:rsid w:val="00800081"/>
    <w:rsid w:val="0080016D"/>
    <w:rsid w:val="008002C5"/>
    <w:rsid w:val="008002D8"/>
    <w:rsid w:val="008003BE"/>
    <w:rsid w:val="008005A8"/>
    <w:rsid w:val="0080061E"/>
    <w:rsid w:val="0080068C"/>
    <w:rsid w:val="00800752"/>
    <w:rsid w:val="00800795"/>
    <w:rsid w:val="00800936"/>
    <w:rsid w:val="00800B2C"/>
    <w:rsid w:val="00800B7C"/>
    <w:rsid w:val="00800BD9"/>
    <w:rsid w:val="00800CA5"/>
    <w:rsid w:val="00800EF0"/>
    <w:rsid w:val="00800FD8"/>
    <w:rsid w:val="00801029"/>
    <w:rsid w:val="00801035"/>
    <w:rsid w:val="0080111B"/>
    <w:rsid w:val="00801124"/>
    <w:rsid w:val="008011AB"/>
    <w:rsid w:val="0080123C"/>
    <w:rsid w:val="0080129F"/>
    <w:rsid w:val="008012CD"/>
    <w:rsid w:val="0080134E"/>
    <w:rsid w:val="008017A6"/>
    <w:rsid w:val="008017D2"/>
    <w:rsid w:val="008018FD"/>
    <w:rsid w:val="008019B8"/>
    <w:rsid w:val="008019F5"/>
    <w:rsid w:val="00801BA3"/>
    <w:rsid w:val="00801C2D"/>
    <w:rsid w:val="00801E41"/>
    <w:rsid w:val="00801EBB"/>
    <w:rsid w:val="00801EE6"/>
    <w:rsid w:val="00801EFF"/>
    <w:rsid w:val="00801F71"/>
    <w:rsid w:val="00801FCF"/>
    <w:rsid w:val="00802003"/>
    <w:rsid w:val="00802176"/>
    <w:rsid w:val="0080217E"/>
    <w:rsid w:val="008021CA"/>
    <w:rsid w:val="008021E9"/>
    <w:rsid w:val="0080237B"/>
    <w:rsid w:val="008023B0"/>
    <w:rsid w:val="008023BD"/>
    <w:rsid w:val="0080240D"/>
    <w:rsid w:val="00802410"/>
    <w:rsid w:val="008025C5"/>
    <w:rsid w:val="008025FA"/>
    <w:rsid w:val="008026A2"/>
    <w:rsid w:val="0080279E"/>
    <w:rsid w:val="008027B1"/>
    <w:rsid w:val="00802842"/>
    <w:rsid w:val="008028BE"/>
    <w:rsid w:val="008029C2"/>
    <w:rsid w:val="00802B99"/>
    <w:rsid w:val="00802BAB"/>
    <w:rsid w:val="00802C61"/>
    <w:rsid w:val="00802DF8"/>
    <w:rsid w:val="00802E7D"/>
    <w:rsid w:val="00802F18"/>
    <w:rsid w:val="008030D4"/>
    <w:rsid w:val="0080316B"/>
    <w:rsid w:val="00803177"/>
    <w:rsid w:val="00803213"/>
    <w:rsid w:val="008033A0"/>
    <w:rsid w:val="0080345E"/>
    <w:rsid w:val="00803688"/>
    <w:rsid w:val="008036D8"/>
    <w:rsid w:val="00803767"/>
    <w:rsid w:val="008037BA"/>
    <w:rsid w:val="008037EF"/>
    <w:rsid w:val="008039C8"/>
    <w:rsid w:val="00803AB6"/>
    <w:rsid w:val="00803B71"/>
    <w:rsid w:val="00803CB5"/>
    <w:rsid w:val="00803D79"/>
    <w:rsid w:val="00803F40"/>
    <w:rsid w:val="00804016"/>
    <w:rsid w:val="00804054"/>
    <w:rsid w:val="00804112"/>
    <w:rsid w:val="00804191"/>
    <w:rsid w:val="008041CA"/>
    <w:rsid w:val="00804495"/>
    <w:rsid w:val="008044A0"/>
    <w:rsid w:val="00804553"/>
    <w:rsid w:val="008045F7"/>
    <w:rsid w:val="008046D2"/>
    <w:rsid w:val="00804728"/>
    <w:rsid w:val="0080476C"/>
    <w:rsid w:val="00804C84"/>
    <w:rsid w:val="00804CF4"/>
    <w:rsid w:val="00804E9B"/>
    <w:rsid w:val="00804EB0"/>
    <w:rsid w:val="00804F1E"/>
    <w:rsid w:val="00804F5D"/>
    <w:rsid w:val="00804FD2"/>
    <w:rsid w:val="00805193"/>
    <w:rsid w:val="00805288"/>
    <w:rsid w:val="0080532F"/>
    <w:rsid w:val="008053A5"/>
    <w:rsid w:val="0080542C"/>
    <w:rsid w:val="0080547A"/>
    <w:rsid w:val="008054F3"/>
    <w:rsid w:val="0080552A"/>
    <w:rsid w:val="008055E2"/>
    <w:rsid w:val="00805659"/>
    <w:rsid w:val="0080582C"/>
    <w:rsid w:val="00805889"/>
    <w:rsid w:val="00805973"/>
    <w:rsid w:val="00805982"/>
    <w:rsid w:val="0080598F"/>
    <w:rsid w:val="00805BAC"/>
    <w:rsid w:val="00805C24"/>
    <w:rsid w:val="00805CA3"/>
    <w:rsid w:val="00805CFE"/>
    <w:rsid w:val="00805D8E"/>
    <w:rsid w:val="00805E71"/>
    <w:rsid w:val="00805F24"/>
    <w:rsid w:val="00805F89"/>
    <w:rsid w:val="00806050"/>
    <w:rsid w:val="008060C9"/>
    <w:rsid w:val="008060D3"/>
    <w:rsid w:val="008060EA"/>
    <w:rsid w:val="00806119"/>
    <w:rsid w:val="00806225"/>
    <w:rsid w:val="008062F6"/>
    <w:rsid w:val="008064A7"/>
    <w:rsid w:val="008064D7"/>
    <w:rsid w:val="0080652B"/>
    <w:rsid w:val="00806539"/>
    <w:rsid w:val="008066EA"/>
    <w:rsid w:val="00806728"/>
    <w:rsid w:val="00806826"/>
    <w:rsid w:val="008068B5"/>
    <w:rsid w:val="008069B4"/>
    <w:rsid w:val="00806B77"/>
    <w:rsid w:val="00806E4E"/>
    <w:rsid w:val="00806FD3"/>
    <w:rsid w:val="00807163"/>
    <w:rsid w:val="0080720B"/>
    <w:rsid w:val="008072A8"/>
    <w:rsid w:val="008072F6"/>
    <w:rsid w:val="0080742E"/>
    <w:rsid w:val="0080743D"/>
    <w:rsid w:val="008075E3"/>
    <w:rsid w:val="008075EB"/>
    <w:rsid w:val="00807689"/>
    <w:rsid w:val="00807708"/>
    <w:rsid w:val="008077B7"/>
    <w:rsid w:val="008077D5"/>
    <w:rsid w:val="008078CD"/>
    <w:rsid w:val="008078EE"/>
    <w:rsid w:val="00807A4F"/>
    <w:rsid w:val="00807A6E"/>
    <w:rsid w:val="00807A82"/>
    <w:rsid w:val="00807AEC"/>
    <w:rsid w:val="00807B1F"/>
    <w:rsid w:val="00807B4A"/>
    <w:rsid w:val="00807BB6"/>
    <w:rsid w:val="00807CDF"/>
    <w:rsid w:val="00807D05"/>
    <w:rsid w:val="00807D10"/>
    <w:rsid w:val="00807DD5"/>
    <w:rsid w:val="00807DE2"/>
    <w:rsid w:val="00807F79"/>
    <w:rsid w:val="00810014"/>
    <w:rsid w:val="00810052"/>
    <w:rsid w:val="008100C3"/>
    <w:rsid w:val="00810170"/>
    <w:rsid w:val="00810210"/>
    <w:rsid w:val="008103AE"/>
    <w:rsid w:val="00810414"/>
    <w:rsid w:val="00810417"/>
    <w:rsid w:val="00810439"/>
    <w:rsid w:val="00810470"/>
    <w:rsid w:val="0081068F"/>
    <w:rsid w:val="008106BD"/>
    <w:rsid w:val="008106D2"/>
    <w:rsid w:val="008106FC"/>
    <w:rsid w:val="0081088A"/>
    <w:rsid w:val="00810BA3"/>
    <w:rsid w:val="00810CAC"/>
    <w:rsid w:val="00810CF4"/>
    <w:rsid w:val="00810D10"/>
    <w:rsid w:val="00810D3A"/>
    <w:rsid w:val="00810D80"/>
    <w:rsid w:val="00810E4A"/>
    <w:rsid w:val="00810FA5"/>
    <w:rsid w:val="008110BE"/>
    <w:rsid w:val="0081112F"/>
    <w:rsid w:val="008111B6"/>
    <w:rsid w:val="008111BE"/>
    <w:rsid w:val="0081128B"/>
    <w:rsid w:val="00811293"/>
    <w:rsid w:val="008112B0"/>
    <w:rsid w:val="008112FD"/>
    <w:rsid w:val="00811428"/>
    <w:rsid w:val="008114F0"/>
    <w:rsid w:val="0081150D"/>
    <w:rsid w:val="00811698"/>
    <w:rsid w:val="008116BC"/>
    <w:rsid w:val="008116E9"/>
    <w:rsid w:val="0081176B"/>
    <w:rsid w:val="0081185D"/>
    <w:rsid w:val="008118D5"/>
    <w:rsid w:val="008118DF"/>
    <w:rsid w:val="00811968"/>
    <w:rsid w:val="00811B18"/>
    <w:rsid w:val="00811B1B"/>
    <w:rsid w:val="00811B3E"/>
    <w:rsid w:val="00811B99"/>
    <w:rsid w:val="00811C0A"/>
    <w:rsid w:val="00811DEA"/>
    <w:rsid w:val="00811E16"/>
    <w:rsid w:val="00811F6D"/>
    <w:rsid w:val="008120E5"/>
    <w:rsid w:val="008120F5"/>
    <w:rsid w:val="00812198"/>
    <w:rsid w:val="0081235A"/>
    <w:rsid w:val="008123A4"/>
    <w:rsid w:val="008123ED"/>
    <w:rsid w:val="00812505"/>
    <w:rsid w:val="0081250D"/>
    <w:rsid w:val="0081259C"/>
    <w:rsid w:val="008125F2"/>
    <w:rsid w:val="0081264A"/>
    <w:rsid w:val="00812717"/>
    <w:rsid w:val="00812730"/>
    <w:rsid w:val="00812777"/>
    <w:rsid w:val="00812A85"/>
    <w:rsid w:val="00812BF5"/>
    <w:rsid w:val="00812C27"/>
    <w:rsid w:val="00812CA2"/>
    <w:rsid w:val="00812D2A"/>
    <w:rsid w:val="00812D51"/>
    <w:rsid w:val="00812D6B"/>
    <w:rsid w:val="00812D93"/>
    <w:rsid w:val="00812D9F"/>
    <w:rsid w:val="00812E0E"/>
    <w:rsid w:val="00812FA8"/>
    <w:rsid w:val="00813358"/>
    <w:rsid w:val="008133EF"/>
    <w:rsid w:val="008133F1"/>
    <w:rsid w:val="0081341C"/>
    <w:rsid w:val="00813588"/>
    <w:rsid w:val="00813667"/>
    <w:rsid w:val="00813736"/>
    <w:rsid w:val="0081384F"/>
    <w:rsid w:val="0081387A"/>
    <w:rsid w:val="00813A14"/>
    <w:rsid w:val="00813A64"/>
    <w:rsid w:val="00813B20"/>
    <w:rsid w:val="00813B2E"/>
    <w:rsid w:val="00813BB1"/>
    <w:rsid w:val="00813CBE"/>
    <w:rsid w:val="00813CCD"/>
    <w:rsid w:val="00813E35"/>
    <w:rsid w:val="00813EAC"/>
    <w:rsid w:val="00813ED3"/>
    <w:rsid w:val="00813F27"/>
    <w:rsid w:val="00813FC8"/>
    <w:rsid w:val="0081413A"/>
    <w:rsid w:val="00814261"/>
    <w:rsid w:val="00814398"/>
    <w:rsid w:val="00814403"/>
    <w:rsid w:val="0081446F"/>
    <w:rsid w:val="00814487"/>
    <w:rsid w:val="00814560"/>
    <w:rsid w:val="008146DB"/>
    <w:rsid w:val="0081472C"/>
    <w:rsid w:val="0081478A"/>
    <w:rsid w:val="008148AC"/>
    <w:rsid w:val="008148B1"/>
    <w:rsid w:val="00814949"/>
    <w:rsid w:val="0081494F"/>
    <w:rsid w:val="00814A9F"/>
    <w:rsid w:val="00814ADD"/>
    <w:rsid w:val="00814AEE"/>
    <w:rsid w:val="00814C41"/>
    <w:rsid w:val="00814D39"/>
    <w:rsid w:val="00814DC7"/>
    <w:rsid w:val="00814DD5"/>
    <w:rsid w:val="00814E03"/>
    <w:rsid w:val="00814E41"/>
    <w:rsid w:val="00814E47"/>
    <w:rsid w:val="00814E6C"/>
    <w:rsid w:val="00814EB9"/>
    <w:rsid w:val="008150C8"/>
    <w:rsid w:val="008151BC"/>
    <w:rsid w:val="008151D4"/>
    <w:rsid w:val="008154DD"/>
    <w:rsid w:val="00815556"/>
    <w:rsid w:val="00815697"/>
    <w:rsid w:val="008156E0"/>
    <w:rsid w:val="00815733"/>
    <w:rsid w:val="008157D0"/>
    <w:rsid w:val="00815887"/>
    <w:rsid w:val="00815929"/>
    <w:rsid w:val="008159A0"/>
    <w:rsid w:val="008159B8"/>
    <w:rsid w:val="00815AEB"/>
    <w:rsid w:val="00815B53"/>
    <w:rsid w:val="00815B8C"/>
    <w:rsid w:val="00815B96"/>
    <w:rsid w:val="00815BE4"/>
    <w:rsid w:val="00815E98"/>
    <w:rsid w:val="00815EBB"/>
    <w:rsid w:val="00815FA2"/>
    <w:rsid w:val="00815FD0"/>
    <w:rsid w:val="0081603D"/>
    <w:rsid w:val="00816067"/>
    <w:rsid w:val="00816139"/>
    <w:rsid w:val="008163BD"/>
    <w:rsid w:val="00816415"/>
    <w:rsid w:val="00816492"/>
    <w:rsid w:val="008164B1"/>
    <w:rsid w:val="008164F7"/>
    <w:rsid w:val="00816546"/>
    <w:rsid w:val="008167CF"/>
    <w:rsid w:val="0081686C"/>
    <w:rsid w:val="008168FE"/>
    <w:rsid w:val="00816B13"/>
    <w:rsid w:val="00816BBD"/>
    <w:rsid w:val="00816C1D"/>
    <w:rsid w:val="00816E7F"/>
    <w:rsid w:val="00816F6E"/>
    <w:rsid w:val="00816F96"/>
    <w:rsid w:val="00816F9B"/>
    <w:rsid w:val="00816FC5"/>
    <w:rsid w:val="0081702D"/>
    <w:rsid w:val="0081702E"/>
    <w:rsid w:val="00817077"/>
    <w:rsid w:val="008170DE"/>
    <w:rsid w:val="008171F4"/>
    <w:rsid w:val="00817229"/>
    <w:rsid w:val="008174A3"/>
    <w:rsid w:val="00817554"/>
    <w:rsid w:val="0081755B"/>
    <w:rsid w:val="008175C6"/>
    <w:rsid w:val="008176CA"/>
    <w:rsid w:val="008176F6"/>
    <w:rsid w:val="00817862"/>
    <w:rsid w:val="00817923"/>
    <w:rsid w:val="0081795D"/>
    <w:rsid w:val="00817984"/>
    <w:rsid w:val="008179B9"/>
    <w:rsid w:val="00817B89"/>
    <w:rsid w:val="00817CEA"/>
    <w:rsid w:val="00817CF5"/>
    <w:rsid w:val="00817E6D"/>
    <w:rsid w:val="00817E6E"/>
    <w:rsid w:val="00817E7D"/>
    <w:rsid w:val="00817F33"/>
    <w:rsid w:val="00820022"/>
    <w:rsid w:val="00820032"/>
    <w:rsid w:val="0082014C"/>
    <w:rsid w:val="00820290"/>
    <w:rsid w:val="00820311"/>
    <w:rsid w:val="00820379"/>
    <w:rsid w:val="00820395"/>
    <w:rsid w:val="0082066E"/>
    <w:rsid w:val="008207BB"/>
    <w:rsid w:val="00820819"/>
    <w:rsid w:val="0082087F"/>
    <w:rsid w:val="00820953"/>
    <w:rsid w:val="008209DE"/>
    <w:rsid w:val="00820A34"/>
    <w:rsid w:val="00820A82"/>
    <w:rsid w:val="00820A8A"/>
    <w:rsid w:val="00820CA6"/>
    <w:rsid w:val="00820CE0"/>
    <w:rsid w:val="00820DB1"/>
    <w:rsid w:val="00820E0A"/>
    <w:rsid w:val="00820F38"/>
    <w:rsid w:val="00820F9B"/>
    <w:rsid w:val="00821075"/>
    <w:rsid w:val="008210B2"/>
    <w:rsid w:val="008210F9"/>
    <w:rsid w:val="00821350"/>
    <w:rsid w:val="00821460"/>
    <w:rsid w:val="00821461"/>
    <w:rsid w:val="0082157A"/>
    <w:rsid w:val="008216BE"/>
    <w:rsid w:val="0082182F"/>
    <w:rsid w:val="00821A21"/>
    <w:rsid w:val="00821BEE"/>
    <w:rsid w:val="00821BEF"/>
    <w:rsid w:val="00821D33"/>
    <w:rsid w:val="00821D4A"/>
    <w:rsid w:val="00821F3A"/>
    <w:rsid w:val="00821F6D"/>
    <w:rsid w:val="00821F7A"/>
    <w:rsid w:val="00821FCD"/>
    <w:rsid w:val="0082203F"/>
    <w:rsid w:val="00822181"/>
    <w:rsid w:val="0082225A"/>
    <w:rsid w:val="0082231E"/>
    <w:rsid w:val="00822348"/>
    <w:rsid w:val="00822363"/>
    <w:rsid w:val="00822535"/>
    <w:rsid w:val="00822609"/>
    <w:rsid w:val="0082264D"/>
    <w:rsid w:val="0082265A"/>
    <w:rsid w:val="0082270F"/>
    <w:rsid w:val="0082275E"/>
    <w:rsid w:val="008228E5"/>
    <w:rsid w:val="008229D7"/>
    <w:rsid w:val="00822AFE"/>
    <w:rsid w:val="00822CCE"/>
    <w:rsid w:val="00822D7C"/>
    <w:rsid w:val="00822ECC"/>
    <w:rsid w:val="00822FF4"/>
    <w:rsid w:val="00823447"/>
    <w:rsid w:val="00823478"/>
    <w:rsid w:val="00823689"/>
    <w:rsid w:val="0082386E"/>
    <w:rsid w:val="0082389E"/>
    <w:rsid w:val="00823A87"/>
    <w:rsid w:val="00823B3B"/>
    <w:rsid w:val="00823B51"/>
    <w:rsid w:val="00823BCB"/>
    <w:rsid w:val="00823D54"/>
    <w:rsid w:val="00823DBB"/>
    <w:rsid w:val="00823DE0"/>
    <w:rsid w:val="00823DF2"/>
    <w:rsid w:val="00823E4E"/>
    <w:rsid w:val="008241AF"/>
    <w:rsid w:val="0082421A"/>
    <w:rsid w:val="00824250"/>
    <w:rsid w:val="00824296"/>
    <w:rsid w:val="00824386"/>
    <w:rsid w:val="0082456C"/>
    <w:rsid w:val="008245B0"/>
    <w:rsid w:val="008245B9"/>
    <w:rsid w:val="008246D4"/>
    <w:rsid w:val="00824760"/>
    <w:rsid w:val="00824763"/>
    <w:rsid w:val="00824781"/>
    <w:rsid w:val="0082494A"/>
    <w:rsid w:val="00824970"/>
    <w:rsid w:val="00824A6C"/>
    <w:rsid w:val="00824B58"/>
    <w:rsid w:val="00824CE7"/>
    <w:rsid w:val="00824D12"/>
    <w:rsid w:val="00824D36"/>
    <w:rsid w:val="00824D5E"/>
    <w:rsid w:val="00824E19"/>
    <w:rsid w:val="00824E5B"/>
    <w:rsid w:val="00824F9C"/>
    <w:rsid w:val="008250AE"/>
    <w:rsid w:val="008250DD"/>
    <w:rsid w:val="008252EE"/>
    <w:rsid w:val="00825314"/>
    <w:rsid w:val="008253EF"/>
    <w:rsid w:val="00825412"/>
    <w:rsid w:val="008254BB"/>
    <w:rsid w:val="008255A9"/>
    <w:rsid w:val="008255CF"/>
    <w:rsid w:val="00825699"/>
    <w:rsid w:val="008256A1"/>
    <w:rsid w:val="0082572C"/>
    <w:rsid w:val="008258A2"/>
    <w:rsid w:val="0082595E"/>
    <w:rsid w:val="008259BF"/>
    <w:rsid w:val="00825B29"/>
    <w:rsid w:val="00825CD3"/>
    <w:rsid w:val="00825CDB"/>
    <w:rsid w:val="00825CE1"/>
    <w:rsid w:val="00825D32"/>
    <w:rsid w:val="00825E06"/>
    <w:rsid w:val="00825E25"/>
    <w:rsid w:val="00825E86"/>
    <w:rsid w:val="00825EAB"/>
    <w:rsid w:val="00825EBF"/>
    <w:rsid w:val="00825F6C"/>
    <w:rsid w:val="00825F71"/>
    <w:rsid w:val="00826135"/>
    <w:rsid w:val="0082623F"/>
    <w:rsid w:val="00826294"/>
    <w:rsid w:val="008262B9"/>
    <w:rsid w:val="00826314"/>
    <w:rsid w:val="00826362"/>
    <w:rsid w:val="00826452"/>
    <w:rsid w:val="00826471"/>
    <w:rsid w:val="00826536"/>
    <w:rsid w:val="008265B2"/>
    <w:rsid w:val="00826675"/>
    <w:rsid w:val="00826716"/>
    <w:rsid w:val="00826741"/>
    <w:rsid w:val="00826893"/>
    <w:rsid w:val="0082689F"/>
    <w:rsid w:val="00826985"/>
    <w:rsid w:val="008269D9"/>
    <w:rsid w:val="008269EA"/>
    <w:rsid w:val="00826A14"/>
    <w:rsid w:val="00826A2B"/>
    <w:rsid w:val="00826A3E"/>
    <w:rsid w:val="00826B08"/>
    <w:rsid w:val="00826C56"/>
    <w:rsid w:val="00826C8D"/>
    <w:rsid w:val="00826C98"/>
    <w:rsid w:val="00826CA0"/>
    <w:rsid w:val="00826E19"/>
    <w:rsid w:val="00826FDD"/>
    <w:rsid w:val="008270E5"/>
    <w:rsid w:val="0082716B"/>
    <w:rsid w:val="00827197"/>
    <w:rsid w:val="00827213"/>
    <w:rsid w:val="008272E9"/>
    <w:rsid w:val="00827394"/>
    <w:rsid w:val="0082739F"/>
    <w:rsid w:val="0082742A"/>
    <w:rsid w:val="00827432"/>
    <w:rsid w:val="008274C8"/>
    <w:rsid w:val="008275D0"/>
    <w:rsid w:val="00827665"/>
    <w:rsid w:val="00827725"/>
    <w:rsid w:val="00827935"/>
    <w:rsid w:val="008279B0"/>
    <w:rsid w:val="00827A4A"/>
    <w:rsid w:val="00827C04"/>
    <w:rsid w:val="00827C1E"/>
    <w:rsid w:val="00827CD0"/>
    <w:rsid w:val="00827FAF"/>
    <w:rsid w:val="00830048"/>
    <w:rsid w:val="008300B8"/>
    <w:rsid w:val="00830266"/>
    <w:rsid w:val="0083038C"/>
    <w:rsid w:val="00830476"/>
    <w:rsid w:val="0083054E"/>
    <w:rsid w:val="00830579"/>
    <w:rsid w:val="0083059F"/>
    <w:rsid w:val="008306BD"/>
    <w:rsid w:val="008306BE"/>
    <w:rsid w:val="008306D7"/>
    <w:rsid w:val="008306DE"/>
    <w:rsid w:val="008307DB"/>
    <w:rsid w:val="0083097E"/>
    <w:rsid w:val="00830A40"/>
    <w:rsid w:val="00830BB3"/>
    <w:rsid w:val="00830BCD"/>
    <w:rsid w:val="00830D32"/>
    <w:rsid w:val="00830E8D"/>
    <w:rsid w:val="00830F73"/>
    <w:rsid w:val="00831029"/>
    <w:rsid w:val="0083121B"/>
    <w:rsid w:val="008312C1"/>
    <w:rsid w:val="008312F1"/>
    <w:rsid w:val="0083146E"/>
    <w:rsid w:val="00831606"/>
    <w:rsid w:val="008316AD"/>
    <w:rsid w:val="0083175C"/>
    <w:rsid w:val="008317D2"/>
    <w:rsid w:val="00831805"/>
    <w:rsid w:val="0083191F"/>
    <w:rsid w:val="00831958"/>
    <w:rsid w:val="0083196B"/>
    <w:rsid w:val="008319BB"/>
    <w:rsid w:val="00831A16"/>
    <w:rsid w:val="00831A89"/>
    <w:rsid w:val="00831AB7"/>
    <w:rsid w:val="00831D63"/>
    <w:rsid w:val="00831D80"/>
    <w:rsid w:val="00831DD5"/>
    <w:rsid w:val="00831F57"/>
    <w:rsid w:val="00831F6E"/>
    <w:rsid w:val="008320E0"/>
    <w:rsid w:val="00832125"/>
    <w:rsid w:val="00832177"/>
    <w:rsid w:val="008322A1"/>
    <w:rsid w:val="00832409"/>
    <w:rsid w:val="0083244F"/>
    <w:rsid w:val="008324B3"/>
    <w:rsid w:val="00832616"/>
    <w:rsid w:val="00832689"/>
    <w:rsid w:val="00832834"/>
    <w:rsid w:val="00832884"/>
    <w:rsid w:val="008329DB"/>
    <w:rsid w:val="00832A5C"/>
    <w:rsid w:val="00832AA0"/>
    <w:rsid w:val="00832BBE"/>
    <w:rsid w:val="00832C23"/>
    <w:rsid w:val="00832C4E"/>
    <w:rsid w:val="00832D90"/>
    <w:rsid w:val="00832DED"/>
    <w:rsid w:val="00832E4D"/>
    <w:rsid w:val="00833165"/>
    <w:rsid w:val="008332EB"/>
    <w:rsid w:val="0083331A"/>
    <w:rsid w:val="0083331C"/>
    <w:rsid w:val="008333C5"/>
    <w:rsid w:val="008333EA"/>
    <w:rsid w:val="0083341E"/>
    <w:rsid w:val="008334B0"/>
    <w:rsid w:val="00833546"/>
    <w:rsid w:val="00833714"/>
    <w:rsid w:val="00833727"/>
    <w:rsid w:val="00833796"/>
    <w:rsid w:val="008337C0"/>
    <w:rsid w:val="0083389A"/>
    <w:rsid w:val="008338F1"/>
    <w:rsid w:val="00833909"/>
    <w:rsid w:val="00833968"/>
    <w:rsid w:val="00833A4C"/>
    <w:rsid w:val="00833BEB"/>
    <w:rsid w:val="00833C4E"/>
    <w:rsid w:val="00833D3D"/>
    <w:rsid w:val="00833E20"/>
    <w:rsid w:val="00834001"/>
    <w:rsid w:val="00834009"/>
    <w:rsid w:val="00834119"/>
    <w:rsid w:val="00834283"/>
    <w:rsid w:val="008342C9"/>
    <w:rsid w:val="00834318"/>
    <w:rsid w:val="008343A2"/>
    <w:rsid w:val="008343F7"/>
    <w:rsid w:val="008345F0"/>
    <w:rsid w:val="00834626"/>
    <w:rsid w:val="008346B7"/>
    <w:rsid w:val="00834728"/>
    <w:rsid w:val="0083476D"/>
    <w:rsid w:val="008347FF"/>
    <w:rsid w:val="00834823"/>
    <w:rsid w:val="0083482D"/>
    <w:rsid w:val="00834896"/>
    <w:rsid w:val="008349AF"/>
    <w:rsid w:val="00834B9C"/>
    <w:rsid w:val="00834C91"/>
    <w:rsid w:val="00834CD8"/>
    <w:rsid w:val="00834CF5"/>
    <w:rsid w:val="00834D56"/>
    <w:rsid w:val="00834D69"/>
    <w:rsid w:val="00834E9E"/>
    <w:rsid w:val="00834EA4"/>
    <w:rsid w:val="00834F46"/>
    <w:rsid w:val="00834F66"/>
    <w:rsid w:val="00834F7F"/>
    <w:rsid w:val="00834FA0"/>
    <w:rsid w:val="00835053"/>
    <w:rsid w:val="0083507B"/>
    <w:rsid w:val="00835236"/>
    <w:rsid w:val="008352A9"/>
    <w:rsid w:val="00835390"/>
    <w:rsid w:val="00835393"/>
    <w:rsid w:val="008353F7"/>
    <w:rsid w:val="008354C1"/>
    <w:rsid w:val="008355F4"/>
    <w:rsid w:val="00835700"/>
    <w:rsid w:val="0083571A"/>
    <w:rsid w:val="0083577F"/>
    <w:rsid w:val="00835952"/>
    <w:rsid w:val="00835C04"/>
    <w:rsid w:val="00835CD2"/>
    <w:rsid w:val="00835E2F"/>
    <w:rsid w:val="00835F59"/>
    <w:rsid w:val="00835F79"/>
    <w:rsid w:val="00836047"/>
    <w:rsid w:val="0083605A"/>
    <w:rsid w:val="0083607B"/>
    <w:rsid w:val="00836096"/>
    <w:rsid w:val="008360AF"/>
    <w:rsid w:val="008360B2"/>
    <w:rsid w:val="008360BE"/>
    <w:rsid w:val="008360FD"/>
    <w:rsid w:val="00836167"/>
    <w:rsid w:val="008362CC"/>
    <w:rsid w:val="0083645E"/>
    <w:rsid w:val="0083655B"/>
    <w:rsid w:val="00836595"/>
    <w:rsid w:val="008365A4"/>
    <w:rsid w:val="00836615"/>
    <w:rsid w:val="00836674"/>
    <w:rsid w:val="008366C7"/>
    <w:rsid w:val="00836720"/>
    <w:rsid w:val="0083675E"/>
    <w:rsid w:val="00836761"/>
    <w:rsid w:val="0083676B"/>
    <w:rsid w:val="008369E0"/>
    <w:rsid w:val="008369E5"/>
    <w:rsid w:val="00836AF6"/>
    <w:rsid w:val="00836B1C"/>
    <w:rsid w:val="00836C1A"/>
    <w:rsid w:val="00836C67"/>
    <w:rsid w:val="00836CC6"/>
    <w:rsid w:val="00836D01"/>
    <w:rsid w:val="00836DFD"/>
    <w:rsid w:val="00836E0E"/>
    <w:rsid w:val="00836E69"/>
    <w:rsid w:val="00836F65"/>
    <w:rsid w:val="008370BC"/>
    <w:rsid w:val="00837119"/>
    <w:rsid w:val="0083744D"/>
    <w:rsid w:val="0083748E"/>
    <w:rsid w:val="00837559"/>
    <w:rsid w:val="0083757F"/>
    <w:rsid w:val="0083767B"/>
    <w:rsid w:val="00837694"/>
    <w:rsid w:val="00837742"/>
    <w:rsid w:val="00837760"/>
    <w:rsid w:val="0083786F"/>
    <w:rsid w:val="00837881"/>
    <w:rsid w:val="008378BA"/>
    <w:rsid w:val="008378E5"/>
    <w:rsid w:val="0083795C"/>
    <w:rsid w:val="00837A7B"/>
    <w:rsid w:val="00837B72"/>
    <w:rsid w:val="00837BCC"/>
    <w:rsid w:val="00837C76"/>
    <w:rsid w:val="00837D22"/>
    <w:rsid w:val="00837D2F"/>
    <w:rsid w:val="00837D31"/>
    <w:rsid w:val="00837E06"/>
    <w:rsid w:val="00837E91"/>
    <w:rsid w:val="00837EE7"/>
    <w:rsid w:val="00837F30"/>
    <w:rsid w:val="00840355"/>
    <w:rsid w:val="00840412"/>
    <w:rsid w:val="008404C1"/>
    <w:rsid w:val="0084052D"/>
    <w:rsid w:val="008405BB"/>
    <w:rsid w:val="008407C8"/>
    <w:rsid w:val="00840802"/>
    <w:rsid w:val="00840921"/>
    <w:rsid w:val="00840B02"/>
    <w:rsid w:val="00840B08"/>
    <w:rsid w:val="00840B6C"/>
    <w:rsid w:val="00840B95"/>
    <w:rsid w:val="00840BD6"/>
    <w:rsid w:val="00840C18"/>
    <w:rsid w:val="00840C6D"/>
    <w:rsid w:val="00840ECD"/>
    <w:rsid w:val="00840F6A"/>
    <w:rsid w:val="00840FE0"/>
    <w:rsid w:val="00841028"/>
    <w:rsid w:val="0084116E"/>
    <w:rsid w:val="00841250"/>
    <w:rsid w:val="0084128C"/>
    <w:rsid w:val="008413D1"/>
    <w:rsid w:val="00841554"/>
    <w:rsid w:val="00841817"/>
    <w:rsid w:val="0084187E"/>
    <w:rsid w:val="00841AAF"/>
    <w:rsid w:val="00841AEB"/>
    <w:rsid w:val="00841B0B"/>
    <w:rsid w:val="00841BAD"/>
    <w:rsid w:val="00841C01"/>
    <w:rsid w:val="00841C35"/>
    <w:rsid w:val="00841C9F"/>
    <w:rsid w:val="00841CE6"/>
    <w:rsid w:val="00841DFB"/>
    <w:rsid w:val="00841E45"/>
    <w:rsid w:val="00842003"/>
    <w:rsid w:val="00842277"/>
    <w:rsid w:val="008424E4"/>
    <w:rsid w:val="0084250D"/>
    <w:rsid w:val="008425A3"/>
    <w:rsid w:val="00842658"/>
    <w:rsid w:val="00842739"/>
    <w:rsid w:val="00842746"/>
    <w:rsid w:val="008428B0"/>
    <w:rsid w:val="00842A28"/>
    <w:rsid w:val="00842AFF"/>
    <w:rsid w:val="00842CB3"/>
    <w:rsid w:val="00842D64"/>
    <w:rsid w:val="00842D81"/>
    <w:rsid w:val="00842D91"/>
    <w:rsid w:val="00842D9D"/>
    <w:rsid w:val="00842E07"/>
    <w:rsid w:val="00842E7D"/>
    <w:rsid w:val="00843041"/>
    <w:rsid w:val="00843127"/>
    <w:rsid w:val="0084313C"/>
    <w:rsid w:val="008431A7"/>
    <w:rsid w:val="008431BF"/>
    <w:rsid w:val="008431EE"/>
    <w:rsid w:val="00843258"/>
    <w:rsid w:val="0084331B"/>
    <w:rsid w:val="0084334B"/>
    <w:rsid w:val="008433DA"/>
    <w:rsid w:val="008433E4"/>
    <w:rsid w:val="00843409"/>
    <w:rsid w:val="008434C6"/>
    <w:rsid w:val="008434E7"/>
    <w:rsid w:val="00843571"/>
    <w:rsid w:val="00843681"/>
    <w:rsid w:val="008436DB"/>
    <w:rsid w:val="0084382B"/>
    <w:rsid w:val="008438C1"/>
    <w:rsid w:val="008438C9"/>
    <w:rsid w:val="00843913"/>
    <w:rsid w:val="00843976"/>
    <w:rsid w:val="008439F0"/>
    <w:rsid w:val="00843A93"/>
    <w:rsid w:val="00843A99"/>
    <w:rsid w:val="00843B10"/>
    <w:rsid w:val="00843C5D"/>
    <w:rsid w:val="00843C5E"/>
    <w:rsid w:val="00843D1D"/>
    <w:rsid w:val="00843F26"/>
    <w:rsid w:val="00844006"/>
    <w:rsid w:val="008440DD"/>
    <w:rsid w:val="00844231"/>
    <w:rsid w:val="00844248"/>
    <w:rsid w:val="008443F2"/>
    <w:rsid w:val="00844497"/>
    <w:rsid w:val="008444B4"/>
    <w:rsid w:val="00844671"/>
    <w:rsid w:val="008446DE"/>
    <w:rsid w:val="00844839"/>
    <w:rsid w:val="00844A2E"/>
    <w:rsid w:val="00844A96"/>
    <w:rsid w:val="00844AE1"/>
    <w:rsid w:val="00844B02"/>
    <w:rsid w:val="00844B1C"/>
    <w:rsid w:val="00844BD2"/>
    <w:rsid w:val="00844C1A"/>
    <w:rsid w:val="00844DBA"/>
    <w:rsid w:val="00844DD8"/>
    <w:rsid w:val="00844DE9"/>
    <w:rsid w:val="00844E55"/>
    <w:rsid w:val="00844E99"/>
    <w:rsid w:val="00845048"/>
    <w:rsid w:val="0084505A"/>
    <w:rsid w:val="008450AD"/>
    <w:rsid w:val="008450B4"/>
    <w:rsid w:val="0084519B"/>
    <w:rsid w:val="00845224"/>
    <w:rsid w:val="008452EC"/>
    <w:rsid w:val="00845385"/>
    <w:rsid w:val="00845657"/>
    <w:rsid w:val="0084568B"/>
    <w:rsid w:val="00845989"/>
    <w:rsid w:val="008459A7"/>
    <w:rsid w:val="00845A0D"/>
    <w:rsid w:val="00845BDD"/>
    <w:rsid w:val="00845CD1"/>
    <w:rsid w:val="00845D4C"/>
    <w:rsid w:val="00845E82"/>
    <w:rsid w:val="00845F2F"/>
    <w:rsid w:val="00845F65"/>
    <w:rsid w:val="008465D9"/>
    <w:rsid w:val="00846604"/>
    <w:rsid w:val="0084668B"/>
    <w:rsid w:val="008466EE"/>
    <w:rsid w:val="00846922"/>
    <w:rsid w:val="00846923"/>
    <w:rsid w:val="008469BB"/>
    <w:rsid w:val="00846A5F"/>
    <w:rsid w:val="00846B13"/>
    <w:rsid w:val="00846B5A"/>
    <w:rsid w:val="00846B94"/>
    <w:rsid w:val="00846C02"/>
    <w:rsid w:val="00846D6B"/>
    <w:rsid w:val="00846DF3"/>
    <w:rsid w:val="00846E21"/>
    <w:rsid w:val="00846EB2"/>
    <w:rsid w:val="00846F1A"/>
    <w:rsid w:val="00846F1D"/>
    <w:rsid w:val="00847018"/>
    <w:rsid w:val="0084704F"/>
    <w:rsid w:val="008470D3"/>
    <w:rsid w:val="00847162"/>
    <w:rsid w:val="008471DB"/>
    <w:rsid w:val="00847305"/>
    <w:rsid w:val="00847418"/>
    <w:rsid w:val="0084756D"/>
    <w:rsid w:val="008475CC"/>
    <w:rsid w:val="00847842"/>
    <w:rsid w:val="008478DC"/>
    <w:rsid w:val="008478FC"/>
    <w:rsid w:val="0084795A"/>
    <w:rsid w:val="0084796F"/>
    <w:rsid w:val="00847980"/>
    <w:rsid w:val="00847B50"/>
    <w:rsid w:val="00847B77"/>
    <w:rsid w:val="00847B93"/>
    <w:rsid w:val="00847E6B"/>
    <w:rsid w:val="00847FB1"/>
    <w:rsid w:val="00850068"/>
    <w:rsid w:val="00850075"/>
    <w:rsid w:val="00850086"/>
    <w:rsid w:val="008500B1"/>
    <w:rsid w:val="008500CE"/>
    <w:rsid w:val="008500D1"/>
    <w:rsid w:val="008500ED"/>
    <w:rsid w:val="008502C6"/>
    <w:rsid w:val="00850356"/>
    <w:rsid w:val="00850423"/>
    <w:rsid w:val="0085049D"/>
    <w:rsid w:val="008504A4"/>
    <w:rsid w:val="008504C7"/>
    <w:rsid w:val="00850533"/>
    <w:rsid w:val="0085057B"/>
    <w:rsid w:val="008505D7"/>
    <w:rsid w:val="008505E1"/>
    <w:rsid w:val="008505E3"/>
    <w:rsid w:val="00850640"/>
    <w:rsid w:val="0085069D"/>
    <w:rsid w:val="008506DB"/>
    <w:rsid w:val="008507AA"/>
    <w:rsid w:val="008509C5"/>
    <w:rsid w:val="00850A17"/>
    <w:rsid w:val="00850ACB"/>
    <w:rsid w:val="00850BDC"/>
    <w:rsid w:val="00850CA6"/>
    <w:rsid w:val="00850D52"/>
    <w:rsid w:val="00850DC1"/>
    <w:rsid w:val="00850E32"/>
    <w:rsid w:val="00850E34"/>
    <w:rsid w:val="00850E76"/>
    <w:rsid w:val="00850F53"/>
    <w:rsid w:val="00851070"/>
    <w:rsid w:val="008511E3"/>
    <w:rsid w:val="00851285"/>
    <w:rsid w:val="0085129A"/>
    <w:rsid w:val="00851307"/>
    <w:rsid w:val="00851349"/>
    <w:rsid w:val="00851398"/>
    <w:rsid w:val="008513A6"/>
    <w:rsid w:val="008514E4"/>
    <w:rsid w:val="00851524"/>
    <w:rsid w:val="00851879"/>
    <w:rsid w:val="0085187D"/>
    <w:rsid w:val="008518AD"/>
    <w:rsid w:val="0085190D"/>
    <w:rsid w:val="0085197F"/>
    <w:rsid w:val="008519A4"/>
    <w:rsid w:val="008519FF"/>
    <w:rsid w:val="00851B73"/>
    <w:rsid w:val="00851C27"/>
    <w:rsid w:val="00851C4B"/>
    <w:rsid w:val="00851DED"/>
    <w:rsid w:val="00851E17"/>
    <w:rsid w:val="00851E3F"/>
    <w:rsid w:val="00851E58"/>
    <w:rsid w:val="00851EAD"/>
    <w:rsid w:val="00851EC6"/>
    <w:rsid w:val="00851F11"/>
    <w:rsid w:val="0085215A"/>
    <w:rsid w:val="0085219B"/>
    <w:rsid w:val="008522EC"/>
    <w:rsid w:val="0085231C"/>
    <w:rsid w:val="0085257F"/>
    <w:rsid w:val="0085259D"/>
    <w:rsid w:val="008525D9"/>
    <w:rsid w:val="008525EE"/>
    <w:rsid w:val="008525F5"/>
    <w:rsid w:val="00852778"/>
    <w:rsid w:val="008527E6"/>
    <w:rsid w:val="00852962"/>
    <w:rsid w:val="008529ED"/>
    <w:rsid w:val="00852A08"/>
    <w:rsid w:val="00852A1C"/>
    <w:rsid w:val="00852AB7"/>
    <w:rsid w:val="00852C0B"/>
    <w:rsid w:val="00852C27"/>
    <w:rsid w:val="00852E4A"/>
    <w:rsid w:val="00852EE8"/>
    <w:rsid w:val="008530D6"/>
    <w:rsid w:val="008531DE"/>
    <w:rsid w:val="008531F3"/>
    <w:rsid w:val="00853243"/>
    <w:rsid w:val="0085329F"/>
    <w:rsid w:val="0085331B"/>
    <w:rsid w:val="0085352B"/>
    <w:rsid w:val="00853582"/>
    <w:rsid w:val="008535A4"/>
    <w:rsid w:val="00853652"/>
    <w:rsid w:val="008536A2"/>
    <w:rsid w:val="008536A7"/>
    <w:rsid w:val="008536E9"/>
    <w:rsid w:val="0085374B"/>
    <w:rsid w:val="00853A7C"/>
    <w:rsid w:val="00853B38"/>
    <w:rsid w:val="00853BD4"/>
    <w:rsid w:val="00853C6A"/>
    <w:rsid w:val="00853D8B"/>
    <w:rsid w:val="00853DB8"/>
    <w:rsid w:val="00853DD0"/>
    <w:rsid w:val="00853DD1"/>
    <w:rsid w:val="00853E0B"/>
    <w:rsid w:val="00853E4C"/>
    <w:rsid w:val="00853E8F"/>
    <w:rsid w:val="00853F26"/>
    <w:rsid w:val="00853F47"/>
    <w:rsid w:val="008540AB"/>
    <w:rsid w:val="008540D5"/>
    <w:rsid w:val="0085425B"/>
    <w:rsid w:val="00854261"/>
    <w:rsid w:val="00854353"/>
    <w:rsid w:val="008543AE"/>
    <w:rsid w:val="00854490"/>
    <w:rsid w:val="00854495"/>
    <w:rsid w:val="00854522"/>
    <w:rsid w:val="0085463A"/>
    <w:rsid w:val="008547E0"/>
    <w:rsid w:val="008547E9"/>
    <w:rsid w:val="00854860"/>
    <w:rsid w:val="00854875"/>
    <w:rsid w:val="00854899"/>
    <w:rsid w:val="0085495D"/>
    <w:rsid w:val="00854A10"/>
    <w:rsid w:val="00854A3B"/>
    <w:rsid w:val="00854A5A"/>
    <w:rsid w:val="00854A8E"/>
    <w:rsid w:val="00854B11"/>
    <w:rsid w:val="00854B5A"/>
    <w:rsid w:val="00854C1F"/>
    <w:rsid w:val="00854C89"/>
    <w:rsid w:val="00854CD7"/>
    <w:rsid w:val="00854E01"/>
    <w:rsid w:val="00854FC1"/>
    <w:rsid w:val="00855088"/>
    <w:rsid w:val="00855097"/>
    <w:rsid w:val="00855170"/>
    <w:rsid w:val="00855448"/>
    <w:rsid w:val="00855455"/>
    <w:rsid w:val="0085550B"/>
    <w:rsid w:val="00855553"/>
    <w:rsid w:val="0085564A"/>
    <w:rsid w:val="008556B7"/>
    <w:rsid w:val="008557C7"/>
    <w:rsid w:val="008557D9"/>
    <w:rsid w:val="00855855"/>
    <w:rsid w:val="00855900"/>
    <w:rsid w:val="008559A9"/>
    <w:rsid w:val="00855A35"/>
    <w:rsid w:val="00855C32"/>
    <w:rsid w:val="00855DF0"/>
    <w:rsid w:val="00855E7F"/>
    <w:rsid w:val="00855EA7"/>
    <w:rsid w:val="00855EFB"/>
    <w:rsid w:val="008560C7"/>
    <w:rsid w:val="008561BE"/>
    <w:rsid w:val="00856269"/>
    <w:rsid w:val="008562C1"/>
    <w:rsid w:val="00856342"/>
    <w:rsid w:val="0085644F"/>
    <w:rsid w:val="008564AF"/>
    <w:rsid w:val="008565B6"/>
    <w:rsid w:val="0085664E"/>
    <w:rsid w:val="00856770"/>
    <w:rsid w:val="008567B7"/>
    <w:rsid w:val="008568B7"/>
    <w:rsid w:val="00856971"/>
    <w:rsid w:val="00856995"/>
    <w:rsid w:val="00856A3D"/>
    <w:rsid w:val="00856AD4"/>
    <w:rsid w:val="00856B1E"/>
    <w:rsid w:val="00856BD5"/>
    <w:rsid w:val="00856D31"/>
    <w:rsid w:val="00856D98"/>
    <w:rsid w:val="00856E35"/>
    <w:rsid w:val="00856E46"/>
    <w:rsid w:val="00856E77"/>
    <w:rsid w:val="00856EE7"/>
    <w:rsid w:val="0085703D"/>
    <w:rsid w:val="0085707E"/>
    <w:rsid w:val="008570BE"/>
    <w:rsid w:val="008570CA"/>
    <w:rsid w:val="00857153"/>
    <w:rsid w:val="008572B1"/>
    <w:rsid w:val="0085730B"/>
    <w:rsid w:val="008574BA"/>
    <w:rsid w:val="00857594"/>
    <w:rsid w:val="008575FC"/>
    <w:rsid w:val="0085775D"/>
    <w:rsid w:val="00857766"/>
    <w:rsid w:val="008577C1"/>
    <w:rsid w:val="008577D5"/>
    <w:rsid w:val="00857802"/>
    <w:rsid w:val="00857803"/>
    <w:rsid w:val="00857818"/>
    <w:rsid w:val="008578EB"/>
    <w:rsid w:val="0085793E"/>
    <w:rsid w:val="00857AB0"/>
    <w:rsid w:val="00857BF7"/>
    <w:rsid w:val="00857CC5"/>
    <w:rsid w:val="00857CFA"/>
    <w:rsid w:val="00857D3E"/>
    <w:rsid w:val="00857DA1"/>
    <w:rsid w:val="00857FC4"/>
    <w:rsid w:val="00857FF7"/>
    <w:rsid w:val="00860048"/>
    <w:rsid w:val="008600AE"/>
    <w:rsid w:val="008600C0"/>
    <w:rsid w:val="00860112"/>
    <w:rsid w:val="00860222"/>
    <w:rsid w:val="00860233"/>
    <w:rsid w:val="00860234"/>
    <w:rsid w:val="0086028A"/>
    <w:rsid w:val="008602B8"/>
    <w:rsid w:val="00860316"/>
    <w:rsid w:val="008603BE"/>
    <w:rsid w:val="00860551"/>
    <w:rsid w:val="00860601"/>
    <w:rsid w:val="00860790"/>
    <w:rsid w:val="008607A2"/>
    <w:rsid w:val="008608D0"/>
    <w:rsid w:val="0086096B"/>
    <w:rsid w:val="008609AA"/>
    <w:rsid w:val="008609BE"/>
    <w:rsid w:val="008609E9"/>
    <w:rsid w:val="00860A2A"/>
    <w:rsid w:val="00860AE6"/>
    <w:rsid w:val="00860C36"/>
    <w:rsid w:val="00860C6B"/>
    <w:rsid w:val="00860D1B"/>
    <w:rsid w:val="00860D5B"/>
    <w:rsid w:val="00860D9A"/>
    <w:rsid w:val="00860E3F"/>
    <w:rsid w:val="00860EB9"/>
    <w:rsid w:val="00860EE6"/>
    <w:rsid w:val="00860F45"/>
    <w:rsid w:val="00860FEA"/>
    <w:rsid w:val="00861024"/>
    <w:rsid w:val="00861102"/>
    <w:rsid w:val="0086113E"/>
    <w:rsid w:val="008611DF"/>
    <w:rsid w:val="0086120E"/>
    <w:rsid w:val="0086123E"/>
    <w:rsid w:val="008613BF"/>
    <w:rsid w:val="00861451"/>
    <w:rsid w:val="00861563"/>
    <w:rsid w:val="008615A4"/>
    <w:rsid w:val="008616D2"/>
    <w:rsid w:val="008616D5"/>
    <w:rsid w:val="008616F3"/>
    <w:rsid w:val="008617C5"/>
    <w:rsid w:val="0086186C"/>
    <w:rsid w:val="00861A57"/>
    <w:rsid w:val="00861AB8"/>
    <w:rsid w:val="00861C0E"/>
    <w:rsid w:val="00861C4A"/>
    <w:rsid w:val="00861C8B"/>
    <w:rsid w:val="00861F07"/>
    <w:rsid w:val="00861F2B"/>
    <w:rsid w:val="00861F46"/>
    <w:rsid w:val="00861FC0"/>
    <w:rsid w:val="00861FE3"/>
    <w:rsid w:val="0086207C"/>
    <w:rsid w:val="00862095"/>
    <w:rsid w:val="008620E4"/>
    <w:rsid w:val="0086212C"/>
    <w:rsid w:val="0086223C"/>
    <w:rsid w:val="0086226A"/>
    <w:rsid w:val="008622C1"/>
    <w:rsid w:val="008622FC"/>
    <w:rsid w:val="00862396"/>
    <w:rsid w:val="00862417"/>
    <w:rsid w:val="0086248E"/>
    <w:rsid w:val="008625A2"/>
    <w:rsid w:val="00862877"/>
    <w:rsid w:val="008628AD"/>
    <w:rsid w:val="008628F0"/>
    <w:rsid w:val="008629A2"/>
    <w:rsid w:val="008629A7"/>
    <w:rsid w:val="008629C8"/>
    <w:rsid w:val="008629C9"/>
    <w:rsid w:val="008629D7"/>
    <w:rsid w:val="00862A0B"/>
    <w:rsid w:val="00862A6D"/>
    <w:rsid w:val="00862A86"/>
    <w:rsid w:val="00862B1F"/>
    <w:rsid w:val="00862BE6"/>
    <w:rsid w:val="00862DCB"/>
    <w:rsid w:val="00862DFD"/>
    <w:rsid w:val="00862F0B"/>
    <w:rsid w:val="00862F75"/>
    <w:rsid w:val="00863014"/>
    <w:rsid w:val="00863032"/>
    <w:rsid w:val="00863068"/>
    <w:rsid w:val="0086309E"/>
    <w:rsid w:val="008630B4"/>
    <w:rsid w:val="008632E5"/>
    <w:rsid w:val="0086330A"/>
    <w:rsid w:val="008633E1"/>
    <w:rsid w:val="00863409"/>
    <w:rsid w:val="0086343F"/>
    <w:rsid w:val="0086346D"/>
    <w:rsid w:val="008634C9"/>
    <w:rsid w:val="0086350D"/>
    <w:rsid w:val="0086361B"/>
    <w:rsid w:val="0086379D"/>
    <w:rsid w:val="008637C9"/>
    <w:rsid w:val="008637F1"/>
    <w:rsid w:val="00863900"/>
    <w:rsid w:val="00863965"/>
    <w:rsid w:val="00863B0F"/>
    <w:rsid w:val="00863B64"/>
    <w:rsid w:val="00863BB7"/>
    <w:rsid w:val="00863BD7"/>
    <w:rsid w:val="00863C50"/>
    <w:rsid w:val="00863C93"/>
    <w:rsid w:val="00863DA2"/>
    <w:rsid w:val="00863F61"/>
    <w:rsid w:val="00864017"/>
    <w:rsid w:val="0086401F"/>
    <w:rsid w:val="00864034"/>
    <w:rsid w:val="00864549"/>
    <w:rsid w:val="0086455C"/>
    <w:rsid w:val="008645F5"/>
    <w:rsid w:val="0086463F"/>
    <w:rsid w:val="0086464D"/>
    <w:rsid w:val="00864708"/>
    <w:rsid w:val="00864719"/>
    <w:rsid w:val="00864789"/>
    <w:rsid w:val="0086480F"/>
    <w:rsid w:val="00864880"/>
    <w:rsid w:val="008648F0"/>
    <w:rsid w:val="008648FD"/>
    <w:rsid w:val="00864903"/>
    <w:rsid w:val="00864911"/>
    <w:rsid w:val="00864982"/>
    <w:rsid w:val="00864A06"/>
    <w:rsid w:val="00864A74"/>
    <w:rsid w:val="00864B50"/>
    <w:rsid w:val="00864B5E"/>
    <w:rsid w:val="00864B62"/>
    <w:rsid w:val="00864B91"/>
    <w:rsid w:val="00864BB3"/>
    <w:rsid w:val="00864DC5"/>
    <w:rsid w:val="00864DD8"/>
    <w:rsid w:val="00864E0D"/>
    <w:rsid w:val="00864E61"/>
    <w:rsid w:val="00864F21"/>
    <w:rsid w:val="00864F3B"/>
    <w:rsid w:val="00864F88"/>
    <w:rsid w:val="00864FA8"/>
    <w:rsid w:val="00864FAA"/>
    <w:rsid w:val="00864FB8"/>
    <w:rsid w:val="00864FFC"/>
    <w:rsid w:val="0086502E"/>
    <w:rsid w:val="008651D5"/>
    <w:rsid w:val="008651E8"/>
    <w:rsid w:val="0086536B"/>
    <w:rsid w:val="00865426"/>
    <w:rsid w:val="0086546F"/>
    <w:rsid w:val="00865490"/>
    <w:rsid w:val="0086551C"/>
    <w:rsid w:val="0086558F"/>
    <w:rsid w:val="00865598"/>
    <w:rsid w:val="008655FA"/>
    <w:rsid w:val="00865624"/>
    <w:rsid w:val="0086580F"/>
    <w:rsid w:val="0086589A"/>
    <w:rsid w:val="0086589B"/>
    <w:rsid w:val="00865A29"/>
    <w:rsid w:val="00865AF6"/>
    <w:rsid w:val="00865BAE"/>
    <w:rsid w:val="00865C49"/>
    <w:rsid w:val="0086608C"/>
    <w:rsid w:val="008661C8"/>
    <w:rsid w:val="008661D5"/>
    <w:rsid w:val="008661E4"/>
    <w:rsid w:val="00866424"/>
    <w:rsid w:val="008664B8"/>
    <w:rsid w:val="008665BE"/>
    <w:rsid w:val="008665D8"/>
    <w:rsid w:val="00866792"/>
    <w:rsid w:val="0086680A"/>
    <w:rsid w:val="00866812"/>
    <w:rsid w:val="00866A25"/>
    <w:rsid w:val="00866C0C"/>
    <w:rsid w:val="00866C27"/>
    <w:rsid w:val="00866C62"/>
    <w:rsid w:val="00866CDC"/>
    <w:rsid w:val="00866D1B"/>
    <w:rsid w:val="00866DA1"/>
    <w:rsid w:val="00866DFD"/>
    <w:rsid w:val="00866E0D"/>
    <w:rsid w:val="00866ECC"/>
    <w:rsid w:val="00866F72"/>
    <w:rsid w:val="00866FE8"/>
    <w:rsid w:val="0086725B"/>
    <w:rsid w:val="0086726C"/>
    <w:rsid w:val="008672C2"/>
    <w:rsid w:val="0086730E"/>
    <w:rsid w:val="00867338"/>
    <w:rsid w:val="0086741A"/>
    <w:rsid w:val="008674BC"/>
    <w:rsid w:val="008674C3"/>
    <w:rsid w:val="00867515"/>
    <w:rsid w:val="00867570"/>
    <w:rsid w:val="008675B2"/>
    <w:rsid w:val="008675CF"/>
    <w:rsid w:val="00867709"/>
    <w:rsid w:val="0086774C"/>
    <w:rsid w:val="008678FF"/>
    <w:rsid w:val="0086790F"/>
    <w:rsid w:val="00867920"/>
    <w:rsid w:val="00867962"/>
    <w:rsid w:val="00867A47"/>
    <w:rsid w:val="00867AF8"/>
    <w:rsid w:val="00867B27"/>
    <w:rsid w:val="00867C91"/>
    <w:rsid w:val="00867CA9"/>
    <w:rsid w:val="00867F6F"/>
    <w:rsid w:val="00867F9A"/>
    <w:rsid w:val="008701D9"/>
    <w:rsid w:val="008701F6"/>
    <w:rsid w:val="00870281"/>
    <w:rsid w:val="008702AE"/>
    <w:rsid w:val="00870317"/>
    <w:rsid w:val="0087044F"/>
    <w:rsid w:val="00870483"/>
    <w:rsid w:val="00870562"/>
    <w:rsid w:val="008705F9"/>
    <w:rsid w:val="00870606"/>
    <w:rsid w:val="00870825"/>
    <w:rsid w:val="00870905"/>
    <w:rsid w:val="008709DB"/>
    <w:rsid w:val="00870A22"/>
    <w:rsid w:val="00870A79"/>
    <w:rsid w:val="00870AC6"/>
    <w:rsid w:val="00870AD0"/>
    <w:rsid w:val="00870AE3"/>
    <w:rsid w:val="00870AE7"/>
    <w:rsid w:val="00870B28"/>
    <w:rsid w:val="00870D73"/>
    <w:rsid w:val="00870EEB"/>
    <w:rsid w:val="008710CF"/>
    <w:rsid w:val="0087117F"/>
    <w:rsid w:val="0087129F"/>
    <w:rsid w:val="00871338"/>
    <w:rsid w:val="00871426"/>
    <w:rsid w:val="0087150B"/>
    <w:rsid w:val="00871538"/>
    <w:rsid w:val="0087155C"/>
    <w:rsid w:val="008715D8"/>
    <w:rsid w:val="008716C0"/>
    <w:rsid w:val="00871ABA"/>
    <w:rsid w:val="00871C61"/>
    <w:rsid w:val="00871C80"/>
    <w:rsid w:val="00871C83"/>
    <w:rsid w:val="00871D35"/>
    <w:rsid w:val="00871D5D"/>
    <w:rsid w:val="00871E5E"/>
    <w:rsid w:val="008722AE"/>
    <w:rsid w:val="00872358"/>
    <w:rsid w:val="0087239D"/>
    <w:rsid w:val="00872468"/>
    <w:rsid w:val="008725C7"/>
    <w:rsid w:val="00872605"/>
    <w:rsid w:val="0087261A"/>
    <w:rsid w:val="00872655"/>
    <w:rsid w:val="00872696"/>
    <w:rsid w:val="00872739"/>
    <w:rsid w:val="0087279A"/>
    <w:rsid w:val="008727CB"/>
    <w:rsid w:val="00872811"/>
    <w:rsid w:val="00872B45"/>
    <w:rsid w:val="00872B88"/>
    <w:rsid w:val="00872BAE"/>
    <w:rsid w:val="00872BF8"/>
    <w:rsid w:val="00872FA3"/>
    <w:rsid w:val="00873012"/>
    <w:rsid w:val="008730A2"/>
    <w:rsid w:val="00873391"/>
    <w:rsid w:val="008733D5"/>
    <w:rsid w:val="00873401"/>
    <w:rsid w:val="008734D8"/>
    <w:rsid w:val="00873514"/>
    <w:rsid w:val="00873653"/>
    <w:rsid w:val="00873666"/>
    <w:rsid w:val="008736CB"/>
    <w:rsid w:val="008736E8"/>
    <w:rsid w:val="008736F4"/>
    <w:rsid w:val="008738AA"/>
    <w:rsid w:val="008738E3"/>
    <w:rsid w:val="00873AD3"/>
    <w:rsid w:val="00873BC5"/>
    <w:rsid w:val="00873C4C"/>
    <w:rsid w:val="00873CDE"/>
    <w:rsid w:val="00873D16"/>
    <w:rsid w:val="00873D1C"/>
    <w:rsid w:val="00873DF3"/>
    <w:rsid w:val="00873E7C"/>
    <w:rsid w:val="00873E91"/>
    <w:rsid w:val="00873EF4"/>
    <w:rsid w:val="00873FA0"/>
    <w:rsid w:val="008741B1"/>
    <w:rsid w:val="008741B3"/>
    <w:rsid w:val="008743E3"/>
    <w:rsid w:val="0087458D"/>
    <w:rsid w:val="00874691"/>
    <w:rsid w:val="00874730"/>
    <w:rsid w:val="008748CF"/>
    <w:rsid w:val="00874A26"/>
    <w:rsid w:val="00874A3D"/>
    <w:rsid w:val="00874ACB"/>
    <w:rsid w:val="00874AF2"/>
    <w:rsid w:val="00874C12"/>
    <w:rsid w:val="00874C8D"/>
    <w:rsid w:val="00874DDC"/>
    <w:rsid w:val="00874E25"/>
    <w:rsid w:val="00874FB6"/>
    <w:rsid w:val="0087506F"/>
    <w:rsid w:val="008750CE"/>
    <w:rsid w:val="00875157"/>
    <w:rsid w:val="00875429"/>
    <w:rsid w:val="00875476"/>
    <w:rsid w:val="00875529"/>
    <w:rsid w:val="0087554A"/>
    <w:rsid w:val="008756D2"/>
    <w:rsid w:val="00875A02"/>
    <w:rsid w:val="00875A66"/>
    <w:rsid w:val="00875A7F"/>
    <w:rsid w:val="00875B22"/>
    <w:rsid w:val="00875B81"/>
    <w:rsid w:val="00875B87"/>
    <w:rsid w:val="00875B9A"/>
    <w:rsid w:val="00875CA5"/>
    <w:rsid w:val="00875E00"/>
    <w:rsid w:val="00875E63"/>
    <w:rsid w:val="00875E8C"/>
    <w:rsid w:val="00875EF7"/>
    <w:rsid w:val="00875F2D"/>
    <w:rsid w:val="0087604D"/>
    <w:rsid w:val="008760BF"/>
    <w:rsid w:val="008760E2"/>
    <w:rsid w:val="00876248"/>
    <w:rsid w:val="0087627B"/>
    <w:rsid w:val="008763A3"/>
    <w:rsid w:val="008765D2"/>
    <w:rsid w:val="008767D8"/>
    <w:rsid w:val="0087682E"/>
    <w:rsid w:val="00876857"/>
    <w:rsid w:val="00876890"/>
    <w:rsid w:val="008768DE"/>
    <w:rsid w:val="00876A93"/>
    <w:rsid w:val="00876ADC"/>
    <w:rsid w:val="00877042"/>
    <w:rsid w:val="00877060"/>
    <w:rsid w:val="00877149"/>
    <w:rsid w:val="008773AB"/>
    <w:rsid w:val="008773C2"/>
    <w:rsid w:val="008774AD"/>
    <w:rsid w:val="0087751B"/>
    <w:rsid w:val="00877588"/>
    <w:rsid w:val="008775AD"/>
    <w:rsid w:val="00877697"/>
    <w:rsid w:val="008777AB"/>
    <w:rsid w:val="00877816"/>
    <w:rsid w:val="008779C2"/>
    <w:rsid w:val="008779F6"/>
    <w:rsid w:val="00877B91"/>
    <w:rsid w:val="00877C9E"/>
    <w:rsid w:val="00877D95"/>
    <w:rsid w:val="00877DA5"/>
    <w:rsid w:val="00877DE5"/>
    <w:rsid w:val="00877E68"/>
    <w:rsid w:val="00877EE2"/>
    <w:rsid w:val="00877EF6"/>
    <w:rsid w:val="00877FC2"/>
    <w:rsid w:val="00877FCF"/>
    <w:rsid w:val="00877FD6"/>
    <w:rsid w:val="00880104"/>
    <w:rsid w:val="0088020F"/>
    <w:rsid w:val="00880414"/>
    <w:rsid w:val="00880533"/>
    <w:rsid w:val="008808C2"/>
    <w:rsid w:val="008808DD"/>
    <w:rsid w:val="00880992"/>
    <w:rsid w:val="008809E7"/>
    <w:rsid w:val="00880A2A"/>
    <w:rsid w:val="00880AFE"/>
    <w:rsid w:val="00880C26"/>
    <w:rsid w:val="00880CB5"/>
    <w:rsid w:val="00880D3F"/>
    <w:rsid w:val="00880FD7"/>
    <w:rsid w:val="00881080"/>
    <w:rsid w:val="00881135"/>
    <w:rsid w:val="00881170"/>
    <w:rsid w:val="008811A0"/>
    <w:rsid w:val="00881227"/>
    <w:rsid w:val="00881236"/>
    <w:rsid w:val="008812F7"/>
    <w:rsid w:val="008813F8"/>
    <w:rsid w:val="008813F9"/>
    <w:rsid w:val="0088144C"/>
    <w:rsid w:val="00881576"/>
    <w:rsid w:val="00881618"/>
    <w:rsid w:val="008817B3"/>
    <w:rsid w:val="008817CD"/>
    <w:rsid w:val="0088186B"/>
    <w:rsid w:val="008818AD"/>
    <w:rsid w:val="00881C86"/>
    <w:rsid w:val="00881E55"/>
    <w:rsid w:val="00881ED4"/>
    <w:rsid w:val="00881F03"/>
    <w:rsid w:val="00882015"/>
    <w:rsid w:val="00882043"/>
    <w:rsid w:val="00882048"/>
    <w:rsid w:val="00882150"/>
    <w:rsid w:val="008821A1"/>
    <w:rsid w:val="0088240B"/>
    <w:rsid w:val="00882421"/>
    <w:rsid w:val="008824A4"/>
    <w:rsid w:val="0088251A"/>
    <w:rsid w:val="00882568"/>
    <w:rsid w:val="008826AA"/>
    <w:rsid w:val="008826CF"/>
    <w:rsid w:val="008826FD"/>
    <w:rsid w:val="00882740"/>
    <w:rsid w:val="0088278C"/>
    <w:rsid w:val="008828B6"/>
    <w:rsid w:val="0088291B"/>
    <w:rsid w:val="00882AAD"/>
    <w:rsid w:val="00882B36"/>
    <w:rsid w:val="00882B5E"/>
    <w:rsid w:val="00882BAF"/>
    <w:rsid w:val="00882D39"/>
    <w:rsid w:val="00882D9F"/>
    <w:rsid w:val="00882E9C"/>
    <w:rsid w:val="00882EE4"/>
    <w:rsid w:val="00882EF6"/>
    <w:rsid w:val="00882F38"/>
    <w:rsid w:val="00882F8E"/>
    <w:rsid w:val="00883047"/>
    <w:rsid w:val="00883220"/>
    <w:rsid w:val="00883284"/>
    <w:rsid w:val="00883327"/>
    <w:rsid w:val="00883635"/>
    <w:rsid w:val="0088387D"/>
    <w:rsid w:val="0088389D"/>
    <w:rsid w:val="008839F2"/>
    <w:rsid w:val="008839F9"/>
    <w:rsid w:val="00883A66"/>
    <w:rsid w:val="00883AC5"/>
    <w:rsid w:val="00883B06"/>
    <w:rsid w:val="00883B4D"/>
    <w:rsid w:val="00883D2C"/>
    <w:rsid w:val="00883D51"/>
    <w:rsid w:val="00883D89"/>
    <w:rsid w:val="00883DBD"/>
    <w:rsid w:val="00883DDD"/>
    <w:rsid w:val="00883F91"/>
    <w:rsid w:val="00883FA2"/>
    <w:rsid w:val="00883FDF"/>
    <w:rsid w:val="00883FE8"/>
    <w:rsid w:val="008840A9"/>
    <w:rsid w:val="008841F7"/>
    <w:rsid w:val="00884275"/>
    <w:rsid w:val="008842D1"/>
    <w:rsid w:val="00884363"/>
    <w:rsid w:val="00884434"/>
    <w:rsid w:val="008844DC"/>
    <w:rsid w:val="00884650"/>
    <w:rsid w:val="00884695"/>
    <w:rsid w:val="0088471F"/>
    <w:rsid w:val="00884863"/>
    <w:rsid w:val="008848F4"/>
    <w:rsid w:val="0088497B"/>
    <w:rsid w:val="00884B2D"/>
    <w:rsid w:val="00884BE0"/>
    <w:rsid w:val="00884C5B"/>
    <w:rsid w:val="00884DB8"/>
    <w:rsid w:val="00884DEA"/>
    <w:rsid w:val="00884EF5"/>
    <w:rsid w:val="0088501D"/>
    <w:rsid w:val="00885139"/>
    <w:rsid w:val="00885251"/>
    <w:rsid w:val="008852D8"/>
    <w:rsid w:val="00885303"/>
    <w:rsid w:val="00885349"/>
    <w:rsid w:val="0088535D"/>
    <w:rsid w:val="00885433"/>
    <w:rsid w:val="008855FA"/>
    <w:rsid w:val="0088593F"/>
    <w:rsid w:val="00885A5B"/>
    <w:rsid w:val="00885B9B"/>
    <w:rsid w:val="00885C00"/>
    <w:rsid w:val="00885C68"/>
    <w:rsid w:val="00885DF1"/>
    <w:rsid w:val="00885E1A"/>
    <w:rsid w:val="00885F5C"/>
    <w:rsid w:val="00885F92"/>
    <w:rsid w:val="0088608A"/>
    <w:rsid w:val="008860CD"/>
    <w:rsid w:val="008861AD"/>
    <w:rsid w:val="0088624F"/>
    <w:rsid w:val="00886305"/>
    <w:rsid w:val="008863D6"/>
    <w:rsid w:val="008863DE"/>
    <w:rsid w:val="00886574"/>
    <w:rsid w:val="00886604"/>
    <w:rsid w:val="0088660D"/>
    <w:rsid w:val="0088683A"/>
    <w:rsid w:val="00886A7B"/>
    <w:rsid w:val="00886A9F"/>
    <w:rsid w:val="00886AD5"/>
    <w:rsid w:val="00886AD6"/>
    <w:rsid w:val="00886CA6"/>
    <w:rsid w:val="00886DCF"/>
    <w:rsid w:val="0088704F"/>
    <w:rsid w:val="00887153"/>
    <w:rsid w:val="008873DB"/>
    <w:rsid w:val="00887408"/>
    <w:rsid w:val="00887473"/>
    <w:rsid w:val="008874BB"/>
    <w:rsid w:val="00887559"/>
    <w:rsid w:val="0088759D"/>
    <w:rsid w:val="008875F9"/>
    <w:rsid w:val="00887610"/>
    <w:rsid w:val="00887623"/>
    <w:rsid w:val="00887638"/>
    <w:rsid w:val="008877FC"/>
    <w:rsid w:val="008878BA"/>
    <w:rsid w:val="0088793E"/>
    <w:rsid w:val="00887941"/>
    <w:rsid w:val="00887967"/>
    <w:rsid w:val="00887A4B"/>
    <w:rsid w:val="00887AE6"/>
    <w:rsid w:val="00887D50"/>
    <w:rsid w:val="00887E53"/>
    <w:rsid w:val="00887EF9"/>
    <w:rsid w:val="00887F17"/>
    <w:rsid w:val="00887F3C"/>
    <w:rsid w:val="008902A4"/>
    <w:rsid w:val="008902AB"/>
    <w:rsid w:val="008902B6"/>
    <w:rsid w:val="00890366"/>
    <w:rsid w:val="00890445"/>
    <w:rsid w:val="00890567"/>
    <w:rsid w:val="00890793"/>
    <w:rsid w:val="0089090F"/>
    <w:rsid w:val="0089092D"/>
    <w:rsid w:val="00890AB8"/>
    <w:rsid w:val="00890B88"/>
    <w:rsid w:val="00890BDB"/>
    <w:rsid w:val="00890D04"/>
    <w:rsid w:val="00890D86"/>
    <w:rsid w:val="00890DCF"/>
    <w:rsid w:val="00890E7E"/>
    <w:rsid w:val="00890EDD"/>
    <w:rsid w:val="00890F5F"/>
    <w:rsid w:val="00890FC9"/>
    <w:rsid w:val="0089106C"/>
    <w:rsid w:val="008910D6"/>
    <w:rsid w:val="00891333"/>
    <w:rsid w:val="00891336"/>
    <w:rsid w:val="00891369"/>
    <w:rsid w:val="008913A8"/>
    <w:rsid w:val="0089153B"/>
    <w:rsid w:val="00891569"/>
    <w:rsid w:val="00891584"/>
    <w:rsid w:val="008915CA"/>
    <w:rsid w:val="0089163C"/>
    <w:rsid w:val="00891680"/>
    <w:rsid w:val="0089169E"/>
    <w:rsid w:val="00891752"/>
    <w:rsid w:val="0089177C"/>
    <w:rsid w:val="008917AD"/>
    <w:rsid w:val="00891882"/>
    <w:rsid w:val="008918B2"/>
    <w:rsid w:val="00891935"/>
    <w:rsid w:val="008919C9"/>
    <w:rsid w:val="00891A7A"/>
    <w:rsid w:val="00891B2F"/>
    <w:rsid w:val="00891B3F"/>
    <w:rsid w:val="00891CA3"/>
    <w:rsid w:val="00891CAE"/>
    <w:rsid w:val="00891E22"/>
    <w:rsid w:val="00891EDA"/>
    <w:rsid w:val="008924A4"/>
    <w:rsid w:val="0089264B"/>
    <w:rsid w:val="008926AE"/>
    <w:rsid w:val="0089276A"/>
    <w:rsid w:val="00892889"/>
    <w:rsid w:val="00892959"/>
    <w:rsid w:val="0089298C"/>
    <w:rsid w:val="0089299A"/>
    <w:rsid w:val="00892A20"/>
    <w:rsid w:val="00892A62"/>
    <w:rsid w:val="00892BBF"/>
    <w:rsid w:val="00892C3D"/>
    <w:rsid w:val="00892D34"/>
    <w:rsid w:val="00892D4E"/>
    <w:rsid w:val="00892DF0"/>
    <w:rsid w:val="00892E21"/>
    <w:rsid w:val="008931E0"/>
    <w:rsid w:val="0089321D"/>
    <w:rsid w:val="00893246"/>
    <w:rsid w:val="0089328D"/>
    <w:rsid w:val="008932A8"/>
    <w:rsid w:val="00893424"/>
    <w:rsid w:val="00893471"/>
    <w:rsid w:val="00893585"/>
    <w:rsid w:val="0089380B"/>
    <w:rsid w:val="00893931"/>
    <w:rsid w:val="0089393F"/>
    <w:rsid w:val="00893AB9"/>
    <w:rsid w:val="00893ACF"/>
    <w:rsid w:val="00893B18"/>
    <w:rsid w:val="00893B5F"/>
    <w:rsid w:val="00893B61"/>
    <w:rsid w:val="00893B7D"/>
    <w:rsid w:val="00893CDE"/>
    <w:rsid w:val="00893CE4"/>
    <w:rsid w:val="00893D23"/>
    <w:rsid w:val="00893D25"/>
    <w:rsid w:val="00893DE4"/>
    <w:rsid w:val="00893E64"/>
    <w:rsid w:val="00893F67"/>
    <w:rsid w:val="00893F68"/>
    <w:rsid w:val="00893FA4"/>
    <w:rsid w:val="00894007"/>
    <w:rsid w:val="008940A4"/>
    <w:rsid w:val="00894152"/>
    <w:rsid w:val="008941DE"/>
    <w:rsid w:val="00894346"/>
    <w:rsid w:val="00894542"/>
    <w:rsid w:val="0089458B"/>
    <w:rsid w:val="00894618"/>
    <w:rsid w:val="0089472D"/>
    <w:rsid w:val="008948A9"/>
    <w:rsid w:val="00894C30"/>
    <w:rsid w:val="0089511B"/>
    <w:rsid w:val="0089512F"/>
    <w:rsid w:val="008951F5"/>
    <w:rsid w:val="008953DE"/>
    <w:rsid w:val="0089544C"/>
    <w:rsid w:val="008955A3"/>
    <w:rsid w:val="008956AE"/>
    <w:rsid w:val="008956CF"/>
    <w:rsid w:val="00895720"/>
    <w:rsid w:val="00895726"/>
    <w:rsid w:val="0089577B"/>
    <w:rsid w:val="00895799"/>
    <w:rsid w:val="00895841"/>
    <w:rsid w:val="008958C6"/>
    <w:rsid w:val="008959FE"/>
    <w:rsid w:val="00895A1A"/>
    <w:rsid w:val="00895A23"/>
    <w:rsid w:val="00895AFC"/>
    <w:rsid w:val="00895C69"/>
    <w:rsid w:val="00895D23"/>
    <w:rsid w:val="00895F4C"/>
    <w:rsid w:val="0089625A"/>
    <w:rsid w:val="00896319"/>
    <w:rsid w:val="0089635B"/>
    <w:rsid w:val="00896476"/>
    <w:rsid w:val="008964A0"/>
    <w:rsid w:val="008964F4"/>
    <w:rsid w:val="008965C1"/>
    <w:rsid w:val="008966DB"/>
    <w:rsid w:val="008967BB"/>
    <w:rsid w:val="00896802"/>
    <w:rsid w:val="00896882"/>
    <w:rsid w:val="00896AC9"/>
    <w:rsid w:val="00896B08"/>
    <w:rsid w:val="00896BBE"/>
    <w:rsid w:val="00896BCB"/>
    <w:rsid w:val="00896CDD"/>
    <w:rsid w:val="00896D17"/>
    <w:rsid w:val="00896E26"/>
    <w:rsid w:val="00896E28"/>
    <w:rsid w:val="00896E83"/>
    <w:rsid w:val="0089704C"/>
    <w:rsid w:val="008970DE"/>
    <w:rsid w:val="0089710E"/>
    <w:rsid w:val="0089711A"/>
    <w:rsid w:val="0089712A"/>
    <w:rsid w:val="008971E5"/>
    <w:rsid w:val="008972E8"/>
    <w:rsid w:val="008974D9"/>
    <w:rsid w:val="0089767A"/>
    <w:rsid w:val="00897689"/>
    <w:rsid w:val="008976F1"/>
    <w:rsid w:val="0089783E"/>
    <w:rsid w:val="00897883"/>
    <w:rsid w:val="008978B3"/>
    <w:rsid w:val="00897B17"/>
    <w:rsid w:val="00897CF7"/>
    <w:rsid w:val="00897E17"/>
    <w:rsid w:val="00897E7E"/>
    <w:rsid w:val="008A0017"/>
    <w:rsid w:val="008A0046"/>
    <w:rsid w:val="008A015C"/>
    <w:rsid w:val="008A0233"/>
    <w:rsid w:val="008A027C"/>
    <w:rsid w:val="008A0295"/>
    <w:rsid w:val="008A02C9"/>
    <w:rsid w:val="008A03AD"/>
    <w:rsid w:val="008A073C"/>
    <w:rsid w:val="008A0743"/>
    <w:rsid w:val="008A087D"/>
    <w:rsid w:val="008A089C"/>
    <w:rsid w:val="008A09BF"/>
    <w:rsid w:val="008A0A59"/>
    <w:rsid w:val="008A0C4E"/>
    <w:rsid w:val="008A0E1C"/>
    <w:rsid w:val="008A114E"/>
    <w:rsid w:val="008A118A"/>
    <w:rsid w:val="008A128C"/>
    <w:rsid w:val="008A12A8"/>
    <w:rsid w:val="008A1314"/>
    <w:rsid w:val="008A13F7"/>
    <w:rsid w:val="008A1461"/>
    <w:rsid w:val="008A1566"/>
    <w:rsid w:val="008A16A3"/>
    <w:rsid w:val="008A16FD"/>
    <w:rsid w:val="008A1828"/>
    <w:rsid w:val="008A1865"/>
    <w:rsid w:val="008A1868"/>
    <w:rsid w:val="008A18AD"/>
    <w:rsid w:val="008A18D3"/>
    <w:rsid w:val="008A191C"/>
    <w:rsid w:val="008A1928"/>
    <w:rsid w:val="008A19AD"/>
    <w:rsid w:val="008A1AD5"/>
    <w:rsid w:val="008A1B5E"/>
    <w:rsid w:val="008A1D2D"/>
    <w:rsid w:val="008A1D7A"/>
    <w:rsid w:val="008A1DAF"/>
    <w:rsid w:val="008A1E80"/>
    <w:rsid w:val="008A218C"/>
    <w:rsid w:val="008A218F"/>
    <w:rsid w:val="008A21F4"/>
    <w:rsid w:val="008A2218"/>
    <w:rsid w:val="008A2251"/>
    <w:rsid w:val="008A2258"/>
    <w:rsid w:val="008A2276"/>
    <w:rsid w:val="008A2374"/>
    <w:rsid w:val="008A23B6"/>
    <w:rsid w:val="008A25EF"/>
    <w:rsid w:val="008A2684"/>
    <w:rsid w:val="008A268F"/>
    <w:rsid w:val="008A26A8"/>
    <w:rsid w:val="008A2701"/>
    <w:rsid w:val="008A2708"/>
    <w:rsid w:val="008A273D"/>
    <w:rsid w:val="008A278E"/>
    <w:rsid w:val="008A27BD"/>
    <w:rsid w:val="008A2824"/>
    <w:rsid w:val="008A2843"/>
    <w:rsid w:val="008A29D2"/>
    <w:rsid w:val="008A2A81"/>
    <w:rsid w:val="008A2B73"/>
    <w:rsid w:val="008A2BBF"/>
    <w:rsid w:val="008A2C55"/>
    <w:rsid w:val="008A2D4F"/>
    <w:rsid w:val="008A2DB5"/>
    <w:rsid w:val="008A2E1A"/>
    <w:rsid w:val="008A2E91"/>
    <w:rsid w:val="008A32A4"/>
    <w:rsid w:val="008A3376"/>
    <w:rsid w:val="008A33C2"/>
    <w:rsid w:val="008A368F"/>
    <w:rsid w:val="008A36E2"/>
    <w:rsid w:val="008A3714"/>
    <w:rsid w:val="008A3780"/>
    <w:rsid w:val="008A37DC"/>
    <w:rsid w:val="008A38B0"/>
    <w:rsid w:val="008A3966"/>
    <w:rsid w:val="008A39D2"/>
    <w:rsid w:val="008A3A0B"/>
    <w:rsid w:val="008A3CAA"/>
    <w:rsid w:val="008A3CE1"/>
    <w:rsid w:val="008A3DD7"/>
    <w:rsid w:val="008A402B"/>
    <w:rsid w:val="008A415A"/>
    <w:rsid w:val="008A42E8"/>
    <w:rsid w:val="008A43DF"/>
    <w:rsid w:val="008A4580"/>
    <w:rsid w:val="008A4616"/>
    <w:rsid w:val="008A46D9"/>
    <w:rsid w:val="008A4710"/>
    <w:rsid w:val="008A486D"/>
    <w:rsid w:val="008A48CE"/>
    <w:rsid w:val="008A4986"/>
    <w:rsid w:val="008A49DB"/>
    <w:rsid w:val="008A4BEC"/>
    <w:rsid w:val="008A4C56"/>
    <w:rsid w:val="008A4DA7"/>
    <w:rsid w:val="008A4E81"/>
    <w:rsid w:val="008A4EA6"/>
    <w:rsid w:val="008A4EAE"/>
    <w:rsid w:val="008A5070"/>
    <w:rsid w:val="008A509C"/>
    <w:rsid w:val="008A50D8"/>
    <w:rsid w:val="008A5101"/>
    <w:rsid w:val="008A5138"/>
    <w:rsid w:val="008A5192"/>
    <w:rsid w:val="008A51AF"/>
    <w:rsid w:val="008A525A"/>
    <w:rsid w:val="008A52A0"/>
    <w:rsid w:val="008A548A"/>
    <w:rsid w:val="008A549E"/>
    <w:rsid w:val="008A5521"/>
    <w:rsid w:val="008A5727"/>
    <w:rsid w:val="008A572C"/>
    <w:rsid w:val="008A5741"/>
    <w:rsid w:val="008A5761"/>
    <w:rsid w:val="008A57A5"/>
    <w:rsid w:val="008A582D"/>
    <w:rsid w:val="008A59A2"/>
    <w:rsid w:val="008A5AE4"/>
    <w:rsid w:val="008A5D75"/>
    <w:rsid w:val="008A5D9E"/>
    <w:rsid w:val="008A5E8D"/>
    <w:rsid w:val="008A5ECE"/>
    <w:rsid w:val="008A5F20"/>
    <w:rsid w:val="008A607F"/>
    <w:rsid w:val="008A61FA"/>
    <w:rsid w:val="008A6266"/>
    <w:rsid w:val="008A6291"/>
    <w:rsid w:val="008A62AB"/>
    <w:rsid w:val="008A63A3"/>
    <w:rsid w:val="008A63AC"/>
    <w:rsid w:val="008A642A"/>
    <w:rsid w:val="008A64E4"/>
    <w:rsid w:val="008A65F6"/>
    <w:rsid w:val="008A6649"/>
    <w:rsid w:val="008A6703"/>
    <w:rsid w:val="008A671B"/>
    <w:rsid w:val="008A6759"/>
    <w:rsid w:val="008A6866"/>
    <w:rsid w:val="008A68C3"/>
    <w:rsid w:val="008A69C5"/>
    <w:rsid w:val="008A6AE3"/>
    <w:rsid w:val="008A6EAA"/>
    <w:rsid w:val="008A6F29"/>
    <w:rsid w:val="008A6FC7"/>
    <w:rsid w:val="008A71F8"/>
    <w:rsid w:val="008A73C2"/>
    <w:rsid w:val="008A7429"/>
    <w:rsid w:val="008A7453"/>
    <w:rsid w:val="008A74C1"/>
    <w:rsid w:val="008A75B2"/>
    <w:rsid w:val="008A761B"/>
    <w:rsid w:val="008A767E"/>
    <w:rsid w:val="008A767F"/>
    <w:rsid w:val="008A7738"/>
    <w:rsid w:val="008A775F"/>
    <w:rsid w:val="008A77A0"/>
    <w:rsid w:val="008A77E1"/>
    <w:rsid w:val="008A79BD"/>
    <w:rsid w:val="008A79CD"/>
    <w:rsid w:val="008A7DA4"/>
    <w:rsid w:val="008A7E73"/>
    <w:rsid w:val="008A7E7E"/>
    <w:rsid w:val="008A7EFF"/>
    <w:rsid w:val="008B004E"/>
    <w:rsid w:val="008B0145"/>
    <w:rsid w:val="008B0150"/>
    <w:rsid w:val="008B01A8"/>
    <w:rsid w:val="008B032D"/>
    <w:rsid w:val="008B047A"/>
    <w:rsid w:val="008B0536"/>
    <w:rsid w:val="008B061F"/>
    <w:rsid w:val="008B07F1"/>
    <w:rsid w:val="008B0813"/>
    <w:rsid w:val="008B085E"/>
    <w:rsid w:val="008B0900"/>
    <w:rsid w:val="008B0905"/>
    <w:rsid w:val="008B09E7"/>
    <w:rsid w:val="008B0BF5"/>
    <w:rsid w:val="008B0C4B"/>
    <w:rsid w:val="008B0C5C"/>
    <w:rsid w:val="008B0CB2"/>
    <w:rsid w:val="008B0CC0"/>
    <w:rsid w:val="008B0E04"/>
    <w:rsid w:val="008B0E99"/>
    <w:rsid w:val="008B0EBF"/>
    <w:rsid w:val="008B0ECD"/>
    <w:rsid w:val="008B0F07"/>
    <w:rsid w:val="008B109F"/>
    <w:rsid w:val="008B1560"/>
    <w:rsid w:val="008B1573"/>
    <w:rsid w:val="008B15D7"/>
    <w:rsid w:val="008B1627"/>
    <w:rsid w:val="008B166C"/>
    <w:rsid w:val="008B1748"/>
    <w:rsid w:val="008B176A"/>
    <w:rsid w:val="008B1872"/>
    <w:rsid w:val="008B1A6A"/>
    <w:rsid w:val="008B1BAC"/>
    <w:rsid w:val="008B1E60"/>
    <w:rsid w:val="008B1EF7"/>
    <w:rsid w:val="008B1F09"/>
    <w:rsid w:val="008B2091"/>
    <w:rsid w:val="008B2141"/>
    <w:rsid w:val="008B21E0"/>
    <w:rsid w:val="008B2407"/>
    <w:rsid w:val="008B244D"/>
    <w:rsid w:val="008B24E2"/>
    <w:rsid w:val="008B250C"/>
    <w:rsid w:val="008B269B"/>
    <w:rsid w:val="008B27F8"/>
    <w:rsid w:val="008B2A94"/>
    <w:rsid w:val="008B2DC6"/>
    <w:rsid w:val="008B2F76"/>
    <w:rsid w:val="008B2FC9"/>
    <w:rsid w:val="008B30C0"/>
    <w:rsid w:val="008B3142"/>
    <w:rsid w:val="008B315B"/>
    <w:rsid w:val="008B32DD"/>
    <w:rsid w:val="008B3411"/>
    <w:rsid w:val="008B3504"/>
    <w:rsid w:val="008B35D7"/>
    <w:rsid w:val="008B36D6"/>
    <w:rsid w:val="008B36F0"/>
    <w:rsid w:val="008B37B7"/>
    <w:rsid w:val="008B3917"/>
    <w:rsid w:val="008B3977"/>
    <w:rsid w:val="008B3AE9"/>
    <w:rsid w:val="008B3DF8"/>
    <w:rsid w:val="008B3E88"/>
    <w:rsid w:val="008B3E9C"/>
    <w:rsid w:val="008B3F19"/>
    <w:rsid w:val="008B3F8B"/>
    <w:rsid w:val="008B4039"/>
    <w:rsid w:val="008B412D"/>
    <w:rsid w:val="008B41E8"/>
    <w:rsid w:val="008B42BD"/>
    <w:rsid w:val="008B42E8"/>
    <w:rsid w:val="008B4393"/>
    <w:rsid w:val="008B446A"/>
    <w:rsid w:val="008B447C"/>
    <w:rsid w:val="008B44BD"/>
    <w:rsid w:val="008B4509"/>
    <w:rsid w:val="008B456B"/>
    <w:rsid w:val="008B4573"/>
    <w:rsid w:val="008B4672"/>
    <w:rsid w:val="008B4688"/>
    <w:rsid w:val="008B46B6"/>
    <w:rsid w:val="008B46D5"/>
    <w:rsid w:val="008B471B"/>
    <w:rsid w:val="008B4731"/>
    <w:rsid w:val="008B4A5A"/>
    <w:rsid w:val="008B4A9C"/>
    <w:rsid w:val="008B4AAE"/>
    <w:rsid w:val="008B4AB4"/>
    <w:rsid w:val="008B4B62"/>
    <w:rsid w:val="008B4BAC"/>
    <w:rsid w:val="008B4CD9"/>
    <w:rsid w:val="008B4D1A"/>
    <w:rsid w:val="008B4D58"/>
    <w:rsid w:val="008B4DB8"/>
    <w:rsid w:val="008B4ED6"/>
    <w:rsid w:val="008B4EEE"/>
    <w:rsid w:val="008B4FA5"/>
    <w:rsid w:val="008B4FE2"/>
    <w:rsid w:val="008B4FF2"/>
    <w:rsid w:val="008B50D3"/>
    <w:rsid w:val="008B51F7"/>
    <w:rsid w:val="008B520A"/>
    <w:rsid w:val="008B5279"/>
    <w:rsid w:val="008B52FD"/>
    <w:rsid w:val="008B5331"/>
    <w:rsid w:val="008B5357"/>
    <w:rsid w:val="008B5369"/>
    <w:rsid w:val="008B536D"/>
    <w:rsid w:val="008B54B4"/>
    <w:rsid w:val="008B54FA"/>
    <w:rsid w:val="008B5515"/>
    <w:rsid w:val="008B56BF"/>
    <w:rsid w:val="008B58AF"/>
    <w:rsid w:val="008B58F4"/>
    <w:rsid w:val="008B591C"/>
    <w:rsid w:val="008B5AB3"/>
    <w:rsid w:val="008B5AF2"/>
    <w:rsid w:val="008B5B3B"/>
    <w:rsid w:val="008B5CC9"/>
    <w:rsid w:val="008B5EBB"/>
    <w:rsid w:val="008B5F14"/>
    <w:rsid w:val="008B5F15"/>
    <w:rsid w:val="008B5F37"/>
    <w:rsid w:val="008B6027"/>
    <w:rsid w:val="008B6032"/>
    <w:rsid w:val="008B6072"/>
    <w:rsid w:val="008B60F4"/>
    <w:rsid w:val="008B60F7"/>
    <w:rsid w:val="008B6147"/>
    <w:rsid w:val="008B61E3"/>
    <w:rsid w:val="008B63C3"/>
    <w:rsid w:val="008B6481"/>
    <w:rsid w:val="008B6539"/>
    <w:rsid w:val="008B6582"/>
    <w:rsid w:val="008B661B"/>
    <w:rsid w:val="008B6779"/>
    <w:rsid w:val="008B6831"/>
    <w:rsid w:val="008B688A"/>
    <w:rsid w:val="008B6905"/>
    <w:rsid w:val="008B6937"/>
    <w:rsid w:val="008B6957"/>
    <w:rsid w:val="008B696C"/>
    <w:rsid w:val="008B69F1"/>
    <w:rsid w:val="008B6B9A"/>
    <w:rsid w:val="008B6C5B"/>
    <w:rsid w:val="008B6C6F"/>
    <w:rsid w:val="008B6E9C"/>
    <w:rsid w:val="008B6FBD"/>
    <w:rsid w:val="008B711F"/>
    <w:rsid w:val="008B71BD"/>
    <w:rsid w:val="008B71EB"/>
    <w:rsid w:val="008B724D"/>
    <w:rsid w:val="008B7266"/>
    <w:rsid w:val="008B72BC"/>
    <w:rsid w:val="008B72D0"/>
    <w:rsid w:val="008B72E7"/>
    <w:rsid w:val="008B748F"/>
    <w:rsid w:val="008B75A2"/>
    <w:rsid w:val="008B767F"/>
    <w:rsid w:val="008B76A5"/>
    <w:rsid w:val="008B7707"/>
    <w:rsid w:val="008B78C8"/>
    <w:rsid w:val="008B79CC"/>
    <w:rsid w:val="008B7A61"/>
    <w:rsid w:val="008B7A7B"/>
    <w:rsid w:val="008B7A94"/>
    <w:rsid w:val="008B7D28"/>
    <w:rsid w:val="008B7E39"/>
    <w:rsid w:val="008C006D"/>
    <w:rsid w:val="008C0137"/>
    <w:rsid w:val="008C014F"/>
    <w:rsid w:val="008C0155"/>
    <w:rsid w:val="008C02CD"/>
    <w:rsid w:val="008C0425"/>
    <w:rsid w:val="008C04BB"/>
    <w:rsid w:val="008C05DE"/>
    <w:rsid w:val="008C063F"/>
    <w:rsid w:val="008C065A"/>
    <w:rsid w:val="008C06CE"/>
    <w:rsid w:val="008C0809"/>
    <w:rsid w:val="008C0976"/>
    <w:rsid w:val="008C0A2C"/>
    <w:rsid w:val="008C0B15"/>
    <w:rsid w:val="008C0CD9"/>
    <w:rsid w:val="008C0CE5"/>
    <w:rsid w:val="008C0DBC"/>
    <w:rsid w:val="008C0EC6"/>
    <w:rsid w:val="008C0F1B"/>
    <w:rsid w:val="008C0F6C"/>
    <w:rsid w:val="008C1013"/>
    <w:rsid w:val="008C1050"/>
    <w:rsid w:val="008C1056"/>
    <w:rsid w:val="008C116D"/>
    <w:rsid w:val="008C1242"/>
    <w:rsid w:val="008C137C"/>
    <w:rsid w:val="008C1464"/>
    <w:rsid w:val="008C14CC"/>
    <w:rsid w:val="008C1563"/>
    <w:rsid w:val="008C1618"/>
    <w:rsid w:val="008C1806"/>
    <w:rsid w:val="008C18E9"/>
    <w:rsid w:val="008C1990"/>
    <w:rsid w:val="008C19A2"/>
    <w:rsid w:val="008C19AC"/>
    <w:rsid w:val="008C19EF"/>
    <w:rsid w:val="008C1B11"/>
    <w:rsid w:val="008C1B22"/>
    <w:rsid w:val="008C1C40"/>
    <w:rsid w:val="008C1D30"/>
    <w:rsid w:val="008C1D9C"/>
    <w:rsid w:val="008C1E83"/>
    <w:rsid w:val="008C2144"/>
    <w:rsid w:val="008C217F"/>
    <w:rsid w:val="008C21D5"/>
    <w:rsid w:val="008C223F"/>
    <w:rsid w:val="008C22C3"/>
    <w:rsid w:val="008C2328"/>
    <w:rsid w:val="008C2365"/>
    <w:rsid w:val="008C2375"/>
    <w:rsid w:val="008C2565"/>
    <w:rsid w:val="008C260B"/>
    <w:rsid w:val="008C2651"/>
    <w:rsid w:val="008C27FD"/>
    <w:rsid w:val="008C28F7"/>
    <w:rsid w:val="008C2A8E"/>
    <w:rsid w:val="008C2B42"/>
    <w:rsid w:val="008C2B49"/>
    <w:rsid w:val="008C2CAA"/>
    <w:rsid w:val="008C2CCF"/>
    <w:rsid w:val="008C2D76"/>
    <w:rsid w:val="008C2F4A"/>
    <w:rsid w:val="008C2F5A"/>
    <w:rsid w:val="008C30B4"/>
    <w:rsid w:val="008C3191"/>
    <w:rsid w:val="008C31F4"/>
    <w:rsid w:val="008C3382"/>
    <w:rsid w:val="008C33F4"/>
    <w:rsid w:val="008C3461"/>
    <w:rsid w:val="008C348B"/>
    <w:rsid w:val="008C34D8"/>
    <w:rsid w:val="008C354D"/>
    <w:rsid w:val="008C385D"/>
    <w:rsid w:val="008C3909"/>
    <w:rsid w:val="008C3933"/>
    <w:rsid w:val="008C393A"/>
    <w:rsid w:val="008C399B"/>
    <w:rsid w:val="008C39BD"/>
    <w:rsid w:val="008C39C5"/>
    <w:rsid w:val="008C39E1"/>
    <w:rsid w:val="008C39F0"/>
    <w:rsid w:val="008C3A1A"/>
    <w:rsid w:val="008C3A7C"/>
    <w:rsid w:val="008C3A93"/>
    <w:rsid w:val="008C3AB2"/>
    <w:rsid w:val="008C3AD8"/>
    <w:rsid w:val="008C3B00"/>
    <w:rsid w:val="008C3BF6"/>
    <w:rsid w:val="008C3E06"/>
    <w:rsid w:val="008C3E67"/>
    <w:rsid w:val="008C3E8C"/>
    <w:rsid w:val="008C3F70"/>
    <w:rsid w:val="008C3FBD"/>
    <w:rsid w:val="008C407B"/>
    <w:rsid w:val="008C40B0"/>
    <w:rsid w:val="008C413A"/>
    <w:rsid w:val="008C4192"/>
    <w:rsid w:val="008C41ED"/>
    <w:rsid w:val="008C43F3"/>
    <w:rsid w:val="008C443A"/>
    <w:rsid w:val="008C45C1"/>
    <w:rsid w:val="008C4658"/>
    <w:rsid w:val="008C4727"/>
    <w:rsid w:val="008C4870"/>
    <w:rsid w:val="008C48D3"/>
    <w:rsid w:val="008C4AFF"/>
    <w:rsid w:val="008C4B49"/>
    <w:rsid w:val="008C4BC4"/>
    <w:rsid w:val="008C4C3C"/>
    <w:rsid w:val="008C4D49"/>
    <w:rsid w:val="008C4D5F"/>
    <w:rsid w:val="008C4D8F"/>
    <w:rsid w:val="008C4E66"/>
    <w:rsid w:val="008C4FAA"/>
    <w:rsid w:val="008C51CC"/>
    <w:rsid w:val="008C521F"/>
    <w:rsid w:val="008C526E"/>
    <w:rsid w:val="008C529A"/>
    <w:rsid w:val="008C52D3"/>
    <w:rsid w:val="008C5328"/>
    <w:rsid w:val="008C5345"/>
    <w:rsid w:val="008C53D1"/>
    <w:rsid w:val="008C5426"/>
    <w:rsid w:val="008C5564"/>
    <w:rsid w:val="008C58A0"/>
    <w:rsid w:val="008C5961"/>
    <w:rsid w:val="008C5A1B"/>
    <w:rsid w:val="008C5B68"/>
    <w:rsid w:val="008C5CC8"/>
    <w:rsid w:val="008C5CDC"/>
    <w:rsid w:val="008C5CF9"/>
    <w:rsid w:val="008C5D12"/>
    <w:rsid w:val="008C5DD7"/>
    <w:rsid w:val="008C5E34"/>
    <w:rsid w:val="008C5E4B"/>
    <w:rsid w:val="008C5FF3"/>
    <w:rsid w:val="008C613E"/>
    <w:rsid w:val="008C617E"/>
    <w:rsid w:val="008C6189"/>
    <w:rsid w:val="008C61D0"/>
    <w:rsid w:val="008C6260"/>
    <w:rsid w:val="008C628E"/>
    <w:rsid w:val="008C62A9"/>
    <w:rsid w:val="008C6323"/>
    <w:rsid w:val="008C6369"/>
    <w:rsid w:val="008C637C"/>
    <w:rsid w:val="008C64CB"/>
    <w:rsid w:val="008C64DB"/>
    <w:rsid w:val="008C6800"/>
    <w:rsid w:val="008C6910"/>
    <w:rsid w:val="008C6A1F"/>
    <w:rsid w:val="008C6AAD"/>
    <w:rsid w:val="008C6AD4"/>
    <w:rsid w:val="008C6BBE"/>
    <w:rsid w:val="008C6C5E"/>
    <w:rsid w:val="008C6C8A"/>
    <w:rsid w:val="008C6D3A"/>
    <w:rsid w:val="008C6D67"/>
    <w:rsid w:val="008C6DE6"/>
    <w:rsid w:val="008C6E39"/>
    <w:rsid w:val="008C6E5C"/>
    <w:rsid w:val="008C7047"/>
    <w:rsid w:val="008C7206"/>
    <w:rsid w:val="008C7263"/>
    <w:rsid w:val="008C7426"/>
    <w:rsid w:val="008C748D"/>
    <w:rsid w:val="008C765F"/>
    <w:rsid w:val="008C769D"/>
    <w:rsid w:val="008C7768"/>
    <w:rsid w:val="008C777C"/>
    <w:rsid w:val="008C7820"/>
    <w:rsid w:val="008C7823"/>
    <w:rsid w:val="008C7991"/>
    <w:rsid w:val="008C7A33"/>
    <w:rsid w:val="008C7AA4"/>
    <w:rsid w:val="008C7E02"/>
    <w:rsid w:val="008C7E19"/>
    <w:rsid w:val="008C7E23"/>
    <w:rsid w:val="008C7E7E"/>
    <w:rsid w:val="008C7EED"/>
    <w:rsid w:val="008D0023"/>
    <w:rsid w:val="008D0107"/>
    <w:rsid w:val="008D0214"/>
    <w:rsid w:val="008D027E"/>
    <w:rsid w:val="008D02AF"/>
    <w:rsid w:val="008D0343"/>
    <w:rsid w:val="008D038D"/>
    <w:rsid w:val="008D040A"/>
    <w:rsid w:val="008D040C"/>
    <w:rsid w:val="008D044B"/>
    <w:rsid w:val="008D0688"/>
    <w:rsid w:val="008D06C8"/>
    <w:rsid w:val="008D06E6"/>
    <w:rsid w:val="008D0882"/>
    <w:rsid w:val="008D0923"/>
    <w:rsid w:val="008D0927"/>
    <w:rsid w:val="008D0AB9"/>
    <w:rsid w:val="008D0C3F"/>
    <w:rsid w:val="008D0CD9"/>
    <w:rsid w:val="008D0D56"/>
    <w:rsid w:val="008D0EAC"/>
    <w:rsid w:val="008D0ED7"/>
    <w:rsid w:val="008D0F25"/>
    <w:rsid w:val="008D0F6B"/>
    <w:rsid w:val="008D0FC9"/>
    <w:rsid w:val="008D1063"/>
    <w:rsid w:val="008D1108"/>
    <w:rsid w:val="008D113D"/>
    <w:rsid w:val="008D117D"/>
    <w:rsid w:val="008D13FD"/>
    <w:rsid w:val="008D14A6"/>
    <w:rsid w:val="008D14F0"/>
    <w:rsid w:val="008D156D"/>
    <w:rsid w:val="008D159B"/>
    <w:rsid w:val="008D1930"/>
    <w:rsid w:val="008D196D"/>
    <w:rsid w:val="008D1BC6"/>
    <w:rsid w:val="008D1CAF"/>
    <w:rsid w:val="008D1E56"/>
    <w:rsid w:val="008D1F4E"/>
    <w:rsid w:val="008D1F9A"/>
    <w:rsid w:val="008D2022"/>
    <w:rsid w:val="008D2099"/>
    <w:rsid w:val="008D20A7"/>
    <w:rsid w:val="008D219E"/>
    <w:rsid w:val="008D2312"/>
    <w:rsid w:val="008D24DD"/>
    <w:rsid w:val="008D24E2"/>
    <w:rsid w:val="008D252E"/>
    <w:rsid w:val="008D266C"/>
    <w:rsid w:val="008D2743"/>
    <w:rsid w:val="008D27D3"/>
    <w:rsid w:val="008D2863"/>
    <w:rsid w:val="008D28CF"/>
    <w:rsid w:val="008D291F"/>
    <w:rsid w:val="008D295F"/>
    <w:rsid w:val="008D29C0"/>
    <w:rsid w:val="008D2A02"/>
    <w:rsid w:val="008D2BFA"/>
    <w:rsid w:val="008D2C19"/>
    <w:rsid w:val="008D2DAB"/>
    <w:rsid w:val="008D2F55"/>
    <w:rsid w:val="008D2F9E"/>
    <w:rsid w:val="008D303F"/>
    <w:rsid w:val="008D3127"/>
    <w:rsid w:val="008D3358"/>
    <w:rsid w:val="008D33C4"/>
    <w:rsid w:val="008D33FD"/>
    <w:rsid w:val="008D348F"/>
    <w:rsid w:val="008D3491"/>
    <w:rsid w:val="008D37F3"/>
    <w:rsid w:val="008D386B"/>
    <w:rsid w:val="008D38F3"/>
    <w:rsid w:val="008D39A8"/>
    <w:rsid w:val="008D39EE"/>
    <w:rsid w:val="008D3B1F"/>
    <w:rsid w:val="008D3F29"/>
    <w:rsid w:val="008D4028"/>
    <w:rsid w:val="008D4089"/>
    <w:rsid w:val="008D40B9"/>
    <w:rsid w:val="008D413C"/>
    <w:rsid w:val="008D4218"/>
    <w:rsid w:val="008D4254"/>
    <w:rsid w:val="008D43C7"/>
    <w:rsid w:val="008D44D6"/>
    <w:rsid w:val="008D45A9"/>
    <w:rsid w:val="008D45F2"/>
    <w:rsid w:val="008D45F6"/>
    <w:rsid w:val="008D463D"/>
    <w:rsid w:val="008D468B"/>
    <w:rsid w:val="008D479D"/>
    <w:rsid w:val="008D47C2"/>
    <w:rsid w:val="008D4817"/>
    <w:rsid w:val="008D4880"/>
    <w:rsid w:val="008D48B7"/>
    <w:rsid w:val="008D4B0F"/>
    <w:rsid w:val="008D4B94"/>
    <w:rsid w:val="008D4C14"/>
    <w:rsid w:val="008D4D05"/>
    <w:rsid w:val="008D4D4E"/>
    <w:rsid w:val="008D4D69"/>
    <w:rsid w:val="008D4FC0"/>
    <w:rsid w:val="008D5171"/>
    <w:rsid w:val="008D52E8"/>
    <w:rsid w:val="008D5332"/>
    <w:rsid w:val="008D535E"/>
    <w:rsid w:val="008D536B"/>
    <w:rsid w:val="008D539C"/>
    <w:rsid w:val="008D53B2"/>
    <w:rsid w:val="008D54A9"/>
    <w:rsid w:val="008D54CE"/>
    <w:rsid w:val="008D558C"/>
    <w:rsid w:val="008D55F6"/>
    <w:rsid w:val="008D573D"/>
    <w:rsid w:val="008D57A4"/>
    <w:rsid w:val="008D57DB"/>
    <w:rsid w:val="008D57DD"/>
    <w:rsid w:val="008D597D"/>
    <w:rsid w:val="008D5A22"/>
    <w:rsid w:val="008D5AD3"/>
    <w:rsid w:val="008D5ADB"/>
    <w:rsid w:val="008D5C8D"/>
    <w:rsid w:val="008D5D4B"/>
    <w:rsid w:val="008D5D7D"/>
    <w:rsid w:val="008D5E11"/>
    <w:rsid w:val="008D5E1B"/>
    <w:rsid w:val="008D5E71"/>
    <w:rsid w:val="008D5EBE"/>
    <w:rsid w:val="008D5FA6"/>
    <w:rsid w:val="008D5FE9"/>
    <w:rsid w:val="008D600D"/>
    <w:rsid w:val="008D6148"/>
    <w:rsid w:val="008D615B"/>
    <w:rsid w:val="008D6242"/>
    <w:rsid w:val="008D627C"/>
    <w:rsid w:val="008D63CA"/>
    <w:rsid w:val="008D6401"/>
    <w:rsid w:val="008D64E8"/>
    <w:rsid w:val="008D6584"/>
    <w:rsid w:val="008D6586"/>
    <w:rsid w:val="008D65EC"/>
    <w:rsid w:val="008D67AF"/>
    <w:rsid w:val="008D67D0"/>
    <w:rsid w:val="008D6883"/>
    <w:rsid w:val="008D6899"/>
    <w:rsid w:val="008D68B0"/>
    <w:rsid w:val="008D68C7"/>
    <w:rsid w:val="008D6941"/>
    <w:rsid w:val="008D69BC"/>
    <w:rsid w:val="008D6A30"/>
    <w:rsid w:val="008D6B37"/>
    <w:rsid w:val="008D6C0D"/>
    <w:rsid w:val="008D6C33"/>
    <w:rsid w:val="008D6D3F"/>
    <w:rsid w:val="008D6DA7"/>
    <w:rsid w:val="008D6EB5"/>
    <w:rsid w:val="008D6EF4"/>
    <w:rsid w:val="008D6FCA"/>
    <w:rsid w:val="008D71A1"/>
    <w:rsid w:val="008D728F"/>
    <w:rsid w:val="008D72CB"/>
    <w:rsid w:val="008D7318"/>
    <w:rsid w:val="008D74D6"/>
    <w:rsid w:val="008D76FF"/>
    <w:rsid w:val="008D7719"/>
    <w:rsid w:val="008D7780"/>
    <w:rsid w:val="008D779D"/>
    <w:rsid w:val="008D77CF"/>
    <w:rsid w:val="008D7810"/>
    <w:rsid w:val="008D7986"/>
    <w:rsid w:val="008D7CE0"/>
    <w:rsid w:val="008D7D61"/>
    <w:rsid w:val="008D7DB1"/>
    <w:rsid w:val="008D7EA1"/>
    <w:rsid w:val="008E002D"/>
    <w:rsid w:val="008E0227"/>
    <w:rsid w:val="008E0378"/>
    <w:rsid w:val="008E04A4"/>
    <w:rsid w:val="008E0515"/>
    <w:rsid w:val="008E079E"/>
    <w:rsid w:val="008E0836"/>
    <w:rsid w:val="008E0883"/>
    <w:rsid w:val="008E08AD"/>
    <w:rsid w:val="008E08CA"/>
    <w:rsid w:val="008E090C"/>
    <w:rsid w:val="008E09B8"/>
    <w:rsid w:val="008E0A38"/>
    <w:rsid w:val="008E0A4C"/>
    <w:rsid w:val="008E0B15"/>
    <w:rsid w:val="008E0C22"/>
    <w:rsid w:val="008E0C31"/>
    <w:rsid w:val="008E0DDB"/>
    <w:rsid w:val="008E0EC7"/>
    <w:rsid w:val="008E0F6C"/>
    <w:rsid w:val="008E0FD6"/>
    <w:rsid w:val="008E104A"/>
    <w:rsid w:val="008E10D9"/>
    <w:rsid w:val="008E112B"/>
    <w:rsid w:val="008E1262"/>
    <w:rsid w:val="008E12C4"/>
    <w:rsid w:val="008E12D2"/>
    <w:rsid w:val="008E14C1"/>
    <w:rsid w:val="008E14F5"/>
    <w:rsid w:val="008E1554"/>
    <w:rsid w:val="008E156E"/>
    <w:rsid w:val="008E15A6"/>
    <w:rsid w:val="008E15EC"/>
    <w:rsid w:val="008E173B"/>
    <w:rsid w:val="008E17DC"/>
    <w:rsid w:val="008E17F0"/>
    <w:rsid w:val="008E18D9"/>
    <w:rsid w:val="008E19E9"/>
    <w:rsid w:val="008E19F4"/>
    <w:rsid w:val="008E1A11"/>
    <w:rsid w:val="008E1BA6"/>
    <w:rsid w:val="008E1C4F"/>
    <w:rsid w:val="008E1C57"/>
    <w:rsid w:val="008E1D82"/>
    <w:rsid w:val="008E1DB9"/>
    <w:rsid w:val="008E1DDB"/>
    <w:rsid w:val="008E1DFC"/>
    <w:rsid w:val="008E1E3A"/>
    <w:rsid w:val="008E1F5B"/>
    <w:rsid w:val="008E1FB9"/>
    <w:rsid w:val="008E21A3"/>
    <w:rsid w:val="008E21CB"/>
    <w:rsid w:val="008E2257"/>
    <w:rsid w:val="008E233C"/>
    <w:rsid w:val="008E23A6"/>
    <w:rsid w:val="008E248D"/>
    <w:rsid w:val="008E24F9"/>
    <w:rsid w:val="008E24FB"/>
    <w:rsid w:val="008E25BB"/>
    <w:rsid w:val="008E26C9"/>
    <w:rsid w:val="008E2785"/>
    <w:rsid w:val="008E27CB"/>
    <w:rsid w:val="008E27DE"/>
    <w:rsid w:val="008E2809"/>
    <w:rsid w:val="008E287A"/>
    <w:rsid w:val="008E28A9"/>
    <w:rsid w:val="008E29E0"/>
    <w:rsid w:val="008E29EB"/>
    <w:rsid w:val="008E2A2E"/>
    <w:rsid w:val="008E2A54"/>
    <w:rsid w:val="008E2A57"/>
    <w:rsid w:val="008E2A7A"/>
    <w:rsid w:val="008E2B89"/>
    <w:rsid w:val="008E2C17"/>
    <w:rsid w:val="008E2C7C"/>
    <w:rsid w:val="008E2FAE"/>
    <w:rsid w:val="008E301D"/>
    <w:rsid w:val="008E3031"/>
    <w:rsid w:val="008E3062"/>
    <w:rsid w:val="008E331F"/>
    <w:rsid w:val="008E3362"/>
    <w:rsid w:val="008E33A8"/>
    <w:rsid w:val="008E3494"/>
    <w:rsid w:val="008E381B"/>
    <w:rsid w:val="008E3888"/>
    <w:rsid w:val="008E3AFD"/>
    <w:rsid w:val="008E3B4A"/>
    <w:rsid w:val="008E3C7F"/>
    <w:rsid w:val="008E3C81"/>
    <w:rsid w:val="008E3E3A"/>
    <w:rsid w:val="008E3F19"/>
    <w:rsid w:val="008E4027"/>
    <w:rsid w:val="008E44EE"/>
    <w:rsid w:val="008E4528"/>
    <w:rsid w:val="008E4538"/>
    <w:rsid w:val="008E453B"/>
    <w:rsid w:val="008E45BD"/>
    <w:rsid w:val="008E45E6"/>
    <w:rsid w:val="008E46A9"/>
    <w:rsid w:val="008E4834"/>
    <w:rsid w:val="008E48CF"/>
    <w:rsid w:val="008E4930"/>
    <w:rsid w:val="008E496E"/>
    <w:rsid w:val="008E49DA"/>
    <w:rsid w:val="008E49F4"/>
    <w:rsid w:val="008E4CBE"/>
    <w:rsid w:val="008E4CDF"/>
    <w:rsid w:val="008E4D59"/>
    <w:rsid w:val="008E4DC3"/>
    <w:rsid w:val="008E4E82"/>
    <w:rsid w:val="008E5003"/>
    <w:rsid w:val="008E5039"/>
    <w:rsid w:val="008E516F"/>
    <w:rsid w:val="008E51EC"/>
    <w:rsid w:val="008E5225"/>
    <w:rsid w:val="008E5528"/>
    <w:rsid w:val="008E55D2"/>
    <w:rsid w:val="008E5665"/>
    <w:rsid w:val="008E572D"/>
    <w:rsid w:val="008E584A"/>
    <w:rsid w:val="008E586D"/>
    <w:rsid w:val="008E586F"/>
    <w:rsid w:val="008E59A7"/>
    <w:rsid w:val="008E5A7D"/>
    <w:rsid w:val="008E5AB0"/>
    <w:rsid w:val="008E5BC0"/>
    <w:rsid w:val="008E5BC8"/>
    <w:rsid w:val="008E5D01"/>
    <w:rsid w:val="008E5D5A"/>
    <w:rsid w:val="008E5D7F"/>
    <w:rsid w:val="008E5D9A"/>
    <w:rsid w:val="008E5E29"/>
    <w:rsid w:val="008E5E61"/>
    <w:rsid w:val="008E5EED"/>
    <w:rsid w:val="008E602B"/>
    <w:rsid w:val="008E6169"/>
    <w:rsid w:val="008E6184"/>
    <w:rsid w:val="008E61BB"/>
    <w:rsid w:val="008E6227"/>
    <w:rsid w:val="008E634B"/>
    <w:rsid w:val="008E6358"/>
    <w:rsid w:val="008E635F"/>
    <w:rsid w:val="008E637F"/>
    <w:rsid w:val="008E641C"/>
    <w:rsid w:val="008E6467"/>
    <w:rsid w:val="008E6565"/>
    <w:rsid w:val="008E664D"/>
    <w:rsid w:val="008E665B"/>
    <w:rsid w:val="008E6669"/>
    <w:rsid w:val="008E666B"/>
    <w:rsid w:val="008E6749"/>
    <w:rsid w:val="008E69D2"/>
    <w:rsid w:val="008E6A36"/>
    <w:rsid w:val="008E6AFD"/>
    <w:rsid w:val="008E6B8F"/>
    <w:rsid w:val="008E6BC9"/>
    <w:rsid w:val="008E6C05"/>
    <w:rsid w:val="008E6C5A"/>
    <w:rsid w:val="008E6CEB"/>
    <w:rsid w:val="008E6D23"/>
    <w:rsid w:val="008E6E07"/>
    <w:rsid w:val="008E6E32"/>
    <w:rsid w:val="008E6EAF"/>
    <w:rsid w:val="008E6F78"/>
    <w:rsid w:val="008E703E"/>
    <w:rsid w:val="008E7074"/>
    <w:rsid w:val="008E7108"/>
    <w:rsid w:val="008E7147"/>
    <w:rsid w:val="008E7398"/>
    <w:rsid w:val="008E739F"/>
    <w:rsid w:val="008E73D7"/>
    <w:rsid w:val="008E7456"/>
    <w:rsid w:val="008E74A1"/>
    <w:rsid w:val="008E7560"/>
    <w:rsid w:val="008E75B0"/>
    <w:rsid w:val="008E75CB"/>
    <w:rsid w:val="008E77EF"/>
    <w:rsid w:val="008E785C"/>
    <w:rsid w:val="008E78BE"/>
    <w:rsid w:val="008E7929"/>
    <w:rsid w:val="008E7992"/>
    <w:rsid w:val="008E7BD2"/>
    <w:rsid w:val="008E7BE4"/>
    <w:rsid w:val="008E7C52"/>
    <w:rsid w:val="008E7CC5"/>
    <w:rsid w:val="008E7D31"/>
    <w:rsid w:val="008E7E3A"/>
    <w:rsid w:val="008E7F2A"/>
    <w:rsid w:val="008E7F97"/>
    <w:rsid w:val="008F003C"/>
    <w:rsid w:val="008F0276"/>
    <w:rsid w:val="008F0422"/>
    <w:rsid w:val="008F0512"/>
    <w:rsid w:val="008F0554"/>
    <w:rsid w:val="008F0A57"/>
    <w:rsid w:val="008F0BE7"/>
    <w:rsid w:val="008F0C3D"/>
    <w:rsid w:val="008F0D05"/>
    <w:rsid w:val="008F0DEA"/>
    <w:rsid w:val="008F0E84"/>
    <w:rsid w:val="008F0F10"/>
    <w:rsid w:val="008F0F95"/>
    <w:rsid w:val="008F0FC1"/>
    <w:rsid w:val="008F109F"/>
    <w:rsid w:val="008F1140"/>
    <w:rsid w:val="008F11DC"/>
    <w:rsid w:val="008F12B3"/>
    <w:rsid w:val="008F12D2"/>
    <w:rsid w:val="008F13E5"/>
    <w:rsid w:val="008F13E6"/>
    <w:rsid w:val="008F13F8"/>
    <w:rsid w:val="008F1500"/>
    <w:rsid w:val="008F1666"/>
    <w:rsid w:val="008F170E"/>
    <w:rsid w:val="008F1A7F"/>
    <w:rsid w:val="008F1B03"/>
    <w:rsid w:val="008F1B0F"/>
    <w:rsid w:val="008F1B62"/>
    <w:rsid w:val="008F1BDB"/>
    <w:rsid w:val="008F1CA5"/>
    <w:rsid w:val="008F1D14"/>
    <w:rsid w:val="008F1D8C"/>
    <w:rsid w:val="008F1DE1"/>
    <w:rsid w:val="008F1E86"/>
    <w:rsid w:val="008F1F44"/>
    <w:rsid w:val="008F20C7"/>
    <w:rsid w:val="008F2127"/>
    <w:rsid w:val="008F220C"/>
    <w:rsid w:val="008F224B"/>
    <w:rsid w:val="008F22C6"/>
    <w:rsid w:val="008F23CA"/>
    <w:rsid w:val="008F240D"/>
    <w:rsid w:val="008F2610"/>
    <w:rsid w:val="008F28A3"/>
    <w:rsid w:val="008F28B0"/>
    <w:rsid w:val="008F2959"/>
    <w:rsid w:val="008F29F3"/>
    <w:rsid w:val="008F2B24"/>
    <w:rsid w:val="008F2E06"/>
    <w:rsid w:val="008F2E0C"/>
    <w:rsid w:val="008F2E4B"/>
    <w:rsid w:val="008F2EBC"/>
    <w:rsid w:val="008F2EF5"/>
    <w:rsid w:val="008F2F27"/>
    <w:rsid w:val="008F2F29"/>
    <w:rsid w:val="008F2F58"/>
    <w:rsid w:val="008F30E8"/>
    <w:rsid w:val="008F3211"/>
    <w:rsid w:val="008F3243"/>
    <w:rsid w:val="008F3255"/>
    <w:rsid w:val="008F3356"/>
    <w:rsid w:val="008F336E"/>
    <w:rsid w:val="008F34BE"/>
    <w:rsid w:val="008F34BF"/>
    <w:rsid w:val="008F34CB"/>
    <w:rsid w:val="008F3616"/>
    <w:rsid w:val="008F3763"/>
    <w:rsid w:val="008F37DF"/>
    <w:rsid w:val="008F37F7"/>
    <w:rsid w:val="008F38D6"/>
    <w:rsid w:val="008F3A4A"/>
    <w:rsid w:val="008F3A5F"/>
    <w:rsid w:val="008F3B28"/>
    <w:rsid w:val="008F3B7A"/>
    <w:rsid w:val="008F3BFA"/>
    <w:rsid w:val="008F3CAC"/>
    <w:rsid w:val="008F3EAF"/>
    <w:rsid w:val="008F3EBD"/>
    <w:rsid w:val="008F3EC7"/>
    <w:rsid w:val="008F3F01"/>
    <w:rsid w:val="008F3FF3"/>
    <w:rsid w:val="008F4079"/>
    <w:rsid w:val="008F40FD"/>
    <w:rsid w:val="008F4205"/>
    <w:rsid w:val="008F423D"/>
    <w:rsid w:val="008F42C5"/>
    <w:rsid w:val="008F4408"/>
    <w:rsid w:val="008F4490"/>
    <w:rsid w:val="008F4774"/>
    <w:rsid w:val="008F4C84"/>
    <w:rsid w:val="008F4D3D"/>
    <w:rsid w:val="008F4D8F"/>
    <w:rsid w:val="008F4DE0"/>
    <w:rsid w:val="008F4EF0"/>
    <w:rsid w:val="008F4F1E"/>
    <w:rsid w:val="008F4F77"/>
    <w:rsid w:val="008F500A"/>
    <w:rsid w:val="008F5067"/>
    <w:rsid w:val="008F5103"/>
    <w:rsid w:val="008F529C"/>
    <w:rsid w:val="008F52B6"/>
    <w:rsid w:val="008F5306"/>
    <w:rsid w:val="008F549C"/>
    <w:rsid w:val="008F5511"/>
    <w:rsid w:val="008F559B"/>
    <w:rsid w:val="008F564F"/>
    <w:rsid w:val="008F566C"/>
    <w:rsid w:val="008F571E"/>
    <w:rsid w:val="008F5765"/>
    <w:rsid w:val="008F585F"/>
    <w:rsid w:val="008F586B"/>
    <w:rsid w:val="008F5895"/>
    <w:rsid w:val="008F59A0"/>
    <w:rsid w:val="008F5A10"/>
    <w:rsid w:val="008F5A53"/>
    <w:rsid w:val="008F5C03"/>
    <w:rsid w:val="008F5C09"/>
    <w:rsid w:val="008F5CA3"/>
    <w:rsid w:val="008F5CE9"/>
    <w:rsid w:val="008F5CF7"/>
    <w:rsid w:val="008F5D26"/>
    <w:rsid w:val="008F5D2B"/>
    <w:rsid w:val="008F5E23"/>
    <w:rsid w:val="008F5E5C"/>
    <w:rsid w:val="008F5FBF"/>
    <w:rsid w:val="008F5FC0"/>
    <w:rsid w:val="008F60D9"/>
    <w:rsid w:val="008F61CA"/>
    <w:rsid w:val="008F61D6"/>
    <w:rsid w:val="008F6447"/>
    <w:rsid w:val="008F65BB"/>
    <w:rsid w:val="008F65C7"/>
    <w:rsid w:val="008F661B"/>
    <w:rsid w:val="008F6647"/>
    <w:rsid w:val="008F666B"/>
    <w:rsid w:val="008F667B"/>
    <w:rsid w:val="008F6749"/>
    <w:rsid w:val="008F686C"/>
    <w:rsid w:val="008F68E2"/>
    <w:rsid w:val="008F6BCE"/>
    <w:rsid w:val="008F6C3F"/>
    <w:rsid w:val="008F6CCF"/>
    <w:rsid w:val="008F6E9E"/>
    <w:rsid w:val="008F6ED1"/>
    <w:rsid w:val="008F6F1B"/>
    <w:rsid w:val="008F6F82"/>
    <w:rsid w:val="008F72A5"/>
    <w:rsid w:val="008F7401"/>
    <w:rsid w:val="008F75C6"/>
    <w:rsid w:val="008F760C"/>
    <w:rsid w:val="008F765D"/>
    <w:rsid w:val="008F76A7"/>
    <w:rsid w:val="008F76E1"/>
    <w:rsid w:val="008F777A"/>
    <w:rsid w:val="008F77D2"/>
    <w:rsid w:val="008F787A"/>
    <w:rsid w:val="008F79D4"/>
    <w:rsid w:val="008F7A76"/>
    <w:rsid w:val="008F7BFB"/>
    <w:rsid w:val="008F7C1E"/>
    <w:rsid w:val="008F7CC4"/>
    <w:rsid w:val="008F7CD9"/>
    <w:rsid w:val="008F7E12"/>
    <w:rsid w:val="008F7F07"/>
    <w:rsid w:val="008F7F57"/>
    <w:rsid w:val="008F7FC3"/>
    <w:rsid w:val="009000DF"/>
    <w:rsid w:val="00900124"/>
    <w:rsid w:val="00900265"/>
    <w:rsid w:val="009002A9"/>
    <w:rsid w:val="009002F5"/>
    <w:rsid w:val="0090030A"/>
    <w:rsid w:val="0090030D"/>
    <w:rsid w:val="00900359"/>
    <w:rsid w:val="00900388"/>
    <w:rsid w:val="00900425"/>
    <w:rsid w:val="00900558"/>
    <w:rsid w:val="00900650"/>
    <w:rsid w:val="00900675"/>
    <w:rsid w:val="00900693"/>
    <w:rsid w:val="0090072A"/>
    <w:rsid w:val="0090087D"/>
    <w:rsid w:val="00900910"/>
    <w:rsid w:val="00900A5D"/>
    <w:rsid w:val="00900A97"/>
    <w:rsid w:val="00900BAB"/>
    <w:rsid w:val="00900CCE"/>
    <w:rsid w:val="00900D4C"/>
    <w:rsid w:val="00900EC0"/>
    <w:rsid w:val="00900EF4"/>
    <w:rsid w:val="00900FAB"/>
    <w:rsid w:val="00901041"/>
    <w:rsid w:val="00901097"/>
    <w:rsid w:val="009011D7"/>
    <w:rsid w:val="009011F6"/>
    <w:rsid w:val="009012BB"/>
    <w:rsid w:val="009012BD"/>
    <w:rsid w:val="009012DB"/>
    <w:rsid w:val="009014F8"/>
    <w:rsid w:val="00901780"/>
    <w:rsid w:val="009018E7"/>
    <w:rsid w:val="00901922"/>
    <w:rsid w:val="00901952"/>
    <w:rsid w:val="00901AD9"/>
    <w:rsid w:val="00901BF9"/>
    <w:rsid w:val="00901CA0"/>
    <w:rsid w:val="00901D43"/>
    <w:rsid w:val="00901D54"/>
    <w:rsid w:val="00901E32"/>
    <w:rsid w:val="00901EAD"/>
    <w:rsid w:val="00901EFA"/>
    <w:rsid w:val="00902303"/>
    <w:rsid w:val="00902318"/>
    <w:rsid w:val="00902353"/>
    <w:rsid w:val="009024B5"/>
    <w:rsid w:val="009025D6"/>
    <w:rsid w:val="0090263D"/>
    <w:rsid w:val="00902768"/>
    <w:rsid w:val="0090276D"/>
    <w:rsid w:val="00902868"/>
    <w:rsid w:val="009028C5"/>
    <w:rsid w:val="00902944"/>
    <w:rsid w:val="009029FD"/>
    <w:rsid w:val="00902AA1"/>
    <w:rsid w:val="00902B4C"/>
    <w:rsid w:val="00902C5D"/>
    <w:rsid w:val="00902C9B"/>
    <w:rsid w:val="00902D37"/>
    <w:rsid w:val="00902E20"/>
    <w:rsid w:val="00902E5E"/>
    <w:rsid w:val="00902F15"/>
    <w:rsid w:val="00902F7A"/>
    <w:rsid w:val="00902FAF"/>
    <w:rsid w:val="00902FCF"/>
    <w:rsid w:val="00903177"/>
    <w:rsid w:val="009031CF"/>
    <w:rsid w:val="0090329D"/>
    <w:rsid w:val="00903336"/>
    <w:rsid w:val="00903399"/>
    <w:rsid w:val="0090361A"/>
    <w:rsid w:val="00903769"/>
    <w:rsid w:val="00903D7F"/>
    <w:rsid w:val="00903D87"/>
    <w:rsid w:val="00903DB5"/>
    <w:rsid w:val="00903E11"/>
    <w:rsid w:val="00903F34"/>
    <w:rsid w:val="00903F72"/>
    <w:rsid w:val="00904114"/>
    <w:rsid w:val="00904339"/>
    <w:rsid w:val="0090439A"/>
    <w:rsid w:val="009044DB"/>
    <w:rsid w:val="0090451C"/>
    <w:rsid w:val="00904583"/>
    <w:rsid w:val="009045BE"/>
    <w:rsid w:val="009045CF"/>
    <w:rsid w:val="00904715"/>
    <w:rsid w:val="00904742"/>
    <w:rsid w:val="0090489D"/>
    <w:rsid w:val="00904913"/>
    <w:rsid w:val="00904997"/>
    <w:rsid w:val="0090499F"/>
    <w:rsid w:val="009049F5"/>
    <w:rsid w:val="00904B24"/>
    <w:rsid w:val="00904B4C"/>
    <w:rsid w:val="00904B9F"/>
    <w:rsid w:val="00904BFB"/>
    <w:rsid w:val="00904E77"/>
    <w:rsid w:val="00904F96"/>
    <w:rsid w:val="00904F9F"/>
    <w:rsid w:val="0090506A"/>
    <w:rsid w:val="0090511A"/>
    <w:rsid w:val="0090515A"/>
    <w:rsid w:val="0090516A"/>
    <w:rsid w:val="00905210"/>
    <w:rsid w:val="009052AF"/>
    <w:rsid w:val="009052D4"/>
    <w:rsid w:val="00905490"/>
    <w:rsid w:val="00905562"/>
    <w:rsid w:val="009055AC"/>
    <w:rsid w:val="009055D8"/>
    <w:rsid w:val="0090565C"/>
    <w:rsid w:val="00905733"/>
    <w:rsid w:val="009057E1"/>
    <w:rsid w:val="0090594E"/>
    <w:rsid w:val="00905B48"/>
    <w:rsid w:val="00905BDD"/>
    <w:rsid w:val="00905C05"/>
    <w:rsid w:val="00905C5C"/>
    <w:rsid w:val="00905CF4"/>
    <w:rsid w:val="00905D51"/>
    <w:rsid w:val="00905D60"/>
    <w:rsid w:val="00905D78"/>
    <w:rsid w:val="00905E9B"/>
    <w:rsid w:val="00905ED6"/>
    <w:rsid w:val="00905F0C"/>
    <w:rsid w:val="0090609E"/>
    <w:rsid w:val="0090609F"/>
    <w:rsid w:val="00906172"/>
    <w:rsid w:val="0090620B"/>
    <w:rsid w:val="00906239"/>
    <w:rsid w:val="0090623E"/>
    <w:rsid w:val="00906281"/>
    <w:rsid w:val="009062B9"/>
    <w:rsid w:val="009062DD"/>
    <w:rsid w:val="009062F2"/>
    <w:rsid w:val="0090630E"/>
    <w:rsid w:val="0090632E"/>
    <w:rsid w:val="0090656E"/>
    <w:rsid w:val="009065EE"/>
    <w:rsid w:val="00906622"/>
    <w:rsid w:val="009066AF"/>
    <w:rsid w:val="009066D5"/>
    <w:rsid w:val="00906803"/>
    <w:rsid w:val="00906825"/>
    <w:rsid w:val="00906843"/>
    <w:rsid w:val="00906862"/>
    <w:rsid w:val="0090697C"/>
    <w:rsid w:val="0090698D"/>
    <w:rsid w:val="009069C8"/>
    <w:rsid w:val="00906AAD"/>
    <w:rsid w:val="00906AE6"/>
    <w:rsid w:val="00906BEF"/>
    <w:rsid w:val="00906BF1"/>
    <w:rsid w:val="00906C0A"/>
    <w:rsid w:val="00906DDD"/>
    <w:rsid w:val="009070E1"/>
    <w:rsid w:val="009072AC"/>
    <w:rsid w:val="009075AE"/>
    <w:rsid w:val="009075BF"/>
    <w:rsid w:val="00907649"/>
    <w:rsid w:val="009076BE"/>
    <w:rsid w:val="009076FF"/>
    <w:rsid w:val="00907750"/>
    <w:rsid w:val="00907A26"/>
    <w:rsid w:val="00907ACA"/>
    <w:rsid w:val="00907B86"/>
    <w:rsid w:val="00907BD1"/>
    <w:rsid w:val="00907D1B"/>
    <w:rsid w:val="00907D7D"/>
    <w:rsid w:val="00907DB8"/>
    <w:rsid w:val="00907E9B"/>
    <w:rsid w:val="00907F17"/>
    <w:rsid w:val="00907F2A"/>
    <w:rsid w:val="00907F8C"/>
    <w:rsid w:val="0091003D"/>
    <w:rsid w:val="009100AA"/>
    <w:rsid w:val="009100C6"/>
    <w:rsid w:val="00910107"/>
    <w:rsid w:val="0091012E"/>
    <w:rsid w:val="0091019A"/>
    <w:rsid w:val="0091026D"/>
    <w:rsid w:val="0091029D"/>
    <w:rsid w:val="009103EC"/>
    <w:rsid w:val="009103F0"/>
    <w:rsid w:val="0091041A"/>
    <w:rsid w:val="00910420"/>
    <w:rsid w:val="0091058C"/>
    <w:rsid w:val="00910656"/>
    <w:rsid w:val="0091065D"/>
    <w:rsid w:val="009107FA"/>
    <w:rsid w:val="0091087D"/>
    <w:rsid w:val="009109E1"/>
    <w:rsid w:val="009109F0"/>
    <w:rsid w:val="00910A33"/>
    <w:rsid w:val="00910AD9"/>
    <w:rsid w:val="00910CCF"/>
    <w:rsid w:val="00910DA9"/>
    <w:rsid w:val="00910E19"/>
    <w:rsid w:val="00910E7F"/>
    <w:rsid w:val="00910EF6"/>
    <w:rsid w:val="00910F1D"/>
    <w:rsid w:val="00911057"/>
    <w:rsid w:val="009110FF"/>
    <w:rsid w:val="00911113"/>
    <w:rsid w:val="009112BA"/>
    <w:rsid w:val="0091131D"/>
    <w:rsid w:val="009113FF"/>
    <w:rsid w:val="00911480"/>
    <w:rsid w:val="00911570"/>
    <w:rsid w:val="009115A5"/>
    <w:rsid w:val="0091177C"/>
    <w:rsid w:val="009117A4"/>
    <w:rsid w:val="00911871"/>
    <w:rsid w:val="0091189E"/>
    <w:rsid w:val="00911940"/>
    <w:rsid w:val="0091195E"/>
    <w:rsid w:val="009119C0"/>
    <w:rsid w:val="00911CEB"/>
    <w:rsid w:val="00911D89"/>
    <w:rsid w:val="00911D9B"/>
    <w:rsid w:val="00911DB5"/>
    <w:rsid w:val="00911ECF"/>
    <w:rsid w:val="00911F07"/>
    <w:rsid w:val="00911F51"/>
    <w:rsid w:val="0091201B"/>
    <w:rsid w:val="009120C0"/>
    <w:rsid w:val="009121B1"/>
    <w:rsid w:val="009122A9"/>
    <w:rsid w:val="00912314"/>
    <w:rsid w:val="00912452"/>
    <w:rsid w:val="00912481"/>
    <w:rsid w:val="00912491"/>
    <w:rsid w:val="0091251C"/>
    <w:rsid w:val="00912526"/>
    <w:rsid w:val="00912548"/>
    <w:rsid w:val="009126E5"/>
    <w:rsid w:val="009126EC"/>
    <w:rsid w:val="009128BF"/>
    <w:rsid w:val="0091298C"/>
    <w:rsid w:val="00912990"/>
    <w:rsid w:val="00912B4F"/>
    <w:rsid w:val="00912B96"/>
    <w:rsid w:val="00912BD1"/>
    <w:rsid w:val="00912D40"/>
    <w:rsid w:val="00912DD4"/>
    <w:rsid w:val="00912EA4"/>
    <w:rsid w:val="00912EBC"/>
    <w:rsid w:val="00912EC5"/>
    <w:rsid w:val="00912EF9"/>
    <w:rsid w:val="00912FBC"/>
    <w:rsid w:val="00913039"/>
    <w:rsid w:val="00913257"/>
    <w:rsid w:val="0091326E"/>
    <w:rsid w:val="0091337A"/>
    <w:rsid w:val="00913704"/>
    <w:rsid w:val="00913791"/>
    <w:rsid w:val="009137B1"/>
    <w:rsid w:val="0091380E"/>
    <w:rsid w:val="00913922"/>
    <w:rsid w:val="009139AD"/>
    <w:rsid w:val="00913BEF"/>
    <w:rsid w:val="00913C2C"/>
    <w:rsid w:val="00913C79"/>
    <w:rsid w:val="00913D2A"/>
    <w:rsid w:val="00913E48"/>
    <w:rsid w:val="00913E4C"/>
    <w:rsid w:val="00913E52"/>
    <w:rsid w:val="00913E84"/>
    <w:rsid w:val="00913F8E"/>
    <w:rsid w:val="0091403D"/>
    <w:rsid w:val="009140E7"/>
    <w:rsid w:val="009141DF"/>
    <w:rsid w:val="00914260"/>
    <w:rsid w:val="00914272"/>
    <w:rsid w:val="0091429F"/>
    <w:rsid w:val="009143FD"/>
    <w:rsid w:val="00914415"/>
    <w:rsid w:val="00914777"/>
    <w:rsid w:val="00914856"/>
    <w:rsid w:val="00914963"/>
    <w:rsid w:val="00914AE8"/>
    <w:rsid w:val="00914C84"/>
    <w:rsid w:val="00914CBA"/>
    <w:rsid w:val="00914CD4"/>
    <w:rsid w:val="00914E53"/>
    <w:rsid w:val="00914F24"/>
    <w:rsid w:val="0091502A"/>
    <w:rsid w:val="00915062"/>
    <w:rsid w:val="00915080"/>
    <w:rsid w:val="009150F3"/>
    <w:rsid w:val="00915103"/>
    <w:rsid w:val="00915104"/>
    <w:rsid w:val="00915180"/>
    <w:rsid w:val="00915274"/>
    <w:rsid w:val="0091528E"/>
    <w:rsid w:val="009152B3"/>
    <w:rsid w:val="0091530F"/>
    <w:rsid w:val="0091534B"/>
    <w:rsid w:val="00915463"/>
    <w:rsid w:val="0091548C"/>
    <w:rsid w:val="00915599"/>
    <w:rsid w:val="009155C2"/>
    <w:rsid w:val="009155CC"/>
    <w:rsid w:val="009157C1"/>
    <w:rsid w:val="009157FB"/>
    <w:rsid w:val="0091586E"/>
    <w:rsid w:val="009158C5"/>
    <w:rsid w:val="00915955"/>
    <w:rsid w:val="00915960"/>
    <w:rsid w:val="00915B8C"/>
    <w:rsid w:val="00915C15"/>
    <w:rsid w:val="00915D5A"/>
    <w:rsid w:val="00915EAE"/>
    <w:rsid w:val="00915FDE"/>
    <w:rsid w:val="00916093"/>
    <w:rsid w:val="009161D2"/>
    <w:rsid w:val="0091621E"/>
    <w:rsid w:val="00916310"/>
    <w:rsid w:val="0091637A"/>
    <w:rsid w:val="0091648A"/>
    <w:rsid w:val="009164C9"/>
    <w:rsid w:val="009164EE"/>
    <w:rsid w:val="0091661B"/>
    <w:rsid w:val="00916693"/>
    <w:rsid w:val="0091680E"/>
    <w:rsid w:val="009168EA"/>
    <w:rsid w:val="009169DB"/>
    <w:rsid w:val="00916A49"/>
    <w:rsid w:val="00916C8A"/>
    <w:rsid w:val="00916CA3"/>
    <w:rsid w:val="00916D3D"/>
    <w:rsid w:val="00916DC1"/>
    <w:rsid w:val="00916E5B"/>
    <w:rsid w:val="00916F12"/>
    <w:rsid w:val="00916FF1"/>
    <w:rsid w:val="00917022"/>
    <w:rsid w:val="009170A8"/>
    <w:rsid w:val="00917160"/>
    <w:rsid w:val="0091736A"/>
    <w:rsid w:val="00917376"/>
    <w:rsid w:val="009173CB"/>
    <w:rsid w:val="009173E3"/>
    <w:rsid w:val="0091751A"/>
    <w:rsid w:val="009175C4"/>
    <w:rsid w:val="009175DA"/>
    <w:rsid w:val="0091765B"/>
    <w:rsid w:val="0091770C"/>
    <w:rsid w:val="009178FD"/>
    <w:rsid w:val="00917957"/>
    <w:rsid w:val="00917BD3"/>
    <w:rsid w:val="00917DB9"/>
    <w:rsid w:val="00917FCD"/>
    <w:rsid w:val="0091ECEA"/>
    <w:rsid w:val="00920330"/>
    <w:rsid w:val="00920368"/>
    <w:rsid w:val="00920391"/>
    <w:rsid w:val="009203E4"/>
    <w:rsid w:val="00920440"/>
    <w:rsid w:val="009204B5"/>
    <w:rsid w:val="009204CB"/>
    <w:rsid w:val="00920507"/>
    <w:rsid w:val="00920518"/>
    <w:rsid w:val="0092057F"/>
    <w:rsid w:val="0092079C"/>
    <w:rsid w:val="009208AA"/>
    <w:rsid w:val="009208DC"/>
    <w:rsid w:val="00920AE5"/>
    <w:rsid w:val="00920B48"/>
    <w:rsid w:val="00920B59"/>
    <w:rsid w:val="00920D93"/>
    <w:rsid w:val="00920DDA"/>
    <w:rsid w:val="00920F8F"/>
    <w:rsid w:val="009210FA"/>
    <w:rsid w:val="00921165"/>
    <w:rsid w:val="0092125A"/>
    <w:rsid w:val="009213C0"/>
    <w:rsid w:val="0092147B"/>
    <w:rsid w:val="00921585"/>
    <w:rsid w:val="009215A2"/>
    <w:rsid w:val="0092161B"/>
    <w:rsid w:val="00921622"/>
    <w:rsid w:val="009216DD"/>
    <w:rsid w:val="0092186C"/>
    <w:rsid w:val="00921948"/>
    <w:rsid w:val="00921A12"/>
    <w:rsid w:val="00921A20"/>
    <w:rsid w:val="00921AA3"/>
    <w:rsid w:val="00921B47"/>
    <w:rsid w:val="00921B5B"/>
    <w:rsid w:val="00921BE7"/>
    <w:rsid w:val="00921D0C"/>
    <w:rsid w:val="00921D0D"/>
    <w:rsid w:val="00921D1D"/>
    <w:rsid w:val="00921D3B"/>
    <w:rsid w:val="00921D98"/>
    <w:rsid w:val="00921DB2"/>
    <w:rsid w:val="00921DE5"/>
    <w:rsid w:val="00921E0C"/>
    <w:rsid w:val="00921E37"/>
    <w:rsid w:val="00921E40"/>
    <w:rsid w:val="00921ECF"/>
    <w:rsid w:val="00921F8B"/>
    <w:rsid w:val="00921FD4"/>
    <w:rsid w:val="0092212F"/>
    <w:rsid w:val="0092213E"/>
    <w:rsid w:val="00922141"/>
    <w:rsid w:val="009221F0"/>
    <w:rsid w:val="0092227B"/>
    <w:rsid w:val="00922292"/>
    <w:rsid w:val="009223E5"/>
    <w:rsid w:val="00922408"/>
    <w:rsid w:val="00922505"/>
    <w:rsid w:val="0092266A"/>
    <w:rsid w:val="00922833"/>
    <w:rsid w:val="009228D1"/>
    <w:rsid w:val="00922960"/>
    <w:rsid w:val="009229A7"/>
    <w:rsid w:val="00922A25"/>
    <w:rsid w:val="00922A76"/>
    <w:rsid w:val="00922B80"/>
    <w:rsid w:val="00922B82"/>
    <w:rsid w:val="00922FA2"/>
    <w:rsid w:val="00923010"/>
    <w:rsid w:val="00923156"/>
    <w:rsid w:val="009231C9"/>
    <w:rsid w:val="009231DB"/>
    <w:rsid w:val="0092326D"/>
    <w:rsid w:val="00923281"/>
    <w:rsid w:val="00923333"/>
    <w:rsid w:val="0092338F"/>
    <w:rsid w:val="009233B3"/>
    <w:rsid w:val="009233BF"/>
    <w:rsid w:val="009234F2"/>
    <w:rsid w:val="009234F8"/>
    <w:rsid w:val="00923590"/>
    <w:rsid w:val="00923623"/>
    <w:rsid w:val="009236C1"/>
    <w:rsid w:val="0092374C"/>
    <w:rsid w:val="0092387E"/>
    <w:rsid w:val="0092391C"/>
    <w:rsid w:val="00923A58"/>
    <w:rsid w:val="00923B47"/>
    <w:rsid w:val="00923B90"/>
    <w:rsid w:val="00923C61"/>
    <w:rsid w:val="00923C7A"/>
    <w:rsid w:val="00923D7C"/>
    <w:rsid w:val="00923E73"/>
    <w:rsid w:val="009240A7"/>
    <w:rsid w:val="00924189"/>
    <w:rsid w:val="009241BB"/>
    <w:rsid w:val="00924273"/>
    <w:rsid w:val="0092428C"/>
    <w:rsid w:val="0092433F"/>
    <w:rsid w:val="0092445C"/>
    <w:rsid w:val="00924773"/>
    <w:rsid w:val="00924791"/>
    <w:rsid w:val="009247C9"/>
    <w:rsid w:val="0092495B"/>
    <w:rsid w:val="00924A6B"/>
    <w:rsid w:val="00924ADD"/>
    <w:rsid w:val="00924FC2"/>
    <w:rsid w:val="0092501D"/>
    <w:rsid w:val="0092507A"/>
    <w:rsid w:val="00925275"/>
    <w:rsid w:val="009252B2"/>
    <w:rsid w:val="0092535E"/>
    <w:rsid w:val="00925377"/>
    <w:rsid w:val="009254CA"/>
    <w:rsid w:val="009256A9"/>
    <w:rsid w:val="00925890"/>
    <w:rsid w:val="0092594F"/>
    <w:rsid w:val="00925A0F"/>
    <w:rsid w:val="00925BA5"/>
    <w:rsid w:val="00925BF7"/>
    <w:rsid w:val="00925C53"/>
    <w:rsid w:val="00925DE3"/>
    <w:rsid w:val="00925F2E"/>
    <w:rsid w:val="00925F87"/>
    <w:rsid w:val="00926037"/>
    <w:rsid w:val="009260C8"/>
    <w:rsid w:val="00926118"/>
    <w:rsid w:val="009261F8"/>
    <w:rsid w:val="0092628F"/>
    <w:rsid w:val="009262C3"/>
    <w:rsid w:val="00926336"/>
    <w:rsid w:val="0092637E"/>
    <w:rsid w:val="00926380"/>
    <w:rsid w:val="009263C4"/>
    <w:rsid w:val="009263D8"/>
    <w:rsid w:val="0092658F"/>
    <w:rsid w:val="0092662E"/>
    <w:rsid w:val="0092674A"/>
    <w:rsid w:val="009267AB"/>
    <w:rsid w:val="0092689C"/>
    <w:rsid w:val="009268AD"/>
    <w:rsid w:val="0092692D"/>
    <w:rsid w:val="00926A2B"/>
    <w:rsid w:val="00926ADC"/>
    <w:rsid w:val="00926B14"/>
    <w:rsid w:val="00926C84"/>
    <w:rsid w:val="00926CA2"/>
    <w:rsid w:val="00926CD4"/>
    <w:rsid w:val="00926D06"/>
    <w:rsid w:val="00926DA1"/>
    <w:rsid w:val="00926E70"/>
    <w:rsid w:val="00927003"/>
    <w:rsid w:val="00927117"/>
    <w:rsid w:val="00927140"/>
    <w:rsid w:val="0092725A"/>
    <w:rsid w:val="009276E9"/>
    <w:rsid w:val="00927902"/>
    <w:rsid w:val="009279CA"/>
    <w:rsid w:val="00927AB3"/>
    <w:rsid w:val="00927ACC"/>
    <w:rsid w:val="00927C23"/>
    <w:rsid w:val="00927CDF"/>
    <w:rsid w:val="00927CE5"/>
    <w:rsid w:val="00927D29"/>
    <w:rsid w:val="00927D64"/>
    <w:rsid w:val="00927DCD"/>
    <w:rsid w:val="00930066"/>
    <w:rsid w:val="00930164"/>
    <w:rsid w:val="009301C8"/>
    <w:rsid w:val="009301D2"/>
    <w:rsid w:val="0093038C"/>
    <w:rsid w:val="009303EC"/>
    <w:rsid w:val="0093040C"/>
    <w:rsid w:val="00930531"/>
    <w:rsid w:val="00930539"/>
    <w:rsid w:val="00930563"/>
    <w:rsid w:val="00930648"/>
    <w:rsid w:val="009306E5"/>
    <w:rsid w:val="009306E8"/>
    <w:rsid w:val="0093077B"/>
    <w:rsid w:val="009307EE"/>
    <w:rsid w:val="00930872"/>
    <w:rsid w:val="00930908"/>
    <w:rsid w:val="00930948"/>
    <w:rsid w:val="00930983"/>
    <w:rsid w:val="009309FE"/>
    <w:rsid w:val="00930A5A"/>
    <w:rsid w:val="00930A6C"/>
    <w:rsid w:val="00930B55"/>
    <w:rsid w:val="00930CA1"/>
    <w:rsid w:val="00930DA2"/>
    <w:rsid w:val="00930E3B"/>
    <w:rsid w:val="00930E4C"/>
    <w:rsid w:val="00930E50"/>
    <w:rsid w:val="00930EC0"/>
    <w:rsid w:val="00930EC3"/>
    <w:rsid w:val="00931063"/>
    <w:rsid w:val="00931071"/>
    <w:rsid w:val="00931083"/>
    <w:rsid w:val="00931146"/>
    <w:rsid w:val="00931206"/>
    <w:rsid w:val="0093133F"/>
    <w:rsid w:val="00931492"/>
    <w:rsid w:val="00931663"/>
    <w:rsid w:val="009316D8"/>
    <w:rsid w:val="0093182A"/>
    <w:rsid w:val="009318AF"/>
    <w:rsid w:val="009318CA"/>
    <w:rsid w:val="0093198F"/>
    <w:rsid w:val="00931A3A"/>
    <w:rsid w:val="00931B13"/>
    <w:rsid w:val="00931B8D"/>
    <w:rsid w:val="00931BB8"/>
    <w:rsid w:val="00931BEE"/>
    <w:rsid w:val="00931CEC"/>
    <w:rsid w:val="00931D50"/>
    <w:rsid w:val="00931EB9"/>
    <w:rsid w:val="00931EDD"/>
    <w:rsid w:val="00931F29"/>
    <w:rsid w:val="00932000"/>
    <w:rsid w:val="00932040"/>
    <w:rsid w:val="0093209E"/>
    <w:rsid w:val="009320B8"/>
    <w:rsid w:val="00932136"/>
    <w:rsid w:val="00932236"/>
    <w:rsid w:val="00932291"/>
    <w:rsid w:val="0093237E"/>
    <w:rsid w:val="00932416"/>
    <w:rsid w:val="0093242F"/>
    <w:rsid w:val="00932446"/>
    <w:rsid w:val="009324D2"/>
    <w:rsid w:val="00932510"/>
    <w:rsid w:val="009325A0"/>
    <w:rsid w:val="009325DB"/>
    <w:rsid w:val="00932636"/>
    <w:rsid w:val="009328BB"/>
    <w:rsid w:val="009328D8"/>
    <w:rsid w:val="00932A4B"/>
    <w:rsid w:val="00932A6B"/>
    <w:rsid w:val="00932A96"/>
    <w:rsid w:val="00932C0B"/>
    <w:rsid w:val="00932C4B"/>
    <w:rsid w:val="00932F04"/>
    <w:rsid w:val="00932F0D"/>
    <w:rsid w:val="00933077"/>
    <w:rsid w:val="0093317F"/>
    <w:rsid w:val="009331A5"/>
    <w:rsid w:val="00933219"/>
    <w:rsid w:val="00933244"/>
    <w:rsid w:val="0093327F"/>
    <w:rsid w:val="009332A9"/>
    <w:rsid w:val="009332DF"/>
    <w:rsid w:val="00933326"/>
    <w:rsid w:val="009333D3"/>
    <w:rsid w:val="0093341A"/>
    <w:rsid w:val="0093342D"/>
    <w:rsid w:val="0093352C"/>
    <w:rsid w:val="00933548"/>
    <w:rsid w:val="00933599"/>
    <w:rsid w:val="009335B5"/>
    <w:rsid w:val="00933687"/>
    <w:rsid w:val="00933724"/>
    <w:rsid w:val="00933870"/>
    <w:rsid w:val="00933901"/>
    <w:rsid w:val="00933AB1"/>
    <w:rsid w:val="00933B91"/>
    <w:rsid w:val="00933CB6"/>
    <w:rsid w:val="00933DB7"/>
    <w:rsid w:val="00933DBB"/>
    <w:rsid w:val="00933E06"/>
    <w:rsid w:val="00933E87"/>
    <w:rsid w:val="00933EA3"/>
    <w:rsid w:val="00933F4A"/>
    <w:rsid w:val="00933FF6"/>
    <w:rsid w:val="00934027"/>
    <w:rsid w:val="00934084"/>
    <w:rsid w:val="0093414E"/>
    <w:rsid w:val="0093415D"/>
    <w:rsid w:val="009341CA"/>
    <w:rsid w:val="009341E5"/>
    <w:rsid w:val="009342E6"/>
    <w:rsid w:val="00934414"/>
    <w:rsid w:val="00934444"/>
    <w:rsid w:val="00934523"/>
    <w:rsid w:val="009345D3"/>
    <w:rsid w:val="00934896"/>
    <w:rsid w:val="009349A8"/>
    <w:rsid w:val="00934AE0"/>
    <w:rsid w:val="00934B18"/>
    <w:rsid w:val="00934B2B"/>
    <w:rsid w:val="00934B58"/>
    <w:rsid w:val="00934BB2"/>
    <w:rsid w:val="00934BF7"/>
    <w:rsid w:val="00934C21"/>
    <w:rsid w:val="00934CE1"/>
    <w:rsid w:val="00934D11"/>
    <w:rsid w:val="00934DA0"/>
    <w:rsid w:val="00934DE3"/>
    <w:rsid w:val="00934EB4"/>
    <w:rsid w:val="0093501E"/>
    <w:rsid w:val="009350A3"/>
    <w:rsid w:val="00935238"/>
    <w:rsid w:val="00935263"/>
    <w:rsid w:val="009354E7"/>
    <w:rsid w:val="00935556"/>
    <w:rsid w:val="009355CD"/>
    <w:rsid w:val="0093577A"/>
    <w:rsid w:val="00935887"/>
    <w:rsid w:val="00935A3F"/>
    <w:rsid w:val="00935AFC"/>
    <w:rsid w:val="00935B37"/>
    <w:rsid w:val="00935CF5"/>
    <w:rsid w:val="00935D06"/>
    <w:rsid w:val="00935DD2"/>
    <w:rsid w:val="00935E35"/>
    <w:rsid w:val="00935EB4"/>
    <w:rsid w:val="00935EDD"/>
    <w:rsid w:val="00935F27"/>
    <w:rsid w:val="00935F69"/>
    <w:rsid w:val="00936199"/>
    <w:rsid w:val="00936262"/>
    <w:rsid w:val="009362AD"/>
    <w:rsid w:val="00936384"/>
    <w:rsid w:val="00936430"/>
    <w:rsid w:val="0093651C"/>
    <w:rsid w:val="009365B5"/>
    <w:rsid w:val="009365DA"/>
    <w:rsid w:val="0093662D"/>
    <w:rsid w:val="00936701"/>
    <w:rsid w:val="009367CE"/>
    <w:rsid w:val="00936882"/>
    <w:rsid w:val="00936895"/>
    <w:rsid w:val="00936965"/>
    <w:rsid w:val="009369D5"/>
    <w:rsid w:val="00936ABC"/>
    <w:rsid w:val="00936BDE"/>
    <w:rsid w:val="00936C39"/>
    <w:rsid w:val="00936CBE"/>
    <w:rsid w:val="00936E07"/>
    <w:rsid w:val="00936E5C"/>
    <w:rsid w:val="00936F15"/>
    <w:rsid w:val="0093705C"/>
    <w:rsid w:val="0093707D"/>
    <w:rsid w:val="009370F7"/>
    <w:rsid w:val="0093711A"/>
    <w:rsid w:val="009372DA"/>
    <w:rsid w:val="00937328"/>
    <w:rsid w:val="0093743D"/>
    <w:rsid w:val="00937510"/>
    <w:rsid w:val="00937808"/>
    <w:rsid w:val="009378E6"/>
    <w:rsid w:val="009379A7"/>
    <w:rsid w:val="00937A7D"/>
    <w:rsid w:val="00937B11"/>
    <w:rsid w:val="00937C36"/>
    <w:rsid w:val="00937CA4"/>
    <w:rsid w:val="00937E32"/>
    <w:rsid w:val="00937E9F"/>
    <w:rsid w:val="00937F62"/>
    <w:rsid w:val="00940009"/>
    <w:rsid w:val="00940039"/>
    <w:rsid w:val="0094003F"/>
    <w:rsid w:val="009400B5"/>
    <w:rsid w:val="009400FA"/>
    <w:rsid w:val="00940139"/>
    <w:rsid w:val="00940368"/>
    <w:rsid w:val="009403BC"/>
    <w:rsid w:val="00940415"/>
    <w:rsid w:val="00940557"/>
    <w:rsid w:val="0094058B"/>
    <w:rsid w:val="00940606"/>
    <w:rsid w:val="00940730"/>
    <w:rsid w:val="00940784"/>
    <w:rsid w:val="009408AB"/>
    <w:rsid w:val="009408B9"/>
    <w:rsid w:val="00940984"/>
    <w:rsid w:val="009409EA"/>
    <w:rsid w:val="00940B76"/>
    <w:rsid w:val="00940C11"/>
    <w:rsid w:val="00940C57"/>
    <w:rsid w:val="00941116"/>
    <w:rsid w:val="00941169"/>
    <w:rsid w:val="009412A9"/>
    <w:rsid w:val="009413AC"/>
    <w:rsid w:val="00941442"/>
    <w:rsid w:val="009414D3"/>
    <w:rsid w:val="00941504"/>
    <w:rsid w:val="00941546"/>
    <w:rsid w:val="00941632"/>
    <w:rsid w:val="009416F6"/>
    <w:rsid w:val="00941886"/>
    <w:rsid w:val="0094198B"/>
    <w:rsid w:val="00941BA2"/>
    <w:rsid w:val="00941C9F"/>
    <w:rsid w:val="00941DB1"/>
    <w:rsid w:val="00941E4D"/>
    <w:rsid w:val="00941F9A"/>
    <w:rsid w:val="00941FB5"/>
    <w:rsid w:val="0094202D"/>
    <w:rsid w:val="00942263"/>
    <w:rsid w:val="009422D5"/>
    <w:rsid w:val="0094234D"/>
    <w:rsid w:val="0094235F"/>
    <w:rsid w:val="00942363"/>
    <w:rsid w:val="009424BC"/>
    <w:rsid w:val="009424C6"/>
    <w:rsid w:val="009424F0"/>
    <w:rsid w:val="00942586"/>
    <w:rsid w:val="00942661"/>
    <w:rsid w:val="0094270E"/>
    <w:rsid w:val="00942890"/>
    <w:rsid w:val="0094296A"/>
    <w:rsid w:val="00942A4E"/>
    <w:rsid w:val="00942A9E"/>
    <w:rsid w:val="00942B4A"/>
    <w:rsid w:val="00942B4C"/>
    <w:rsid w:val="00942BF1"/>
    <w:rsid w:val="00942D6B"/>
    <w:rsid w:val="00942DC8"/>
    <w:rsid w:val="00942F46"/>
    <w:rsid w:val="00942FCE"/>
    <w:rsid w:val="009430E1"/>
    <w:rsid w:val="00943165"/>
    <w:rsid w:val="009431B3"/>
    <w:rsid w:val="0094320F"/>
    <w:rsid w:val="0094329B"/>
    <w:rsid w:val="00943426"/>
    <w:rsid w:val="0094345B"/>
    <w:rsid w:val="00943509"/>
    <w:rsid w:val="009435A2"/>
    <w:rsid w:val="009436F5"/>
    <w:rsid w:val="00943797"/>
    <w:rsid w:val="009438A6"/>
    <w:rsid w:val="009439D6"/>
    <w:rsid w:val="00943B59"/>
    <w:rsid w:val="00943BAB"/>
    <w:rsid w:val="00943DDB"/>
    <w:rsid w:val="00943E0C"/>
    <w:rsid w:val="00943E55"/>
    <w:rsid w:val="00943FBB"/>
    <w:rsid w:val="00944094"/>
    <w:rsid w:val="0094416D"/>
    <w:rsid w:val="00944205"/>
    <w:rsid w:val="009442A7"/>
    <w:rsid w:val="009442C7"/>
    <w:rsid w:val="009443C5"/>
    <w:rsid w:val="00944490"/>
    <w:rsid w:val="0094457D"/>
    <w:rsid w:val="009445FD"/>
    <w:rsid w:val="009446DC"/>
    <w:rsid w:val="00944867"/>
    <w:rsid w:val="00944906"/>
    <w:rsid w:val="009449B5"/>
    <w:rsid w:val="00944A54"/>
    <w:rsid w:val="00944AAA"/>
    <w:rsid w:val="00944AB4"/>
    <w:rsid w:val="00944B7E"/>
    <w:rsid w:val="00944C4D"/>
    <w:rsid w:val="00944C67"/>
    <w:rsid w:val="00944CB8"/>
    <w:rsid w:val="00944CC8"/>
    <w:rsid w:val="00944CEB"/>
    <w:rsid w:val="00944CF0"/>
    <w:rsid w:val="00944D3C"/>
    <w:rsid w:val="00944F07"/>
    <w:rsid w:val="009450D1"/>
    <w:rsid w:val="00945107"/>
    <w:rsid w:val="00945259"/>
    <w:rsid w:val="00945416"/>
    <w:rsid w:val="0094544D"/>
    <w:rsid w:val="009454E3"/>
    <w:rsid w:val="009455E4"/>
    <w:rsid w:val="009456BC"/>
    <w:rsid w:val="009457BF"/>
    <w:rsid w:val="00945816"/>
    <w:rsid w:val="00945B18"/>
    <w:rsid w:val="00945BFB"/>
    <w:rsid w:val="00945C52"/>
    <w:rsid w:val="00945D51"/>
    <w:rsid w:val="00945DC5"/>
    <w:rsid w:val="00945DCE"/>
    <w:rsid w:val="00945E04"/>
    <w:rsid w:val="00945E3C"/>
    <w:rsid w:val="00945E5E"/>
    <w:rsid w:val="00945FA2"/>
    <w:rsid w:val="00946058"/>
    <w:rsid w:val="009462E4"/>
    <w:rsid w:val="009464A4"/>
    <w:rsid w:val="009464B3"/>
    <w:rsid w:val="00946532"/>
    <w:rsid w:val="0094662F"/>
    <w:rsid w:val="009466ED"/>
    <w:rsid w:val="00946702"/>
    <w:rsid w:val="009467BC"/>
    <w:rsid w:val="00946928"/>
    <w:rsid w:val="0094697E"/>
    <w:rsid w:val="009469F8"/>
    <w:rsid w:val="00946BBF"/>
    <w:rsid w:val="00946C56"/>
    <w:rsid w:val="00946CEE"/>
    <w:rsid w:val="00946D4E"/>
    <w:rsid w:val="00946D54"/>
    <w:rsid w:val="00946DD0"/>
    <w:rsid w:val="00946DF5"/>
    <w:rsid w:val="00946EE0"/>
    <w:rsid w:val="00946EE1"/>
    <w:rsid w:val="00946F75"/>
    <w:rsid w:val="0094700D"/>
    <w:rsid w:val="0094702A"/>
    <w:rsid w:val="00947056"/>
    <w:rsid w:val="0094717A"/>
    <w:rsid w:val="009471F8"/>
    <w:rsid w:val="00947223"/>
    <w:rsid w:val="009473C9"/>
    <w:rsid w:val="00947416"/>
    <w:rsid w:val="00947641"/>
    <w:rsid w:val="0094772F"/>
    <w:rsid w:val="00947799"/>
    <w:rsid w:val="00947909"/>
    <w:rsid w:val="0094791F"/>
    <w:rsid w:val="0094795A"/>
    <w:rsid w:val="009479B4"/>
    <w:rsid w:val="00947B32"/>
    <w:rsid w:val="00947B84"/>
    <w:rsid w:val="00947BFB"/>
    <w:rsid w:val="00947C23"/>
    <w:rsid w:val="00947D10"/>
    <w:rsid w:val="00947D24"/>
    <w:rsid w:val="00947D5E"/>
    <w:rsid w:val="00947DAB"/>
    <w:rsid w:val="00947E6C"/>
    <w:rsid w:val="00950141"/>
    <w:rsid w:val="00950364"/>
    <w:rsid w:val="0095051B"/>
    <w:rsid w:val="00950566"/>
    <w:rsid w:val="0095071D"/>
    <w:rsid w:val="00950733"/>
    <w:rsid w:val="0095086E"/>
    <w:rsid w:val="00950879"/>
    <w:rsid w:val="00950A51"/>
    <w:rsid w:val="00950C4B"/>
    <w:rsid w:val="00950C99"/>
    <w:rsid w:val="00950CBD"/>
    <w:rsid w:val="00950D8E"/>
    <w:rsid w:val="00950DF5"/>
    <w:rsid w:val="00950ECF"/>
    <w:rsid w:val="00950EE5"/>
    <w:rsid w:val="00950EF8"/>
    <w:rsid w:val="00950FB0"/>
    <w:rsid w:val="00951083"/>
    <w:rsid w:val="00951175"/>
    <w:rsid w:val="009512CB"/>
    <w:rsid w:val="00951394"/>
    <w:rsid w:val="009513B1"/>
    <w:rsid w:val="009513EE"/>
    <w:rsid w:val="009515B4"/>
    <w:rsid w:val="009515D4"/>
    <w:rsid w:val="0095160C"/>
    <w:rsid w:val="00951795"/>
    <w:rsid w:val="00951865"/>
    <w:rsid w:val="009518FD"/>
    <w:rsid w:val="00951927"/>
    <w:rsid w:val="0095192B"/>
    <w:rsid w:val="00951D5C"/>
    <w:rsid w:val="00951D87"/>
    <w:rsid w:val="00951EED"/>
    <w:rsid w:val="0095204B"/>
    <w:rsid w:val="009520C5"/>
    <w:rsid w:val="0095224A"/>
    <w:rsid w:val="00952278"/>
    <w:rsid w:val="00952344"/>
    <w:rsid w:val="00952396"/>
    <w:rsid w:val="00952474"/>
    <w:rsid w:val="009524DC"/>
    <w:rsid w:val="00952525"/>
    <w:rsid w:val="0095264A"/>
    <w:rsid w:val="00952748"/>
    <w:rsid w:val="009527BD"/>
    <w:rsid w:val="0095291F"/>
    <w:rsid w:val="00952921"/>
    <w:rsid w:val="009529AE"/>
    <w:rsid w:val="00952A12"/>
    <w:rsid w:val="00952A65"/>
    <w:rsid w:val="00952A67"/>
    <w:rsid w:val="00952AAE"/>
    <w:rsid w:val="00952AF7"/>
    <w:rsid w:val="00952B41"/>
    <w:rsid w:val="00952B61"/>
    <w:rsid w:val="00952C32"/>
    <w:rsid w:val="00952CA1"/>
    <w:rsid w:val="00952CC0"/>
    <w:rsid w:val="00952D54"/>
    <w:rsid w:val="00952E9B"/>
    <w:rsid w:val="00952EEA"/>
    <w:rsid w:val="00952F9B"/>
    <w:rsid w:val="00952FD7"/>
    <w:rsid w:val="0095304A"/>
    <w:rsid w:val="00953091"/>
    <w:rsid w:val="00953112"/>
    <w:rsid w:val="00953191"/>
    <w:rsid w:val="009531BB"/>
    <w:rsid w:val="0095327B"/>
    <w:rsid w:val="009532AB"/>
    <w:rsid w:val="009532BD"/>
    <w:rsid w:val="00953515"/>
    <w:rsid w:val="00953699"/>
    <w:rsid w:val="00953798"/>
    <w:rsid w:val="0095388C"/>
    <w:rsid w:val="00953891"/>
    <w:rsid w:val="0095399C"/>
    <w:rsid w:val="009539EF"/>
    <w:rsid w:val="00953A6F"/>
    <w:rsid w:val="00953BF9"/>
    <w:rsid w:val="00954016"/>
    <w:rsid w:val="0095413C"/>
    <w:rsid w:val="00954165"/>
    <w:rsid w:val="00954342"/>
    <w:rsid w:val="009544AD"/>
    <w:rsid w:val="0095452C"/>
    <w:rsid w:val="009545CE"/>
    <w:rsid w:val="00954691"/>
    <w:rsid w:val="009548DB"/>
    <w:rsid w:val="00954A85"/>
    <w:rsid w:val="00954B0D"/>
    <w:rsid w:val="00954B8B"/>
    <w:rsid w:val="00954CF4"/>
    <w:rsid w:val="00954EC5"/>
    <w:rsid w:val="009550B2"/>
    <w:rsid w:val="009550DE"/>
    <w:rsid w:val="00955259"/>
    <w:rsid w:val="009552F2"/>
    <w:rsid w:val="00955695"/>
    <w:rsid w:val="0095573B"/>
    <w:rsid w:val="00955965"/>
    <w:rsid w:val="00955C99"/>
    <w:rsid w:val="00955D5E"/>
    <w:rsid w:val="00955E15"/>
    <w:rsid w:val="00955EC4"/>
    <w:rsid w:val="00955F54"/>
    <w:rsid w:val="00955FFD"/>
    <w:rsid w:val="0095603F"/>
    <w:rsid w:val="00956063"/>
    <w:rsid w:val="009560E1"/>
    <w:rsid w:val="009561A0"/>
    <w:rsid w:val="00956368"/>
    <w:rsid w:val="0095643D"/>
    <w:rsid w:val="00956563"/>
    <w:rsid w:val="00956657"/>
    <w:rsid w:val="00956724"/>
    <w:rsid w:val="009568B9"/>
    <w:rsid w:val="009568DD"/>
    <w:rsid w:val="009569BA"/>
    <w:rsid w:val="00956B65"/>
    <w:rsid w:val="00956C3B"/>
    <w:rsid w:val="00956C3C"/>
    <w:rsid w:val="00956E67"/>
    <w:rsid w:val="00956E96"/>
    <w:rsid w:val="00956F72"/>
    <w:rsid w:val="00956F84"/>
    <w:rsid w:val="009570CE"/>
    <w:rsid w:val="00957123"/>
    <w:rsid w:val="0095715E"/>
    <w:rsid w:val="009573BF"/>
    <w:rsid w:val="00957464"/>
    <w:rsid w:val="00957481"/>
    <w:rsid w:val="009575A5"/>
    <w:rsid w:val="00957661"/>
    <w:rsid w:val="009576D9"/>
    <w:rsid w:val="00957773"/>
    <w:rsid w:val="009577C2"/>
    <w:rsid w:val="00957802"/>
    <w:rsid w:val="00957830"/>
    <w:rsid w:val="0095783A"/>
    <w:rsid w:val="00957A90"/>
    <w:rsid w:val="00957B72"/>
    <w:rsid w:val="00957C7D"/>
    <w:rsid w:val="00957C99"/>
    <w:rsid w:val="00957C9E"/>
    <w:rsid w:val="00957CE2"/>
    <w:rsid w:val="00957D24"/>
    <w:rsid w:val="00957E1F"/>
    <w:rsid w:val="00957EFB"/>
    <w:rsid w:val="00957F55"/>
    <w:rsid w:val="00957F79"/>
    <w:rsid w:val="00957FAA"/>
    <w:rsid w:val="00957FCB"/>
    <w:rsid w:val="00957FDE"/>
    <w:rsid w:val="0096001C"/>
    <w:rsid w:val="00960345"/>
    <w:rsid w:val="009603A4"/>
    <w:rsid w:val="009603BE"/>
    <w:rsid w:val="009604AC"/>
    <w:rsid w:val="009605E7"/>
    <w:rsid w:val="00960662"/>
    <w:rsid w:val="00960751"/>
    <w:rsid w:val="00960769"/>
    <w:rsid w:val="0096077D"/>
    <w:rsid w:val="009607CF"/>
    <w:rsid w:val="0096081A"/>
    <w:rsid w:val="0096084D"/>
    <w:rsid w:val="00960889"/>
    <w:rsid w:val="00960978"/>
    <w:rsid w:val="009609B3"/>
    <w:rsid w:val="00960B47"/>
    <w:rsid w:val="00960B9A"/>
    <w:rsid w:val="00960C44"/>
    <w:rsid w:val="00960F47"/>
    <w:rsid w:val="00960F63"/>
    <w:rsid w:val="00960FDE"/>
    <w:rsid w:val="009610A3"/>
    <w:rsid w:val="009610B1"/>
    <w:rsid w:val="009610C7"/>
    <w:rsid w:val="0096119F"/>
    <w:rsid w:val="009611CE"/>
    <w:rsid w:val="009611F4"/>
    <w:rsid w:val="009612DE"/>
    <w:rsid w:val="00961364"/>
    <w:rsid w:val="00961367"/>
    <w:rsid w:val="0096146E"/>
    <w:rsid w:val="00961805"/>
    <w:rsid w:val="00961846"/>
    <w:rsid w:val="00961C35"/>
    <w:rsid w:val="00961C94"/>
    <w:rsid w:val="00961CEB"/>
    <w:rsid w:val="00961E3F"/>
    <w:rsid w:val="00961F76"/>
    <w:rsid w:val="009620DE"/>
    <w:rsid w:val="0096210C"/>
    <w:rsid w:val="009623BF"/>
    <w:rsid w:val="0096257C"/>
    <w:rsid w:val="0096266C"/>
    <w:rsid w:val="0096267E"/>
    <w:rsid w:val="009626F4"/>
    <w:rsid w:val="00962717"/>
    <w:rsid w:val="0096280B"/>
    <w:rsid w:val="00962897"/>
    <w:rsid w:val="009628C5"/>
    <w:rsid w:val="009628D9"/>
    <w:rsid w:val="009628FE"/>
    <w:rsid w:val="00962AC9"/>
    <w:rsid w:val="00962ADB"/>
    <w:rsid w:val="00962B29"/>
    <w:rsid w:val="00962BEC"/>
    <w:rsid w:val="00962C0A"/>
    <w:rsid w:val="00962C1F"/>
    <w:rsid w:val="00962D14"/>
    <w:rsid w:val="00963038"/>
    <w:rsid w:val="0096310F"/>
    <w:rsid w:val="00963178"/>
    <w:rsid w:val="00963316"/>
    <w:rsid w:val="009633FE"/>
    <w:rsid w:val="00963489"/>
    <w:rsid w:val="0096351F"/>
    <w:rsid w:val="0096352B"/>
    <w:rsid w:val="009635A2"/>
    <w:rsid w:val="0096361E"/>
    <w:rsid w:val="009636F5"/>
    <w:rsid w:val="00963938"/>
    <w:rsid w:val="00963B5A"/>
    <w:rsid w:val="00963BCB"/>
    <w:rsid w:val="00963C2C"/>
    <w:rsid w:val="00963F26"/>
    <w:rsid w:val="009640BF"/>
    <w:rsid w:val="009642B5"/>
    <w:rsid w:val="009642D5"/>
    <w:rsid w:val="009642DB"/>
    <w:rsid w:val="00964445"/>
    <w:rsid w:val="0096444E"/>
    <w:rsid w:val="0096455F"/>
    <w:rsid w:val="009646D6"/>
    <w:rsid w:val="009647D1"/>
    <w:rsid w:val="009647F7"/>
    <w:rsid w:val="00964813"/>
    <w:rsid w:val="00964831"/>
    <w:rsid w:val="009648A3"/>
    <w:rsid w:val="00964B46"/>
    <w:rsid w:val="00964BFC"/>
    <w:rsid w:val="00964C08"/>
    <w:rsid w:val="00964C0C"/>
    <w:rsid w:val="00964C44"/>
    <w:rsid w:val="00964D23"/>
    <w:rsid w:val="00964D65"/>
    <w:rsid w:val="0096510E"/>
    <w:rsid w:val="00965250"/>
    <w:rsid w:val="009653F1"/>
    <w:rsid w:val="00965484"/>
    <w:rsid w:val="009654AE"/>
    <w:rsid w:val="00965568"/>
    <w:rsid w:val="0096562E"/>
    <w:rsid w:val="009656E2"/>
    <w:rsid w:val="009656EB"/>
    <w:rsid w:val="0096576D"/>
    <w:rsid w:val="009657F0"/>
    <w:rsid w:val="00965836"/>
    <w:rsid w:val="00965838"/>
    <w:rsid w:val="00965887"/>
    <w:rsid w:val="009659EC"/>
    <w:rsid w:val="00965B26"/>
    <w:rsid w:val="00965B71"/>
    <w:rsid w:val="00965B96"/>
    <w:rsid w:val="00965C75"/>
    <w:rsid w:val="00965D90"/>
    <w:rsid w:val="00965E87"/>
    <w:rsid w:val="00965F03"/>
    <w:rsid w:val="00965F04"/>
    <w:rsid w:val="00965F84"/>
    <w:rsid w:val="00965F89"/>
    <w:rsid w:val="00965F8A"/>
    <w:rsid w:val="00966072"/>
    <w:rsid w:val="00966086"/>
    <w:rsid w:val="009660D6"/>
    <w:rsid w:val="009661C6"/>
    <w:rsid w:val="00966214"/>
    <w:rsid w:val="0096621F"/>
    <w:rsid w:val="00966279"/>
    <w:rsid w:val="00966471"/>
    <w:rsid w:val="009664D2"/>
    <w:rsid w:val="009665D9"/>
    <w:rsid w:val="0096681F"/>
    <w:rsid w:val="00966852"/>
    <w:rsid w:val="009668F2"/>
    <w:rsid w:val="00966933"/>
    <w:rsid w:val="00966A06"/>
    <w:rsid w:val="00966A17"/>
    <w:rsid w:val="00966B69"/>
    <w:rsid w:val="00966BF0"/>
    <w:rsid w:val="0096702F"/>
    <w:rsid w:val="00967174"/>
    <w:rsid w:val="009671F7"/>
    <w:rsid w:val="009672F3"/>
    <w:rsid w:val="009674A9"/>
    <w:rsid w:val="0096763E"/>
    <w:rsid w:val="009677D7"/>
    <w:rsid w:val="0096786F"/>
    <w:rsid w:val="009678AF"/>
    <w:rsid w:val="009679F5"/>
    <w:rsid w:val="009679FF"/>
    <w:rsid w:val="00967A56"/>
    <w:rsid w:val="00967B6E"/>
    <w:rsid w:val="00967C74"/>
    <w:rsid w:val="00967C9C"/>
    <w:rsid w:val="00967E55"/>
    <w:rsid w:val="00967E58"/>
    <w:rsid w:val="009700D5"/>
    <w:rsid w:val="009701FA"/>
    <w:rsid w:val="0097022C"/>
    <w:rsid w:val="0097025E"/>
    <w:rsid w:val="009703BC"/>
    <w:rsid w:val="00970592"/>
    <w:rsid w:val="00970705"/>
    <w:rsid w:val="00970732"/>
    <w:rsid w:val="009707A6"/>
    <w:rsid w:val="0097082D"/>
    <w:rsid w:val="0097097A"/>
    <w:rsid w:val="009709B7"/>
    <w:rsid w:val="00970A23"/>
    <w:rsid w:val="00970AE0"/>
    <w:rsid w:val="00970BB6"/>
    <w:rsid w:val="00970C18"/>
    <w:rsid w:val="00970DB5"/>
    <w:rsid w:val="00970EF7"/>
    <w:rsid w:val="0097105E"/>
    <w:rsid w:val="0097112D"/>
    <w:rsid w:val="00971138"/>
    <w:rsid w:val="009715D5"/>
    <w:rsid w:val="009715DA"/>
    <w:rsid w:val="0097160F"/>
    <w:rsid w:val="009716AF"/>
    <w:rsid w:val="00971750"/>
    <w:rsid w:val="00971770"/>
    <w:rsid w:val="009717B1"/>
    <w:rsid w:val="00971933"/>
    <w:rsid w:val="009719A8"/>
    <w:rsid w:val="00971AA0"/>
    <w:rsid w:val="00971B30"/>
    <w:rsid w:val="00971BAD"/>
    <w:rsid w:val="00971C61"/>
    <w:rsid w:val="00971CA9"/>
    <w:rsid w:val="00971CC1"/>
    <w:rsid w:val="00971CC2"/>
    <w:rsid w:val="00971CC5"/>
    <w:rsid w:val="00971D0A"/>
    <w:rsid w:val="00971D6F"/>
    <w:rsid w:val="00971E8D"/>
    <w:rsid w:val="00971EDD"/>
    <w:rsid w:val="00971FF8"/>
    <w:rsid w:val="009720A9"/>
    <w:rsid w:val="009722CA"/>
    <w:rsid w:val="0097243B"/>
    <w:rsid w:val="009724C1"/>
    <w:rsid w:val="009727F0"/>
    <w:rsid w:val="0097296C"/>
    <w:rsid w:val="00972A58"/>
    <w:rsid w:val="00972A6A"/>
    <w:rsid w:val="00972B2D"/>
    <w:rsid w:val="00972D7B"/>
    <w:rsid w:val="00972D9E"/>
    <w:rsid w:val="00972DEA"/>
    <w:rsid w:val="00972EC2"/>
    <w:rsid w:val="00972F27"/>
    <w:rsid w:val="00972F39"/>
    <w:rsid w:val="00972F41"/>
    <w:rsid w:val="00973005"/>
    <w:rsid w:val="00973128"/>
    <w:rsid w:val="009731D0"/>
    <w:rsid w:val="009732C6"/>
    <w:rsid w:val="00973367"/>
    <w:rsid w:val="009734E7"/>
    <w:rsid w:val="0097367E"/>
    <w:rsid w:val="00973703"/>
    <w:rsid w:val="00973774"/>
    <w:rsid w:val="00973799"/>
    <w:rsid w:val="00973855"/>
    <w:rsid w:val="00973BEC"/>
    <w:rsid w:val="00973BEF"/>
    <w:rsid w:val="00973C5F"/>
    <w:rsid w:val="00973C9D"/>
    <w:rsid w:val="009740AC"/>
    <w:rsid w:val="00974114"/>
    <w:rsid w:val="009741AB"/>
    <w:rsid w:val="009741BF"/>
    <w:rsid w:val="009741C5"/>
    <w:rsid w:val="009744C1"/>
    <w:rsid w:val="009745BD"/>
    <w:rsid w:val="00974667"/>
    <w:rsid w:val="009746F5"/>
    <w:rsid w:val="00974709"/>
    <w:rsid w:val="009747B6"/>
    <w:rsid w:val="0097482C"/>
    <w:rsid w:val="00974891"/>
    <w:rsid w:val="0097490A"/>
    <w:rsid w:val="009749FC"/>
    <w:rsid w:val="00974B6D"/>
    <w:rsid w:val="00974B7C"/>
    <w:rsid w:val="00974BA7"/>
    <w:rsid w:val="00974C2F"/>
    <w:rsid w:val="00974DAE"/>
    <w:rsid w:val="00974E00"/>
    <w:rsid w:val="00974F5D"/>
    <w:rsid w:val="0097504A"/>
    <w:rsid w:val="009750A9"/>
    <w:rsid w:val="009750DE"/>
    <w:rsid w:val="009751C4"/>
    <w:rsid w:val="00975278"/>
    <w:rsid w:val="00975291"/>
    <w:rsid w:val="009752B9"/>
    <w:rsid w:val="00975346"/>
    <w:rsid w:val="00975431"/>
    <w:rsid w:val="00975433"/>
    <w:rsid w:val="00975517"/>
    <w:rsid w:val="009755D6"/>
    <w:rsid w:val="009755DA"/>
    <w:rsid w:val="009757E4"/>
    <w:rsid w:val="00975801"/>
    <w:rsid w:val="0097596F"/>
    <w:rsid w:val="00975B2B"/>
    <w:rsid w:val="00975B6C"/>
    <w:rsid w:val="00975BA3"/>
    <w:rsid w:val="00975E10"/>
    <w:rsid w:val="00975E47"/>
    <w:rsid w:val="00975FD1"/>
    <w:rsid w:val="0097607E"/>
    <w:rsid w:val="0097609A"/>
    <w:rsid w:val="009760C0"/>
    <w:rsid w:val="009760C4"/>
    <w:rsid w:val="00976224"/>
    <w:rsid w:val="009762DC"/>
    <w:rsid w:val="009762F8"/>
    <w:rsid w:val="009764A9"/>
    <w:rsid w:val="0097665C"/>
    <w:rsid w:val="00976680"/>
    <w:rsid w:val="009766E3"/>
    <w:rsid w:val="00976880"/>
    <w:rsid w:val="00976A08"/>
    <w:rsid w:val="00976A63"/>
    <w:rsid w:val="00976AE7"/>
    <w:rsid w:val="00976B2F"/>
    <w:rsid w:val="00976C15"/>
    <w:rsid w:val="00976D8C"/>
    <w:rsid w:val="00976DCE"/>
    <w:rsid w:val="00976E43"/>
    <w:rsid w:val="00976E8B"/>
    <w:rsid w:val="00976F2C"/>
    <w:rsid w:val="00976F87"/>
    <w:rsid w:val="00977170"/>
    <w:rsid w:val="009771BE"/>
    <w:rsid w:val="0097721E"/>
    <w:rsid w:val="0097725C"/>
    <w:rsid w:val="00977305"/>
    <w:rsid w:val="009773AF"/>
    <w:rsid w:val="0097750E"/>
    <w:rsid w:val="0097754D"/>
    <w:rsid w:val="009775DD"/>
    <w:rsid w:val="009775F1"/>
    <w:rsid w:val="00977906"/>
    <w:rsid w:val="00977C76"/>
    <w:rsid w:val="00977C7A"/>
    <w:rsid w:val="00977C8F"/>
    <w:rsid w:val="00977D16"/>
    <w:rsid w:val="00977D3F"/>
    <w:rsid w:val="00977E63"/>
    <w:rsid w:val="00977E9B"/>
    <w:rsid w:val="00977EBB"/>
    <w:rsid w:val="00977EBE"/>
    <w:rsid w:val="00977F3F"/>
    <w:rsid w:val="00980029"/>
    <w:rsid w:val="0098007C"/>
    <w:rsid w:val="00980095"/>
    <w:rsid w:val="009800A7"/>
    <w:rsid w:val="009800B3"/>
    <w:rsid w:val="0098015C"/>
    <w:rsid w:val="0098016B"/>
    <w:rsid w:val="009801F4"/>
    <w:rsid w:val="0098021F"/>
    <w:rsid w:val="00980253"/>
    <w:rsid w:val="0098040A"/>
    <w:rsid w:val="00980467"/>
    <w:rsid w:val="009804D3"/>
    <w:rsid w:val="009805C0"/>
    <w:rsid w:val="009807C1"/>
    <w:rsid w:val="009809E6"/>
    <w:rsid w:val="00980B7C"/>
    <w:rsid w:val="00980EC7"/>
    <w:rsid w:val="00980F00"/>
    <w:rsid w:val="00980FB4"/>
    <w:rsid w:val="00980FBD"/>
    <w:rsid w:val="00980FF5"/>
    <w:rsid w:val="009810B4"/>
    <w:rsid w:val="009811AB"/>
    <w:rsid w:val="00981205"/>
    <w:rsid w:val="0098125F"/>
    <w:rsid w:val="00981272"/>
    <w:rsid w:val="00981302"/>
    <w:rsid w:val="00981454"/>
    <w:rsid w:val="00981488"/>
    <w:rsid w:val="00981501"/>
    <w:rsid w:val="0098152A"/>
    <w:rsid w:val="00981732"/>
    <w:rsid w:val="00981755"/>
    <w:rsid w:val="00981760"/>
    <w:rsid w:val="009817BB"/>
    <w:rsid w:val="00981859"/>
    <w:rsid w:val="00981981"/>
    <w:rsid w:val="009819E9"/>
    <w:rsid w:val="009819F5"/>
    <w:rsid w:val="00981A0D"/>
    <w:rsid w:val="00981AFF"/>
    <w:rsid w:val="00981B03"/>
    <w:rsid w:val="00981B43"/>
    <w:rsid w:val="00981BD5"/>
    <w:rsid w:val="00981E47"/>
    <w:rsid w:val="009820C8"/>
    <w:rsid w:val="0098211A"/>
    <w:rsid w:val="00982220"/>
    <w:rsid w:val="00982294"/>
    <w:rsid w:val="009822C3"/>
    <w:rsid w:val="009822E2"/>
    <w:rsid w:val="009822E8"/>
    <w:rsid w:val="00982316"/>
    <w:rsid w:val="0098237B"/>
    <w:rsid w:val="009823A5"/>
    <w:rsid w:val="00982533"/>
    <w:rsid w:val="0098256D"/>
    <w:rsid w:val="0098274F"/>
    <w:rsid w:val="0098275B"/>
    <w:rsid w:val="009827FE"/>
    <w:rsid w:val="00982859"/>
    <w:rsid w:val="0098292F"/>
    <w:rsid w:val="00982944"/>
    <w:rsid w:val="00982984"/>
    <w:rsid w:val="009829BA"/>
    <w:rsid w:val="00982A93"/>
    <w:rsid w:val="00982AA0"/>
    <w:rsid w:val="00982B65"/>
    <w:rsid w:val="00982CBF"/>
    <w:rsid w:val="00982D5A"/>
    <w:rsid w:val="00982E1D"/>
    <w:rsid w:val="00982E51"/>
    <w:rsid w:val="00982E71"/>
    <w:rsid w:val="00982EC6"/>
    <w:rsid w:val="00983030"/>
    <w:rsid w:val="00983033"/>
    <w:rsid w:val="00983091"/>
    <w:rsid w:val="009830EE"/>
    <w:rsid w:val="009831C6"/>
    <w:rsid w:val="009832B5"/>
    <w:rsid w:val="009832D1"/>
    <w:rsid w:val="009832FE"/>
    <w:rsid w:val="009833F9"/>
    <w:rsid w:val="009834F6"/>
    <w:rsid w:val="00983598"/>
    <w:rsid w:val="009835A0"/>
    <w:rsid w:val="009835D5"/>
    <w:rsid w:val="00983601"/>
    <w:rsid w:val="00983621"/>
    <w:rsid w:val="00983676"/>
    <w:rsid w:val="00983780"/>
    <w:rsid w:val="00983994"/>
    <w:rsid w:val="00983A33"/>
    <w:rsid w:val="00983D4A"/>
    <w:rsid w:val="00983DC8"/>
    <w:rsid w:val="00983E55"/>
    <w:rsid w:val="00983E90"/>
    <w:rsid w:val="00984072"/>
    <w:rsid w:val="00984076"/>
    <w:rsid w:val="0098410D"/>
    <w:rsid w:val="009841BE"/>
    <w:rsid w:val="0098424E"/>
    <w:rsid w:val="00984346"/>
    <w:rsid w:val="009843F8"/>
    <w:rsid w:val="00984405"/>
    <w:rsid w:val="009844BD"/>
    <w:rsid w:val="009845B1"/>
    <w:rsid w:val="00984643"/>
    <w:rsid w:val="009846B5"/>
    <w:rsid w:val="009846F6"/>
    <w:rsid w:val="00984804"/>
    <w:rsid w:val="0098484C"/>
    <w:rsid w:val="00984BF3"/>
    <w:rsid w:val="00984C9F"/>
    <w:rsid w:val="00984CE1"/>
    <w:rsid w:val="00984EC7"/>
    <w:rsid w:val="00985241"/>
    <w:rsid w:val="009852E0"/>
    <w:rsid w:val="00985307"/>
    <w:rsid w:val="00985338"/>
    <w:rsid w:val="009853CF"/>
    <w:rsid w:val="009854BD"/>
    <w:rsid w:val="0098551F"/>
    <w:rsid w:val="009855CD"/>
    <w:rsid w:val="00985616"/>
    <w:rsid w:val="009856DA"/>
    <w:rsid w:val="00985941"/>
    <w:rsid w:val="0098595D"/>
    <w:rsid w:val="0098598B"/>
    <w:rsid w:val="00985B13"/>
    <w:rsid w:val="00985C75"/>
    <w:rsid w:val="00985D43"/>
    <w:rsid w:val="00985E61"/>
    <w:rsid w:val="00985ED2"/>
    <w:rsid w:val="00985FD8"/>
    <w:rsid w:val="00986052"/>
    <w:rsid w:val="00986245"/>
    <w:rsid w:val="009863A0"/>
    <w:rsid w:val="009863AD"/>
    <w:rsid w:val="0098646B"/>
    <w:rsid w:val="00986471"/>
    <w:rsid w:val="00986498"/>
    <w:rsid w:val="009864ED"/>
    <w:rsid w:val="0098660D"/>
    <w:rsid w:val="0098660F"/>
    <w:rsid w:val="00986622"/>
    <w:rsid w:val="00986674"/>
    <w:rsid w:val="009866AA"/>
    <w:rsid w:val="00986756"/>
    <w:rsid w:val="009867D7"/>
    <w:rsid w:val="009867ED"/>
    <w:rsid w:val="0098687A"/>
    <w:rsid w:val="0098688F"/>
    <w:rsid w:val="00986965"/>
    <w:rsid w:val="00986B00"/>
    <w:rsid w:val="00986B34"/>
    <w:rsid w:val="00986B89"/>
    <w:rsid w:val="00986CAF"/>
    <w:rsid w:val="00986CF2"/>
    <w:rsid w:val="00986D62"/>
    <w:rsid w:val="00986DED"/>
    <w:rsid w:val="00986E21"/>
    <w:rsid w:val="00986F74"/>
    <w:rsid w:val="00987055"/>
    <w:rsid w:val="00987066"/>
    <w:rsid w:val="0098711A"/>
    <w:rsid w:val="0098723C"/>
    <w:rsid w:val="00987241"/>
    <w:rsid w:val="009872C5"/>
    <w:rsid w:val="0098733E"/>
    <w:rsid w:val="00987433"/>
    <w:rsid w:val="0098768D"/>
    <w:rsid w:val="009876EC"/>
    <w:rsid w:val="00987872"/>
    <w:rsid w:val="00987907"/>
    <w:rsid w:val="00987933"/>
    <w:rsid w:val="00987A68"/>
    <w:rsid w:val="00987AC7"/>
    <w:rsid w:val="00987BCE"/>
    <w:rsid w:val="00987D02"/>
    <w:rsid w:val="00987E76"/>
    <w:rsid w:val="00987F06"/>
    <w:rsid w:val="00987F29"/>
    <w:rsid w:val="00987F2C"/>
    <w:rsid w:val="0099006A"/>
    <w:rsid w:val="009900E3"/>
    <w:rsid w:val="00990142"/>
    <w:rsid w:val="0099028C"/>
    <w:rsid w:val="00990330"/>
    <w:rsid w:val="0099035F"/>
    <w:rsid w:val="009903BE"/>
    <w:rsid w:val="009904FC"/>
    <w:rsid w:val="00990528"/>
    <w:rsid w:val="00990539"/>
    <w:rsid w:val="0099058A"/>
    <w:rsid w:val="00990659"/>
    <w:rsid w:val="009907E3"/>
    <w:rsid w:val="009907E4"/>
    <w:rsid w:val="00990862"/>
    <w:rsid w:val="0099086B"/>
    <w:rsid w:val="009908CF"/>
    <w:rsid w:val="00990988"/>
    <w:rsid w:val="00990CBE"/>
    <w:rsid w:val="00990DD7"/>
    <w:rsid w:val="00990DF4"/>
    <w:rsid w:val="00990F3D"/>
    <w:rsid w:val="00990F6C"/>
    <w:rsid w:val="00990F9A"/>
    <w:rsid w:val="0099101D"/>
    <w:rsid w:val="009911C0"/>
    <w:rsid w:val="009911E7"/>
    <w:rsid w:val="00991406"/>
    <w:rsid w:val="009914F3"/>
    <w:rsid w:val="009914F9"/>
    <w:rsid w:val="0099160C"/>
    <w:rsid w:val="0099173F"/>
    <w:rsid w:val="0099181E"/>
    <w:rsid w:val="009918A0"/>
    <w:rsid w:val="0099192D"/>
    <w:rsid w:val="0099198F"/>
    <w:rsid w:val="00991B4A"/>
    <w:rsid w:val="00991BB1"/>
    <w:rsid w:val="00991C3E"/>
    <w:rsid w:val="00991CB8"/>
    <w:rsid w:val="00991D44"/>
    <w:rsid w:val="00991E2E"/>
    <w:rsid w:val="00991E7E"/>
    <w:rsid w:val="00991EB5"/>
    <w:rsid w:val="00991EDF"/>
    <w:rsid w:val="00991F81"/>
    <w:rsid w:val="00992104"/>
    <w:rsid w:val="00992117"/>
    <w:rsid w:val="00992263"/>
    <w:rsid w:val="00992272"/>
    <w:rsid w:val="009922F8"/>
    <w:rsid w:val="00992314"/>
    <w:rsid w:val="00992350"/>
    <w:rsid w:val="00992390"/>
    <w:rsid w:val="009923CE"/>
    <w:rsid w:val="0099278E"/>
    <w:rsid w:val="009927ED"/>
    <w:rsid w:val="0099284A"/>
    <w:rsid w:val="00992879"/>
    <w:rsid w:val="009928AA"/>
    <w:rsid w:val="0099294F"/>
    <w:rsid w:val="009929D6"/>
    <w:rsid w:val="00992A9F"/>
    <w:rsid w:val="00992B35"/>
    <w:rsid w:val="00992B3A"/>
    <w:rsid w:val="00992E36"/>
    <w:rsid w:val="00992E3F"/>
    <w:rsid w:val="00992E78"/>
    <w:rsid w:val="00992E97"/>
    <w:rsid w:val="00992F34"/>
    <w:rsid w:val="00992F62"/>
    <w:rsid w:val="00992FBD"/>
    <w:rsid w:val="00992FE9"/>
    <w:rsid w:val="00992FEB"/>
    <w:rsid w:val="00993029"/>
    <w:rsid w:val="00993059"/>
    <w:rsid w:val="00993080"/>
    <w:rsid w:val="00993091"/>
    <w:rsid w:val="009930EC"/>
    <w:rsid w:val="009931AC"/>
    <w:rsid w:val="009931C5"/>
    <w:rsid w:val="0099326E"/>
    <w:rsid w:val="0099338D"/>
    <w:rsid w:val="009933C9"/>
    <w:rsid w:val="0099359E"/>
    <w:rsid w:val="009935A9"/>
    <w:rsid w:val="009935F3"/>
    <w:rsid w:val="00993723"/>
    <w:rsid w:val="00993935"/>
    <w:rsid w:val="00993987"/>
    <w:rsid w:val="00993CCF"/>
    <w:rsid w:val="00993CE3"/>
    <w:rsid w:val="00993E91"/>
    <w:rsid w:val="00993EAE"/>
    <w:rsid w:val="00993EF2"/>
    <w:rsid w:val="00993F01"/>
    <w:rsid w:val="00993FB3"/>
    <w:rsid w:val="0099401B"/>
    <w:rsid w:val="0099409E"/>
    <w:rsid w:val="0099415C"/>
    <w:rsid w:val="009941E9"/>
    <w:rsid w:val="009942C8"/>
    <w:rsid w:val="009944EB"/>
    <w:rsid w:val="009944F5"/>
    <w:rsid w:val="009945D1"/>
    <w:rsid w:val="009945D6"/>
    <w:rsid w:val="00994601"/>
    <w:rsid w:val="00994626"/>
    <w:rsid w:val="0099462C"/>
    <w:rsid w:val="0099466E"/>
    <w:rsid w:val="00994709"/>
    <w:rsid w:val="00994770"/>
    <w:rsid w:val="0099477B"/>
    <w:rsid w:val="0099484E"/>
    <w:rsid w:val="00994956"/>
    <w:rsid w:val="00994A58"/>
    <w:rsid w:val="00994AEC"/>
    <w:rsid w:val="00994D17"/>
    <w:rsid w:val="00994DA2"/>
    <w:rsid w:val="00994DB1"/>
    <w:rsid w:val="00994E8A"/>
    <w:rsid w:val="00994EA0"/>
    <w:rsid w:val="00994EF5"/>
    <w:rsid w:val="00994F5E"/>
    <w:rsid w:val="0099545E"/>
    <w:rsid w:val="00995549"/>
    <w:rsid w:val="0099555A"/>
    <w:rsid w:val="00995589"/>
    <w:rsid w:val="009955C3"/>
    <w:rsid w:val="00995615"/>
    <w:rsid w:val="0099568F"/>
    <w:rsid w:val="009956BF"/>
    <w:rsid w:val="009957CF"/>
    <w:rsid w:val="00995855"/>
    <w:rsid w:val="00995858"/>
    <w:rsid w:val="00995876"/>
    <w:rsid w:val="009958B6"/>
    <w:rsid w:val="00995A8B"/>
    <w:rsid w:val="00995C37"/>
    <w:rsid w:val="00995CD3"/>
    <w:rsid w:val="00995D5C"/>
    <w:rsid w:val="00995E7D"/>
    <w:rsid w:val="00995E8D"/>
    <w:rsid w:val="00995EE5"/>
    <w:rsid w:val="00995F9F"/>
    <w:rsid w:val="00995FC2"/>
    <w:rsid w:val="0099609F"/>
    <w:rsid w:val="009960AF"/>
    <w:rsid w:val="00996118"/>
    <w:rsid w:val="0099620C"/>
    <w:rsid w:val="00996285"/>
    <w:rsid w:val="009963E6"/>
    <w:rsid w:val="009964CF"/>
    <w:rsid w:val="0099660C"/>
    <w:rsid w:val="0099667B"/>
    <w:rsid w:val="009966B0"/>
    <w:rsid w:val="0099681E"/>
    <w:rsid w:val="009968B2"/>
    <w:rsid w:val="009968BA"/>
    <w:rsid w:val="009969B6"/>
    <w:rsid w:val="00996A5F"/>
    <w:rsid w:val="00996A60"/>
    <w:rsid w:val="00996B10"/>
    <w:rsid w:val="00996B9B"/>
    <w:rsid w:val="00996C97"/>
    <w:rsid w:val="00996CBC"/>
    <w:rsid w:val="00996F72"/>
    <w:rsid w:val="00997002"/>
    <w:rsid w:val="0099707C"/>
    <w:rsid w:val="009970EE"/>
    <w:rsid w:val="00997273"/>
    <w:rsid w:val="00997288"/>
    <w:rsid w:val="009972AE"/>
    <w:rsid w:val="00997386"/>
    <w:rsid w:val="0099739D"/>
    <w:rsid w:val="009973B5"/>
    <w:rsid w:val="0099740C"/>
    <w:rsid w:val="00997497"/>
    <w:rsid w:val="009974BF"/>
    <w:rsid w:val="009974D8"/>
    <w:rsid w:val="009975FB"/>
    <w:rsid w:val="0099765F"/>
    <w:rsid w:val="009976F9"/>
    <w:rsid w:val="00997726"/>
    <w:rsid w:val="00997821"/>
    <w:rsid w:val="00997864"/>
    <w:rsid w:val="0099787E"/>
    <w:rsid w:val="00997907"/>
    <w:rsid w:val="00997A3E"/>
    <w:rsid w:val="00997AC7"/>
    <w:rsid w:val="00997AD1"/>
    <w:rsid w:val="00997B82"/>
    <w:rsid w:val="00997BAA"/>
    <w:rsid w:val="00997CA6"/>
    <w:rsid w:val="00997DC3"/>
    <w:rsid w:val="00997DEE"/>
    <w:rsid w:val="00997EA6"/>
    <w:rsid w:val="00997EEB"/>
    <w:rsid w:val="009A009C"/>
    <w:rsid w:val="009A0183"/>
    <w:rsid w:val="009A01EB"/>
    <w:rsid w:val="009A0354"/>
    <w:rsid w:val="009A0427"/>
    <w:rsid w:val="009A0472"/>
    <w:rsid w:val="009A04F4"/>
    <w:rsid w:val="009A0544"/>
    <w:rsid w:val="009A05E6"/>
    <w:rsid w:val="009A0726"/>
    <w:rsid w:val="009A084A"/>
    <w:rsid w:val="009A09E0"/>
    <w:rsid w:val="009A0A78"/>
    <w:rsid w:val="009A0BDC"/>
    <w:rsid w:val="009A0C24"/>
    <w:rsid w:val="009A0C64"/>
    <w:rsid w:val="009A0C77"/>
    <w:rsid w:val="009A0DC1"/>
    <w:rsid w:val="009A0E6E"/>
    <w:rsid w:val="009A0F54"/>
    <w:rsid w:val="009A101F"/>
    <w:rsid w:val="009A124B"/>
    <w:rsid w:val="009A13C4"/>
    <w:rsid w:val="009A17C4"/>
    <w:rsid w:val="009A17E4"/>
    <w:rsid w:val="009A17F4"/>
    <w:rsid w:val="009A1842"/>
    <w:rsid w:val="009A1AC4"/>
    <w:rsid w:val="009A1B5A"/>
    <w:rsid w:val="009A1B5B"/>
    <w:rsid w:val="009A1BF0"/>
    <w:rsid w:val="009A1CCB"/>
    <w:rsid w:val="009A1D03"/>
    <w:rsid w:val="009A1DFC"/>
    <w:rsid w:val="009A1F25"/>
    <w:rsid w:val="009A2012"/>
    <w:rsid w:val="009A2078"/>
    <w:rsid w:val="009A2101"/>
    <w:rsid w:val="009A214D"/>
    <w:rsid w:val="009A2367"/>
    <w:rsid w:val="009A242B"/>
    <w:rsid w:val="009A25DE"/>
    <w:rsid w:val="009A275D"/>
    <w:rsid w:val="009A27E7"/>
    <w:rsid w:val="009A2979"/>
    <w:rsid w:val="009A29C8"/>
    <w:rsid w:val="009A2B21"/>
    <w:rsid w:val="009A2D83"/>
    <w:rsid w:val="009A2E04"/>
    <w:rsid w:val="009A2E26"/>
    <w:rsid w:val="009A2EA7"/>
    <w:rsid w:val="009A300B"/>
    <w:rsid w:val="009A30B4"/>
    <w:rsid w:val="009A320A"/>
    <w:rsid w:val="009A3285"/>
    <w:rsid w:val="009A345F"/>
    <w:rsid w:val="009A34CD"/>
    <w:rsid w:val="009A3540"/>
    <w:rsid w:val="009A35EC"/>
    <w:rsid w:val="009A3609"/>
    <w:rsid w:val="009A3743"/>
    <w:rsid w:val="009A3798"/>
    <w:rsid w:val="009A37B7"/>
    <w:rsid w:val="009A3816"/>
    <w:rsid w:val="009A39A3"/>
    <w:rsid w:val="009A39DE"/>
    <w:rsid w:val="009A3B86"/>
    <w:rsid w:val="009A3E24"/>
    <w:rsid w:val="009A3EA0"/>
    <w:rsid w:val="009A41B9"/>
    <w:rsid w:val="009A42B9"/>
    <w:rsid w:val="009A432D"/>
    <w:rsid w:val="009A43F2"/>
    <w:rsid w:val="009A441F"/>
    <w:rsid w:val="009A451B"/>
    <w:rsid w:val="009A4653"/>
    <w:rsid w:val="009A4687"/>
    <w:rsid w:val="009A46B7"/>
    <w:rsid w:val="009A4786"/>
    <w:rsid w:val="009A47F0"/>
    <w:rsid w:val="009A48AF"/>
    <w:rsid w:val="009A490C"/>
    <w:rsid w:val="009A4994"/>
    <w:rsid w:val="009A4997"/>
    <w:rsid w:val="009A49E5"/>
    <w:rsid w:val="009A49E8"/>
    <w:rsid w:val="009A4A1A"/>
    <w:rsid w:val="009A4A26"/>
    <w:rsid w:val="009A4CC0"/>
    <w:rsid w:val="009A4D14"/>
    <w:rsid w:val="009A4D1D"/>
    <w:rsid w:val="009A4D79"/>
    <w:rsid w:val="009A4E8D"/>
    <w:rsid w:val="009A4ECC"/>
    <w:rsid w:val="009A4F02"/>
    <w:rsid w:val="009A4F08"/>
    <w:rsid w:val="009A4FFE"/>
    <w:rsid w:val="009A5076"/>
    <w:rsid w:val="009A51A9"/>
    <w:rsid w:val="009A53D3"/>
    <w:rsid w:val="009A5429"/>
    <w:rsid w:val="009A54B7"/>
    <w:rsid w:val="009A5578"/>
    <w:rsid w:val="009A5580"/>
    <w:rsid w:val="009A55D1"/>
    <w:rsid w:val="009A568A"/>
    <w:rsid w:val="009A5783"/>
    <w:rsid w:val="009A5786"/>
    <w:rsid w:val="009A5835"/>
    <w:rsid w:val="009A5864"/>
    <w:rsid w:val="009A5927"/>
    <w:rsid w:val="009A59FB"/>
    <w:rsid w:val="009A5A0B"/>
    <w:rsid w:val="009A5A38"/>
    <w:rsid w:val="009A5A6C"/>
    <w:rsid w:val="009A5AF0"/>
    <w:rsid w:val="009A5AFB"/>
    <w:rsid w:val="009A5C87"/>
    <w:rsid w:val="009A5E77"/>
    <w:rsid w:val="009A5E8B"/>
    <w:rsid w:val="009A5EF7"/>
    <w:rsid w:val="009A6034"/>
    <w:rsid w:val="009A603D"/>
    <w:rsid w:val="009A6059"/>
    <w:rsid w:val="009A605B"/>
    <w:rsid w:val="009A60F0"/>
    <w:rsid w:val="009A60FD"/>
    <w:rsid w:val="009A6221"/>
    <w:rsid w:val="009A6249"/>
    <w:rsid w:val="009A6293"/>
    <w:rsid w:val="009A62A1"/>
    <w:rsid w:val="009A62BB"/>
    <w:rsid w:val="009A62E7"/>
    <w:rsid w:val="009A633C"/>
    <w:rsid w:val="009A65BD"/>
    <w:rsid w:val="009A6772"/>
    <w:rsid w:val="009A67BE"/>
    <w:rsid w:val="009A67D4"/>
    <w:rsid w:val="009A684B"/>
    <w:rsid w:val="009A688A"/>
    <w:rsid w:val="009A691A"/>
    <w:rsid w:val="009A6A30"/>
    <w:rsid w:val="009A6AEA"/>
    <w:rsid w:val="009A6B47"/>
    <w:rsid w:val="009A6C1A"/>
    <w:rsid w:val="009A6C7F"/>
    <w:rsid w:val="009A6C9A"/>
    <w:rsid w:val="009A6D18"/>
    <w:rsid w:val="009A6D38"/>
    <w:rsid w:val="009A6F20"/>
    <w:rsid w:val="009A6FB6"/>
    <w:rsid w:val="009A7006"/>
    <w:rsid w:val="009A7023"/>
    <w:rsid w:val="009A714F"/>
    <w:rsid w:val="009A72F7"/>
    <w:rsid w:val="009A7394"/>
    <w:rsid w:val="009A7455"/>
    <w:rsid w:val="009A7481"/>
    <w:rsid w:val="009A74CC"/>
    <w:rsid w:val="009A74DA"/>
    <w:rsid w:val="009A7808"/>
    <w:rsid w:val="009A7838"/>
    <w:rsid w:val="009A785C"/>
    <w:rsid w:val="009A78CA"/>
    <w:rsid w:val="009A78EE"/>
    <w:rsid w:val="009A7A64"/>
    <w:rsid w:val="009A7BB9"/>
    <w:rsid w:val="009A7BC6"/>
    <w:rsid w:val="009A7BDC"/>
    <w:rsid w:val="009A7D30"/>
    <w:rsid w:val="009A7DA5"/>
    <w:rsid w:val="009A7F3F"/>
    <w:rsid w:val="009A7F54"/>
    <w:rsid w:val="009B00B2"/>
    <w:rsid w:val="009B01AC"/>
    <w:rsid w:val="009B01E2"/>
    <w:rsid w:val="009B026A"/>
    <w:rsid w:val="009B0382"/>
    <w:rsid w:val="009B03CF"/>
    <w:rsid w:val="009B04BF"/>
    <w:rsid w:val="009B051D"/>
    <w:rsid w:val="009B05C1"/>
    <w:rsid w:val="009B0664"/>
    <w:rsid w:val="009B0707"/>
    <w:rsid w:val="009B070F"/>
    <w:rsid w:val="009B07A8"/>
    <w:rsid w:val="009B07DC"/>
    <w:rsid w:val="009B0810"/>
    <w:rsid w:val="009B09EF"/>
    <w:rsid w:val="009B09FB"/>
    <w:rsid w:val="009B0AA7"/>
    <w:rsid w:val="009B0C23"/>
    <w:rsid w:val="009B0CC6"/>
    <w:rsid w:val="009B0DD2"/>
    <w:rsid w:val="009B0DDB"/>
    <w:rsid w:val="009B0DE0"/>
    <w:rsid w:val="009B0E88"/>
    <w:rsid w:val="009B0F7B"/>
    <w:rsid w:val="009B100E"/>
    <w:rsid w:val="009B104A"/>
    <w:rsid w:val="009B106D"/>
    <w:rsid w:val="009B1169"/>
    <w:rsid w:val="009B1570"/>
    <w:rsid w:val="009B1629"/>
    <w:rsid w:val="009B16A2"/>
    <w:rsid w:val="009B17F0"/>
    <w:rsid w:val="009B18C6"/>
    <w:rsid w:val="009B1981"/>
    <w:rsid w:val="009B19ED"/>
    <w:rsid w:val="009B1B66"/>
    <w:rsid w:val="009B1BD8"/>
    <w:rsid w:val="009B1C98"/>
    <w:rsid w:val="009B1D79"/>
    <w:rsid w:val="009B1DD0"/>
    <w:rsid w:val="009B1E2B"/>
    <w:rsid w:val="009B1ED2"/>
    <w:rsid w:val="009B1EFC"/>
    <w:rsid w:val="009B1FA3"/>
    <w:rsid w:val="009B1FD3"/>
    <w:rsid w:val="009B207D"/>
    <w:rsid w:val="009B209C"/>
    <w:rsid w:val="009B212E"/>
    <w:rsid w:val="009B2140"/>
    <w:rsid w:val="009B217B"/>
    <w:rsid w:val="009B21BF"/>
    <w:rsid w:val="009B2230"/>
    <w:rsid w:val="009B2280"/>
    <w:rsid w:val="009B22A7"/>
    <w:rsid w:val="009B2402"/>
    <w:rsid w:val="009B2863"/>
    <w:rsid w:val="009B289C"/>
    <w:rsid w:val="009B295F"/>
    <w:rsid w:val="009B29B1"/>
    <w:rsid w:val="009B2AB2"/>
    <w:rsid w:val="009B2AC5"/>
    <w:rsid w:val="009B2B57"/>
    <w:rsid w:val="009B2B84"/>
    <w:rsid w:val="009B2E70"/>
    <w:rsid w:val="009B2E8D"/>
    <w:rsid w:val="009B2EC3"/>
    <w:rsid w:val="009B2FF4"/>
    <w:rsid w:val="009B3024"/>
    <w:rsid w:val="009B3151"/>
    <w:rsid w:val="009B317F"/>
    <w:rsid w:val="009B32E2"/>
    <w:rsid w:val="009B32F5"/>
    <w:rsid w:val="009B333C"/>
    <w:rsid w:val="009B33BC"/>
    <w:rsid w:val="009B34C0"/>
    <w:rsid w:val="009B35DE"/>
    <w:rsid w:val="009B361D"/>
    <w:rsid w:val="009B3620"/>
    <w:rsid w:val="009B3638"/>
    <w:rsid w:val="009B3677"/>
    <w:rsid w:val="009B36C1"/>
    <w:rsid w:val="009B3867"/>
    <w:rsid w:val="009B395C"/>
    <w:rsid w:val="009B398F"/>
    <w:rsid w:val="009B39AC"/>
    <w:rsid w:val="009B3A53"/>
    <w:rsid w:val="009B3B0A"/>
    <w:rsid w:val="009B3B2D"/>
    <w:rsid w:val="009B3B7B"/>
    <w:rsid w:val="009B3B9B"/>
    <w:rsid w:val="009B3C55"/>
    <w:rsid w:val="009B3D1C"/>
    <w:rsid w:val="009B3D6A"/>
    <w:rsid w:val="009B3E24"/>
    <w:rsid w:val="009B4090"/>
    <w:rsid w:val="009B4177"/>
    <w:rsid w:val="009B41F1"/>
    <w:rsid w:val="009B431B"/>
    <w:rsid w:val="009B4325"/>
    <w:rsid w:val="009B433A"/>
    <w:rsid w:val="009B43CE"/>
    <w:rsid w:val="009B44F7"/>
    <w:rsid w:val="009B4570"/>
    <w:rsid w:val="009B4670"/>
    <w:rsid w:val="009B467E"/>
    <w:rsid w:val="009B4697"/>
    <w:rsid w:val="009B474E"/>
    <w:rsid w:val="009B47D6"/>
    <w:rsid w:val="009B4C97"/>
    <w:rsid w:val="009B4C98"/>
    <w:rsid w:val="009B4D28"/>
    <w:rsid w:val="009B4D6D"/>
    <w:rsid w:val="009B4D90"/>
    <w:rsid w:val="009B4DE2"/>
    <w:rsid w:val="009B4E43"/>
    <w:rsid w:val="009B4F3C"/>
    <w:rsid w:val="009B4F4F"/>
    <w:rsid w:val="009B5033"/>
    <w:rsid w:val="009B50C0"/>
    <w:rsid w:val="009B50E2"/>
    <w:rsid w:val="009B514E"/>
    <w:rsid w:val="009B51D8"/>
    <w:rsid w:val="009B5258"/>
    <w:rsid w:val="009B5291"/>
    <w:rsid w:val="009B52A6"/>
    <w:rsid w:val="009B532B"/>
    <w:rsid w:val="009B533E"/>
    <w:rsid w:val="009B5363"/>
    <w:rsid w:val="009B5408"/>
    <w:rsid w:val="009B5455"/>
    <w:rsid w:val="009B54DA"/>
    <w:rsid w:val="009B553C"/>
    <w:rsid w:val="009B556E"/>
    <w:rsid w:val="009B55AD"/>
    <w:rsid w:val="009B55E2"/>
    <w:rsid w:val="009B56F8"/>
    <w:rsid w:val="009B572C"/>
    <w:rsid w:val="009B5808"/>
    <w:rsid w:val="009B584D"/>
    <w:rsid w:val="009B5930"/>
    <w:rsid w:val="009B5A1B"/>
    <w:rsid w:val="009B5CBF"/>
    <w:rsid w:val="009B5CCF"/>
    <w:rsid w:val="009B5E31"/>
    <w:rsid w:val="009B5E6D"/>
    <w:rsid w:val="009B5E7C"/>
    <w:rsid w:val="009B5EA6"/>
    <w:rsid w:val="009B5ED9"/>
    <w:rsid w:val="009B605E"/>
    <w:rsid w:val="009B608E"/>
    <w:rsid w:val="009B60AC"/>
    <w:rsid w:val="009B60D6"/>
    <w:rsid w:val="009B618D"/>
    <w:rsid w:val="009B63DC"/>
    <w:rsid w:val="009B645F"/>
    <w:rsid w:val="009B6493"/>
    <w:rsid w:val="009B651D"/>
    <w:rsid w:val="009B65C7"/>
    <w:rsid w:val="009B6782"/>
    <w:rsid w:val="009B67DE"/>
    <w:rsid w:val="009B6837"/>
    <w:rsid w:val="009B68B5"/>
    <w:rsid w:val="009B68BC"/>
    <w:rsid w:val="009B68E2"/>
    <w:rsid w:val="009B69C1"/>
    <w:rsid w:val="009B6BF3"/>
    <w:rsid w:val="009B6C2F"/>
    <w:rsid w:val="009B6CCF"/>
    <w:rsid w:val="009B6D56"/>
    <w:rsid w:val="009B6D5C"/>
    <w:rsid w:val="009B6FB8"/>
    <w:rsid w:val="009B703B"/>
    <w:rsid w:val="009B7079"/>
    <w:rsid w:val="009B7224"/>
    <w:rsid w:val="009B723F"/>
    <w:rsid w:val="009B72AC"/>
    <w:rsid w:val="009B72F2"/>
    <w:rsid w:val="009B7355"/>
    <w:rsid w:val="009B736E"/>
    <w:rsid w:val="009B7373"/>
    <w:rsid w:val="009B73C2"/>
    <w:rsid w:val="009B74DB"/>
    <w:rsid w:val="009B760C"/>
    <w:rsid w:val="009B7652"/>
    <w:rsid w:val="009B769D"/>
    <w:rsid w:val="009B77B0"/>
    <w:rsid w:val="009B7916"/>
    <w:rsid w:val="009B7936"/>
    <w:rsid w:val="009B7C10"/>
    <w:rsid w:val="009B7C37"/>
    <w:rsid w:val="009B7CD0"/>
    <w:rsid w:val="009B7D13"/>
    <w:rsid w:val="009B7DDA"/>
    <w:rsid w:val="009B7E6B"/>
    <w:rsid w:val="009B7ED1"/>
    <w:rsid w:val="009B7F4F"/>
    <w:rsid w:val="009B7F68"/>
    <w:rsid w:val="009C0161"/>
    <w:rsid w:val="009C01B8"/>
    <w:rsid w:val="009C0221"/>
    <w:rsid w:val="009C02D1"/>
    <w:rsid w:val="009C04AD"/>
    <w:rsid w:val="009C0527"/>
    <w:rsid w:val="009C064C"/>
    <w:rsid w:val="009C06C0"/>
    <w:rsid w:val="009C0725"/>
    <w:rsid w:val="009C07C0"/>
    <w:rsid w:val="009C0885"/>
    <w:rsid w:val="009C09B6"/>
    <w:rsid w:val="009C0A4B"/>
    <w:rsid w:val="009C0C36"/>
    <w:rsid w:val="009C0CDE"/>
    <w:rsid w:val="009C0EDE"/>
    <w:rsid w:val="009C0F49"/>
    <w:rsid w:val="009C0FB1"/>
    <w:rsid w:val="009C101E"/>
    <w:rsid w:val="009C1148"/>
    <w:rsid w:val="009C1172"/>
    <w:rsid w:val="009C1183"/>
    <w:rsid w:val="009C1201"/>
    <w:rsid w:val="009C124C"/>
    <w:rsid w:val="009C13A5"/>
    <w:rsid w:val="009C1400"/>
    <w:rsid w:val="009C1443"/>
    <w:rsid w:val="009C14F5"/>
    <w:rsid w:val="009C17C6"/>
    <w:rsid w:val="009C1818"/>
    <w:rsid w:val="009C1CE8"/>
    <w:rsid w:val="009C1D54"/>
    <w:rsid w:val="009C1D8A"/>
    <w:rsid w:val="009C1DA6"/>
    <w:rsid w:val="009C1EE1"/>
    <w:rsid w:val="009C1F2B"/>
    <w:rsid w:val="009C1F7E"/>
    <w:rsid w:val="009C1FA4"/>
    <w:rsid w:val="009C1FC9"/>
    <w:rsid w:val="009C1FFE"/>
    <w:rsid w:val="009C201A"/>
    <w:rsid w:val="009C208A"/>
    <w:rsid w:val="009C222C"/>
    <w:rsid w:val="009C237B"/>
    <w:rsid w:val="009C249C"/>
    <w:rsid w:val="009C24CD"/>
    <w:rsid w:val="009C266B"/>
    <w:rsid w:val="009C2673"/>
    <w:rsid w:val="009C2696"/>
    <w:rsid w:val="009C273D"/>
    <w:rsid w:val="009C278E"/>
    <w:rsid w:val="009C280F"/>
    <w:rsid w:val="009C2831"/>
    <w:rsid w:val="009C2858"/>
    <w:rsid w:val="009C28A4"/>
    <w:rsid w:val="009C29E6"/>
    <w:rsid w:val="009C2A0E"/>
    <w:rsid w:val="009C2A43"/>
    <w:rsid w:val="009C2A5C"/>
    <w:rsid w:val="009C2AED"/>
    <w:rsid w:val="009C2B97"/>
    <w:rsid w:val="009C2C06"/>
    <w:rsid w:val="009C2C27"/>
    <w:rsid w:val="009C2C30"/>
    <w:rsid w:val="009C2E64"/>
    <w:rsid w:val="009C2EF8"/>
    <w:rsid w:val="009C2F14"/>
    <w:rsid w:val="009C3060"/>
    <w:rsid w:val="009C3070"/>
    <w:rsid w:val="009C310A"/>
    <w:rsid w:val="009C329C"/>
    <w:rsid w:val="009C3360"/>
    <w:rsid w:val="009C3384"/>
    <w:rsid w:val="009C340D"/>
    <w:rsid w:val="009C346B"/>
    <w:rsid w:val="009C34ED"/>
    <w:rsid w:val="009C3510"/>
    <w:rsid w:val="009C351A"/>
    <w:rsid w:val="009C3535"/>
    <w:rsid w:val="009C3569"/>
    <w:rsid w:val="009C356A"/>
    <w:rsid w:val="009C364B"/>
    <w:rsid w:val="009C3813"/>
    <w:rsid w:val="009C384A"/>
    <w:rsid w:val="009C38E8"/>
    <w:rsid w:val="009C3970"/>
    <w:rsid w:val="009C39C7"/>
    <w:rsid w:val="009C39DD"/>
    <w:rsid w:val="009C3BDE"/>
    <w:rsid w:val="009C3EE1"/>
    <w:rsid w:val="009C3F61"/>
    <w:rsid w:val="009C4101"/>
    <w:rsid w:val="009C413E"/>
    <w:rsid w:val="009C414A"/>
    <w:rsid w:val="009C4179"/>
    <w:rsid w:val="009C419A"/>
    <w:rsid w:val="009C425D"/>
    <w:rsid w:val="009C4366"/>
    <w:rsid w:val="009C43D7"/>
    <w:rsid w:val="009C440D"/>
    <w:rsid w:val="009C458F"/>
    <w:rsid w:val="009C45CC"/>
    <w:rsid w:val="009C4646"/>
    <w:rsid w:val="009C48A3"/>
    <w:rsid w:val="009C48E9"/>
    <w:rsid w:val="009C493F"/>
    <w:rsid w:val="009C4A06"/>
    <w:rsid w:val="009C4A2A"/>
    <w:rsid w:val="009C4A8A"/>
    <w:rsid w:val="009C4A99"/>
    <w:rsid w:val="009C4AD7"/>
    <w:rsid w:val="009C4B4D"/>
    <w:rsid w:val="009C4C44"/>
    <w:rsid w:val="009C4C66"/>
    <w:rsid w:val="009C4C8C"/>
    <w:rsid w:val="009C4DAA"/>
    <w:rsid w:val="009C4DCD"/>
    <w:rsid w:val="009C4E0F"/>
    <w:rsid w:val="009C4EAD"/>
    <w:rsid w:val="009C5043"/>
    <w:rsid w:val="009C50D4"/>
    <w:rsid w:val="009C5249"/>
    <w:rsid w:val="009C52DE"/>
    <w:rsid w:val="009C5313"/>
    <w:rsid w:val="009C54AB"/>
    <w:rsid w:val="009C551C"/>
    <w:rsid w:val="009C5545"/>
    <w:rsid w:val="009C5752"/>
    <w:rsid w:val="009C5761"/>
    <w:rsid w:val="009C5773"/>
    <w:rsid w:val="009C58EB"/>
    <w:rsid w:val="009C5A03"/>
    <w:rsid w:val="009C5BE8"/>
    <w:rsid w:val="009C5D05"/>
    <w:rsid w:val="009C5DD2"/>
    <w:rsid w:val="009C5EC2"/>
    <w:rsid w:val="009C6092"/>
    <w:rsid w:val="009C61B8"/>
    <w:rsid w:val="009C626C"/>
    <w:rsid w:val="009C62D3"/>
    <w:rsid w:val="009C63B5"/>
    <w:rsid w:val="009C63C5"/>
    <w:rsid w:val="009C641F"/>
    <w:rsid w:val="009C651E"/>
    <w:rsid w:val="009C6590"/>
    <w:rsid w:val="009C6593"/>
    <w:rsid w:val="009C66F4"/>
    <w:rsid w:val="009C67AD"/>
    <w:rsid w:val="009C6897"/>
    <w:rsid w:val="009C6A27"/>
    <w:rsid w:val="009C6A7E"/>
    <w:rsid w:val="009C6AD9"/>
    <w:rsid w:val="009C6C41"/>
    <w:rsid w:val="009C6DDF"/>
    <w:rsid w:val="009C6E95"/>
    <w:rsid w:val="009C6F2B"/>
    <w:rsid w:val="009C6F98"/>
    <w:rsid w:val="009C6FC1"/>
    <w:rsid w:val="009C6FFE"/>
    <w:rsid w:val="009C7099"/>
    <w:rsid w:val="009C729A"/>
    <w:rsid w:val="009C72C2"/>
    <w:rsid w:val="009C7537"/>
    <w:rsid w:val="009C758A"/>
    <w:rsid w:val="009C7801"/>
    <w:rsid w:val="009C78BA"/>
    <w:rsid w:val="009C79CF"/>
    <w:rsid w:val="009C79D1"/>
    <w:rsid w:val="009C7B0F"/>
    <w:rsid w:val="009C7B12"/>
    <w:rsid w:val="009C7B14"/>
    <w:rsid w:val="009C7CC8"/>
    <w:rsid w:val="009C7CC9"/>
    <w:rsid w:val="009C7CDE"/>
    <w:rsid w:val="009C7E62"/>
    <w:rsid w:val="009C7E90"/>
    <w:rsid w:val="009C7F3B"/>
    <w:rsid w:val="009D0020"/>
    <w:rsid w:val="009D008C"/>
    <w:rsid w:val="009D00B7"/>
    <w:rsid w:val="009D00DB"/>
    <w:rsid w:val="009D023A"/>
    <w:rsid w:val="009D024C"/>
    <w:rsid w:val="009D0426"/>
    <w:rsid w:val="009D0450"/>
    <w:rsid w:val="009D045A"/>
    <w:rsid w:val="009D0464"/>
    <w:rsid w:val="009D04B0"/>
    <w:rsid w:val="009D04DA"/>
    <w:rsid w:val="009D04FE"/>
    <w:rsid w:val="009D0546"/>
    <w:rsid w:val="009D0557"/>
    <w:rsid w:val="009D05FC"/>
    <w:rsid w:val="009D064F"/>
    <w:rsid w:val="009D06CA"/>
    <w:rsid w:val="009D06E6"/>
    <w:rsid w:val="009D07B2"/>
    <w:rsid w:val="009D07F9"/>
    <w:rsid w:val="009D087A"/>
    <w:rsid w:val="009D0938"/>
    <w:rsid w:val="009D09F4"/>
    <w:rsid w:val="009D0B18"/>
    <w:rsid w:val="009D0C47"/>
    <w:rsid w:val="009D0CBF"/>
    <w:rsid w:val="009D0CE6"/>
    <w:rsid w:val="009D0D47"/>
    <w:rsid w:val="009D0EEE"/>
    <w:rsid w:val="009D0EEF"/>
    <w:rsid w:val="009D1120"/>
    <w:rsid w:val="009D130F"/>
    <w:rsid w:val="009D1368"/>
    <w:rsid w:val="009D13F5"/>
    <w:rsid w:val="009D141B"/>
    <w:rsid w:val="009D143A"/>
    <w:rsid w:val="009D1781"/>
    <w:rsid w:val="009D17F3"/>
    <w:rsid w:val="009D192C"/>
    <w:rsid w:val="009D19CA"/>
    <w:rsid w:val="009D1B59"/>
    <w:rsid w:val="009D1C49"/>
    <w:rsid w:val="009D1EA5"/>
    <w:rsid w:val="009D208F"/>
    <w:rsid w:val="009D214E"/>
    <w:rsid w:val="009D2206"/>
    <w:rsid w:val="009D2211"/>
    <w:rsid w:val="009D2247"/>
    <w:rsid w:val="009D22F5"/>
    <w:rsid w:val="009D232B"/>
    <w:rsid w:val="009D233D"/>
    <w:rsid w:val="009D24EA"/>
    <w:rsid w:val="009D24F8"/>
    <w:rsid w:val="009D26D7"/>
    <w:rsid w:val="009D2704"/>
    <w:rsid w:val="009D2792"/>
    <w:rsid w:val="009D27FA"/>
    <w:rsid w:val="009D282B"/>
    <w:rsid w:val="009D2857"/>
    <w:rsid w:val="009D2894"/>
    <w:rsid w:val="009D28D7"/>
    <w:rsid w:val="009D299D"/>
    <w:rsid w:val="009D2A7F"/>
    <w:rsid w:val="009D2B6D"/>
    <w:rsid w:val="009D2C03"/>
    <w:rsid w:val="009D2C0E"/>
    <w:rsid w:val="009D2CD8"/>
    <w:rsid w:val="009D2E18"/>
    <w:rsid w:val="009D2ED8"/>
    <w:rsid w:val="009D2F2C"/>
    <w:rsid w:val="009D2F89"/>
    <w:rsid w:val="009D3026"/>
    <w:rsid w:val="009D305A"/>
    <w:rsid w:val="009D30B7"/>
    <w:rsid w:val="009D30DF"/>
    <w:rsid w:val="009D3124"/>
    <w:rsid w:val="009D3154"/>
    <w:rsid w:val="009D329A"/>
    <w:rsid w:val="009D3315"/>
    <w:rsid w:val="009D3376"/>
    <w:rsid w:val="009D33F6"/>
    <w:rsid w:val="009D346B"/>
    <w:rsid w:val="009D358E"/>
    <w:rsid w:val="009D35F9"/>
    <w:rsid w:val="009D3670"/>
    <w:rsid w:val="009D36E7"/>
    <w:rsid w:val="009D3870"/>
    <w:rsid w:val="009D39BD"/>
    <w:rsid w:val="009D3A7F"/>
    <w:rsid w:val="009D3B16"/>
    <w:rsid w:val="009D3B64"/>
    <w:rsid w:val="009D3B7E"/>
    <w:rsid w:val="009D3C34"/>
    <w:rsid w:val="009D3C38"/>
    <w:rsid w:val="009D3C64"/>
    <w:rsid w:val="009D3D0B"/>
    <w:rsid w:val="009D3D17"/>
    <w:rsid w:val="009D3D53"/>
    <w:rsid w:val="009D3D72"/>
    <w:rsid w:val="009D3D9B"/>
    <w:rsid w:val="009D3E34"/>
    <w:rsid w:val="009D40CE"/>
    <w:rsid w:val="009D4203"/>
    <w:rsid w:val="009D4205"/>
    <w:rsid w:val="009D4211"/>
    <w:rsid w:val="009D4238"/>
    <w:rsid w:val="009D42F1"/>
    <w:rsid w:val="009D431B"/>
    <w:rsid w:val="009D4341"/>
    <w:rsid w:val="009D43B8"/>
    <w:rsid w:val="009D442F"/>
    <w:rsid w:val="009D44DE"/>
    <w:rsid w:val="009D44E4"/>
    <w:rsid w:val="009D4569"/>
    <w:rsid w:val="009D4665"/>
    <w:rsid w:val="009D469A"/>
    <w:rsid w:val="009D4848"/>
    <w:rsid w:val="009D4B47"/>
    <w:rsid w:val="009D4B48"/>
    <w:rsid w:val="009D4C22"/>
    <w:rsid w:val="009D4DDD"/>
    <w:rsid w:val="009D4E39"/>
    <w:rsid w:val="009D4E49"/>
    <w:rsid w:val="009D4EA7"/>
    <w:rsid w:val="009D4EC6"/>
    <w:rsid w:val="009D4EEA"/>
    <w:rsid w:val="009D5010"/>
    <w:rsid w:val="009D50F7"/>
    <w:rsid w:val="009D5108"/>
    <w:rsid w:val="009D518C"/>
    <w:rsid w:val="009D521E"/>
    <w:rsid w:val="009D52D0"/>
    <w:rsid w:val="009D52D3"/>
    <w:rsid w:val="009D5418"/>
    <w:rsid w:val="009D546E"/>
    <w:rsid w:val="009D54C5"/>
    <w:rsid w:val="009D5500"/>
    <w:rsid w:val="009D552B"/>
    <w:rsid w:val="009D58C5"/>
    <w:rsid w:val="009D5968"/>
    <w:rsid w:val="009D5A92"/>
    <w:rsid w:val="009D5DBB"/>
    <w:rsid w:val="009D5E6A"/>
    <w:rsid w:val="009D5FBE"/>
    <w:rsid w:val="009D60CE"/>
    <w:rsid w:val="009D60F1"/>
    <w:rsid w:val="009D6111"/>
    <w:rsid w:val="009D6136"/>
    <w:rsid w:val="009D62D2"/>
    <w:rsid w:val="009D62F3"/>
    <w:rsid w:val="009D6307"/>
    <w:rsid w:val="009D650C"/>
    <w:rsid w:val="009D651B"/>
    <w:rsid w:val="009D6549"/>
    <w:rsid w:val="009D67B6"/>
    <w:rsid w:val="009D6A94"/>
    <w:rsid w:val="009D6AFD"/>
    <w:rsid w:val="009D6B8A"/>
    <w:rsid w:val="009D6CF2"/>
    <w:rsid w:val="009D6D7A"/>
    <w:rsid w:val="009D6E18"/>
    <w:rsid w:val="009D6EB0"/>
    <w:rsid w:val="009D7000"/>
    <w:rsid w:val="009D707C"/>
    <w:rsid w:val="009D7225"/>
    <w:rsid w:val="009D72AC"/>
    <w:rsid w:val="009D72D5"/>
    <w:rsid w:val="009D72FE"/>
    <w:rsid w:val="009D7325"/>
    <w:rsid w:val="009D740B"/>
    <w:rsid w:val="009D7433"/>
    <w:rsid w:val="009D7511"/>
    <w:rsid w:val="009D76B3"/>
    <w:rsid w:val="009D7720"/>
    <w:rsid w:val="009D77D1"/>
    <w:rsid w:val="009D7826"/>
    <w:rsid w:val="009D78E3"/>
    <w:rsid w:val="009D796B"/>
    <w:rsid w:val="009D7A25"/>
    <w:rsid w:val="009D7A70"/>
    <w:rsid w:val="009D7A8E"/>
    <w:rsid w:val="009D7AEE"/>
    <w:rsid w:val="009D7BFB"/>
    <w:rsid w:val="009D7C6F"/>
    <w:rsid w:val="009D7D83"/>
    <w:rsid w:val="009D7EA3"/>
    <w:rsid w:val="009E006A"/>
    <w:rsid w:val="009E010B"/>
    <w:rsid w:val="009E01F8"/>
    <w:rsid w:val="009E0427"/>
    <w:rsid w:val="009E04E2"/>
    <w:rsid w:val="009E06FA"/>
    <w:rsid w:val="009E0799"/>
    <w:rsid w:val="009E0807"/>
    <w:rsid w:val="009E08D4"/>
    <w:rsid w:val="009E0A86"/>
    <w:rsid w:val="009E0AB8"/>
    <w:rsid w:val="009E0AEC"/>
    <w:rsid w:val="009E0BF8"/>
    <w:rsid w:val="009E0C82"/>
    <w:rsid w:val="009E0CF4"/>
    <w:rsid w:val="009E0D9C"/>
    <w:rsid w:val="009E0E03"/>
    <w:rsid w:val="009E0EAB"/>
    <w:rsid w:val="009E0ED4"/>
    <w:rsid w:val="009E0F3A"/>
    <w:rsid w:val="009E0FD8"/>
    <w:rsid w:val="009E1010"/>
    <w:rsid w:val="009E10B2"/>
    <w:rsid w:val="009E112E"/>
    <w:rsid w:val="009E123C"/>
    <w:rsid w:val="009E1316"/>
    <w:rsid w:val="009E141E"/>
    <w:rsid w:val="009E147F"/>
    <w:rsid w:val="009E1892"/>
    <w:rsid w:val="009E1A06"/>
    <w:rsid w:val="009E1BA2"/>
    <w:rsid w:val="009E1BEC"/>
    <w:rsid w:val="009E1DB3"/>
    <w:rsid w:val="009E1E30"/>
    <w:rsid w:val="009E1E58"/>
    <w:rsid w:val="009E1F70"/>
    <w:rsid w:val="009E200B"/>
    <w:rsid w:val="009E213B"/>
    <w:rsid w:val="009E217D"/>
    <w:rsid w:val="009E21C6"/>
    <w:rsid w:val="009E223F"/>
    <w:rsid w:val="009E22AC"/>
    <w:rsid w:val="009E22C6"/>
    <w:rsid w:val="009E22E4"/>
    <w:rsid w:val="009E2361"/>
    <w:rsid w:val="009E2460"/>
    <w:rsid w:val="009E24CB"/>
    <w:rsid w:val="009E2664"/>
    <w:rsid w:val="009E2825"/>
    <w:rsid w:val="009E28AC"/>
    <w:rsid w:val="009E29C4"/>
    <w:rsid w:val="009E29D4"/>
    <w:rsid w:val="009E29E2"/>
    <w:rsid w:val="009E2ACF"/>
    <w:rsid w:val="009E2B22"/>
    <w:rsid w:val="009E2BFD"/>
    <w:rsid w:val="009E2CAF"/>
    <w:rsid w:val="009E2CFE"/>
    <w:rsid w:val="009E2DA2"/>
    <w:rsid w:val="009E2E11"/>
    <w:rsid w:val="009E2E48"/>
    <w:rsid w:val="009E2E5A"/>
    <w:rsid w:val="009E2E62"/>
    <w:rsid w:val="009E2E94"/>
    <w:rsid w:val="009E2F59"/>
    <w:rsid w:val="009E2F97"/>
    <w:rsid w:val="009E2FE6"/>
    <w:rsid w:val="009E3018"/>
    <w:rsid w:val="009E3075"/>
    <w:rsid w:val="009E3200"/>
    <w:rsid w:val="009E32D5"/>
    <w:rsid w:val="009E334B"/>
    <w:rsid w:val="009E3394"/>
    <w:rsid w:val="009E3447"/>
    <w:rsid w:val="009E356A"/>
    <w:rsid w:val="009E35DC"/>
    <w:rsid w:val="009E363B"/>
    <w:rsid w:val="009E3749"/>
    <w:rsid w:val="009E3926"/>
    <w:rsid w:val="009E3955"/>
    <w:rsid w:val="009E3A0A"/>
    <w:rsid w:val="009E3B36"/>
    <w:rsid w:val="009E3B69"/>
    <w:rsid w:val="009E3C6E"/>
    <w:rsid w:val="009E3CFC"/>
    <w:rsid w:val="009E3EE4"/>
    <w:rsid w:val="009E3F86"/>
    <w:rsid w:val="009E407A"/>
    <w:rsid w:val="009E409F"/>
    <w:rsid w:val="009E423D"/>
    <w:rsid w:val="009E424D"/>
    <w:rsid w:val="009E42CF"/>
    <w:rsid w:val="009E4397"/>
    <w:rsid w:val="009E43CE"/>
    <w:rsid w:val="009E445C"/>
    <w:rsid w:val="009E44A3"/>
    <w:rsid w:val="009E459B"/>
    <w:rsid w:val="009E45DF"/>
    <w:rsid w:val="009E474E"/>
    <w:rsid w:val="009E4771"/>
    <w:rsid w:val="009E47CC"/>
    <w:rsid w:val="009E4A10"/>
    <w:rsid w:val="009E4A2B"/>
    <w:rsid w:val="009E4AC7"/>
    <w:rsid w:val="009E4B99"/>
    <w:rsid w:val="009E4C81"/>
    <w:rsid w:val="009E4C8C"/>
    <w:rsid w:val="009E4E09"/>
    <w:rsid w:val="009E4E29"/>
    <w:rsid w:val="009E4E55"/>
    <w:rsid w:val="009E4FE8"/>
    <w:rsid w:val="009E5005"/>
    <w:rsid w:val="009E507B"/>
    <w:rsid w:val="009E50A1"/>
    <w:rsid w:val="009E50AD"/>
    <w:rsid w:val="009E5254"/>
    <w:rsid w:val="009E52C3"/>
    <w:rsid w:val="009E52C4"/>
    <w:rsid w:val="009E5309"/>
    <w:rsid w:val="009E5397"/>
    <w:rsid w:val="009E53D8"/>
    <w:rsid w:val="009E5475"/>
    <w:rsid w:val="009E552B"/>
    <w:rsid w:val="009E559B"/>
    <w:rsid w:val="009E55B7"/>
    <w:rsid w:val="009E55F7"/>
    <w:rsid w:val="009E561C"/>
    <w:rsid w:val="009E5651"/>
    <w:rsid w:val="009E568F"/>
    <w:rsid w:val="009E5690"/>
    <w:rsid w:val="009E56B8"/>
    <w:rsid w:val="009E56CC"/>
    <w:rsid w:val="009E5824"/>
    <w:rsid w:val="009E583B"/>
    <w:rsid w:val="009E5842"/>
    <w:rsid w:val="009E5887"/>
    <w:rsid w:val="009E599F"/>
    <w:rsid w:val="009E59CC"/>
    <w:rsid w:val="009E5AEC"/>
    <w:rsid w:val="009E5B22"/>
    <w:rsid w:val="009E5B30"/>
    <w:rsid w:val="009E5B45"/>
    <w:rsid w:val="009E5BFF"/>
    <w:rsid w:val="009E5C25"/>
    <w:rsid w:val="009E5C4A"/>
    <w:rsid w:val="009E5C93"/>
    <w:rsid w:val="009E5D6E"/>
    <w:rsid w:val="009E5E7A"/>
    <w:rsid w:val="009E5EC2"/>
    <w:rsid w:val="009E604B"/>
    <w:rsid w:val="009E60B7"/>
    <w:rsid w:val="009E60D8"/>
    <w:rsid w:val="009E6170"/>
    <w:rsid w:val="009E6269"/>
    <w:rsid w:val="009E642C"/>
    <w:rsid w:val="009E6790"/>
    <w:rsid w:val="009E6798"/>
    <w:rsid w:val="009E67AF"/>
    <w:rsid w:val="009E67B4"/>
    <w:rsid w:val="009E67E8"/>
    <w:rsid w:val="009E695F"/>
    <w:rsid w:val="009E69B3"/>
    <w:rsid w:val="009E69FE"/>
    <w:rsid w:val="009E6A3A"/>
    <w:rsid w:val="009E6ABC"/>
    <w:rsid w:val="009E6B90"/>
    <w:rsid w:val="009E6B9B"/>
    <w:rsid w:val="009E6C12"/>
    <w:rsid w:val="009E6C14"/>
    <w:rsid w:val="009E6C1F"/>
    <w:rsid w:val="009E6C2E"/>
    <w:rsid w:val="009E6CBC"/>
    <w:rsid w:val="009E6EBB"/>
    <w:rsid w:val="009E6F23"/>
    <w:rsid w:val="009E727B"/>
    <w:rsid w:val="009E74C9"/>
    <w:rsid w:val="009E74D1"/>
    <w:rsid w:val="009E7525"/>
    <w:rsid w:val="009E752E"/>
    <w:rsid w:val="009E75E4"/>
    <w:rsid w:val="009E7666"/>
    <w:rsid w:val="009E76B3"/>
    <w:rsid w:val="009E7766"/>
    <w:rsid w:val="009E7805"/>
    <w:rsid w:val="009E7871"/>
    <w:rsid w:val="009E7B49"/>
    <w:rsid w:val="009E7B6E"/>
    <w:rsid w:val="009E7BC1"/>
    <w:rsid w:val="009E7FC6"/>
    <w:rsid w:val="009F0155"/>
    <w:rsid w:val="009F016D"/>
    <w:rsid w:val="009F01CE"/>
    <w:rsid w:val="009F0455"/>
    <w:rsid w:val="009F056F"/>
    <w:rsid w:val="009F0596"/>
    <w:rsid w:val="009F0609"/>
    <w:rsid w:val="009F0679"/>
    <w:rsid w:val="009F0794"/>
    <w:rsid w:val="009F08C0"/>
    <w:rsid w:val="009F0B43"/>
    <w:rsid w:val="009F0BB0"/>
    <w:rsid w:val="009F0BCA"/>
    <w:rsid w:val="009F0C13"/>
    <w:rsid w:val="009F0D34"/>
    <w:rsid w:val="009F0D78"/>
    <w:rsid w:val="009F0E99"/>
    <w:rsid w:val="009F1049"/>
    <w:rsid w:val="009F1090"/>
    <w:rsid w:val="009F1201"/>
    <w:rsid w:val="009F1222"/>
    <w:rsid w:val="009F12DA"/>
    <w:rsid w:val="009F1315"/>
    <w:rsid w:val="009F132A"/>
    <w:rsid w:val="009F14AF"/>
    <w:rsid w:val="009F14F1"/>
    <w:rsid w:val="009F162F"/>
    <w:rsid w:val="009F164B"/>
    <w:rsid w:val="009F177C"/>
    <w:rsid w:val="009F184F"/>
    <w:rsid w:val="009F198E"/>
    <w:rsid w:val="009F1994"/>
    <w:rsid w:val="009F1BCB"/>
    <w:rsid w:val="009F1D55"/>
    <w:rsid w:val="009F1EC1"/>
    <w:rsid w:val="009F1ED1"/>
    <w:rsid w:val="009F1FE7"/>
    <w:rsid w:val="009F2001"/>
    <w:rsid w:val="009F209B"/>
    <w:rsid w:val="009F21CA"/>
    <w:rsid w:val="009F22F5"/>
    <w:rsid w:val="009F2376"/>
    <w:rsid w:val="009F2552"/>
    <w:rsid w:val="009F25C9"/>
    <w:rsid w:val="009F2602"/>
    <w:rsid w:val="009F260A"/>
    <w:rsid w:val="009F2629"/>
    <w:rsid w:val="009F2698"/>
    <w:rsid w:val="009F26BC"/>
    <w:rsid w:val="009F2832"/>
    <w:rsid w:val="009F29E4"/>
    <w:rsid w:val="009F2AC5"/>
    <w:rsid w:val="009F2B49"/>
    <w:rsid w:val="009F2BAC"/>
    <w:rsid w:val="009F2CF6"/>
    <w:rsid w:val="009F2E31"/>
    <w:rsid w:val="009F2E79"/>
    <w:rsid w:val="009F2F50"/>
    <w:rsid w:val="009F319F"/>
    <w:rsid w:val="009F330E"/>
    <w:rsid w:val="009F340F"/>
    <w:rsid w:val="009F36C1"/>
    <w:rsid w:val="009F379F"/>
    <w:rsid w:val="009F37B1"/>
    <w:rsid w:val="009F3A93"/>
    <w:rsid w:val="009F3BB0"/>
    <w:rsid w:val="009F3C04"/>
    <w:rsid w:val="009F3C58"/>
    <w:rsid w:val="009F3E0B"/>
    <w:rsid w:val="009F3E5E"/>
    <w:rsid w:val="009F3EB7"/>
    <w:rsid w:val="009F4147"/>
    <w:rsid w:val="009F4170"/>
    <w:rsid w:val="009F41A7"/>
    <w:rsid w:val="009F42C0"/>
    <w:rsid w:val="009F42CA"/>
    <w:rsid w:val="009F442E"/>
    <w:rsid w:val="009F454A"/>
    <w:rsid w:val="009F4598"/>
    <w:rsid w:val="009F48B0"/>
    <w:rsid w:val="009F48CB"/>
    <w:rsid w:val="009F4972"/>
    <w:rsid w:val="009F4992"/>
    <w:rsid w:val="009F4A09"/>
    <w:rsid w:val="009F4A42"/>
    <w:rsid w:val="009F4C43"/>
    <w:rsid w:val="009F4C58"/>
    <w:rsid w:val="009F4CA0"/>
    <w:rsid w:val="009F4CC6"/>
    <w:rsid w:val="009F4D5C"/>
    <w:rsid w:val="009F4D80"/>
    <w:rsid w:val="009F4E44"/>
    <w:rsid w:val="009F4F04"/>
    <w:rsid w:val="009F4F1B"/>
    <w:rsid w:val="009F4F2B"/>
    <w:rsid w:val="009F51F7"/>
    <w:rsid w:val="009F5227"/>
    <w:rsid w:val="009F5288"/>
    <w:rsid w:val="009F52B6"/>
    <w:rsid w:val="009F5313"/>
    <w:rsid w:val="009F532C"/>
    <w:rsid w:val="009F53A3"/>
    <w:rsid w:val="009F53EF"/>
    <w:rsid w:val="009F5483"/>
    <w:rsid w:val="009F54A2"/>
    <w:rsid w:val="009F5564"/>
    <w:rsid w:val="009F568C"/>
    <w:rsid w:val="009F56B3"/>
    <w:rsid w:val="009F56DE"/>
    <w:rsid w:val="009F57C5"/>
    <w:rsid w:val="009F5938"/>
    <w:rsid w:val="009F5945"/>
    <w:rsid w:val="009F5965"/>
    <w:rsid w:val="009F59C5"/>
    <w:rsid w:val="009F5A74"/>
    <w:rsid w:val="009F5AB5"/>
    <w:rsid w:val="009F5BF5"/>
    <w:rsid w:val="009F5C33"/>
    <w:rsid w:val="009F5CF4"/>
    <w:rsid w:val="009F5D8B"/>
    <w:rsid w:val="009F5E0C"/>
    <w:rsid w:val="009F5F5C"/>
    <w:rsid w:val="009F6138"/>
    <w:rsid w:val="009F6142"/>
    <w:rsid w:val="009F622F"/>
    <w:rsid w:val="009F62E7"/>
    <w:rsid w:val="009F63DE"/>
    <w:rsid w:val="009F664E"/>
    <w:rsid w:val="009F6691"/>
    <w:rsid w:val="009F66B8"/>
    <w:rsid w:val="009F674E"/>
    <w:rsid w:val="009F67AD"/>
    <w:rsid w:val="009F684E"/>
    <w:rsid w:val="009F69AC"/>
    <w:rsid w:val="009F6A92"/>
    <w:rsid w:val="009F6ACE"/>
    <w:rsid w:val="009F6B5C"/>
    <w:rsid w:val="009F6ECB"/>
    <w:rsid w:val="009F6EEC"/>
    <w:rsid w:val="009F6F6E"/>
    <w:rsid w:val="009F6FF1"/>
    <w:rsid w:val="009F7039"/>
    <w:rsid w:val="009F7082"/>
    <w:rsid w:val="009F7086"/>
    <w:rsid w:val="009F70CA"/>
    <w:rsid w:val="009F70CF"/>
    <w:rsid w:val="009F71B6"/>
    <w:rsid w:val="009F71DB"/>
    <w:rsid w:val="009F71F9"/>
    <w:rsid w:val="009F7384"/>
    <w:rsid w:val="009F738C"/>
    <w:rsid w:val="009F748F"/>
    <w:rsid w:val="009F74EE"/>
    <w:rsid w:val="009F7528"/>
    <w:rsid w:val="009F7580"/>
    <w:rsid w:val="009F7594"/>
    <w:rsid w:val="009F768E"/>
    <w:rsid w:val="009F76D8"/>
    <w:rsid w:val="009F7704"/>
    <w:rsid w:val="009F77C0"/>
    <w:rsid w:val="009F79D0"/>
    <w:rsid w:val="009F7AEE"/>
    <w:rsid w:val="009F7B27"/>
    <w:rsid w:val="009F7B4E"/>
    <w:rsid w:val="009F7BC4"/>
    <w:rsid w:val="009F7E18"/>
    <w:rsid w:val="009F7E5C"/>
    <w:rsid w:val="00A0001A"/>
    <w:rsid w:val="00A00155"/>
    <w:rsid w:val="00A0022D"/>
    <w:rsid w:val="00A0025D"/>
    <w:rsid w:val="00A00288"/>
    <w:rsid w:val="00A00379"/>
    <w:rsid w:val="00A0038E"/>
    <w:rsid w:val="00A0039D"/>
    <w:rsid w:val="00A00425"/>
    <w:rsid w:val="00A0060C"/>
    <w:rsid w:val="00A00628"/>
    <w:rsid w:val="00A006E7"/>
    <w:rsid w:val="00A00734"/>
    <w:rsid w:val="00A00739"/>
    <w:rsid w:val="00A00866"/>
    <w:rsid w:val="00A009D1"/>
    <w:rsid w:val="00A00B33"/>
    <w:rsid w:val="00A00C05"/>
    <w:rsid w:val="00A00C15"/>
    <w:rsid w:val="00A00DAC"/>
    <w:rsid w:val="00A00E1B"/>
    <w:rsid w:val="00A00E21"/>
    <w:rsid w:val="00A00EED"/>
    <w:rsid w:val="00A00F30"/>
    <w:rsid w:val="00A00F65"/>
    <w:rsid w:val="00A010C4"/>
    <w:rsid w:val="00A01171"/>
    <w:rsid w:val="00A0127D"/>
    <w:rsid w:val="00A012F4"/>
    <w:rsid w:val="00A01402"/>
    <w:rsid w:val="00A01423"/>
    <w:rsid w:val="00A0154E"/>
    <w:rsid w:val="00A015CC"/>
    <w:rsid w:val="00A01625"/>
    <w:rsid w:val="00A01630"/>
    <w:rsid w:val="00A01684"/>
    <w:rsid w:val="00A0168E"/>
    <w:rsid w:val="00A0174F"/>
    <w:rsid w:val="00A017A9"/>
    <w:rsid w:val="00A018D6"/>
    <w:rsid w:val="00A0191D"/>
    <w:rsid w:val="00A0196B"/>
    <w:rsid w:val="00A01A0B"/>
    <w:rsid w:val="00A01A2F"/>
    <w:rsid w:val="00A01B95"/>
    <w:rsid w:val="00A01C29"/>
    <w:rsid w:val="00A01C3A"/>
    <w:rsid w:val="00A01C8E"/>
    <w:rsid w:val="00A01D9A"/>
    <w:rsid w:val="00A01EA6"/>
    <w:rsid w:val="00A01FA9"/>
    <w:rsid w:val="00A020BC"/>
    <w:rsid w:val="00A02311"/>
    <w:rsid w:val="00A02332"/>
    <w:rsid w:val="00A024A3"/>
    <w:rsid w:val="00A024A6"/>
    <w:rsid w:val="00A02686"/>
    <w:rsid w:val="00A02979"/>
    <w:rsid w:val="00A02B65"/>
    <w:rsid w:val="00A02D56"/>
    <w:rsid w:val="00A02EB8"/>
    <w:rsid w:val="00A02FA8"/>
    <w:rsid w:val="00A0327C"/>
    <w:rsid w:val="00A03313"/>
    <w:rsid w:val="00A033F0"/>
    <w:rsid w:val="00A0349D"/>
    <w:rsid w:val="00A034C9"/>
    <w:rsid w:val="00A03629"/>
    <w:rsid w:val="00A0369B"/>
    <w:rsid w:val="00A03880"/>
    <w:rsid w:val="00A03899"/>
    <w:rsid w:val="00A03903"/>
    <w:rsid w:val="00A03A48"/>
    <w:rsid w:val="00A03A99"/>
    <w:rsid w:val="00A03C43"/>
    <w:rsid w:val="00A03CC4"/>
    <w:rsid w:val="00A03D43"/>
    <w:rsid w:val="00A03D75"/>
    <w:rsid w:val="00A03DA1"/>
    <w:rsid w:val="00A03EF0"/>
    <w:rsid w:val="00A03FDD"/>
    <w:rsid w:val="00A0400E"/>
    <w:rsid w:val="00A040D1"/>
    <w:rsid w:val="00A0414E"/>
    <w:rsid w:val="00A041C3"/>
    <w:rsid w:val="00A041D5"/>
    <w:rsid w:val="00A04223"/>
    <w:rsid w:val="00A042D4"/>
    <w:rsid w:val="00A043A1"/>
    <w:rsid w:val="00A0442F"/>
    <w:rsid w:val="00A04431"/>
    <w:rsid w:val="00A04479"/>
    <w:rsid w:val="00A046AD"/>
    <w:rsid w:val="00A046D3"/>
    <w:rsid w:val="00A04714"/>
    <w:rsid w:val="00A04856"/>
    <w:rsid w:val="00A04874"/>
    <w:rsid w:val="00A04934"/>
    <w:rsid w:val="00A04A89"/>
    <w:rsid w:val="00A04B5D"/>
    <w:rsid w:val="00A04B9D"/>
    <w:rsid w:val="00A04D2E"/>
    <w:rsid w:val="00A04D66"/>
    <w:rsid w:val="00A04D8F"/>
    <w:rsid w:val="00A04DA5"/>
    <w:rsid w:val="00A04DE6"/>
    <w:rsid w:val="00A04EBA"/>
    <w:rsid w:val="00A04FB9"/>
    <w:rsid w:val="00A05013"/>
    <w:rsid w:val="00A051CA"/>
    <w:rsid w:val="00A0532A"/>
    <w:rsid w:val="00A05454"/>
    <w:rsid w:val="00A0548C"/>
    <w:rsid w:val="00A05495"/>
    <w:rsid w:val="00A0574E"/>
    <w:rsid w:val="00A0577F"/>
    <w:rsid w:val="00A05871"/>
    <w:rsid w:val="00A0589B"/>
    <w:rsid w:val="00A058BA"/>
    <w:rsid w:val="00A05974"/>
    <w:rsid w:val="00A059F5"/>
    <w:rsid w:val="00A05A13"/>
    <w:rsid w:val="00A05A16"/>
    <w:rsid w:val="00A05A19"/>
    <w:rsid w:val="00A05C2A"/>
    <w:rsid w:val="00A05D98"/>
    <w:rsid w:val="00A05E43"/>
    <w:rsid w:val="00A05E69"/>
    <w:rsid w:val="00A05EB3"/>
    <w:rsid w:val="00A05F35"/>
    <w:rsid w:val="00A05F78"/>
    <w:rsid w:val="00A05FA7"/>
    <w:rsid w:val="00A06170"/>
    <w:rsid w:val="00A061DE"/>
    <w:rsid w:val="00A0623E"/>
    <w:rsid w:val="00A06262"/>
    <w:rsid w:val="00A06339"/>
    <w:rsid w:val="00A063C8"/>
    <w:rsid w:val="00A0653B"/>
    <w:rsid w:val="00A066C4"/>
    <w:rsid w:val="00A066F0"/>
    <w:rsid w:val="00A0670D"/>
    <w:rsid w:val="00A06719"/>
    <w:rsid w:val="00A06822"/>
    <w:rsid w:val="00A06830"/>
    <w:rsid w:val="00A06884"/>
    <w:rsid w:val="00A06975"/>
    <w:rsid w:val="00A069A4"/>
    <w:rsid w:val="00A069B8"/>
    <w:rsid w:val="00A069DA"/>
    <w:rsid w:val="00A06A8D"/>
    <w:rsid w:val="00A06AD9"/>
    <w:rsid w:val="00A06B84"/>
    <w:rsid w:val="00A06BB7"/>
    <w:rsid w:val="00A06CA7"/>
    <w:rsid w:val="00A06D52"/>
    <w:rsid w:val="00A06D53"/>
    <w:rsid w:val="00A06DA6"/>
    <w:rsid w:val="00A06E77"/>
    <w:rsid w:val="00A06EE5"/>
    <w:rsid w:val="00A06F51"/>
    <w:rsid w:val="00A07169"/>
    <w:rsid w:val="00A072A3"/>
    <w:rsid w:val="00A0739E"/>
    <w:rsid w:val="00A0746F"/>
    <w:rsid w:val="00A07471"/>
    <w:rsid w:val="00A074EF"/>
    <w:rsid w:val="00A0755A"/>
    <w:rsid w:val="00A075D2"/>
    <w:rsid w:val="00A07870"/>
    <w:rsid w:val="00A07921"/>
    <w:rsid w:val="00A07944"/>
    <w:rsid w:val="00A07971"/>
    <w:rsid w:val="00A07989"/>
    <w:rsid w:val="00A079BC"/>
    <w:rsid w:val="00A07C20"/>
    <w:rsid w:val="00A07D67"/>
    <w:rsid w:val="00A07E83"/>
    <w:rsid w:val="00A07F14"/>
    <w:rsid w:val="00A07F64"/>
    <w:rsid w:val="00A07FAC"/>
    <w:rsid w:val="00A10070"/>
    <w:rsid w:val="00A1027C"/>
    <w:rsid w:val="00A10351"/>
    <w:rsid w:val="00A103C8"/>
    <w:rsid w:val="00A1069D"/>
    <w:rsid w:val="00A1079F"/>
    <w:rsid w:val="00A10824"/>
    <w:rsid w:val="00A108CB"/>
    <w:rsid w:val="00A109BA"/>
    <w:rsid w:val="00A10C86"/>
    <w:rsid w:val="00A10D69"/>
    <w:rsid w:val="00A10D9C"/>
    <w:rsid w:val="00A110A4"/>
    <w:rsid w:val="00A11143"/>
    <w:rsid w:val="00A11160"/>
    <w:rsid w:val="00A112BA"/>
    <w:rsid w:val="00A112F3"/>
    <w:rsid w:val="00A11391"/>
    <w:rsid w:val="00A1148B"/>
    <w:rsid w:val="00A114C9"/>
    <w:rsid w:val="00A1158D"/>
    <w:rsid w:val="00A116FB"/>
    <w:rsid w:val="00A11725"/>
    <w:rsid w:val="00A11788"/>
    <w:rsid w:val="00A117E0"/>
    <w:rsid w:val="00A11881"/>
    <w:rsid w:val="00A11988"/>
    <w:rsid w:val="00A11B0C"/>
    <w:rsid w:val="00A11B32"/>
    <w:rsid w:val="00A11B55"/>
    <w:rsid w:val="00A11D8F"/>
    <w:rsid w:val="00A11DD4"/>
    <w:rsid w:val="00A11FD1"/>
    <w:rsid w:val="00A1207C"/>
    <w:rsid w:val="00A120CF"/>
    <w:rsid w:val="00A120F1"/>
    <w:rsid w:val="00A1215E"/>
    <w:rsid w:val="00A1227B"/>
    <w:rsid w:val="00A123E4"/>
    <w:rsid w:val="00A12511"/>
    <w:rsid w:val="00A12548"/>
    <w:rsid w:val="00A1268A"/>
    <w:rsid w:val="00A12760"/>
    <w:rsid w:val="00A12905"/>
    <w:rsid w:val="00A12ABD"/>
    <w:rsid w:val="00A12B51"/>
    <w:rsid w:val="00A12B82"/>
    <w:rsid w:val="00A12C83"/>
    <w:rsid w:val="00A12CEE"/>
    <w:rsid w:val="00A13176"/>
    <w:rsid w:val="00A1329D"/>
    <w:rsid w:val="00A13329"/>
    <w:rsid w:val="00A13388"/>
    <w:rsid w:val="00A13409"/>
    <w:rsid w:val="00A13442"/>
    <w:rsid w:val="00A13491"/>
    <w:rsid w:val="00A134A4"/>
    <w:rsid w:val="00A134B1"/>
    <w:rsid w:val="00A13622"/>
    <w:rsid w:val="00A13901"/>
    <w:rsid w:val="00A1397C"/>
    <w:rsid w:val="00A1397E"/>
    <w:rsid w:val="00A13B72"/>
    <w:rsid w:val="00A13C4F"/>
    <w:rsid w:val="00A13D8D"/>
    <w:rsid w:val="00A13F51"/>
    <w:rsid w:val="00A1415F"/>
    <w:rsid w:val="00A14260"/>
    <w:rsid w:val="00A1443D"/>
    <w:rsid w:val="00A14480"/>
    <w:rsid w:val="00A14517"/>
    <w:rsid w:val="00A1468D"/>
    <w:rsid w:val="00A14696"/>
    <w:rsid w:val="00A146D1"/>
    <w:rsid w:val="00A148C7"/>
    <w:rsid w:val="00A14978"/>
    <w:rsid w:val="00A149A4"/>
    <w:rsid w:val="00A14B53"/>
    <w:rsid w:val="00A14BA4"/>
    <w:rsid w:val="00A14BE6"/>
    <w:rsid w:val="00A14BFB"/>
    <w:rsid w:val="00A14C8A"/>
    <w:rsid w:val="00A14CDE"/>
    <w:rsid w:val="00A14D77"/>
    <w:rsid w:val="00A14EA5"/>
    <w:rsid w:val="00A14EB8"/>
    <w:rsid w:val="00A14EBE"/>
    <w:rsid w:val="00A14F7B"/>
    <w:rsid w:val="00A14F8F"/>
    <w:rsid w:val="00A14FEA"/>
    <w:rsid w:val="00A14FFF"/>
    <w:rsid w:val="00A1507C"/>
    <w:rsid w:val="00A15101"/>
    <w:rsid w:val="00A1510B"/>
    <w:rsid w:val="00A15276"/>
    <w:rsid w:val="00A15383"/>
    <w:rsid w:val="00A153DD"/>
    <w:rsid w:val="00A1568B"/>
    <w:rsid w:val="00A1576C"/>
    <w:rsid w:val="00A1585C"/>
    <w:rsid w:val="00A15864"/>
    <w:rsid w:val="00A1589C"/>
    <w:rsid w:val="00A158F3"/>
    <w:rsid w:val="00A15932"/>
    <w:rsid w:val="00A1594A"/>
    <w:rsid w:val="00A1596B"/>
    <w:rsid w:val="00A159BE"/>
    <w:rsid w:val="00A159C1"/>
    <w:rsid w:val="00A15A5D"/>
    <w:rsid w:val="00A15AEE"/>
    <w:rsid w:val="00A15B3E"/>
    <w:rsid w:val="00A15D91"/>
    <w:rsid w:val="00A15DE3"/>
    <w:rsid w:val="00A15E36"/>
    <w:rsid w:val="00A15ED3"/>
    <w:rsid w:val="00A15FED"/>
    <w:rsid w:val="00A16069"/>
    <w:rsid w:val="00A16224"/>
    <w:rsid w:val="00A162DE"/>
    <w:rsid w:val="00A162F2"/>
    <w:rsid w:val="00A163D7"/>
    <w:rsid w:val="00A1642C"/>
    <w:rsid w:val="00A1648C"/>
    <w:rsid w:val="00A16494"/>
    <w:rsid w:val="00A164A3"/>
    <w:rsid w:val="00A164B0"/>
    <w:rsid w:val="00A1662B"/>
    <w:rsid w:val="00A166CE"/>
    <w:rsid w:val="00A166ED"/>
    <w:rsid w:val="00A167D4"/>
    <w:rsid w:val="00A1699C"/>
    <w:rsid w:val="00A16CFF"/>
    <w:rsid w:val="00A16E12"/>
    <w:rsid w:val="00A16EFB"/>
    <w:rsid w:val="00A1719E"/>
    <w:rsid w:val="00A171F4"/>
    <w:rsid w:val="00A17211"/>
    <w:rsid w:val="00A17217"/>
    <w:rsid w:val="00A17244"/>
    <w:rsid w:val="00A17284"/>
    <w:rsid w:val="00A17378"/>
    <w:rsid w:val="00A177CA"/>
    <w:rsid w:val="00A1791B"/>
    <w:rsid w:val="00A17AD7"/>
    <w:rsid w:val="00A17B35"/>
    <w:rsid w:val="00A17BBB"/>
    <w:rsid w:val="00A17BF8"/>
    <w:rsid w:val="00A17C3B"/>
    <w:rsid w:val="00A17D7A"/>
    <w:rsid w:val="00A17DCC"/>
    <w:rsid w:val="00A17EDF"/>
    <w:rsid w:val="00A200A2"/>
    <w:rsid w:val="00A201AA"/>
    <w:rsid w:val="00A20282"/>
    <w:rsid w:val="00A202A8"/>
    <w:rsid w:val="00A20373"/>
    <w:rsid w:val="00A203AD"/>
    <w:rsid w:val="00A20414"/>
    <w:rsid w:val="00A20464"/>
    <w:rsid w:val="00A20521"/>
    <w:rsid w:val="00A20544"/>
    <w:rsid w:val="00A205C8"/>
    <w:rsid w:val="00A2078D"/>
    <w:rsid w:val="00A20798"/>
    <w:rsid w:val="00A207FA"/>
    <w:rsid w:val="00A20828"/>
    <w:rsid w:val="00A20873"/>
    <w:rsid w:val="00A209A0"/>
    <w:rsid w:val="00A20A1B"/>
    <w:rsid w:val="00A20B0E"/>
    <w:rsid w:val="00A20B56"/>
    <w:rsid w:val="00A20B74"/>
    <w:rsid w:val="00A20CB0"/>
    <w:rsid w:val="00A20D4F"/>
    <w:rsid w:val="00A20DDA"/>
    <w:rsid w:val="00A20EBF"/>
    <w:rsid w:val="00A210A3"/>
    <w:rsid w:val="00A21107"/>
    <w:rsid w:val="00A211B2"/>
    <w:rsid w:val="00A211BD"/>
    <w:rsid w:val="00A21229"/>
    <w:rsid w:val="00A21319"/>
    <w:rsid w:val="00A213F8"/>
    <w:rsid w:val="00A2155C"/>
    <w:rsid w:val="00A21672"/>
    <w:rsid w:val="00A21867"/>
    <w:rsid w:val="00A21932"/>
    <w:rsid w:val="00A21AA2"/>
    <w:rsid w:val="00A21B08"/>
    <w:rsid w:val="00A21B2E"/>
    <w:rsid w:val="00A21C81"/>
    <w:rsid w:val="00A21D7D"/>
    <w:rsid w:val="00A21D83"/>
    <w:rsid w:val="00A21EDA"/>
    <w:rsid w:val="00A21EDF"/>
    <w:rsid w:val="00A220C1"/>
    <w:rsid w:val="00A220CE"/>
    <w:rsid w:val="00A221BA"/>
    <w:rsid w:val="00A22251"/>
    <w:rsid w:val="00A224BE"/>
    <w:rsid w:val="00A2263E"/>
    <w:rsid w:val="00A22710"/>
    <w:rsid w:val="00A227C5"/>
    <w:rsid w:val="00A227FF"/>
    <w:rsid w:val="00A22810"/>
    <w:rsid w:val="00A228E8"/>
    <w:rsid w:val="00A229E4"/>
    <w:rsid w:val="00A22B67"/>
    <w:rsid w:val="00A22B73"/>
    <w:rsid w:val="00A22C42"/>
    <w:rsid w:val="00A22D1D"/>
    <w:rsid w:val="00A23028"/>
    <w:rsid w:val="00A231A2"/>
    <w:rsid w:val="00A232C9"/>
    <w:rsid w:val="00A2339D"/>
    <w:rsid w:val="00A233A9"/>
    <w:rsid w:val="00A233B9"/>
    <w:rsid w:val="00A2358D"/>
    <w:rsid w:val="00A235B2"/>
    <w:rsid w:val="00A2365E"/>
    <w:rsid w:val="00A238F1"/>
    <w:rsid w:val="00A2392A"/>
    <w:rsid w:val="00A23A38"/>
    <w:rsid w:val="00A23B25"/>
    <w:rsid w:val="00A23E94"/>
    <w:rsid w:val="00A240BD"/>
    <w:rsid w:val="00A240DD"/>
    <w:rsid w:val="00A24114"/>
    <w:rsid w:val="00A2413E"/>
    <w:rsid w:val="00A24153"/>
    <w:rsid w:val="00A24194"/>
    <w:rsid w:val="00A241AE"/>
    <w:rsid w:val="00A242F4"/>
    <w:rsid w:val="00A2436D"/>
    <w:rsid w:val="00A243C0"/>
    <w:rsid w:val="00A2443D"/>
    <w:rsid w:val="00A24697"/>
    <w:rsid w:val="00A24942"/>
    <w:rsid w:val="00A249A3"/>
    <w:rsid w:val="00A24A26"/>
    <w:rsid w:val="00A24B10"/>
    <w:rsid w:val="00A24C9B"/>
    <w:rsid w:val="00A24CB1"/>
    <w:rsid w:val="00A24D69"/>
    <w:rsid w:val="00A24EF3"/>
    <w:rsid w:val="00A24F37"/>
    <w:rsid w:val="00A253A1"/>
    <w:rsid w:val="00A253B8"/>
    <w:rsid w:val="00A25542"/>
    <w:rsid w:val="00A25568"/>
    <w:rsid w:val="00A25659"/>
    <w:rsid w:val="00A25810"/>
    <w:rsid w:val="00A25826"/>
    <w:rsid w:val="00A258A0"/>
    <w:rsid w:val="00A2599B"/>
    <w:rsid w:val="00A259D1"/>
    <w:rsid w:val="00A25C33"/>
    <w:rsid w:val="00A25C9A"/>
    <w:rsid w:val="00A25CDB"/>
    <w:rsid w:val="00A25D45"/>
    <w:rsid w:val="00A25D51"/>
    <w:rsid w:val="00A25D76"/>
    <w:rsid w:val="00A25E7B"/>
    <w:rsid w:val="00A25F14"/>
    <w:rsid w:val="00A26041"/>
    <w:rsid w:val="00A26074"/>
    <w:rsid w:val="00A26109"/>
    <w:rsid w:val="00A26249"/>
    <w:rsid w:val="00A26281"/>
    <w:rsid w:val="00A26409"/>
    <w:rsid w:val="00A26506"/>
    <w:rsid w:val="00A2658A"/>
    <w:rsid w:val="00A26667"/>
    <w:rsid w:val="00A266C0"/>
    <w:rsid w:val="00A26900"/>
    <w:rsid w:val="00A26912"/>
    <w:rsid w:val="00A2696A"/>
    <w:rsid w:val="00A269B7"/>
    <w:rsid w:val="00A269C7"/>
    <w:rsid w:val="00A269E9"/>
    <w:rsid w:val="00A26A20"/>
    <w:rsid w:val="00A26BBA"/>
    <w:rsid w:val="00A26C39"/>
    <w:rsid w:val="00A26C4F"/>
    <w:rsid w:val="00A26C7C"/>
    <w:rsid w:val="00A26CA0"/>
    <w:rsid w:val="00A26CDE"/>
    <w:rsid w:val="00A26D6C"/>
    <w:rsid w:val="00A26DC8"/>
    <w:rsid w:val="00A26F99"/>
    <w:rsid w:val="00A26FE6"/>
    <w:rsid w:val="00A271CB"/>
    <w:rsid w:val="00A2727F"/>
    <w:rsid w:val="00A2729D"/>
    <w:rsid w:val="00A27330"/>
    <w:rsid w:val="00A2743D"/>
    <w:rsid w:val="00A27457"/>
    <w:rsid w:val="00A2755E"/>
    <w:rsid w:val="00A27572"/>
    <w:rsid w:val="00A2759F"/>
    <w:rsid w:val="00A2760E"/>
    <w:rsid w:val="00A276F3"/>
    <w:rsid w:val="00A27770"/>
    <w:rsid w:val="00A2779B"/>
    <w:rsid w:val="00A2789C"/>
    <w:rsid w:val="00A278C6"/>
    <w:rsid w:val="00A2792A"/>
    <w:rsid w:val="00A27961"/>
    <w:rsid w:val="00A27A57"/>
    <w:rsid w:val="00A27C48"/>
    <w:rsid w:val="00A27C6E"/>
    <w:rsid w:val="00A27CD6"/>
    <w:rsid w:val="00A27DD2"/>
    <w:rsid w:val="00A27FCC"/>
    <w:rsid w:val="00A300AF"/>
    <w:rsid w:val="00A3013E"/>
    <w:rsid w:val="00A3017D"/>
    <w:rsid w:val="00A302AE"/>
    <w:rsid w:val="00A302C4"/>
    <w:rsid w:val="00A30315"/>
    <w:rsid w:val="00A303E5"/>
    <w:rsid w:val="00A304AD"/>
    <w:rsid w:val="00A304E3"/>
    <w:rsid w:val="00A306A9"/>
    <w:rsid w:val="00A306AD"/>
    <w:rsid w:val="00A30706"/>
    <w:rsid w:val="00A3075B"/>
    <w:rsid w:val="00A3099D"/>
    <w:rsid w:val="00A30A11"/>
    <w:rsid w:val="00A30AF7"/>
    <w:rsid w:val="00A30B04"/>
    <w:rsid w:val="00A30B57"/>
    <w:rsid w:val="00A30B5E"/>
    <w:rsid w:val="00A30B67"/>
    <w:rsid w:val="00A30C9E"/>
    <w:rsid w:val="00A30C9F"/>
    <w:rsid w:val="00A30DF4"/>
    <w:rsid w:val="00A30E96"/>
    <w:rsid w:val="00A30EAF"/>
    <w:rsid w:val="00A30FC3"/>
    <w:rsid w:val="00A310D0"/>
    <w:rsid w:val="00A31104"/>
    <w:rsid w:val="00A311F1"/>
    <w:rsid w:val="00A31227"/>
    <w:rsid w:val="00A312AF"/>
    <w:rsid w:val="00A31313"/>
    <w:rsid w:val="00A31341"/>
    <w:rsid w:val="00A3138C"/>
    <w:rsid w:val="00A31392"/>
    <w:rsid w:val="00A313BB"/>
    <w:rsid w:val="00A313FF"/>
    <w:rsid w:val="00A31460"/>
    <w:rsid w:val="00A3147B"/>
    <w:rsid w:val="00A31498"/>
    <w:rsid w:val="00A314E1"/>
    <w:rsid w:val="00A314EB"/>
    <w:rsid w:val="00A31506"/>
    <w:rsid w:val="00A31604"/>
    <w:rsid w:val="00A31AE4"/>
    <w:rsid w:val="00A31C03"/>
    <w:rsid w:val="00A31C35"/>
    <w:rsid w:val="00A31C8E"/>
    <w:rsid w:val="00A31CB1"/>
    <w:rsid w:val="00A31E91"/>
    <w:rsid w:val="00A31EA3"/>
    <w:rsid w:val="00A31EE0"/>
    <w:rsid w:val="00A31FBE"/>
    <w:rsid w:val="00A31FD8"/>
    <w:rsid w:val="00A3215A"/>
    <w:rsid w:val="00A3219C"/>
    <w:rsid w:val="00A3222D"/>
    <w:rsid w:val="00A3225C"/>
    <w:rsid w:val="00A32327"/>
    <w:rsid w:val="00A323EB"/>
    <w:rsid w:val="00A325E1"/>
    <w:rsid w:val="00A32643"/>
    <w:rsid w:val="00A326F8"/>
    <w:rsid w:val="00A32726"/>
    <w:rsid w:val="00A32774"/>
    <w:rsid w:val="00A3278D"/>
    <w:rsid w:val="00A327DF"/>
    <w:rsid w:val="00A32889"/>
    <w:rsid w:val="00A328C0"/>
    <w:rsid w:val="00A328FB"/>
    <w:rsid w:val="00A32931"/>
    <w:rsid w:val="00A329B9"/>
    <w:rsid w:val="00A32AF2"/>
    <w:rsid w:val="00A32B55"/>
    <w:rsid w:val="00A32B8B"/>
    <w:rsid w:val="00A32D20"/>
    <w:rsid w:val="00A32D49"/>
    <w:rsid w:val="00A32DE7"/>
    <w:rsid w:val="00A32E51"/>
    <w:rsid w:val="00A32ECE"/>
    <w:rsid w:val="00A32F21"/>
    <w:rsid w:val="00A32F27"/>
    <w:rsid w:val="00A330CA"/>
    <w:rsid w:val="00A33118"/>
    <w:rsid w:val="00A3314E"/>
    <w:rsid w:val="00A3322A"/>
    <w:rsid w:val="00A33303"/>
    <w:rsid w:val="00A33369"/>
    <w:rsid w:val="00A33393"/>
    <w:rsid w:val="00A333A6"/>
    <w:rsid w:val="00A334EE"/>
    <w:rsid w:val="00A33525"/>
    <w:rsid w:val="00A3355F"/>
    <w:rsid w:val="00A33565"/>
    <w:rsid w:val="00A3362D"/>
    <w:rsid w:val="00A3368F"/>
    <w:rsid w:val="00A33699"/>
    <w:rsid w:val="00A33867"/>
    <w:rsid w:val="00A338D6"/>
    <w:rsid w:val="00A33A6E"/>
    <w:rsid w:val="00A33AB8"/>
    <w:rsid w:val="00A33B22"/>
    <w:rsid w:val="00A33E2F"/>
    <w:rsid w:val="00A33E5D"/>
    <w:rsid w:val="00A33F0B"/>
    <w:rsid w:val="00A34059"/>
    <w:rsid w:val="00A340E1"/>
    <w:rsid w:val="00A3414E"/>
    <w:rsid w:val="00A342A9"/>
    <w:rsid w:val="00A34322"/>
    <w:rsid w:val="00A345B8"/>
    <w:rsid w:val="00A34611"/>
    <w:rsid w:val="00A3467F"/>
    <w:rsid w:val="00A34696"/>
    <w:rsid w:val="00A346BE"/>
    <w:rsid w:val="00A34727"/>
    <w:rsid w:val="00A348A5"/>
    <w:rsid w:val="00A348EB"/>
    <w:rsid w:val="00A34908"/>
    <w:rsid w:val="00A34922"/>
    <w:rsid w:val="00A34959"/>
    <w:rsid w:val="00A3495E"/>
    <w:rsid w:val="00A34AA5"/>
    <w:rsid w:val="00A34AFD"/>
    <w:rsid w:val="00A34B73"/>
    <w:rsid w:val="00A34BC0"/>
    <w:rsid w:val="00A34D3B"/>
    <w:rsid w:val="00A34D5B"/>
    <w:rsid w:val="00A34E9A"/>
    <w:rsid w:val="00A34F12"/>
    <w:rsid w:val="00A34F9E"/>
    <w:rsid w:val="00A35015"/>
    <w:rsid w:val="00A35025"/>
    <w:rsid w:val="00A350F7"/>
    <w:rsid w:val="00A3523F"/>
    <w:rsid w:val="00A354F0"/>
    <w:rsid w:val="00A3556C"/>
    <w:rsid w:val="00A355B0"/>
    <w:rsid w:val="00A3560D"/>
    <w:rsid w:val="00A3560F"/>
    <w:rsid w:val="00A35656"/>
    <w:rsid w:val="00A357B1"/>
    <w:rsid w:val="00A357F7"/>
    <w:rsid w:val="00A35842"/>
    <w:rsid w:val="00A3588E"/>
    <w:rsid w:val="00A35928"/>
    <w:rsid w:val="00A35A07"/>
    <w:rsid w:val="00A35A97"/>
    <w:rsid w:val="00A35B9F"/>
    <w:rsid w:val="00A35CD5"/>
    <w:rsid w:val="00A35CDF"/>
    <w:rsid w:val="00A35E49"/>
    <w:rsid w:val="00A35EA2"/>
    <w:rsid w:val="00A35EC2"/>
    <w:rsid w:val="00A360E4"/>
    <w:rsid w:val="00A36126"/>
    <w:rsid w:val="00A361BE"/>
    <w:rsid w:val="00A36276"/>
    <w:rsid w:val="00A363C5"/>
    <w:rsid w:val="00A3653E"/>
    <w:rsid w:val="00A36629"/>
    <w:rsid w:val="00A3666D"/>
    <w:rsid w:val="00A3671F"/>
    <w:rsid w:val="00A3676F"/>
    <w:rsid w:val="00A367FA"/>
    <w:rsid w:val="00A36820"/>
    <w:rsid w:val="00A36859"/>
    <w:rsid w:val="00A3696E"/>
    <w:rsid w:val="00A36975"/>
    <w:rsid w:val="00A36B23"/>
    <w:rsid w:val="00A36B66"/>
    <w:rsid w:val="00A36C5A"/>
    <w:rsid w:val="00A3714A"/>
    <w:rsid w:val="00A371C7"/>
    <w:rsid w:val="00A3724C"/>
    <w:rsid w:val="00A37698"/>
    <w:rsid w:val="00A378E9"/>
    <w:rsid w:val="00A3793F"/>
    <w:rsid w:val="00A37AE3"/>
    <w:rsid w:val="00A37C86"/>
    <w:rsid w:val="00A37EC0"/>
    <w:rsid w:val="00A37F40"/>
    <w:rsid w:val="00A37F75"/>
    <w:rsid w:val="00A37FF2"/>
    <w:rsid w:val="00A37FF3"/>
    <w:rsid w:val="00A40063"/>
    <w:rsid w:val="00A40070"/>
    <w:rsid w:val="00A400C1"/>
    <w:rsid w:val="00A40128"/>
    <w:rsid w:val="00A402DD"/>
    <w:rsid w:val="00A403BB"/>
    <w:rsid w:val="00A403C8"/>
    <w:rsid w:val="00A403DC"/>
    <w:rsid w:val="00A40479"/>
    <w:rsid w:val="00A40505"/>
    <w:rsid w:val="00A40523"/>
    <w:rsid w:val="00A405F8"/>
    <w:rsid w:val="00A40648"/>
    <w:rsid w:val="00A4070E"/>
    <w:rsid w:val="00A40848"/>
    <w:rsid w:val="00A4088E"/>
    <w:rsid w:val="00A40A13"/>
    <w:rsid w:val="00A40A75"/>
    <w:rsid w:val="00A40C83"/>
    <w:rsid w:val="00A40CB0"/>
    <w:rsid w:val="00A40D39"/>
    <w:rsid w:val="00A40E2A"/>
    <w:rsid w:val="00A40EE3"/>
    <w:rsid w:val="00A40F2A"/>
    <w:rsid w:val="00A40F46"/>
    <w:rsid w:val="00A4118E"/>
    <w:rsid w:val="00A414C9"/>
    <w:rsid w:val="00A4159B"/>
    <w:rsid w:val="00A41642"/>
    <w:rsid w:val="00A416B7"/>
    <w:rsid w:val="00A41777"/>
    <w:rsid w:val="00A4177A"/>
    <w:rsid w:val="00A4194F"/>
    <w:rsid w:val="00A41A3B"/>
    <w:rsid w:val="00A41A7A"/>
    <w:rsid w:val="00A41A7B"/>
    <w:rsid w:val="00A41B5E"/>
    <w:rsid w:val="00A41BB9"/>
    <w:rsid w:val="00A41C89"/>
    <w:rsid w:val="00A41D14"/>
    <w:rsid w:val="00A41D7D"/>
    <w:rsid w:val="00A41DD0"/>
    <w:rsid w:val="00A41E34"/>
    <w:rsid w:val="00A41E8B"/>
    <w:rsid w:val="00A41ED8"/>
    <w:rsid w:val="00A41FCC"/>
    <w:rsid w:val="00A42179"/>
    <w:rsid w:val="00A422A1"/>
    <w:rsid w:val="00A422EF"/>
    <w:rsid w:val="00A423B2"/>
    <w:rsid w:val="00A4247B"/>
    <w:rsid w:val="00A42560"/>
    <w:rsid w:val="00A425E5"/>
    <w:rsid w:val="00A425F6"/>
    <w:rsid w:val="00A42608"/>
    <w:rsid w:val="00A4261F"/>
    <w:rsid w:val="00A4271C"/>
    <w:rsid w:val="00A4285A"/>
    <w:rsid w:val="00A42868"/>
    <w:rsid w:val="00A4299D"/>
    <w:rsid w:val="00A429CB"/>
    <w:rsid w:val="00A429EF"/>
    <w:rsid w:val="00A42B5C"/>
    <w:rsid w:val="00A42B62"/>
    <w:rsid w:val="00A42BB0"/>
    <w:rsid w:val="00A42C74"/>
    <w:rsid w:val="00A42C8F"/>
    <w:rsid w:val="00A42E2D"/>
    <w:rsid w:val="00A42EAA"/>
    <w:rsid w:val="00A42EE2"/>
    <w:rsid w:val="00A42F96"/>
    <w:rsid w:val="00A42FE8"/>
    <w:rsid w:val="00A430EC"/>
    <w:rsid w:val="00A4321F"/>
    <w:rsid w:val="00A433A6"/>
    <w:rsid w:val="00A433CD"/>
    <w:rsid w:val="00A433F3"/>
    <w:rsid w:val="00A433FC"/>
    <w:rsid w:val="00A43404"/>
    <w:rsid w:val="00A4348E"/>
    <w:rsid w:val="00A43603"/>
    <w:rsid w:val="00A43618"/>
    <w:rsid w:val="00A43847"/>
    <w:rsid w:val="00A438A0"/>
    <w:rsid w:val="00A438E7"/>
    <w:rsid w:val="00A4392C"/>
    <w:rsid w:val="00A43A5C"/>
    <w:rsid w:val="00A43ACE"/>
    <w:rsid w:val="00A43B20"/>
    <w:rsid w:val="00A43B3A"/>
    <w:rsid w:val="00A43B8F"/>
    <w:rsid w:val="00A43D6B"/>
    <w:rsid w:val="00A43D7B"/>
    <w:rsid w:val="00A43F46"/>
    <w:rsid w:val="00A43F65"/>
    <w:rsid w:val="00A43F8A"/>
    <w:rsid w:val="00A43F9B"/>
    <w:rsid w:val="00A44059"/>
    <w:rsid w:val="00A44068"/>
    <w:rsid w:val="00A440F7"/>
    <w:rsid w:val="00A44112"/>
    <w:rsid w:val="00A44293"/>
    <w:rsid w:val="00A44321"/>
    <w:rsid w:val="00A4433E"/>
    <w:rsid w:val="00A44444"/>
    <w:rsid w:val="00A44565"/>
    <w:rsid w:val="00A44623"/>
    <w:rsid w:val="00A44668"/>
    <w:rsid w:val="00A446A3"/>
    <w:rsid w:val="00A44727"/>
    <w:rsid w:val="00A447DA"/>
    <w:rsid w:val="00A448E1"/>
    <w:rsid w:val="00A44CF2"/>
    <w:rsid w:val="00A44D7F"/>
    <w:rsid w:val="00A44E02"/>
    <w:rsid w:val="00A44E60"/>
    <w:rsid w:val="00A44EE7"/>
    <w:rsid w:val="00A453AD"/>
    <w:rsid w:val="00A45408"/>
    <w:rsid w:val="00A45493"/>
    <w:rsid w:val="00A45899"/>
    <w:rsid w:val="00A458BA"/>
    <w:rsid w:val="00A458E8"/>
    <w:rsid w:val="00A45953"/>
    <w:rsid w:val="00A45AFC"/>
    <w:rsid w:val="00A45B43"/>
    <w:rsid w:val="00A45BD4"/>
    <w:rsid w:val="00A45CCA"/>
    <w:rsid w:val="00A45CDC"/>
    <w:rsid w:val="00A45D8C"/>
    <w:rsid w:val="00A45E79"/>
    <w:rsid w:val="00A45E94"/>
    <w:rsid w:val="00A45EEA"/>
    <w:rsid w:val="00A460C0"/>
    <w:rsid w:val="00A46100"/>
    <w:rsid w:val="00A46255"/>
    <w:rsid w:val="00A46287"/>
    <w:rsid w:val="00A462CD"/>
    <w:rsid w:val="00A462F6"/>
    <w:rsid w:val="00A46497"/>
    <w:rsid w:val="00A4650B"/>
    <w:rsid w:val="00A4660C"/>
    <w:rsid w:val="00A46654"/>
    <w:rsid w:val="00A46691"/>
    <w:rsid w:val="00A46786"/>
    <w:rsid w:val="00A46815"/>
    <w:rsid w:val="00A46823"/>
    <w:rsid w:val="00A4684E"/>
    <w:rsid w:val="00A46A32"/>
    <w:rsid w:val="00A46D77"/>
    <w:rsid w:val="00A46E2A"/>
    <w:rsid w:val="00A46EBB"/>
    <w:rsid w:val="00A46F8A"/>
    <w:rsid w:val="00A47029"/>
    <w:rsid w:val="00A470F7"/>
    <w:rsid w:val="00A471B4"/>
    <w:rsid w:val="00A4722C"/>
    <w:rsid w:val="00A47275"/>
    <w:rsid w:val="00A4729C"/>
    <w:rsid w:val="00A472EC"/>
    <w:rsid w:val="00A4747F"/>
    <w:rsid w:val="00A474B8"/>
    <w:rsid w:val="00A474E4"/>
    <w:rsid w:val="00A474F4"/>
    <w:rsid w:val="00A475E7"/>
    <w:rsid w:val="00A476EC"/>
    <w:rsid w:val="00A4775D"/>
    <w:rsid w:val="00A4782B"/>
    <w:rsid w:val="00A47837"/>
    <w:rsid w:val="00A478B8"/>
    <w:rsid w:val="00A478BE"/>
    <w:rsid w:val="00A4793E"/>
    <w:rsid w:val="00A4796F"/>
    <w:rsid w:val="00A479D1"/>
    <w:rsid w:val="00A47A50"/>
    <w:rsid w:val="00A47B8D"/>
    <w:rsid w:val="00A47CC1"/>
    <w:rsid w:val="00A47DD0"/>
    <w:rsid w:val="00A47F15"/>
    <w:rsid w:val="00A47FC2"/>
    <w:rsid w:val="00A47FDB"/>
    <w:rsid w:val="00A5003D"/>
    <w:rsid w:val="00A5008B"/>
    <w:rsid w:val="00A501C1"/>
    <w:rsid w:val="00A50239"/>
    <w:rsid w:val="00A50313"/>
    <w:rsid w:val="00A5035A"/>
    <w:rsid w:val="00A5045F"/>
    <w:rsid w:val="00A506E7"/>
    <w:rsid w:val="00A5077C"/>
    <w:rsid w:val="00A508EA"/>
    <w:rsid w:val="00A50988"/>
    <w:rsid w:val="00A509E0"/>
    <w:rsid w:val="00A50B60"/>
    <w:rsid w:val="00A50B7B"/>
    <w:rsid w:val="00A50BB7"/>
    <w:rsid w:val="00A50CE0"/>
    <w:rsid w:val="00A50DC3"/>
    <w:rsid w:val="00A50E94"/>
    <w:rsid w:val="00A50E9F"/>
    <w:rsid w:val="00A50FDC"/>
    <w:rsid w:val="00A510DE"/>
    <w:rsid w:val="00A511D4"/>
    <w:rsid w:val="00A511E0"/>
    <w:rsid w:val="00A5133F"/>
    <w:rsid w:val="00A5137B"/>
    <w:rsid w:val="00A51391"/>
    <w:rsid w:val="00A513C5"/>
    <w:rsid w:val="00A51514"/>
    <w:rsid w:val="00A5154E"/>
    <w:rsid w:val="00A5162A"/>
    <w:rsid w:val="00A5166C"/>
    <w:rsid w:val="00A516AE"/>
    <w:rsid w:val="00A516DD"/>
    <w:rsid w:val="00A51772"/>
    <w:rsid w:val="00A5177A"/>
    <w:rsid w:val="00A517FC"/>
    <w:rsid w:val="00A51809"/>
    <w:rsid w:val="00A5189C"/>
    <w:rsid w:val="00A51B0B"/>
    <w:rsid w:val="00A51BAB"/>
    <w:rsid w:val="00A51E70"/>
    <w:rsid w:val="00A51ED7"/>
    <w:rsid w:val="00A52003"/>
    <w:rsid w:val="00A5205A"/>
    <w:rsid w:val="00A521D4"/>
    <w:rsid w:val="00A52266"/>
    <w:rsid w:val="00A5227F"/>
    <w:rsid w:val="00A522B3"/>
    <w:rsid w:val="00A5232A"/>
    <w:rsid w:val="00A52525"/>
    <w:rsid w:val="00A525F1"/>
    <w:rsid w:val="00A52709"/>
    <w:rsid w:val="00A52970"/>
    <w:rsid w:val="00A52C74"/>
    <w:rsid w:val="00A52CF2"/>
    <w:rsid w:val="00A52DF8"/>
    <w:rsid w:val="00A52EAC"/>
    <w:rsid w:val="00A5308C"/>
    <w:rsid w:val="00A531E9"/>
    <w:rsid w:val="00A5320F"/>
    <w:rsid w:val="00A532FA"/>
    <w:rsid w:val="00A5331B"/>
    <w:rsid w:val="00A5333D"/>
    <w:rsid w:val="00A53355"/>
    <w:rsid w:val="00A533EE"/>
    <w:rsid w:val="00A53410"/>
    <w:rsid w:val="00A53415"/>
    <w:rsid w:val="00A5348C"/>
    <w:rsid w:val="00A534BF"/>
    <w:rsid w:val="00A53663"/>
    <w:rsid w:val="00A5378D"/>
    <w:rsid w:val="00A53817"/>
    <w:rsid w:val="00A5393C"/>
    <w:rsid w:val="00A53945"/>
    <w:rsid w:val="00A539FB"/>
    <w:rsid w:val="00A53A1C"/>
    <w:rsid w:val="00A53A49"/>
    <w:rsid w:val="00A53BA7"/>
    <w:rsid w:val="00A53BBD"/>
    <w:rsid w:val="00A53BD9"/>
    <w:rsid w:val="00A53BEB"/>
    <w:rsid w:val="00A53C0E"/>
    <w:rsid w:val="00A53C18"/>
    <w:rsid w:val="00A53E9A"/>
    <w:rsid w:val="00A53F37"/>
    <w:rsid w:val="00A54041"/>
    <w:rsid w:val="00A54081"/>
    <w:rsid w:val="00A54094"/>
    <w:rsid w:val="00A540AE"/>
    <w:rsid w:val="00A540CF"/>
    <w:rsid w:val="00A54159"/>
    <w:rsid w:val="00A5419F"/>
    <w:rsid w:val="00A54274"/>
    <w:rsid w:val="00A542CC"/>
    <w:rsid w:val="00A544A6"/>
    <w:rsid w:val="00A54627"/>
    <w:rsid w:val="00A546E2"/>
    <w:rsid w:val="00A54740"/>
    <w:rsid w:val="00A5485E"/>
    <w:rsid w:val="00A54877"/>
    <w:rsid w:val="00A548A8"/>
    <w:rsid w:val="00A548FB"/>
    <w:rsid w:val="00A54953"/>
    <w:rsid w:val="00A54AE2"/>
    <w:rsid w:val="00A54B62"/>
    <w:rsid w:val="00A54B97"/>
    <w:rsid w:val="00A54CE2"/>
    <w:rsid w:val="00A54D20"/>
    <w:rsid w:val="00A54E21"/>
    <w:rsid w:val="00A54E2D"/>
    <w:rsid w:val="00A54E7B"/>
    <w:rsid w:val="00A54F85"/>
    <w:rsid w:val="00A54FF6"/>
    <w:rsid w:val="00A550A5"/>
    <w:rsid w:val="00A550E2"/>
    <w:rsid w:val="00A553C5"/>
    <w:rsid w:val="00A55494"/>
    <w:rsid w:val="00A55737"/>
    <w:rsid w:val="00A558B9"/>
    <w:rsid w:val="00A55963"/>
    <w:rsid w:val="00A55974"/>
    <w:rsid w:val="00A559B5"/>
    <w:rsid w:val="00A55AA6"/>
    <w:rsid w:val="00A55AAF"/>
    <w:rsid w:val="00A55AEC"/>
    <w:rsid w:val="00A55C47"/>
    <w:rsid w:val="00A55E3B"/>
    <w:rsid w:val="00A55EB5"/>
    <w:rsid w:val="00A55EF0"/>
    <w:rsid w:val="00A55FB4"/>
    <w:rsid w:val="00A56008"/>
    <w:rsid w:val="00A5602C"/>
    <w:rsid w:val="00A56135"/>
    <w:rsid w:val="00A56146"/>
    <w:rsid w:val="00A561B3"/>
    <w:rsid w:val="00A5620C"/>
    <w:rsid w:val="00A563AB"/>
    <w:rsid w:val="00A563AD"/>
    <w:rsid w:val="00A564A9"/>
    <w:rsid w:val="00A564BD"/>
    <w:rsid w:val="00A565E2"/>
    <w:rsid w:val="00A565F3"/>
    <w:rsid w:val="00A5665E"/>
    <w:rsid w:val="00A5675A"/>
    <w:rsid w:val="00A5676B"/>
    <w:rsid w:val="00A56921"/>
    <w:rsid w:val="00A56991"/>
    <w:rsid w:val="00A569C0"/>
    <w:rsid w:val="00A569DB"/>
    <w:rsid w:val="00A56C50"/>
    <w:rsid w:val="00A56D28"/>
    <w:rsid w:val="00A56D70"/>
    <w:rsid w:val="00A56DDB"/>
    <w:rsid w:val="00A56DEE"/>
    <w:rsid w:val="00A56E63"/>
    <w:rsid w:val="00A56EA5"/>
    <w:rsid w:val="00A56FA8"/>
    <w:rsid w:val="00A5702E"/>
    <w:rsid w:val="00A57146"/>
    <w:rsid w:val="00A572B0"/>
    <w:rsid w:val="00A57403"/>
    <w:rsid w:val="00A57422"/>
    <w:rsid w:val="00A5756A"/>
    <w:rsid w:val="00A5757A"/>
    <w:rsid w:val="00A575C0"/>
    <w:rsid w:val="00A578E7"/>
    <w:rsid w:val="00A5790D"/>
    <w:rsid w:val="00A57A0E"/>
    <w:rsid w:val="00A57AA9"/>
    <w:rsid w:val="00A57AEA"/>
    <w:rsid w:val="00A57B02"/>
    <w:rsid w:val="00A57B68"/>
    <w:rsid w:val="00A57C34"/>
    <w:rsid w:val="00A57E6D"/>
    <w:rsid w:val="00A57F15"/>
    <w:rsid w:val="00A57F7B"/>
    <w:rsid w:val="00A57FDE"/>
    <w:rsid w:val="00A600A2"/>
    <w:rsid w:val="00A600E6"/>
    <w:rsid w:val="00A601E9"/>
    <w:rsid w:val="00A6025C"/>
    <w:rsid w:val="00A6038E"/>
    <w:rsid w:val="00A603B9"/>
    <w:rsid w:val="00A603DC"/>
    <w:rsid w:val="00A60414"/>
    <w:rsid w:val="00A6044A"/>
    <w:rsid w:val="00A605E5"/>
    <w:rsid w:val="00A605EB"/>
    <w:rsid w:val="00A605F4"/>
    <w:rsid w:val="00A60693"/>
    <w:rsid w:val="00A6074A"/>
    <w:rsid w:val="00A607C4"/>
    <w:rsid w:val="00A60851"/>
    <w:rsid w:val="00A609AA"/>
    <w:rsid w:val="00A60A86"/>
    <w:rsid w:val="00A60AB2"/>
    <w:rsid w:val="00A60CD8"/>
    <w:rsid w:val="00A60CE3"/>
    <w:rsid w:val="00A60D04"/>
    <w:rsid w:val="00A60D5D"/>
    <w:rsid w:val="00A60DAC"/>
    <w:rsid w:val="00A60F76"/>
    <w:rsid w:val="00A60F93"/>
    <w:rsid w:val="00A60FD0"/>
    <w:rsid w:val="00A61153"/>
    <w:rsid w:val="00A612D0"/>
    <w:rsid w:val="00A61344"/>
    <w:rsid w:val="00A613A3"/>
    <w:rsid w:val="00A616B6"/>
    <w:rsid w:val="00A61737"/>
    <w:rsid w:val="00A61865"/>
    <w:rsid w:val="00A619FE"/>
    <w:rsid w:val="00A61A5B"/>
    <w:rsid w:val="00A61AA2"/>
    <w:rsid w:val="00A61AF2"/>
    <w:rsid w:val="00A61BA9"/>
    <w:rsid w:val="00A61C66"/>
    <w:rsid w:val="00A61D76"/>
    <w:rsid w:val="00A61E1E"/>
    <w:rsid w:val="00A61EC9"/>
    <w:rsid w:val="00A61EE3"/>
    <w:rsid w:val="00A61EF2"/>
    <w:rsid w:val="00A61FFD"/>
    <w:rsid w:val="00A62233"/>
    <w:rsid w:val="00A62271"/>
    <w:rsid w:val="00A62284"/>
    <w:rsid w:val="00A62374"/>
    <w:rsid w:val="00A623EE"/>
    <w:rsid w:val="00A62498"/>
    <w:rsid w:val="00A625CA"/>
    <w:rsid w:val="00A625F7"/>
    <w:rsid w:val="00A625F8"/>
    <w:rsid w:val="00A6271D"/>
    <w:rsid w:val="00A62790"/>
    <w:rsid w:val="00A627A4"/>
    <w:rsid w:val="00A62898"/>
    <w:rsid w:val="00A628BF"/>
    <w:rsid w:val="00A6299D"/>
    <w:rsid w:val="00A62A38"/>
    <w:rsid w:val="00A62A4D"/>
    <w:rsid w:val="00A62A9D"/>
    <w:rsid w:val="00A62B76"/>
    <w:rsid w:val="00A62BEE"/>
    <w:rsid w:val="00A62D30"/>
    <w:rsid w:val="00A62EAC"/>
    <w:rsid w:val="00A62F97"/>
    <w:rsid w:val="00A63055"/>
    <w:rsid w:val="00A630A5"/>
    <w:rsid w:val="00A63389"/>
    <w:rsid w:val="00A633BB"/>
    <w:rsid w:val="00A63462"/>
    <w:rsid w:val="00A63511"/>
    <w:rsid w:val="00A6357A"/>
    <w:rsid w:val="00A635E7"/>
    <w:rsid w:val="00A6362F"/>
    <w:rsid w:val="00A63725"/>
    <w:rsid w:val="00A63771"/>
    <w:rsid w:val="00A63A95"/>
    <w:rsid w:val="00A63C57"/>
    <w:rsid w:val="00A63C89"/>
    <w:rsid w:val="00A640A5"/>
    <w:rsid w:val="00A6417B"/>
    <w:rsid w:val="00A641B9"/>
    <w:rsid w:val="00A64216"/>
    <w:rsid w:val="00A6424D"/>
    <w:rsid w:val="00A6426C"/>
    <w:rsid w:val="00A64289"/>
    <w:rsid w:val="00A642CE"/>
    <w:rsid w:val="00A64371"/>
    <w:rsid w:val="00A64378"/>
    <w:rsid w:val="00A64416"/>
    <w:rsid w:val="00A64423"/>
    <w:rsid w:val="00A644B8"/>
    <w:rsid w:val="00A64524"/>
    <w:rsid w:val="00A6452A"/>
    <w:rsid w:val="00A64537"/>
    <w:rsid w:val="00A6457E"/>
    <w:rsid w:val="00A6459F"/>
    <w:rsid w:val="00A645E9"/>
    <w:rsid w:val="00A6463F"/>
    <w:rsid w:val="00A649D6"/>
    <w:rsid w:val="00A64A21"/>
    <w:rsid w:val="00A64A36"/>
    <w:rsid w:val="00A64B10"/>
    <w:rsid w:val="00A64F20"/>
    <w:rsid w:val="00A64F87"/>
    <w:rsid w:val="00A64FBE"/>
    <w:rsid w:val="00A64FF6"/>
    <w:rsid w:val="00A65053"/>
    <w:rsid w:val="00A65178"/>
    <w:rsid w:val="00A651E7"/>
    <w:rsid w:val="00A6527D"/>
    <w:rsid w:val="00A6538A"/>
    <w:rsid w:val="00A6556A"/>
    <w:rsid w:val="00A6558B"/>
    <w:rsid w:val="00A655D0"/>
    <w:rsid w:val="00A6560A"/>
    <w:rsid w:val="00A65892"/>
    <w:rsid w:val="00A65991"/>
    <w:rsid w:val="00A65AA1"/>
    <w:rsid w:val="00A65ABE"/>
    <w:rsid w:val="00A65AF2"/>
    <w:rsid w:val="00A65B34"/>
    <w:rsid w:val="00A65D2B"/>
    <w:rsid w:val="00A65D8D"/>
    <w:rsid w:val="00A65E2D"/>
    <w:rsid w:val="00A65FE3"/>
    <w:rsid w:val="00A6605C"/>
    <w:rsid w:val="00A66241"/>
    <w:rsid w:val="00A6627E"/>
    <w:rsid w:val="00A662E8"/>
    <w:rsid w:val="00A662FD"/>
    <w:rsid w:val="00A66391"/>
    <w:rsid w:val="00A66428"/>
    <w:rsid w:val="00A6645F"/>
    <w:rsid w:val="00A66621"/>
    <w:rsid w:val="00A6673B"/>
    <w:rsid w:val="00A667D0"/>
    <w:rsid w:val="00A668DB"/>
    <w:rsid w:val="00A66A29"/>
    <w:rsid w:val="00A66AA1"/>
    <w:rsid w:val="00A66AF8"/>
    <w:rsid w:val="00A66B43"/>
    <w:rsid w:val="00A66B7A"/>
    <w:rsid w:val="00A66B9B"/>
    <w:rsid w:val="00A66BC8"/>
    <w:rsid w:val="00A66C03"/>
    <w:rsid w:val="00A66D69"/>
    <w:rsid w:val="00A66D9D"/>
    <w:rsid w:val="00A66E79"/>
    <w:rsid w:val="00A66FB2"/>
    <w:rsid w:val="00A66FE3"/>
    <w:rsid w:val="00A66FF5"/>
    <w:rsid w:val="00A671FC"/>
    <w:rsid w:val="00A672A4"/>
    <w:rsid w:val="00A67332"/>
    <w:rsid w:val="00A6738C"/>
    <w:rsid w:val="00A6755B"/>
    <w:rsid w:val="00A675BD"/>
    <w:rsid w:val="00A675D7"/>
    <w:rsid w:val="00A675E2"/>
    <w:rsid w:val="00A6760F"/>
    <w:rsid w:val="00A6769A"/>
    <w:rsid w:val="00A676EE"/>
    <w:rsid w:val="00A6781D"/>
    <w:rsid w:val="00A67862"/>
    <w:rsid w:val="00A67923"/>
    <w:rsid w:val="00A679AC"/>
    <w:rsid w:val="00A67A0A"/>
    <w:rsid w:val="00A67A42"/>
    <w:rsid w:val="00A67AB2"/>
    <w:rsid w:val="00A67B6A"/>
    <w:rsid w:val="00A67BFB"/>
    <w:rsid w:val="00A67CAA"/>
    <w:rsid w:val="00A67CD7"/>
    <w:rsid w:val="00A67EDE"/>
    <w:rsid w:val="00A67FF1"/>
    <w:rsid w:val="00A70018"/>
    <w:rsid w:val="00A7014A"/>
    <w:rsid w:val="00A7019F"/>
    <w:rsid w:val="00A701E1"/>
    <w:rsid w:val="00A702C5"/>
    <w:rsid w:val="00A704DA"/>
    <w:rsid w:val="00A70503"/>
    <w:rsid w:val="00A7054A"/>
    <w:rsid w:val="00A70615"/>
    <w:rsid w:val="00A70672"/>
    <w:rsid w:val="00A70762"/>
    <w:rsid w:val="00A7091C"/>
    <w:rsid w:val="00A70A93"/>
    <w:rsid w:val="00A70A97"/>
    <w:rsid w:val="00A70B24"/>
    <w:rsid w:val="00A70B5D"/>
    <w:rsid w:val="00A70BB9"/>
    <w:rsid w:val="00A70C2D"/>
    <w:rsid w:val="00A70D91"/>
    <w:rsid w:val="00A70E27"/>
    <w:rsid w:val="00A70E31"/>
    <w:rsid w:val="00A70FBF"/>
    <w:rsid w:val="00A71064"/>
    <w:rsid w:val="00A710FA"/>
    <w:rsid w:val="00A71169"/>
    <w:rsid w:val="00A71177"/>
    <w:rsid w:val="00A7118F"/>
    <w:rsid w:val="00A7129C"/>
    <w:rsid w:val="00A71340"/>
    <w:rsid w:val="00A7137C"/>
    <w:rsid w:val="00A71601"/>
    <w:rsid w:val="00A716EA"/>
    <w:rsid w:val="00A717B4"/>
    <w:rsid w:val="00A717C9"/>
    <w:rsid w:val="00A71832"/>
    <w:rsid w:val="00A71918"/>
    <w:rsid w:val="00A7196B"/>
    <w:rsid w:val="00A71A1D"/>
    <w:rsid w:val="00A71AEF"/>
    <w:rsid w:val="00A71BBE"/>
    <w:rsid w:val="00A71C3A"/>
    <w:rsid w:val="00A71C45"/>
    <w:rsid w:val="00A71CA9"/>
    <w:rsid w:val="00A71CEC"/>
    <w:rsid w:val="00A71D82"/>
    <w:rsid w:val="00A71E29"/>
    <w:rsid w:val="00A71EBE"/>
    <w:rsid w:val="00A71F49"/>
    <w:rsid w:val="00A72001"/>
    <w:rsid w:val="00A7208D"/>
    <w:rsid w:val="00A7218F"/>
    <w:rsid w:val="00A72241"/>
    <w:rsid w:val="00A7242D"/>
    <w:rsid w:val="00A72517"/>
    <w:rsid w:val="00A7253A"/>
    <w:rsid w:val="00A7258D"/>
    <w:rsid w:val="00A725EC"/>
    <w:rsid w:val="00A7268B"/>
    <w:rsid w:val="00A72764"/>
    <w:rsid w:val="00A72779"/>
    <w:rsid w:val="00A72865"/>
    <w:rsid w:val="00A72875"/>
    <w:rsid w:val="00A72895"/>
    <w:rsid w:val="00A72A2D"/>
    <w:rsid w:val="00A72A50"/>
    <w:rsid w:val="00A72AB4"/>
    <w:rsid w:val="00A72E39"/>
    <w:rsid w:val="00A72EB0"/>
    <w:rsid w:val="00A72FF3"/>
    <w:rsid w:val="00A72FFF"/>
    <w:rsid w:val="00A73050"/>
    <w:rsid w:val="00A730AE"/>
    <w:rsid w:val="00A730EA"/>
    <w:rsid w:val="00A731B7"/>
    <w:rsid w:val="00A7348C"/>
    <w:rsid w:val="00A734A9"/>
    <w:rsid w:val="00A734F5"/>
    <w:rsid w:val="00A73558"/>
    <w:rsid w:val="00A73572"/>
    <w:rsid w:val="00A73604"/>
    <w:rsid w:val="00A737A5"/>
    <w:rsid w:val="00A737C6"/>
    <w:rsid w:val="00A73855"/>
    <w:rsid w:val="00A73929"/>
    <w:rsid w:val="00A7395C"/>
    <w:rsid w:val="00A73A65"/>
    <w:rsid w:val="00A73D51"/>
    <w:rsid w:val="00A73EEA"/>
    <w:rsid w:val="00A73FC4"/>
    <w:rsid w:val="00A7404D"/>
    <w:rsid w:val="00A7410D"/>
    <w:rsid w:val="00A74123"/>
    <w:rsid w:val="00A74133"/>
    <w:rsid w:val="00A74249"/>
    <w:rsid w:val="00A74258"/>
    <w:rsid w:val="00A743C0"/>
    <w:rsid w:val="00A743C8"/>
    <w:rsid w:val="00A74441"/>
    <w:rsid w:val="00A744EA"/>
    <w:rsid w:val="00A7454F"/>
    <w:rsid w:val="00A745F7"/>
    <w:rsid w:val="00A74707"/>
    <w:rsid w:val="00A74787"/>
    <w:rsid w:val="00A74883"/>
    <w:rsid w:val="00A74890"/>
    <w:rsid w:val="00A74960"/>
    <w:rsid w:val="00A749CB"/>
    <w:rsid w:val="00A74A81"/>
    <w:rsid w:val="00A74A84"/>
    <w:rsid w:val="00A74BD1"/>
    <w:rsid w:val="00A74CC0"/>
    <w:rsid w:val="00A74CE0"/>
    <w:rsid w:val="00A74E2A"/>
    <w:rsid w:val="00A74F4C"/>
    <w:rsid w:val="00A74F7B"/>
    <w:rsid w:val="00A74FF3"/>
    <w:rsid w:val="00A75017"/>
    <w:rsid w:val="00A75038"/>
    <w:rsid w:val="00A75044"/>
    <w:rsid w:val="00A750A6"/>
    <w:rsid w:val="00A750F1"/>
    <w:rsid w:val="00A7512B"/>
    <w:rsid w:val="00A751BD"/>
    <w:rsid w:val="00A75325"/>
    <w:rsid w:val="00A754F9"/>
    <w:rsid w:val="00A7562B"/>
    <w:rsid w:val="00A75731"/>
    <w:rsid w:val="00A757B5"/>
    <w:rsid w:val="00A759E8"/>
    <w:rsid w:val="00A75B06"/>
    <w:rsid w:val="00A75B18"/>
    <w:rsid w:val="00A75BB8"/>
    <w:rsid w:val="00A75ECB"/>
    <w:rsid w:val="00A75EDC"/>
    <w:rsid w:val="00A75EEC"/>
    <w:rsid w:val="00A76004"/>
    <w:rsid w:val="00A76018"/>
    <w:rsid w:val="00A76039"/>
    <w:rsid w:val="00A76350"/>
    <w:rsid w:val="00A763D2"/>
    <w:rsid w:val="00A764EF"/>
    <w:rsid w:val="00A7650A"/>
    <w:rsid w:val="00A766AB"/>
    <w:rsid w:val="00A7671A"/>
    <w:rsid w:val="00A76773"/>
    <w:rsid w:val="00A7677D"/>
    <w:rsid w:val="00A7689F"/>
    <w:rsid w:val="00A768AE"/>
    <w:rsid w:val="00A76926"/>
    <w:rsid w:val="00A76968"/>
    <w:rsid w:val="00A7697D"/>
    <w:rsid w:val="00A76AE0"/>
    <w:rsid w:val="00A76B97"/>
    <w:rsid w:val="00A76C03"/>
    <w:rsid w:val="00A76C6F"/>
    <w:rsid w:val="00A76DB6"/>
    <w:rsid w:val="00A76DC0"/>
    <w:rsid w:val="00A76F5D"/>
    <w:rsid w:val="00A7701B"/>
    <w:rsid w:val="00A770E4"/>
    <w:rsid w:val="00A7712E"/>
    <w:rsid w:val="00A771DB"/>
    <w:rsid w:val="00A7724A"/>
    <w:rsid w:val="00A77298"/>
    <w:rsid w:val="00A772B7"/>
    <w:rsid w:val="00A773C5"/>
    <w:rsid w:val="00A77457"/>
    <w:rsid w:val="00A7746E"/>
    <w:rsid w:val="00A774AB"/>
    <w:rsid w:val="00A774C1"/>
    <w:rsid w:val="00A774EA"/>
    <w:rsid w:val="00A77508"/>
    <w:rsid w:val="00A77563"/>
    <w:rsid w:val="00A77585"/>
    <w:rsid w:val="00A77658"/>
    <w:rsid w:val="00A776E8"/>
    <w:rsid w:val="00A776FE"/>
    <w:rsid w:val="00A777B4"/>
    <w:rsid w:val="00A7795F"/>
    <w:rsid w:val="00A77A98"/>
    <w:rsid w:val="00A77DA0"/>
    <w:rsid w:val="00A80014"/>
    <w:rsid w:val="00A80049"/>
    <w:rsid w:val="00A8007F"/>
    <w:rsid w:val="00A80260"/>
    <w:rsid w:val="00A80417"/>
    <w:rsid w:val="00A8047E"/>
    <w:rsid w:val="00A80691"/>
    <w:rsid w:val="00A8075B"/>
    <w:rsid w:val="00A807B2"/>
    <w:rsid w:val="00A80B53"/>
    <w:rsid w:val="00A80B99"/>
    <w:rsid w:val="00A80C3A"/>
    <w:rsid w:val="00A80C97"/>
    <w:rsid w:val="00A80D30"/>
    <w:rsid w:val="00A80E10"/>
    <w:rsid w:val="00A80F1F"/>
    <w:rsid w:val="00A812AA"/>
    <w:rsid w:val="00A81360"/>
    <w:rsid w:val="00A81369"/>
    <w:rsid w:val="00A8139C"/>
    <w:rsid w:val="00A813F1"/>
    <w:rsid w:val="00A8145C"/>
    <w:rsid w:val="00A81471"/>
    <w:rsid w:val="00A8147D"/>
    <w:rsid w:val="00A81607"/>
    <w:rsid w:val="00A816AC"/>
    <w:rsid w:val="00A8173D"/>
    <w:rsid w:val="00A81768"/>
    <w:rsid w:val="00A8183F"/>
    <w:rsid w:val="00A8185B"/>
    <w:rsid w:val="00A81987"/>
    <w:rsid w:val="00A81A5C"/>
    <w:rsid w:val="00A81B43"/>
    <w:rsid w:val="00A81B6B"/>
    <w:rsid w:val="00A81C5C"/>
    <w:rsid w:val="00A81D61"/>
    <w:rsid w:val="00A81DB6"/>
    <w:rsid w:val="00A81E2A"/>
    <w:rsid w:val="00A81F50"/>
    <w:rsid w:val="00A81F6A"/>
    <w:rsid w:val="00A82041"/>
    <w:rsid w:val="00A820C8"/>
    <w:rsid w:val="00A82115"/>
    <w:rsid w:val="00A82159"/>
    <w:rsid w:val="00A82183"/>
    <w:rsid w:val="00A821BF"/>
    <w:rsid w:val="00A822D4"/>
    <w:rsid w:val="00A822EB"/>
    <w:rsid w:val="00A82406"/>
    <w:rsid w:val="00A82451"/>
    <w:rsid w:val="00A8255A"/>
    <w:rsid w:val="00A825BB"/>
    <w:rsid w:val="00A82694"/>
    <w:rsid w:val="00A82707"/>
    <w:rsid w:val="00A82808"/>
    <w:rsid w:val="00A82882"/>
    <w:rsid w:val="00A828D1"/>
    <w:rsid w:val="00A82964"/>
    <w:rsid w:val="00A82978"/>
    <w:rsid w:val="00A82AB6"/>
    <w:rsid w:val="00A82B05"/>
    <w:rsid w:val="00A82B6D"/>
    <w:rsid w:val="00A82B85"/>
    <w:rsid w:val="00A82D34"/>
    <w:rsid w:val="00A82E29"/>
    <w:rsid w:val="00A82E80"/>
    <w:rsid w:val="00A82E90"/>
    <w:rsid w:val="00A82F40"/>
    <w:rsid w:val="00A82F51"/>
    <w:rsid w:val="00A82FD5"/>
    <w:rsid w:val="00A82FD7"/>
    <w:rsid w:val="00A83003"/>
    <w:rsid w:val="00A831A8"/>
    <w:rsid w:val="00A83224"/>
    <w:rsid w:val="00A83374"/>
    <w:rsid w:val="00A833C5"/>
    <w:rsid w:val="00A8343B"/>
    <w:rsid w:val="00A8350B"/>
    <w:rsid w:val="00A8365A"/>
    <w:rsid w:val="00A8369A"/>
    <w:rsid w:val="00A8375B"/>
    <w:rsid w:val="00A8378B"/>
    <w:rsid w:val="00A837BB"/>
    <w:rsid w:val="00A8385D"/>
    <w:rsid w:val="00A838AC"/>
    <w:rsid w:val="00A838D9"/>
    <w:rsid w:val="00A83980"/>
    <w:rsid w:val="00A83B3E"/>
    <w:rsid w:val="00A83BDE"/>
    <w:rsid w:val="00A83C0F"/>
    <w:rsid w:val="00A83C69"/>
    <w:rsid w:val="00A83CA0"/>
    <w:rsid w:val="00A83D10"/>
    <w:rsid w:val="00A83E22"/>
    <w:rsid w:val="00A840B4"/>
    <w:rsid w:val="00A840C8"/>
    <w:rsid w:val="00A841BC"/>
    <w:rsid w:val="00A84357"/>
    <w:rsid w:val="00A84398"/>
    <w:rsid w:val="00A843C1"/>
    <w:rsid w:val="00A843C3"/>
    <w:rsid w:val="00A843D8"/>
    <w:rsid w:val="00A84456"/>
    <w:rsid w:val="00A844CB"/>
    <w:rsid w:val="00A844EE"/>
    <w:rsid w:val="00A8461E"/>
    <w:rsid w:val="00A84874"/>
    <w:rsid w:val="00A84A76"/>
    <w:rsid w:val="00A84D08"/>
    <w:rsid w:val="00A84EA5"/>
    <w:rsid w:val="00A84F6B"/>
    <w:rsid w:val="00A84FDA"/>
    <w:rsid w:val="00A8507C"/>
    <w:rsid w:val="00A85236"/>
    <w:rsid w:val="00A852CC"/>
    <w:rsid w:val="00A85376"/>
    <w:rsid w:val="00A853C0"/>
    <w:rsid w:val="00A8543E"/>
    <w:rsid w:val="00A854F2"/>
    <w:rsid w:val="00A85536"/>
    <w:rsid w:val="00A8562C"/>
    <w:rsid w:val="00A8562E"/>
    <w:rsid w:val="00A85644"/>
    <w:rsid w:val="00A85682"/>
    <w:rsid w:val="00A856FB"/>
    <w:rsid w:val="00A85727"/>
    <w:rsid w:val="00A8574A"/>
    <w:rsid w:val="00A857F4"/>
    <w:rsid w:val="00A85809"/>
    <w:rsid w:val="00A8580A"/>
    <w:rsid w:val="00A85955"/>
    <w:rsid w:val="00A85974"/>
    <w:rsid w:val="00A8598A"/>
    <w:rsid w:val="00A859C5"/>
    <w:rsid w:val="00A85A03"/>
    <w:rsid w:val="00A85ABC"/>
    <w:rsid w:val="00A85AF3"/>
    <w:rsid w:val="00A85B5E"/>
    <w:rsid w:val="00A85BEA"/>
    <w:rsid w:val="00A85C62"/>
    <w:rsid w:val="00A86002"/>
    <w:rsid w:val="00A86139"/>
    <w:rsid w:val="00A86224"/>
    <w:rsid w:val="00A86238"/>
    <w:rsid w:val="00A8632F"/>
    <w:rsid w:val="00A863BC"/>
    <w:rsid w:val="00A86437"/>
    <w:rsid w:val="00A86484"/>
    <w:rsid w:val="00A86532"/>
    <w:rsid w:val="00A86650"/>
    <w:rsid w:val="00A86654"/>
    <w:rsid w:val="00A86676"/>
    <w:rsid w:val="00A866E7"/>
    <w:rsid w:val="00A867FE"/>
    <w:rsid w:val="00A868A6"/>
    <w:rsid w:val="00A868C8"/>
    <w:rsid w:val="00A8690D"/>
    <w:rsid w:val="00A86919"/>
    <w:rsid w:val="00A8698E"/>
    <w:rsid w:val="00A869EE"/>
    <w:rsid w:val="00A86A35"/>
    <w:rsid w:val="00A86A66"/>
    <w:rsid w:val="00A86AE8"/>
    <w:rsid w:val="00A86CB3"/>
    <w:rsid w:val="00A86CBA"/>
    <w:rsid w:val="00A86D0D"/>
    <w:rsid w:val="00A86D19"/>
    <w:rsid w:val="00A86D63"/>
    <w:rsid w:val="00A86DD3"/>
    <w:rsid w:val="00A86E43"/>
    <w:rsid w:val="00A86EA6"/>
    <w:rsid w:val="00A86ED5"/>
    <w:rsid w:val="00A86F87"/>
    <w:rsid w:val="00A870F1"/>
    <w:rsid w:val="00A87128"/>
    <w:rsid w:val="00A871EB"/>
    <w:rsid w:val="00A872A6"/>
    <w:rsid w:val="00A872B4"/>
    <w:rsid w:val="00A872FE"/>
    <w:rsid w:val="00A87342"/>
    <w:rsid w:val="00A87602"/>
    <w:rsid w:val="00A87742"/>
    <w:rsid w:val="00A87869"/>
    <w:rsid w:val="00A87899"/>
    <w:rsid w:val="00A87A2F"/>
    <w:rsid w:val="00A87B6B"/>
    <w:rsid w:val="00A87BFF"/>
    <w:rsid w:val="00A87C91"/>
    <w:rsid w:val="00A87D57"/>
    <w:rsid w:val="00A87DE1"/>
    <w:rsid w:val="00A87FCA"/>
    <w:rsid w:val="00A9013D"/>
    <w:rsid w:val="00A90298"/>
    <w:rsid w:val="00A902CC"/>
    <w:rsid w:val="00A902D0"/>
    <w:rsid w:val="00A90388"/>
    <w:rsid w:val="00A903C8"/>
    <w:rsid w:val="00A903FB"/>
    <w:rsid w:val="00A90416"/>
    <w:rsid w:val="00A904FF"/>
    <w:rsid w:val="00A90916"/>
    <w:rsid w:val="00A90973"/>
    <w:rsid w:val="00A90A02"/>
    <w:rsid w:val="00A90B77"/>
    <w:rsid w:val="00A90C32"/>
    <w:rsid w:val="00A90CEF"/>
    <w:rsid w:val="00A90D3D"/>
    <w:rsid w:val="00A90EA8"/>
    <w:rsid w:val="00A90EAF"/>
    <w:rsid w:val="00A90EEB"/>
    <w:rsid w:val="00A90F1D"/>
    <w:rsid w:val="00A90F45"/>
    <w:rsid w:val="00A90F6E"/>
    <w:rsid w:val="00A910CB"/>
    <w:rsid w:val="00A910F8"/>
    <w:rsid w:val="00A91139"/>
    <w:rsid w:val="00A91141"/>
    <w:rsid w:val="00A911FD"/>
    <w:rsid w:val="00A912EC"/>
    <w:rsid w:val="00A91474"/>
    <w:rsid w:val="00A91500"/>
    <w:rsid w:val="00A915C7"/>
    <w:rsid w:val="00A916E7"/>
    <w:rsid w:val="00A917C3"/>
    <w:rsid w:val="00A91837"/>
    <w:rsid w:val="00A91A68"/>
    <w:rsid w:val="00A91C22"/>
    <w:rsid w:val="00A91C2D"/>
    <w:rsid w:val="00A91CBE"/>
    <w:rsid w:val="00A91DCB"/>
    <w:rsid w:val="00A91E72"/>
    <w:rsid w:val="00A91EA8"/>
    <w:rsid w:val="00A92041"/>
    <w:rsid w:val="00A921A5"/>
    <w:rsid w:val="00A922B2"/>
    <w:rsid w:val="00A92327"/>
    <w:rsid w:val="00A9243F"/>
    <w:rsid w:val="00A92531"/>
    <w:rsid w:val="00A926F9"/>
    <w:rsid w:val="00A92709"/>
    <w:rsid w:val="00A92722"/>
    <w:rsid w:val="00A927F1"/>
    <w:rsid w:val="00A928F3"/>
    <w:rsid w:val="00A92A27"/>
    <w:rsid w:val="00A92AA7"/>
    <w:rsid w:val="00A92AD9"/>
    <w:rsid w:val="00A92CE8"/>
    <w:rsid w:val="00A92D3A"/>
    <w:rsid w:val="00A92E35"/>
    <w:rsid w:val="00A92F67"/>
    <w:rsid w:val="00A9303E"/>
    <w:rsid w:val="00A931A0"/>
    <w:rsid w:val="00A933D5"/>
    <w:rsid w:val="00A933D8"/>
    <w:rsid w:val="00A93423"/>
    <w:rsid w:val="00A935C1"/>
    <w:rsid w:val="00A9360F"/>
    <w:rsid w:val="00A9368C"/>
    <w:rsid w:val="00A93710"/>
    <w:rsid w:val="00A93832"/>
    <w:rsid w:val="00A938A7"/>
    <w:rsid w:val="00A938FF"/>
    <w:rsid w:val="00A93AEC"/>
    <w:rsid w:val="00A93DB7"/>
    <w:rsid w:val="00A93E78"/>
    <w:rsid w:val="00A93EC5"/>
    <w:rsid w:val="00A93F19"/>
    <w:rsid w:val="00A9407E"/>
    <w:rsid w:val="00A9444C"/>
    <w:rsid w:val="00A944DC"/>
    <w:rsid w:val="00A9456F"/>
    <w:rsid w:val="00A945C3"/>
    <w:rsid w:val="00A94611"/>
    <w:rsid w:val="00A94619"/>
    <w:rsid w:val="00A948B8"/>
    <w:rsid w:val="00A94930"/>
    <w:rsid w:val="00A949DA"/>
    <w:rsid w:val="00A94A2C"/>
    <w:rsid w:val="00A94A46"/>
    <w:rsid w:val="00A94B2B"/>
    <w:rsid w:val="00A94B5A"/>
    <w:rsid w:val="00A94B9D"/>
    <w:rsid w:val="00A94BD8"/>
    <w:rsid w:val="00A94C63"/>
    <w:rsid w:val="00A94CD0"/>
    <w:rsid w:val="00A94D2F"/>
    <w:rsid w:val="00A94D52"/>
    <w:rsid w:val="00A94DCC"/>
    <w:rsid w:val="00A94E54"/>
    <w:rsid w:val="00A94F19"/>
    <w:rsid w:val="00A94F24"/>
    <w:rsid w:val="00A94F47"/>
    <w:rsid w:val="00A94F9C"/>
    <w:rsid w:val="00A950B9"/>
    <w:rsid w:val="00A950E3"/>
    <w:rsid w:val="00A950FE"/>
    <w:rsid w:val="00A9523C"/>
    <w:rsid w:val="00A95246"/>
    <w:rsid w:val="00A953C9"/>
    <w:rsid w:val="00A953F0"/>
    <w:rsid w:val="00A95415"/>
    <w:rsid w:val="00A95418"/>
    <w:rsid w:val="00A956B1"/>
    <w:rsid w:val="00A956D3"/>
    <w:rsid w:val="00A95852"/>
    <w:rsid w:val="00A95A05"/>
    <w:rsid w:val="00A95A73"/>
    <w:rsid w:val="00A95A87"/>
    <w:rsid w:val="00A95AAE"/>
    <w:rsid w:val="00A95AD4"/>
    <w:rsid w:val="00A95B20"/>
    <w:rsid w:val="00A95B31"/>
    <w:rsid w:val="00A95B33"/>
    <w:rsid w:val="00A95D13"/>
    <w:rsid w:val="00A95D1E"/>
    <w:rsid w:val="00A95EBE"/>
    <w:rsid w:val="00A95FAB"/>
    <w:rsid w:val="00A9601A"/>
    <w:rsid w:val="00A96152"/>
    <w:rsid w:val="00A96225"/>
    <w:rsid w:val="00A96234"/>
    <w:rsid w:val="00A96275"/>
    <w:rsid w:val="00A962EB"/>
    <w:rsid w:val="00A965F9"/>
    <w:rsid w:val="00A96682"/>
    <w:rsid w:val="00A9693A"/>
    <w:rsid w:val="00A9696A"/>
    <w:rsid w:val="00A96B2B"/>
    <w:rsid w:val="00A96C8E"/>
    <w:rsid w:val="00A96EE0"/>
    <w:rsid w:val="00A97046"/>
    <w:rsid w:val="00A9712C"/>
    <w:rsid w:val="00A971EB"/>
    <w:rsid w:val="00A97364"/>
    <w:rsid w:val="00A973AF"/>
    <w:rsid w:val="00A97425"/>
    <w:rsid w:val="00A9746C"/>
    <w:rsid w:val="00A9778D"/>
    <w:rsid w:val="00A97795"/>
    <w:rsid w:val="00A97995"/>
    <w:rsid w:val="00A97A67"/>
    <w:rsid w:val="00A97B85"/>
    <w:rsid w:val="00A97BB5"/>
    <w:rsid w:val="00A97BFD"/>
    <w:rsid w:val="00A97C6C"/>
    <w:rsid w:val="00A97CC8"/>
    <w:rsid w:val="00A97F3B"/>
    <w:rsid w:val="00AA0046"/>
    <w:rsid w:val="00AA006F"/>
    <w:rsid w:val="00AA00FE"/>
    <w:rsid w:val="00AA014A"/>
    <w:rsid w:val="00AA0235"/>
    <w:rsid w:val="00AA0237"/>
    <w:rsid w:val="00AA035F"/>
    <w:rsid w:val="00AA0377"/>
    <w:rsid w:val="00AA03C4"/>
    <w:rsid w:val="00AA03CB"/>
    <w:rsid w:val="00AA03E4"/>
    <w:rsid w:val="00AA0497"/>
    <w:rsid w:val="00AA04DD"/>
    <w:rsid w:val="00AA04F2"/>
    <w:rsid w:val="00AA051B"/>
    <w:rsid w:val="00AA052D"/>
    <w:rsid w:val="00AA0550"/>
    <w:rsid w:val="00AA0622"/>
    <w:rsid w:val="00AA0624"/>
    <w:rsid w:val="00AA0651"/>
    <w:rsid w:val="00AA0729"/>
    <w:rsid w:val="00AA0798"/>
    <w:rsid w:val="00AA0853"/>
    <w:rsid w:val="00AA09A4"/>
    <w:rsid w:val="00AA09C1"/>
    <w:rsid w:val="00AA0B30"/>
    <w:rsid w:val="00AA0D3F"/>
    <w:rsid w:val="00AA0E60"/>
    <w:rsid w:val="00AA0EE7"/>
    <w:rsid w:val="00AA0F50"/>
    <w:rsid w:val="00AA1054"/>
    <w:rsid w:val="00AA105D"/>
    <w:rsid w:val="00AA111B"/>
    <w:rsid w:val="00AA152B"/>
    <w:rsid w:val="00AA1A24"/>
    <w:rsid w:val="00AA1A3C"/>
    <w:rsid w:val="00AA1A49"/>
    <w:rsid w:val="00AA1B31"/>
    <w:rsid w:val="00AA1BF5"/>
    <w:rsid w:val="00AA1C8F"/>
    <w:rsid w:val="00AA1D02"/>
    <w:rsid w:val="00AA1D10"/>
    <w:rsid w:val="00AA1D5B"/>
    <w:rsid w:val="00AA1E27"/>
    <w:rsid w:val="00AA1F36"/>
    <w:rsid w:val="00AA2046"/>
    <w:rsid w:val="00AA2127"/>
    <w:rsid w:val="00AA2179"/>
    <w:rsid w:val="00AA22DB"/>
    <w:rsid w:val="00AA2317"/>
    <w:rsid w:val="00AA2430"/>
    <w:rsid w:val="00AA24D4"/>
    <w:rsid w:val="00AA2560"/>
    <w:rsid w:val="00AA2564"/>
    <w:rsid w:val="00AA25DB"/>
    <w:rsid w:val="00AA25F2"/>
    <w:rsid w:val="00AA27B2"/>
    <w:rsid w:val="00AA28C5"/>
    <w:rsid w:val="00AA28DF"/>
    <w:rsid w:val="00AA292B"/>
    <w:rsid w:val="00AA2941"/>
    <w:rsid w:val="00AA29B6"/>
    <w:rsid w:val="00AA2B12"/>
    <w:rsid w:val="00AA2BC2"/>
    <w:rsid w:val="00AA2CDC"/>
    <w:rsid w:val="00AA2E50"/>
    <w:rsid w:val="00AA2EFB"/>
    <w:rsid w:val="00AA2F7D"/>
    <w:rsid w:val="00AA30BB"/>
    <w:rsid w:val="00AA3167"/>
    <w:rsid w:val="00AA332D"/>
    <w:rsid w:val="00AA333B"/>
    <w:rsid w:val="00AA3390"/>
    <w:rsid w:val="00AA33D9"/>
    <w:rsid w:val="00AA345C"/>
    <w:rsid w:val="00AA3559"/>
    <w:rsid w:val="00AA35E5"/>
    <w:rsid w:val="00AA35FE"/>
    <w:rsid w:val="00AA385A"/>
    <w:rsid w:val="00AA3886"/>
    <w:rsid w:val="00AA3976"/>
    <w:rsid w:val="00AA39B7"/>
    <w:rsid w:val="00AA3B80"/>
    <w:rsid w:val="00AA3BE1"/>
    <w:rsid w:val="00AA3C96"/>
    <w:rsid w:val="00AA3CE9"/>
    <w:rsid w:val="00AA3D98"/>
    <w:rsid w:val="00AA3DAE"/>
    <w:rsid w:val="00AA3DB0"/>
    <w:rsid w:val="00AA3DDA"/>
    <w:rsid w:val="00AA3DDF"/>
    <w:rsid w:val="00AA3E89"/>
    <w:rsid w:val="00AA3F83"/>
    <w:rsid w:val="00AA4038"/>
    <w:rsid w:val="00AA40BB"/>
    <w:rsid w:val="00AA4252"/>
    <w:rsid w:val="00AA4393"/>
    <w:rsid w:val="00AA4503"/>
    <w:rsid w:val="00AA459F"/>
    <w:rsid w:val="00AA4712"/>
    <w:rsid w:val="00AA4761"/>
    <w:rsid w:val="00AA47B4"/>
    <w:rsid w:val="00AA4B48"/>
    <w:rsid w:val="00AA4BD9"/>
    <w:rsid w:val="00AA4C62"/>
    <w:rsid w:val="00AA4C92"/>
    <w:rsid w:val="00AA4DC7"/>
    <w:rsid w:val="00AA4F9D"/>
    <w:rsid w:val="00AA50A6"/>
    <w:rsid w:val="00AA50AE"/>
    <w:rsid w:val="00AA50B7"/>
    <w:rsid w:val="00AA5140"/>
    <w:rsid w:val="00AA5165"/>
    <w:rsid w:val="00AA517E"/>
    <w:rsid w:val="00AA51E3"/>
    <w:rsid w:val="00AA528A"/>
    <w:rsid w:val="00AA5437"/>
    <w:rsid w:val="00AA54E8"/>
    <w:rsid w:val="00AA55AB"/>
    <w:rsid w:val="00AA58DC"/>
    <w:rsid w:val="00AA5922"/>
    <w:rsid w:val="00AA59F6"/>
    <w:rsid w:val="00AA5ADA"/>
    <w:rsid w:val="00AA5ADB"/>
    <w:rsid w:val="00AA5B43"/>
    <w:rsid w:val="00AA5C57"/>
    <w:rsid w:val="00AA5D2B"/>
    <w:rsid w:val="00AA5E3A"/>
    <w:rsid w:val="00AA5F06"/>
    <w:rsid w:val="00AA5F68"/>
    <w:rsid w:val="00AA5F9F"/>
    <w:rsid w:val="00AA5FB7"/>
    <w:rsid w:val="00AA5FFB"/>
    <w:rsid w:val="00AA61A4"/>
    <w:rsid w:val="00AA6408"/>
    <w:rsid w:val="00AA67A6"/>
    <w:rsid w:val="00AA6807"/>
    <w:rsid w:val="00AA686C"/>
    <w:rsid w:val="00AA6920"/>
    <w:rsid w:val="00AA6928"/>
    <w:rsid w:val="00AA693D"/>
    <w:rsid w:val="00AA6972"/>
    <w:rsid w:val="00AA6A1E"/>
    <w:rsid w:val="00AA6A21"/>
    <w:rsid w:val="00AA6B4C"/>
    <w:rsid w:val="00AA6B52"/>
    <w:rsid w:val="00AA6BB2"/>
    <w:rsid w:val="00AA6D7E"/>
    <w:rsid w:val="00AA6E2C"/>
    <w:rsid w:val="00AA6E36"/>
    <w:rsid w:val="00AA6F01"/>
    <w:rsid w:val="00AA6F47"/>
    <w:rsid w:val="00AA6FC6"/>
    <w:rsid w:val="00AA6FFF"/>
    <w:rsid w:val="00AA70AE"/>
    <w:rsid w:val="00AA715B"/>
    <w:rsid w:val="00AA7362"/>
    <w:rsid w:val="00AA7511"/>
    <w:rsid w:val="00AA758B"/>
    <w:rsid w:val="00AA768D"/>
    <w:rsid w:val="00AA7696"/>
    <w:rsid w:val="00AA770D"/>
    <w:rsid w:val="00AA77C1"/>
    <w:rsid w:val="00AA7800"/>
    <w:rsid w:val="00AA7815"/>
    <w:rsid w:val="00AA7890"/>
    <w:rsid w:val="00AA7935"/>
    <w:rsid w:val="00AA79CA"/>
    <w:rsid w:val="00AA7A57"/>
    <w:rsid w:val="00AA7A7C"/>
    <w:rsid w:val="00AA7ADC"/>
    <w:rsid w:val="00AA7B74"/>
    <w:rsid w:val="00AA7B7F"/>
    <w:rsid w:val="00AA7BF9"/>
    <w:rsid w:val="00AA7CD9"/>
    <w:rsid w:val="00AA7D0E"/>
    <w:rsid w:val="00AA7D3A"/>
    <w:rsid w:val="00AA7E43"/>
    <w:rsid w:val="00AA7E94"/>
    <w:rsid w:val="00AA7EAC"/>
    <w:rsid w:val="00AA7EEA"/>
    <w:rsid w:val="00AB003E"/>
    <w:rsid w:val="00AB012C"/>
    <w:rsid w:val="00AB0144"/>
    <w:rsid w:val="00AB01A6"/>
    <w:rsid w:val="00AB0318"/>
    <w:rsid w:val="00AB038F"/>
    <w:rsid w:val="00AB0392"/>
    <w:rsid w:val="00AB03BC"/>
    <w:rsid w:val="00AB04C9"/>
    <w:rsid w:val="00AB0564"/>
    <w:rsid w:val="00AB0572"/>
    <w:rsid w:val="00AB05EE"/>
    <w:rsid w:val="00AB0618"/>
    <w:rsid w:val="00AB0619"/>
    <w:rsid w:val="00AB06AB"/>
    <w:rsid w:val="00AB06DA"/>
    <w:rsid w:val="00AB06EB"/>
    <w:rsid w:val="00AB080C"/>
    <w:rsid w:val="00AB0A53"/>
    <w:rsid w:val="00AB0AD5"/>
    <w:rsid w:val="00AB0C0E"/>
    <w:rsid w:val="00AB0C7E"/>
    <w:rsid w:val="00AB0D66"/>
    <w:rsid w:val="00AB0DB1"/>
    <w:rsid w:val="00AB0F57"/>
    <w:rsid w:val="00AB0F8C"/>
    <w:rsid w:val="00AB0FF8"/>
    <w:rsid w:val="00AB1068"/>
    <w:rsid w:val="00AB10DC"/>
    <w:rsid w:val="00AB1155"/>
    <w:rsid w:val="00AB123E"/>
    <w:rsid w:val="00AB1265"/>
    <w:rsid w:val="00AB12F9"/>
    <w:rsid w:val="00AB1320"/>
    <w:rsid w:val="00AB146E"/>
    <w:rsid w:val="00AB1474"/>
    <w:rsid w:val="00AB1519"/>
    <w:rsid w:val="00AB15AB"/>
    <w:rsid w:val="00AB166C"/>
    <w:rsid w:val="00AB17AB"/>
    <w:rsid w:val="00AB1854"/>
    <w:rsid w:val="00AB18B7"/>
    <w:rsid w:val="00AB18F0"/>
    <w:rsid w:val="00AB19D4"/>
    <w:rsid w:val="00AB1A1B"/>
    <w:rsid w:val="00AB1B14"/>
    <w:rsid w:val="00AB1C11"/>
    <w:rsid w:val="00AB1D24"/>
    <w:rsid w:val="00AB1E2F"/>
    <w:rsid w:val="00AB2007"/>
    <w:rsid w:val="00AB201B"/>
    <w:rsid w:val="00AB2085"/>
    <w:rsid w:val="00AB20DE"/>
    <w:rsid w:val="00AB2127"/>
    <w:rsid w:val="00AB21D3"/>
    <w:rsid w:val="00AB23C3"/>
    <w:rsid w:val="00AB23C7"/>
    <w:rsid w:val="00AB241C"/>
    <w:rsid w:val="00AB242F"/>
    <w:rsid w:val="00AB244B"/>
    <w:rsid w:val="00AB2477"/>
    <w:rsid w:val="00AB24CB"/>
    <w:rsid w:val="00AB2547"/>
    <w:rsid w:val="00AB25A1"/>
    <w:rsid w:val="00AB25B5"/>
    <w:rsid w:val="00AB25EB"/>
    <w:rsid w:val="00AB260F"/>
    <w:rsid w:val="00AB2636"/>
    <w:rsid w:val="00AB27BA"/>
    <w:rsid w:val="00AB2807"/>
    <w:rsid w:val="00AB2922"/>
    <w:rsid w:val="00AB299F"/>
    <w:rsid w:val="00AB2A19"/>
    <w:rsid w:val="00AB2BBF"/>
    <w:rsid w:val="00AB2C02"/>
    <w:rsid w:val="00AB2C06"/>
    <w:rsid w:val="00AB2D3F"/>
    <w:rsid w:val="00AB2E83"/>
    <w:rsid w:val="00AB2F5B"/>
    <w:rsid w:val="00AB2FBC"/>
    <w:rsid w:val="00AB300D"/>
    <w:rsid w:val="00AB3172"/>
    <w:rsid w:val="00AB3174"/>
    <w:rsid w:val="00AB3200"/>
    <w:rsid w:val="00AB3297"/>
    <w:rsid w:val="00AB32C7"/>
    <w:rsid w:val="00AB32EB"/>
    <w:rsid w:val="00AB3457"/>
    <w:rsid w:val="00AB34F6"/>
    <w:rsid w:val="00AB3645"/>
    <w:rsid w:val="00AB3666"/>
    <w:rsid w:val="00AB3680"/>
    <w:rsid w:val="00AB3710"/>
    <w:rsid w:val="00AB38B4"/>
    <w:rsid w:val="00AB3B66"/>
    <w:rsid w:val="00AB3BAE"/>
    <w:rsid w:val="00AB3C67"/>
    <w:rsid w:val="00AB3CA7"/>
    <w:rsid w:val="00AB3D24"/>
    <w:rsid w:val="00AB3DC7"/>
    <w:rsid w:val="00AB3E09"/>
    <w:rsid w:val="00AB3F7F"/>
    <w:rsid w:val="00AB40E2"/>
    <w:rsid w:val="00AB4142"/>
    <w:rsid w:val="00AB422C"/>
    <w:rsid w:val="00AB425A"/>
    <w:rsid w:val="00AB42B6"/>
    <w:rsid w:val="00AB4330"/>
    <w:rsid w:val="00AB4488"/>
    <w:rsid w:val="00AB449C"/>
    <w:rsid w:val="00AB4648"/>
    <w:rsid w:val="00AB465B"/>
    <w:rsid w:val="00AB46B7"/>
    <w:rsid w:val="00AB4749"/>
    <w:rsid w:val="00AB4845"/>
    <w:rsid w:val="00AB495B"/>
    <w:rsid w:val="00AB49C7"/>
    <w:rsid w:val="00AB49DE"/>
    <w:rsid w:val="00AB4A43"/>
    <w:rsid w:val="00AB4AE8"/>
    <w:rsid w:val="00AB4AF6"/>
    <w:rsid w:val="00AB4B00"/>
    <w:rsid w:val="00AB4B46"/>
    <w:rsid w:val="00AB4C14"/>
    <w:rsid w:val="00AB4C82"/>
    <w:rsid w:val="00AB4C86"/>
    <w:rsid w:val="00AB4D20"/>
    <w:rsid w:val="00AB4D55"/>
    <w:rsid w:val="00AB4DDD"/>
    <w:rsid w:val="00AB4F24"/>
    <w:rsid w:val="00AB4F43"/>
    <w:rsid w:val="00AB50E1"/>
    <w:rsid w:val="00AB5193"/>
    <w:rsid w:val="00AB52C2"/>
    <w:rsid w:val="00AB52D3"/>
    <w:rsid w:val="00AB52E8"/>
    <w:rsid w:val="00AB53F8"/>
    <w:rsid w:val="00AB541E"/>
    <w:rsid w:val="00AB554B"/>
    <w:rsid w:val="00AB556A"/>
    <w:rsid w:val="00AB561B"/>
    <w:rsid w:val="00AB5894"/>
    <w:rsid w:val="00AB5930"/>
    <w:rsid w:val="00AB5933"/>
    <w:rsid w:val="00AB5A62"/>
    <w:rsid w:val="00AB5AC2"/>
    <w:rsid w:val="00AB5B16"/>
    <w:rsid w:val="00AB5B63"/>
    <w:rsid w:val="00AB5BAD"/>
    <w:rsid w:val="00AB5BD2"/>
    <w:rsid w:val="00AB5C7A"/>
    <w:rsid w:val="00AB5CFD"/>
    <w:rsid w:val="00AB5EC2"/>
    <w:rsid w:val="00AB5F0F"/>
    <w:rsid w:val="00AB60CA"/>
    <w:rsid w:val="00AB624D"/>
    <w:rsid w:val="00AB62AE"/>
    <w:rsid w:val="00AB62B9"/>
    <w:rsid w:val="00AB6331"/>
    <w:rsid w:val="00AB648B"/>
    <w:rsid w:val="00AB6501"/>
    <w:rsid w:val="00AB6614"/>
    <w:rsid w:val="00AB6823"/>
    <w:rsid w:val="00AB6854"/>
    <w:rsid w:val="00AB68A7"/>
    <w:rsid w:val="00AB68D8"/>
    <w:rsid w:val="00AB6AED"/>
    <w:rsid w:val="00AB6C56"/>
    <w:rsid w:val="00AB6D31"/>
    <w:rsid w:val="00AB6E5D"/>
    <w:rsid w:val="00AB7014"/>
    <w:rsid w:val="00AB7027"/>
    <w:rsid w:val="00AB70A3"/>
    <w:rsid w:val="00AB71CC"/>
    <w:rsid w:val="00AB7277"/>
    <w:rsid w:val="00AB72AA"/>
    <w:rsid w:val="00AB7311"/>
    <w:rsid w:val="00AB73A7"/>
    <w:rsid w:val="00AB73DC"/>
    <w:rsid w:val="00AB7466"/>
    <w:rsid w:val="00AB74C2"/>
    <w:rsid w:val="00AB7539"/>
    <w:rsid w:val="00AB756B"/>
    <w:rsid w:val="00AB763F"/>
    <w:rsid w:val="00AB784F"/>
    <w:rsid w:val="00AB7B81"/>
    <w:rsid w:val="00AB7C00"/>
    <w:rsid w:val="00AB7C78"/>
    <w:rsid w:val="00AB7CC2"/>
    <w:rsid w:val="00AB7D73"/>
    <w:rsid w:val="00AB7EC7"/>
    <w:rsid w:val="00AB7ED4"/>
    <w:rsid w:val="00AB7F07"/>
    <w:rsid w:val="00AC0007"/>
    <w:rsid w:val="00AC0109"/>
    <w:rsid w:val="00AC0360"/>
    <w:rsid w:val="00AC03A2"/>
    <w:rsid w:val="00AC0426"/>
    <w:rsid w:val="00AC047C"/>
    <w:rsid w:val="00AC04C4"/>
    <w:rsid w:val="00AC05A1"/>
    <w:rsid w:val="00AC061F"/>
    <w:rsid w:val="00AC0724"/>
    <w:rsid w:val="00AC0755"/>
    <w:rsid w:val="00AC07F8"/>
    <w:rsid w:val="00AC0A8A"/>
    <w:rsid w:val="00AC0BA3"/>
    <w:rsid w:val="00AC0E9D"/>
    <w:rsid w:val="00AC0EB8"/>
    <w:rsid w:val="00AC0F08"/>
    <w:rsid w:val="00AC108F"/>
    <w:rsid w:val="00AC1288"/>
    <w:rsid w:val="00AC146B"/>
    <w:rsid w:val="00AC148F"/>
    <w:rsid w:val="00AC1543"/>
    <w:rsid w:val="00AC17AA"/>
    <w:rsid w:val="00AC17AD"/>
    <w:rsid w:val="00AC1838"/>
    <w:rsid w:val="00AC1A4C"/>
    <w:rsid w:val="00AC1B0D"/>
    <w:rsid w:val="00AC1B7B"/>
    <w:rsid w:val="00AC1D2D"/>
    <w:rsid w:val="00AC1DBB"/>
    <w:rsid w:val="00AC1E0E"/>
    <w:rsid w:val="00AC1EE5"/>
    <w:rsid w:val="00AC1EED"/>
    <w:rsid w:val="00AC1EF5"/>
    <w:rsid w:val="00AC1F3D"/>
    <w:rsid w:val="00AC213E"/>
    <w:rsid w:val="00AC21AB"/>
    <w:rsid w:val="00AC21EF"/>
    <w:rsid w:val="00AC22A8"/>
    <w:rsid w:val="00AC2324"/>
    <w:rsid w:val="00AC236C"/>
    <w:rsid w:val="00AC25B1"/>
    <w:rsid w:val="00AC25D4"/>
    <w:rsid w:val="00AC269C"/>
    <w:rsid w:val="00AC2775"/>
    <w:rsid w:val="00AC27C9"/>
    <w:rsid w:val="00AC27D4"/>
    <w:rsid w:val="00AC28C6"/>
    <w:rsid w:val="00AC2952"/>
    <w:rsid w:val="00AC2A92"/>
    <w:rsid w:val="00AC2B2B"/>
    <w:rsid w:val="00AC2BC8"/>
    <w:rsid w:val="00AC2BD0"/>
    <w:rsid w:val="00AC2C25"/>
    <w:rsid w:val="00AC2E0A"/>
    <w:rsid w:val="00AC2E61"/>
    <w:rsid w:val="00AC2E6D"/>
    <w:rsid w:val="00AC305E"/>
    <w:rsid w:val="00AC30E0"/>
    <w:rsid w:val="00AC3250"/>
    <w:rsid w:val="00AC326A"/>
    <w:rsid w:val="00AC34EA"/>
    <w:rsid w:val="00AC3567"/>
    <w:rsid w:val="00AC35D5"/>
    <w:rsid w:val="00AC35F6"/>
    <w:rsid w:val="00AC360F"/>
    <w:rsid w:val="00AC36EF"/>
    <w:rsid w:val="00AC3729"/>
    <w:rsid w:val="00AC374B"/>
    <w:rsid w:val="00AC37B5"/>
    <w:rsid w:val="00AC37C8"/>
    <w:rsid w:val="00AC37D9"/>
    <w:rsid w:val="00AC3864"/>
    <w:rsid w:val="00AC39C3"/>
    <w:rsid w:val="00AC3B12"/>
    <w:rsid w:val="00AC3BF3"/>
    <w:rsid w:val="00AC3C09"/>
    <w:rsid w:val="00AC3C58"/>
    <w:rsid w:val="00AC3C60"/>
    <w:rsid w:val="00AC3C74"/>
    <w:rsid w:val="00AC3CDA"/>
    <w:rsid w:val="00AC3D44"/>
    <w:rsid w:val="00AC4154"/>
    <w:rsid w:val="00AC4220"/>
    <w:rsid w:val="00AC4303"/>
    <w:rsid w:val="00AC4347"/>
    <w:rsid w:val="00AC443A"/>
    <w:rsid w:val="00AC445E"/>
    <w:rsid w:val="00AC4647"/>
    <w:rsid w:val="00AC4749"/>
    <w:rsid w:val="00AC497F"/>
    <w:rsid w:val="00AC4A0F"/>
    <w:rsid w:val="00AC4B77"/>
    <w:rsid w:val="00AC4C8B"/>
    <w:rsid w:val="00AC4CB2"/>
    <w:rsid w:val="00AC4DF0"/>
    <w:rsid w:val="00AC4E15"/>
    <w:rsid w:val="00AC4E45"/>
    <w:rsid w:val="00AC4FB6"/>
    <w:rsid w:val="00AC50A9"/>
    <w:rsid w:val="00AC50FC"/>
    <w:rsid w:val="00AC522B"/>
    <w:rsid w:val="00AC5241"/>
    <w:rsid w:val="00AC53A3"/>
    <w:rsid w:val="00AC55F1"/>
    <w:rsid w:val="00AC566B"/>
    <w:rsid w:val="00AC57E3"/>
    <w:rsid w:val="00AC57F5"/>
    <w:rsid w:val="00AC5935"/>
    <w:rsid w:val="00AC597E"/>
    <w:rsid w:val="00AC59AC"/>
    <w:rsid w:val="00AC5AB1"/>
    <w:rsid w:val="00AC5B47"/>
    <w:rsid w:val="00AC5BC6"/>
    <w:rsid w:val="00AC5C43"/>
    <w:rsid w:val="00AC5D58"/>
    <w:rsid w:val="00AC5E3C"/>
    <w:rsid w:val="00AC5EE8"/>
    <w:rsid w:val="00AC5FAD"/>
    <w:rsid w:val="00AC6071"/>
    <w:rsid w:val="00AC614C"/>
    <w:rsid w:val="00AC61FE"/>
    <w:rsid w:val="00AC627F"/>
    <w:rsid w:val="00AC6597"/>
    <w:rsid w:val="00AC65CD"/>
    <w:rsid w:val="00AC65D7"/>
    <w:rsid w:val="00AC6699"/>
    <w:rsid w:val="00AC66E0"/>
    <w:rsid w:val="00AC66F6"/>
    <w:rsid w:val="00AC6700"/>
    <w:rsid w:val="00AC6984"/>
    <w:rsid w:val="00AC69A1"/>
    <w:rsid w:val="00AC6A76"/>
    <w:rsid w:val="00AC6ACC"/>
    <w:rsid w:val="00AC6E30"/>
    <w:rsid w:val="00AC6F4A"/>
    <w:rsid w:val="00AC6F51"/>
    <w:rsid w:val="00AC6FC5"/>
    <w:rsid w:val="00AC705D"/>
    <w:rsid w:val="00AC74C0"/>
    <w:rsid w:val="00AC75F9"/>
    <w:rsid w:val="00AC7A83"/>
    <w:rsid w:val="00AC7C25"/>
    <w:rsid w:val="00AC7C42"/>
    <w:rsid w:val="00AC7D7D"/>
    <w:rsid w:val="00AC7E5D"/>
    <w:rsid w:val="00AC7F68"/>
    <w:rsid w:val="00AD00BB"/>
    <w:rsid w:val="00AD0142"/>
    <w:rsid w:val="00AD0150"/>
    <w:rsid w:val="00AD01CD"/>
    <w:rsid w:val="00AD01F0"/>
    <w:rsid w:val="00AD03C7"/>
    <w:rsid w:val="00AD03D4"/>
    <w:rsid w:val="00AD03FE"/>
    <w:rsid w:val="00AD0455"/>
    <w:rsid w:val="00AD06AC"/>
    <w:rsid w:val="00AD0794"/>
    <w:rsid w:val="00AD083C"/>
    <w:rsid w:val="00AD092A"/>
    <w:rsid w:val="00AD0C08"/>
    <w:rsid w:val="00AD0C8C"/>
    <w:rsid w:val="00AD0CA0"/>
    <w:rsid w:val="00AD0CEB"/>
    <w:rsid w:val="00AD0CFD"/>
    <w:rsid w:val="00AD0DD1"/>
    <w:rsid w:val="00AD0DDC"/>
    <w:rsid w:val="00AD0DEE"/>
    <w:rsid w:val="00AD0DF1"/>
    <w:rsid w:val="00AD0E31"/>
    <w:rsid w:val="00AD0ECA"/>
    <w:rsid w:val="00AD0F06"/>
    <w:rsid w:val="00AD0F44"/>
    <w:rsid w:val="00AD0FE7"/>
    <w:rsid w:val="00AD1016"/>
    <w:rsid w:val="00AD1018"/>
    <w:rsid w:val="00AD120D"/>
    <w:rsid w:val="00AD13FF"/>
    <w:rsid w:val="00AD1416"/>
    <w:rsid w:val="00AD1460"/>
    <w:rsid w:val="00AD14B9"/>
    <w:rsid w:val="00AD15A9"/>
    <w:rsid w:val="00AD17A6"/>
    <w:rsid w:val="00AD17E9"/>
    <w:rsid w:val="00AD1837"/>
    <w:rsid w:val="00AD1874"/>
    <w:rsid w:val="00AD18AD"/>
    <w:rsid w:val="00AD1985"/>
    <w:rsid w:val="00AD1AD8"/>
    <w:rsid w:val="00AD1B34"/>
    <w:rsid w:val="00AD1B5A"/>
    <w:rsid w:val="00AD1C32"/>
    <w:rsid w:val="00AD1CD6"/>
    <w:rsid w:val="00AD1D1E"/>
    <w:rsid w:val="00AD1D6C"/>
    <w:rsid w:val="00AD1EBC"/>
    <w:rsid w:val="00AD1ED9"/>
    <w:rsid w:val="00AD1F3F"/>
    <w:rsid w:val="00AD205C"/>
    <w:rsid w:val="00AD209D"/>
    <w:rsid w:val="00AD212B"/>
    <w:rsid w:val="00AD218D"/>
    <w:rsid w:val="00AD23E5"/>
    <w:rsid w:val="00AD23FA"/>
    <w:rsid w:val="00AD2439"/>
    <w:rsid w:val="00AD24B3"/>
    <w:rsid w:val="00AD2519"/>
    <w:rsid w:val="00AD259A"/>
    <w:rsid w:val="00AD262A"/>
    <w:rsid w:val="00AD26A9"/>
    <w:rsid w:val="00AD2726"/>
    <w:rsid w:val="00AD2790"/>
    <w:rsid w:val="00AD27A3"/>
    <w:rsid w:val="00AD27CD"/>
    <w:rsid w:val="00AD2899"/>
    <w:rsid w:val="00AD28FC"/>
    <w:rsid w:val="00AD2954"/>
    <w:rsid w:val="00AD2974"/>
    <w:rsid w:val="00AD2A03"/>
    <w:rsid w:val="00AD30B8"/>
    <w:rsid w:val="00AD3373"/>
    <w:rsid w:val="00AD33A3"/>
    <w:rsid w:val="00AD33D6"/>
    <w:rsid w:val="00AD35FE"/>
    <w:rsid w:val="00AD374D"/>
    <w:rsid w:val="00AD383B"/>
    <w:rsid w:val="00AD3932"/>
    <w:rsid w:val="00AD3A91"/>
    <w:rsid w:val="00AD3BC5"/>
    <w:rsid w:val="00AD3DAA"/>
    <w:rsid w:val="00AD3EFF"/>
    <w:rsid w:val="00AD3F7A"/>
    <w:rsid w:val="00AD4214"/>
    <w:rsid w:val="00AD4283"/>
    <w:rsid w:val="00AD4365"/>
    <w:rsid w:val="00AD4621"/>
    <w:rsid w:val="00AD468A"/>
    <w:rsid w:val="00AD46D2"/>
    <w:rsid w:val="00AD472A"/>
    <w:rsid w:val="00AD476E"/>
    <w:rsid w:val="00AD4810"/>
    <w:rsid w:val="00AD4902"/>
    <w:rsid w:val="00AD4995"/>
    <w:rsid w:val="00AD49E1"/>
    <w:rsid w:val="00AD4A55"/>
    <w:rsid w:val="00AD4B30"/>
    <w:rsid w:val="00AD4BA1"/>
    <w:rsid w:val="00AD4C17"/>
    <w:rsid w:val="00AD4C4B"/>
    <w:rsid w:val="00AD4DDC"/>
    <w:rsid w:val="00AD4E52"/>
    <w:rsid w:val="00AD4F66"/>
    <w:rsid w:val="00AD505E"/>
    <w:rsid w:val="00AD52EA"/>
    <w:rsid w:val="00AD531C"/>
    <w:rsid w:val="00AD537A"/>
    <w:rsid w:val="00AD55FB"/>
    <w:rsid w:val="00AD57E9"/>
    <w:rsid w:val="00AD5857"/>
    <w:rsid w:val="00AD58C8"/>
    <w:rsid w:val="00AD598F"/>
    <w:rsid w:val="00AD5BB9"/>
    <w:rsid w:val="00AD5BC6"/>
    <w:rsid w:val="00AD5EA3"/>
    <w:rsid w:val="00AD5ED3"/>
    <w:rsid w:val="00AD5EE9"/>
    <w:rsid w:val="00AD5FCC"/>
    <w:rsid w:val="00AD607A"/>
    <w:rsid w:val="00AD607D"/>
    <w:rsid w:val="00AD6083"/>
    <w:rsid w:val="00AD60E9"/>
    <w:rsid w:val="00AD60F1"/>
    <w:rsid w:val="00AD6100"/>
    <w:rsid w:val="00AD6114"/>
    <w:rsid w:val="00AD6170"/>
    <w:rsid w:val="00AD6298"/>
    <w:rsid w:val="00AD63E5"/>
    <w:rsid w:val="00AD63F7"/>
    <w:rsid w:val="00AD646A"/>
    <w:rsid w:val="00AD6520"/>
    <w:rsid w:val="00AD6541"/>
    <w:rsid w:val="00AD6697"/>
    <w:rsid w:val="00AD6735"/>
    <w:rsid w:val="00AD67D7"/>
    <w:rsid w:val="00AD68DB"/>
    <w:rsid w:val="00AD6BB1"/>
    <w:rsid w:val="00AD6D04"/>
    <w:rsid w:val="00AD6E3B"/>
    <w:rsid w:val="00AD6E7B"/>
    <w:rsid w:val="00AD6E7E"/>
    <w:rsid w:val="00AD6E94"/>
    <w:rsid w:val="00AD6EAC"/>
    <w:rsid w:val="00AD6F7B"/>
    <w:rsid w:val="00AD6FD5"/>
    <w:rsid w:val="00AD7058"/>
    <w:rsid w:val="00AD70F4"/>
    <w:rsid w:val="00AD7272"/>
    <w:rsid w:val="00AD72E4"/>
    <w:rsid w:val="00AD7449"/>
    <w:rsid w:val="00AD74A6"/>
    <w:rsid w:val="00AD74E6"/>
    <w:rsid w:val="00AD75C8"/>
    <w:rsid w:val="00AD767D"/>
    <w:rsid w:val="00AD7882"/>
    <w:rsid w:val="00AD792D"/>
    <w:rsid w:val="00AD79E6"/>
    <w:rsid w:val="00AD7A00"/>
    <w:rsid w:val="00AD7A2E"/>
    <w:rsid w:val="00AD7AB3"/>
    <w:rsid w:val="00AD7C24"/>
    <w:rsid w:val="00AD7CF6"/>
    <w:rsid w:val="00AD7E69"/>
    <w:rsid w:val="00AD7EA8"/>
    <w:rsid w:val="00AD7EE0"/>
    <w:rsid w:val="00AE0073"/>
    <w:rsid w:val="00AE0079"/>
    <w:rsid w:val="00AE0111"/>
    <w:rsid w:val="00AE0131"/>
    <w:rsid w:val="00AE013F"/>
    <w:rsid w:val="00AE0201"/>
    <w:rsid w:val="00AE0234"/>
    <w:rsid w:val="00AE0238"/>
    <w:rsid w:val="00AE02A9"/>
    <w:rsid w:val="00AE030E"/>
    <w:rsid w:val="00AE034E"/>
    <w:rsid w:val="00AE0394"/>
    <w:rsid w:val="00AE05CD"/>
    <w:rsid w:val="00AE0641"/>
    <w:rsid w:val="00AE06AB"/>
    <w:rsid w:val="00AE0757"/>
    <w:rsid w:val="00AE076C"/>
    <w:rsid w:val="00AE07D2"/>
    <w:rsid w:val="00AE0894"/>
    <w:rsid w:val="00AE09FC"/>
    <w:rsid w:val="00AE0A1B"/>
    <w:rsid w:val="00AE0A21"/>
    <w:rsid w:val="00AE0A38"/>
    <w:rsid w:val="00AE0A91"/>
    <w:rsid w:val="00AE0AA2"/>
    <w:rsid w:val="00AE0B98"/>
    <w:rsid w:val="00AE0BDE"/>
    <w:rsid w:val="00AE0CF4"/>
    <w:rsid w:val="00AE0D24"/>
    <w:rsid w:val="00AE0D31"/>
    <w:rsid w:val="00AE0D47"/>
    <w:rsid w:val="00AE0D60"/>
    <w:rsid w:val="00AE0E72"/>
    <w:rsid w:val="00AE0F11"/>
    <w:rsid w:val="00AE0F96"/>
    <w:rsid w:val="00AE0FBC"/>
    <w:rsid w:val="00AE1028"/>
    <w:rsid w:val="00AE1419"/>
    <w:rsid w:val="00AE1460"/>
    <w:rsid w:val="00AE14B3"/>
    <w:rsid w:val="00AE150F"/>
    <w:rsid w:val="00AE1658"/>
    <w:rsid w:val="00AE16D8"/>
    <w:rsid w:val="00AE171C"/>
    <w:rsid w:val="00AE18E7"/>
    <w:rsid w:val="00AE196E"/>
    <w:rsid w:val="00AE19DF"/>
    <w:rsid w:val="00AE1B00"/>
    <w:rsid w:val="00AE1C53"/>
    <w:rsid w:val="00AE1C9D"/>
    <w:rsid w:val="00AE1E89"/>
    <w:rsid w:val="00AE1EB8"/>
    <w:rsid w:val="00AE1ECC"/>
    <w:rsid w:val="00AE1F3A"/>
    <w:rsid w:val="00AE1F4D"/>
    <w:rsid w:val="00AE21A5"/>
    <w:rsid w:val="00AE2224"/>
    <w:rsid w:val="00AE2236"/>
    <w:rsid w:val="00AE2314"/>
    <w:rsid w:val="00AE2356"/>
    <w:rsid w:val="00AE248B"/>
    <w:rsid w:val="00AE257E"/>
    <w:rsid w:val="00AE262A"/>
    <w:rsid w:val="00AE2711"/>
    <w:rsid w:val="00AE28B0"/>
    <w:rsid w:val="00AE28C1"/>
    <w:rsid w:val="00AE2936"/>
    <w:rsid w:val="00AE29C4"/>
    <w:rsid w:val="00AE29FA"/>
    <w:rsid w:val="00AE2A49"/>
    <w:rsid w:val="00AE2A97"/>
    <w:rsid w:val="00AE2B60"/>
    <w:rsid w:val="00AE2B75"/>
    <w:rsid w:val="00AE2B7F"/>
    <w:rsid w:val="00AE2C9C"/>
    <w:rsid w:val="00AE2D24"/>
    <w:rsid w:val="00AE2D2D"/>
    <w:rsid w:val="00AE2D56"/>
    <w:rsid w:val="00AE3002"/>
    <w:rsid w:val="00AE3034"/>
    <w:rsid w:val="00AE3046"/>
    <w:rsid w:val="00AE311F"/>
    <w:rsid w:val="00AE31C1"/>
    <w:rsid w:val="00AE32D8"/>
    <w:rsid w:val="00AE3329"/>
    <w:rsid w:val="00AE33DD"/>
    <w:rsid w:val="00AE3549"/>
    <w:rsid w:val="00AE3577"/>
    <w:rsid w:val="00AE36E9"/>
    <w:rsid w:val="00AE374F"/>
    <w:rsid w:val="00AE38A7"/>
    <w:rsid w:val="00AE394C"/>
    <w:rsid w:val="00AE395F"/>
    <w:rsid w:val="00AE39A2"/>
    <w:rsid w:val="00AE39B0"/>
    <w:rsid w:val="00AE3D7F"/>
    <w:rsid w:val="00AE3EA2"/>
    <w:rsid w:val="00AE4082"/>
    <w:rsid w:val="00AE419A"/>
    <w:rsid w:val="00AE4216"/>
    <w:rsid w:val="00AE422B"/>
    <w:rsid w:val="00AE4253"/>
    <w:rsid w:val="00AE425C"/>
    <w:rsid w:val="00AE42E5"/>
    <w:rsid w:val="00AE435B"/>
    <w:rsid w:val="00AE451B"/>
    <w:rsid w:val="00AE4552"/>
    <w:rsid w:val="00AE45C4"/>
    <w:rsid w:val="00AE45DA"/>
    <w:rsid w:val="00AE4693"/>
    <w:rsid w:val="00AE46EC"/>
    <w:rsid w:val="00AE47C7"/>
    <w:rsid w:val="00AE487C"/>
    <w:rsid w:val="00AE48C5"/>
    <w:rsid w:val="00AE48E1"/>
    <w:rsid w:val="00AE4913"/>
    <w:rsid w:val="00AE4969"/>
    <w:rsid w:val="00AE4999"/>
    <w:rsid w:val="00AE4A73"/>
    <w:rsid w:val="00AE4B4F"/>
    <w:rsid w:val="00AE4C99"/>
    <w:rsid w:val="00AE4ECB"/>
    <w:rsid w:val="00AE507A"/>
    <w:rsid w:val="00AE522B"/>
    <w:rsid w:val="00AE5255"/>
    <w:rsid w:val="00AE52C6"/>
    <w:rsid w:val="00AE538A"/>
    <w:rsid w:val="00AE542D"/>
    <w:rsid w:val="00AE543A"/>
    <w:rsid w:val="00AE54B2"/>
    <w:rsid w:val="00AE5696"/>
    <w:rsid w:val="00AE579E"/>
    <w:rsid w:val="00AE5843"/>
    <w:rsid w:val="00AE585B"/>
    <w:rsid w:val="00AE5861"/>
    <w:rsid w:val="00AE58CE"/>
    <w:rsid w:val="00AE5AF6"/>
    <w:rsid w:val="00AE5B0D"/>
    <w:rsid w:val="00AE5B3D"/>
    <w:rsid w:val="00AE5B4E"/>
    <w:rsid w:val="00AE5C5B"/>
    <w:rsid w:val="00AE5CFE"/>
    <w:rsid w:val="00AE5D12"/>
    <w:rsid w:val="00AE5DF8"/>
    <w:rsid w:val="00AE5E08"/>
    <w:rsid w:val="00AE5E0E"/>
    <w:rsid w:val="00AE5EC3"/>
    <w:rsid w:val="00AE5FAF"/>
    <w:rsid w:val="00AE6064"/>
    <w:rsid w:val="00AE6153"/>
    <w:rsid w:val="00AE6165"/>
    <w:rsid w:val="00AE6198"/>
    <w:rsid w:val="00AE61B4"/>
    <w:rsid w:val="00AE6227"/>
    <w:rsid w:val="00AE6314"/>
    <w:rsid w:val="00AE6329"/>
    <w:rsid w:val="00AE647A"/>
    <w:rsid w:val="00AE6484"/>
    <w:rsid w:val="00AE648F"/>
    <w:rsid w:val="00AE64B4"/>
    <w:rsid w:val="00AE656E"/>
    <w:rsid w:val="00AE668E"/>
    <w:rsid w:val="00AE66DD"/>
    <w:rsid w:val="00AE66EB"/>
    <w:rsid w:val="00AE67E2"/>
    <w:rsid w:val="00AE67F7"/>
    <w:rsid w:val="00AE6811"/>
    <w:rsid w:val="00AE684F"/>
    <w:rsid w:val="00AE6997"/>
    <w:rsid w:val="00AE6A67"/>
    <w:rsid w:val="00AE6A76"/>
    <w:rsid w:val="00AE6B3F"/>
    <w:rsid w:val="00AE6C4F"/>
    <w:rsid w:val="00AE6C73"/>
    <w:rsid w:val="00AE6CE9"/>
    <w:rsid w:val="00AE6EAE"/>
    <w:rsid w:val="00AE6F98"/>
    <w:rsid w:val="00AE6FEA"/>
    <w:rsid w:val="00AE707A"/>
    <w:rsid w:val="00AE7124"/>
    <w:rsid w:val="00AE712E"/>
    <w:rsid w:val="00AE719D"/>
    <w:rsid w:val="00AE7206"/>
    <w:rsid w:val="00AE72E0"/>
    <w:rsid w:val="00AE72F8"/>
    <w:rsid w:val="00AE7302"/>
    <w:rsid w:val="00AE7372"/>
    <w:rsid w:val="00AE73CB"/>
    <w:rsid w:val="00AE75B2"/>
    <w:rsid w:val="00AE75FE"/>
    <w:rsid w:val="00AE768C"/>
    <w:rsid w:val="00AE784D"/>
    <w:rsid w:val="00AE78DD"/>
    <w:rsid w:val="00AE7977"/>
    <w:rsid w:val="00AE79CC"/>
    <w:rsid w:val="00AE7B00"/>
    <w:rsid w:val="00AE7C92"/>
    <w:rsid w:val="00AE7E71"/>
    <w:rsid w:val="00AE7ED9"/>
    <w:rsid w:val="00AE7F14"/>
    <w:rsid w:val="00AE7F20"/>
    <w:rsid w:val="00AE7F88"/>
    <w:rsid w:val="00AE7FAC"/>
    <w:rsid w:val="00AF0061"/>
    <w:rsid w:val="00AF0118"/>
    <w:rsid w:val="00AF0269"/>
    <w:rsid w:val="00AF0309"/>
    <w:rsid w:val="00AF04E2"/>
    <w:rsid w:val="00AF04FC"/>
    <w:rsid w:val="00AF0504"/>
    <w:rsid w:val="00AF05A1"/>
    <w:rsid w:val="00AF0684"/>
    <w:rsid w:val="00AF06AE"/>
    <w:rsid w:val="00AF06DA"/>
    <w:rsid w:val="00AF0834"/>
    <w:rsid w:val="00AF087B"/>
    <w:rsid w:val="00AF08B0"/>
    <w:rsid w:val="00AF0915"/>
    <w:rsid w:val="00AF0A2E"/>
    <w:rsid w:val="00AF0AD2"/>
    <w:rsid w:val="00AF0B59"/>
    <w:rsid w:val="00AF0D35"/>
    <w:rsid w:val="00AF0DEA"/>
    <w:rsid w:val="00AF0EEC"/>
    <w:rsid w:val="00AF0F03"/>
    <w:rsid w:val="00AF0FB6"/>
    <w:rsid w:val="00AF107B"/>
    <w:rsid w:val="00AF10F0"/>
    <w:rsid w:val="00AF1252"/>
    <w:rsid w:val="00AF12CB"/>
    <w:rsid w:val="00AF1367"/>
    <w:rsid w:val="00AF13CE"/>
    <w:rsid w:val="00AF1428"/>
    <w:rsid w:val="00AF1513"/>
    <w:rsid w:val="00AF153D"/>
    <w:rsid w:val="00AF1590"/>
    <w:rsid w:val="00AF162D"/>
    <w:rsid w:val="00AF1641"/>
    <w:rsid w:val="00AF168D"/>
    <w:rsid w:val="00AF16F9"/>
    <w:rsid w:val="00AF1748"/>
    <w:rsid w:val="00AF1750"/>
    <w:rsid w:val="00AF17F1"/>
    <w:rsid w:val="00AF1A07"/>
    <w:rsid w:val="00AF1B44"/>
    <w:rsid w:val="00AF1B78"/>
    <w:rsid w:val="00AF1B7E"/>
    <w:rsid w:val="00AF1D0A"/>
    <w:rsid w:val="00AF23E4"/>
    <w:rsid w:val="00AF243C"/>
    <w:rsid w:val="00AF25EB"/>
    <w:rsid w:val="00AF25FF"/>
    <w:rsid w:val="00AF2775"/>
    <w:rsid w:val="00AF280A"/>
    <w:rsid w:val="00AF285A"/>
    <w:rsid w:val="00AF28C6"/>
    <w:rsid w:val="00AF292C"/>
    <w:rsid w:val="00AF29A4"/>
    <w:rsid w:val="00AF2AD6"/>
    <w:rsid w:val="00AF2BBA"/>
    <w:rsid w:val="00AF2C20"/>
    <w:rsid w:val="00AF2EEC"/>
    <w:rsid w:val="00AF303E"/>
    <w:rsid w:val="00AF30C8"/>
    <w:rsid w:val="00AF314C"/>
    <w:rsid w:val="00AF317B"/>
    <w:rsid w:val="00AF3218"/>
    <w:rsid w:val="00AF323B"/>
    <w:rsid w:val="00AF3290"/>
    <w:rsid w:val="00AF33AE"/>
    <w:rsid w:val="00AF3678"/>
    <w:rsid w:val="00AF3890"/>
    <w:rsid w:val="00AF3971"/>
    <w:rsid w:val="00AF39A8"/>
    <w:rsid w:val="00AF39FC"/>
    <w:rsid w:val="00AF3A0E"/>
    <w:rsid w:val="00AF3A7B"/>
    <w:rsid w:val="00AF3B8E"/>
    <w:rsid w:val="00AF3D1B"/>
    <w:rsid w:val="00AF3EEC"/>
    <w:rsid w:val="00AF3F8C"/>
    <w:rsid w:val="00AF3FD1"/>
    <w:rsid w:val="00AF401B"/>
    <w:rsid w:val="00AF4087"/>
    <w:rsid w:val="00AF40F1"/>
    <w:rsid w:val="00AF4393"/>
    <w:rsid w:val="00AF4408"/>
    <w:rsid w:val="00AF4501"/>
    <w:rsid w:val="00AF4542"/>
    <w:rsid w:val="00AF4559"/>
    <w:rsid w:val="00AF46C4"/>
    <w:rsid w:val="00AF4797"/>
    <w:rsid w:val="00AF47D7"/>
    <w:rsid w:val="00AF4870"/>
    <w:rsid w:val="00AF4977"/>
    <w:rsid w:val="00AF49D9"/>
    <w:rsid w:val="00AF49EF"/>
    <w:rsid w:val="00AF4A55"/>
    <w:rsid w:val="00AF4A61"/>
    <w:rsid w:val="00AF4A69"/>
    <w:rsid w:val="00AF4B55"/>
    <w:rsid w:val="00AF4C2E"/>
    <w:rsid w:val="00AF4CCF"/>
    <w:rsid w:val="00AF4D35"/>
    <w:rsid w:val="00AF4E43"/>
    <w:rsid w:val="00AF4FAE"/>
    <w:rsid w:val="00AF509B"/>
    <w:rsid w:val="00AF513E"/>
    <w:rsid w:val="00AF516B"/>
    <w:rsid w:val="00AF53F5"/>
    <w:rsid w:val="00AF540C"/>
    <w:rsid w:val="00AF54B3"/>
    <w:rsid w:val="00AF54FA"/>
    <w:rsid w:val="00AF55CA"/>
    <w:rsid w:val="00AF572E"/>
    <w:rsid w:val="00AF5775"/>
    <w:rsid w:val="00AF581B"/>
    <w:rsid w:val="00AF591F"/>
    <w:rsid w:val="00AF59AB"/>
    <w:rsid w:val="00AF59F1"/>
    <w:rsid w:val="00AF5A54"/>
    <w:rsid w:val="00AF5AC7"/>
    <w:rsid w:val="00AF5ADD"/>
    <w:rsid w:val="00AF5B8F"/>
    <w:rsid w:val="00AF5BF9"/>
    <w:rsid w:val="00AF5CBC"/>
    <w:rsid w:val="00AF5CE1"/>
    <w:rsid w:val="00AF5D2A"/>
    <w:rsid w:val="00AF5DA5"/>
    <w:rsid w:val="00AF5FC0"/>
    <w:rsid w:val="00AF5FF2"/>
    <w:rsid w:val="00AF608C"/>
    <w:rsid w:val="00AF6114"/>
    <w:rsid w:val="00AF6354"/>
    <w:rsid w:val="00AF6378"/>
    <w:rsid w:val="00AF638A"/>
    <w:rsid w:val="00AF640D"/>
    <w:rsid w:val="00AF6418"/>
    <w:rsid w:val="00AF6443"/>
    <w:rsid w:val="00AF6493"/>
    <w:rsid w:val="00AF6530"/>
    <w:rsid w:val="00AF653E"/>
    <w:rsid w:val="00AF65BF"/>
    <w:rsid w:val="00AF66B7"/>
    <w:rsid w:val="00AF66C8"/>
    <w:rsid w:val="00AF66D2"/>
    <w:rsid w:val="00AF6843"/>
    <w:rsid w:val="00AF68B2"/>
    <w:rsid w:val="00AF6999"/>
    <w:rsid w:val="00AF6A58"/>
    <w:rsid w:val="00AF6A8D"/>
    <w:rsid w:val="00AF6A9D"/>
    <w:rsid w:val="00AF6B65"/>
    <w:rsid w:val="00AF6BCF"/>
    <w:rsid w:val="00AF6C24"/>
    <w:rsid w:val="00AF6DAB"/>
    <w:rsid w:val="00AF6DDF"/>
    <w:rsid w:val="00AF6F72"/>
    <w:rsid w:val="00AF6F78"/>
    <w:rsid w:val="00AF7051"/>
    <w:rsid w:val="00AF7081"/>
    <w:rsid w:val="00AF7175"/>
    <w:rsid w:val="00AF71B2"/>
    <w:rsid w:val="00AF746F"/>
    <w:rsid w:val="00AF751B"/>
    <w:rsid w:val="00AF76AC"/>
    <w:rsid w:val="00AF76EA"/>
    <w:rsid w:val="00AF77FA"/>
    <w:rsid w:val="00AF7941"/>
    <w:rsid w:val="00AF7B19"/>
    <w:rsid w:val="00AF7B50"/>
    <w:rsid w:val="00AF7C31"/>
    <w:rsid w:val="00AF7C92"/>
    <w:rsid w:val="00AF7D51"/>
    <w:rsid w:val="00AF7DB4"/>
    <w:rsid w:val="00AF7DC9"/>
    <w:rsid w:val="00AF7DFB"/>
    <w:rsid w:val="00AF7EC2"/>
    <w:rsid w:val="00AF7EE3"/>
    <w:rsid w:val="00AF7FA9"/>
    <w:rsid w:val="00B00042"/>
    <w:rsid w:val="00B00057"/>
    <w:rsid w:val="00B000D0"/>
    <w:rsid w:val="00B002F7"/>
    <w:rsid w:val="00B0036E"/>
    <w:rsid w:val="00B00511"/>
    <w:rsid w:val="00B00582"/>
    <w:rsid w:val="00B0073F"/>
    <w:rsid w:val="00B007CD"/>
    <w:rsid w:val="00B00920"/>
    <w:rsid w:val="00B00AA7"/>
    <w:rsid w:val="00B00ABF"/>
    <w:rsid w:val="00B00B21"/>
    <w:rsid w:val="00B00B80"/>
    <w:rsid w:val="00B00D68"/>
    <w:rsid w:val="00B00D69"/>
    <w:rsid w:val="00B00E63"/>
    <w:rsid w:val="00B00E6A"/>
    <w:rsid w:val="00B00ECA"/>
    <w:rsid w:val="00B00F2B"/>
    <w:rsid w:val="00B010AE"/>
    <w:rsid w:val="00B01315"/>
    <w:rsid w:val="00B0131D"/>
    <w:rsid w:val="00B0141D"/>
    <w:rsid w:val="00B014BE"/>
    <w:rsid w:val="00B014F8"/>
    <w:rsid w:val="00B01546"/>
    <w:rsid w:val="00B0158F"/>
    <w:rsid w:val="00B01667"/>
    <w:rsid w:val="00B01681"/>
    <w:rsid w:val="00B01832"/>
    <w:rsid w:val="00B019E7"/>
    <w:rsid w:val="00B01AAC"/>
    <w:rsid w:val="00B01ABD"/>
    <w:rsid w:val="00B01AF0"/>
    <w:rsid w:val="00B01B1B"/>
    <w:rsid w:val="00B01B42"/>
    <w:rsid w:val="00B01B57"/>
    <w:rsid w:val="00B01BE0"/>
    <w:rsid w:val="00B01E98"/>
    <w:rsid w:val="00B01ED5"/>
    <w:rsid w:val="00B01F80"/>
    <w:rsid w:val="00B01FB5"/>
    <w:rsid w:val="00B0210A"/>
    <w:rsid w:val="00B0223E"/>
    <w:rsid w:val="00B0232C"/>
    <w:rsid w:val="00B0242C"/>
    <w:rsid w:val="00B024F6"/>
    <w:rsid w:val="00B0258F"/>
    <w:rsid w:val="00B025F8"/>
    <w:rsid w:val="00B026A6"/>
    <w:rsid w:val="00B02782"/>
    <w:rsid w:val="00B027A2"/>
    <w:rsid w:val="00B027D7"/>
    <w:rsid w:val="00B02835"/>
    <w:rsid w:val="00B02871"/>
    <w:rsid w:val="00B0292C"/>
    <w:rsid w:val="00B02960"/>
    <w:rsid w:val="00B02C9C"/>
    <w:rsid w:val="00B02CDC"/>
    <w:rsid w:val="00B02D18"/>
    <w:rsid w:val="00B02D63"/>
    <w:rsid w:val="00B02E60"/>
    <w:rsid w:val="00B02F4F"/>
    <w:rsid w:val="00B02FF9"/>
    <w:rsid w:val="00B03008"/>
    <w:rsid w:val="00B03032"/>
    <w:rsid w:val="00B0315A"/>
    <w:rsid w:val="00B031E8"/>
    <w:rsid w:val="00B0327B"/>
    <w:rsid w:val="00B03415"/>
    <w:rsid w:val="00B036B2"/>
    <w:rsid w:val="00B036F8"/>
    <w:rsid w:val="00B0376E"/>
    <w:rsid w:val="00B03779"/>
    <w:rsid w:val="00B0378F"/>
    <w:rsid w:val="00B037B6"/>
    <w:rsid w:val="00B037B7"/>
    <w:rsid w:val="00B03926"/>
    <w:rsid w:val="00B03A11"/>
    <w:rsid w:val="00B03CC6"/>
    <w:rsid w:val="00B03D5F"/>
    <w:rsid w:val="00B04082"/>
    <w:rsid w:val="00B040B7"/>
    <w:rsid w:val="00B040CB"/>
    <w:rsid w:val="00B04147"/>
    <w:rsid w:val="00B04224"/>
    <w:rsid w:val="00B0427C"/>
    <w:rsid w:val="00B04315"/>
    <w:rsid w:val="00B043B8"/>
    <w:rsid w:val="00B04424"/>
    <w:rsid w:val="00B0448E"/>
    <w:rsid w:val="00B04555"/>
    <w:rsid w:val="00B04571"/>
    <w:rsid w:val="00B0462C"/>
    <w:rsid w:val="00B04878"/>
    <w:rsid w:val="00B049BE"/>
    <w:rsid w:val="00B04AEF"/>
    <w:rsid w:val="00B04BF7"/>
    <w:rsid w:val="00B04CD7"/>
    <w:rsid w:val="00B04CD8"/>
    <w:rsid w:val="00B04D0A"/>
    <w:rsid w:val="00B04D1A"/>
    <w:rsid w:val="00B04D27"/>
    <w:rsid w:val="00B04DB7"/>
    <w:rsid w:val="00B04DFA"/>
    <w:rsid w:val="00B04E1A"/>
    <w:rsid w:val="00B04EFD"/>
    <w:rsid w:val="00B04F23"/>
    <w:rsid w:val="00B04F9A"/>
    <w:rsid w:val="00B05037"/>
    <w:rsid w:val="00B0510A"/>
    <w:rsid w:val="00B05191"/>
    <w:rsid w:val="00B05199"/>
    <w:rsid w:val="00B051F7"/>
    <w:rsid w:val="00B052B4"/>
    <w:rsid w:val="00B05307"/>
    <w:rsid w:val="00B0533E"/>
    <w:rsid w:val="00B05570"/>
    <w:rsid w:val="00B05571"/>
    <w:rsid w:val="00B056B1"/>
    <w:rsid w:val="00B0575E"/>
    <w:rsid w:val="00B057CA"/>
    <w:rsid w:val="00B057FB"/>
    <w:rsid w:val="00B058B0"/>
    <w:rsid w:val="00B058C8"/>
    <w:rsid w:val="00B05963"/>
    <w:rsid w:val="00B05987"/>
    <w:rsid w:val="00B059B1"/>
    <w:rsid w:val="00B059C2"/>
    <w:rsid w:val="00B059FA"/>
    <w:rsid w:val="00B05A14"/>
    <w:rsid w:val="00B05A99"/>
    <w:rsid w:val="00B05B70"/>
    <w:rsid w:val="00B05BD3"/>
    <w:rsid w:val="00B05C44"/>
    <w:rsid w:val="00B05D82"/>
    <w:rsid w:val="00B05DD1"/>
    <w:rsid w:val="00B05E84"/>
    <w:rsid w:val="00B05EB4"/>
    <w:rsid w:val="00B061A3"/>
    <w:rsid w:val="00B06234"/>
    <w:rsid w:val="00B0625E"/>
    <w:rsid w:val="00B062A9"/>
    <w:rsid w:val="00B062E6"/>
    <w:rsid w:val="00B06373"/>
    <w:rsid w:val="00B064DB"/>
    <w:rsid w:val="00B06512"/>
    <w:rsid w:val="00B06784"/>
    <w:rsid w:val="00B067B8"/>
    <w:rsid w:val="00B067EA"/>
    <w:rsid w:val="00B06890"/>
    <w:rsid w:val="00B06982"/>
    <w:rsid w:val="00B06983"/>
    <w:rsid w:val="00B069D0"/>
    <w:rsid w:val="00B06A4C"/>
    <w:rsid w:val="00B06ABE"/>
    <w:rsid w:val="00B06CCB"/>
    <w:rsid w:val="00B06D8F"/>
    <w:rsid w:val="00B06DD6"/>
    <w:rsid w:val="00B06E9F"/>
    <w:rsid w:val="00B06F79"/>
    <w:rsid w:val="00B06FA1"/>
    <w:rsid w:val="00B06FE1"/>
    <w:rsid w:val="00B070D9"/>
    <w:rsid w:val="00B070ED"/>
    <w:rsid w:val="00B07144"/>
    <w:rsid w:val="00B07174"/>
    <w:rsid w:val="00B07464"/>
    <w:rsid w:val="00B074DB"/>
    <w:rsid w:val="00B07569"/>
    <w:rsid w:val="00B07677"/>
    <w:rsid w:val="00B07879"/>
    <w:rsid w:val="00B07886"/>
    <w:rsid w:val="00B078CA"/>
    <w:rsid w:val="00B079A9"/>
    <w:rsid w:val="00B07CD8"/>
    <w:rsid w:val="00B07CE4"/>
    <w:rsid w:val="00B07ED1"/>
    <w:rsid w:val="00B07F5D"/>
    <w:rsid w:val="00B100A1"/>
    <w:rsid w:val="00B101DF"/>
    <w:rsid w:val="00B101F6"/>
    <w:rsid w:val="00B10330"/>
    <w:rsid w:val="00B1042A"/>
    <w:rsid w:val="00B10468"/>
    <w:rsid w:val="00B10650"/>
    <w:rsid w:val="00B106D8"/>
    <w:rsid w:val="00B10706"/>
    <w:rsid w:val="00B108FC"/>
    <w:rsid w:val="00B10995"/>
    <w:rsid w:val="00B10A94"/>
    <w:rsid w:val="00B10AAC"/>
    <w:rsid w:val="00B10B08"/>
    <w:rsid w:val="00B10B3B"/>
    <w:rsid w:val="00B10B42"/>
    <w:rsid w:val="00B10C05"/>
    <w:rsid w:val="00B1104C"/>
    <w:rsid w:val="00B110D2"/>
    <w:rsid w:val="00B110F1"/>
    <w:rsid w:val="00B1113C"/>
    <w:rsid w:val="00B11454"/>
    <w:rsid w:val="00B114D9"/>
    <w:rsid w:val="00B114ED"/>
    <w:rsid w:val="00B11525"/>
    <w:rsid w:val="00B115B9"/>
    <w:rsid w:val="00B1161C"/>
    <w:rsid w:val="00B11672"/>
    <w:rsid w:val="00B116AF"/>
    <w:rsid w:val="00B116E8"/>
    <w:rsid w:val="00B11884"/>
    <w:rsid w:val="00B11896"/>
    <w:rsid w:val="00B119D4"/>
    <w:rsid w:val="00B11B26"/>
    <w:rsid w:val="00B11D2C"/>
    <w:rsid w:val="00B11D3D"/>
    <w:rsid w:val="00B11D61"/>
    <w:rsid w:val="00B11E1F"/>
    <w:rsid w:val="00B11EBA"/>
    <w:rsid w:val="00B11EDB"/>
    <w:rsid w:val="00B11F15"/>
    <w:rsid w:val="00B11F26"/>
    <w:rsid w:val="00B11F91"/>
    <w:rsid w:val="00B12042"/>
    <w:rsid w:val="00B121F4"/>
    <w:rsid w:val="00B122ED"/>
    <w:rsid w:val="00B12304"/>
    <w:rsid w:val="00B12374"/>
    <w:rsid w:val="00B1238B"/>
    <w:rsid w:val="00B1241E"/>
    <w:rsid w:val="00B124E0"/>
    <w:rsid w:val="00B1255B"/>
    <w:rsid w:val="00B125E4"/>
    <w:rsid w:val="00B1267C"/>
    <w:rsid w:val="00B12771"/>
    <w:rsid w:val="00B12788"/>
    <w:rsid w:val="00B1279E"/>
    <w:rsid w:val="00B127A6"/>
    <w:rsid w:val="00B1284D"/>
    <w:rsid w:val="00B128E9"/>
    <w:rsid w:val="00B12B7F"/>
    <w:rsid w:val="00B12BA6"/>
    <w:rsid w:val="00B12CD5"/>
    <w:rsid w:val="00B12D22"/>
    <w:rsid w:val="00B12D7D"/>
    <w:rsid w:val="00B12E7B"/>
    <w:rsid w:val="00B1321E"/>
    <w:rsid w:val="00B13249"/>
    <w:rsid w:val="00B133F6"/>
    <w:rsid w:val="00B13400"/>
    <w:rsid w:val="00B134B2"/>
    <w:rsid w:val="00B1353C"/>
    <w:rsid w:val="00B135EB"/>
    <w:rsid w:val="00B13618"/>
    <w:rsid w:val="00B13637"/>
    <w:rsid w:val="00B13673"/>
    <w:rsid w:val="00B136EA"/>
    <w:rsid w:val="00B137BA"/>
    <w:rsid w:val="00B13840"/>
    <w:rsid w:val="00B138AB"/>
    <w:rsid w:val="00B13912"/>
    <w:rsid w:val="00B139D4"/>
    <w:rsid w:val="00B139E5"/>
    <w:rsid w:val="00B13C25"/>
    <w:rsid w:val="00B13CCA"/>
    <w:rsid w:val="00B13E58"/>
    <w:rsid w:val="00B13E80"/>
    <w:rsid w:val="00B13F90"/>
    <w:rsid w:val="00B13FAD"/>
    <w:rsid w:val="00B1411B"/>
    <w:rsid w:val="00B141EF"/>
    <w:rsid w:val="00B14245"/>
    <w:rsid w:val="00B142D4"/>
    <w:rsid w:val="00B1438B"/>
    <w:rsid w:val="00B1458D"/>
    <w:rsid w:val="00B14696"/>
    <w:rsid w:val="00B146C2"/>
    <w:rsid w:val="00B14793"/>
    <w:rsid w:val="00B1479A"/>
    <w:rsid w:val="00B147C2"/>
    <w:rsid w:val="00B149ED"/>
    <w:rsid w:val="00B149FF"/>
    <w:rsid w:val="00B14A61"/>
    <w:rsid w:val="00B14A9F"/>
    <w:rsid w:val="00B14ACC"/>
    <w:rsid w:val="00B14C1A"/>
    <w:rsid w:val="00B14C35"/>
    <w:rsid w:val="00B14E6E"/>
    <w:rsid w:val="00B14F30"/>
    <w:rsid w:val="00B14FFB"/>
    <w:rsid w:val="00B150D6"/>
    <w:rsid w:val="00B152F0"/>
    <w:rsid w:val="00B1530A"/>
    <w:rsid w:val="00B1536F"/>
    <w:rsid w:val="00B15568"/>
    <w:rsid w:val="00B1564D"/>
    <w:rsid w:val="00B15655"/>
    <w:rsid w:val="00B15867"/>
    <w:rsid w:val="00B1587E"/>
    <w:rsid w:val="00B15A01"/>
    <w:rsid w:val="00B15A10"/>
    <w:rsid w:val="00B15BE1"/>
    <w:rsid w:val="00B15C73"/>
    <w:rsid w:val="00B15C75"/>
    <w:rsid w:val="00B15D8A"/>
    <w:rsid w:val="00B15E1F"/>
    <w:rsid w:val="00B16019"/>
    <w:rsid w:val="00B1614F"/>
    <w:rsid w:val="00B16209"/>
    <w:rsid w:val="00B1621D"/>
    <w:rsid w:val="00B16372"/>
    <w:rsid w:val="00B163B0"/>
    <w:rsid w:val="00B16462"/>
    <w:rsid w:val="00B164F6"/>
    <w:rsid w:val="00B1655F"/>
    <w:rsid w:val="00B1658E"/>
    <w:rsid w:val="00B1662C"/>
    <w:rsid w:val="00B16649"/>
    <w:rsid w:val="00B169FB"/>
    <w:rsid w:val="00B16AC0"/>
    <w:rsid w:val="00B16BDA"/>
    <w:rsid w:val="00B16CAF"/>
    <w:rsid w:val="00B16D38"/>
    <w:rsid w:val="00B16D84"/>
    <w:rsid w:val="00B16DE6"/>
    <w:rsid w:val="00B16F2D"/>
    <w:rsid w:val="00B170D6"/>
    <w:rsid w:val="00B171C3"/>
    <w:rsid w:val="00B1723D"/>
    <w:rsid w:val="00B17335"/>
    <w:rsid w:val="00B174C5"/>
    <w:rsid w:val="00B174CC"/>
    <w:rsid w:val="00B1753C"/>
    <w:rsid w:val="00B175B2"/>
    <w:rsid w:val="00B17635"/>
    <w:rsid w:val="00B177D5"/>
    <w:rsid w:val="00B17B15"/>
    <w:rsid w:val="00B17B82"/>
    <w:rsid w:val="00B17BA3"/>
    <w:rsid w:val="00B17BFC"/>
    <w:rsid w:val="00B17C92"/>
    <w:rsid w:val="00B17CA1"/>
    <w:rsid w:val="00B17CB0"/>
    <w:rsid w:val="00B17EFB"/>
    <w:rsid w:val="00B20001"/>
    <w:rsid w:val="00B2006F"/>
    <w:rsid w:val="00B200A5"/>
    <w:rsid w:val="00B20172"/>
    <w:rsid w:val="00B201FB"/>
    <w:rsid w:val="00B2020D"/>
    <w:rsid w:val="00B2020F"/>
    <w:rsid w:val="00B20228"/>
    <w:rsid w:val="00B20247"/>
    <w:rsid w:val="00B202E5"/>
    <w:rsid w:val="00B20736"/>
    <w:rsid w:val="00B208E9"/>
    <w:rsid w:val="00B20941"/>
    <w:rsid w:val="00B209E2"/>
    <w:rsid w:val="00B20C11"/>
    <w:rsid w:val="00B20C29"/>
    <w:rsid w:val="00B20C6B"/>
    <w:rsid w:val="00B20C75"/>
    <w:rsid w:val="00B20D20"/>
    <w:rsid w:val="00B20D7A"/>
    <w:rsid w:val="00B20DA4"/>
    <w:rsid w:val="00B20F8A"/>
    <w:rsid w:val="00B20FA6"/>
    <w:rsid w:val="00B21079"/>
    <w:rsid w:val="00B211E5"/>
    <w:rsid w:val="00B2122B"/>
    <w:rsid w:val="00B21246"/>
    <w:rsid w:val="00B21256"/>
    <w:rsid w:val="00B213FE"/>
    <w:rsid w:val="00B21411"/>
    <w:rsid w:val="00B21431"/>
    <w:rsid w:val="00B214BA"/>
    <w:rsid w:val="00B2154C"/>
    <w:rsid w:val="00B2157B"/>
    <w:rsid w:val="00B21643"/>
    <w:rsid w:val="00B21694"/>
    <w:rsid w:val="00B2174C"/>
    <w:rsid w:val="00B217E5"/>
    <w:rsid w:val="00B2184C"/>
    <w:rsid w:val="00B218EE"/>
    <w:rsid w:val="00B2198C"/>
    <w:rsid w:val="00B219A6"/>
    <w:rsid w:val="00B21A2F"/>
    <w:rsid w:val="00B21B30"/>
    <w:rsid w:val="00B21BD9"/>
    <w:rsid w:val="00B21D14"/>
    <w:rsid w:val="00B21DEA"/>
    <w:rsid w:val="00B21F37"/>
    <w:rsid w:val="00B22173"/>
    <w:rsid w:val="00B22267"/>
    <w:rsid w:val="00B2231B"/>
    <w:rsid w:val="00B223E1"/>
    <w:rsid w:val="00B22408"/>
    <w:rsid w:val="00B224F6"/>
    <w:rsid w:val="00B22520"/>
    <w:rsid w:val="00B2263A"/>
    <w:rsid w:val="00B22797"/>
    <w:rsid w:val="00B2295E"/>
    <w:rsid w:val="00B229A8"/>
    <w:rsid w:val="00B22A28"/>
    <w:rsid w:val="00B22AC0"/>
    <w:rsid w:val="00B22BCD"/>
    <w:rsid w:val="00B22C75"/>
    <w:rsid w:val="00B22DE4"/>
    <w:rsid w:val="00B22E34"/>
    <w:rsid w:val="00B22FE2"/>
    <w:rsid w:val="00B23180"/>
    <w:rsid w:val="00B23251"/>
    <w:rsid w:val="00B23273"/>
    <w:rsid w:val="00B2332E"/>
    <w:rsid w:val="00B23336"/>
    <w:rsid w:val="00B2335B"/>
    <w:rsid w:val="00B23362"/>
    <w:rsid w:val="00B23376"/>
    <w:rsid w:val="00B23389"/>
    <w:rsid w:val="00B233C7"/>
    <w:rsid w:val="00B23414"/>
    <w:rsid w:val="00B234E3"/>
    <w:rsid w:val="00B235CB"/>
    <w:rsid w:val="00B23712"/>
    <w:rsid w:val="00B237C0"/>
    <w:rsid w:val="00B237EB"/>
    <w:rsid w:val="00B2384F"/>
    <w:rsid w:val="00B2385B"/>
    <w:rsid w:val="00B2387A"/>
    <w:rsid w:val="00B23992"/>
    <w:rsid w:val="00B239BD"/>
    <w:rsid w:val="00B23AAF"/>
    <w:rsid w:val="00B23ACC"/>
    <w:rsid w:val="00B23C4A"/>
    <w:rsid w:val="00B23D25"/>
    <w:rsid w:val="00B23E9C"/>
    <w:rsid w:val="00B23F31"/>
    <w:rsid w:val="00B2406D"/>
    <w:rsid w:val="00B241BE"/>
    <w:rsid w:val="00B2445C"/>
    <w:rsid w:val="00B2447C"/>
    <w:rsid w:val="00B244E3"/>
    <w:rsid w:val="00B245AE"/>
    <w:rsid w:val="00B24602"/>
    <w:rsid w:val="00B246B8"/>
    <w:rsid w:val="00B246E8"/>
    <w:rsid w:val="00B24705"/>
    <w:rsid w:val="00B24716"/>
    <w:rsid w:val="00B24750"/>
    <w:rsid w:val="00B2485D"/>
    <w:rsid w:val="00B24A7C"/>
    <w:rsid w:val="00B24AD3"/>
    <w:rsid w:val="00B24C10"/>
    <w:rsid w:val="00B24C5A"/>
    <w:rsid w:val="00B24CE4"/>
    <w:rsid w:val="00B24E20"/>
    <w:rsid w:val="00B24F3B"/>
    <w:rsid w:val="00B250F0"/>
    <w:rsid w:val="00B250F9"/>
    <w:rsid w:val="00B25236"/>
    <w:rsid w:val="00B25255"/>
    <w:rsid w:val="00B25314"/>
    <w:rsid w:val="00B25379"/>
    <w:rsid w:val="00B25407"/>
    <w:rsid w:val="00B2546D"/>
    <w:rsid w:val="00B255AD"/>
    <w:rsid w:val="00B255EA"/>
    <w:rsid w:val="00B25683"/>
    <w:rsid w:val="00B25761"/>
    <w:rsid w:val="00B257CE"/>
    <w:rsid w:val="00B25815"/>
    <w:rsid w:val="00B25946"/>
    <w:rsid w:val="00B25957"/>
    <w:rsid w:val="00B25A07"/>
    <w:rsid w:val="00B25A7D"/>
    <w:rsid w:val="00B25A8A"/>
    <w:rsid w:val="00B25AB6"/>
    <w:rsid w:val="00B25DE6"/>
    <w:rsid w:val="00B25E78"/>
    <w:rsid w:val="00B25E7A"/>
    <w:rsid w:val="00B25EDE"/>
    <w:rsid w:val="00B25F36"/>
    <w:rsid w:val="00B25F4B"/>
    <w:rsid w:val="00B25F6A"/>
    <w:rsid w:val="00B25FCD"/>
    <w:rsid w:val="00B26076"/>
    <w:rsid w:val="00B26111"/>
    <w:rsid w:val="00B2616A"/>
    <w:rsid w:val="00B2619C"/>
    <w:rsid w:val="00B2627B"/>
    <w:rsid w:val="00B26388"/>
    <w:rsid w:val="00B265BC"/>
    <w:rsid w:val="00B26721"/>
    <w:rsid w:val="00B26814"/>
    <w:rsid w:val="00B26817"/>
    <w:rsid w:val="00B268A0"/>
    <w:rsid w:val="00B26900"/>
    <w:rsid w:val="00B26923"/>
    <w:rsid w:val="00B2693D"/>
    <w:rsid w:val="00B26953"/>
    <w:rsid w:val="00B26957"/>
    <w:rsid w:val="00B26ABA"/>
    <w:rsid w:val="00B26AF1"/>
    <w:rsid w:val="00B26B41"/>
    <w:rsid w:val="00B26B69"/>
    <w:rsid w:val="00B26B6A"/>
    <w:rsid w:val="00B26B9E"/>
    <w:rsid w:val="00B26C3A"/>
    <w:rsid w:val="00B26C82"/>
    <w:rsid w:val="00B26D8F"/>
    <w:rsid w:val="00B2700C"/>
    <w:rsid w:val="00B27032"/>
    <w:rsid w:val="00B27065"/>
    <w:rsid w:val="00B270B2"/>
    <w:rsid w:val="00B271AD"/>
    <w:rsid w:val="00B275BE"/>
    <w:rsid w:val="00B276F0"/>
    <w:rsid w:val="00B277B8"/>
    <w:rsid w:val="00B278AC"/>
    <w:rsid w:val="00B2791E"/>
    <w:rsid w:val="00B27A49"/>
    <w:rsid w:val="00B27B7F"/>
    <w:rsid w:val="00B27BA7"/>
    <w:rsid w:val="00B27C15"/>
    <w:rsid w:val="00B27C5E"/>
    <w:rsid w:val="00B27D1A"/>
    <w:rsid w:val="00B27D1C"/>
    <w:rsid w:val="00B27E52"/>
    <w:rsid w:val="00B27F05"/>
    <w:rsid w:val="00B27F74"/>
    <w:rsid w:val="00B27FFC"/>
    <w:rsid w:val="00B300CA"/>
    <w:rsid w:val="00B30275"/>
    <w:rsid w:val="00B3039E"/>
    <w:rsid w:val="00B3049F"/>
    <w:rsid w:val="00B304F5"/>
    <w:rsid w:val="00B30500"/>
    <w:rsid w:val="00B305BF"/>
    <w:rsid w:val="00B305DD"/>
    <w:rsid w:val="00B30711"/>
    <w:rsid w:val="00B3077B"/>
    <w:rsid w:val="00B30890"/>
    <w:rsid w:val="00B3090F"/>
    <w:rsid w:val="00B30A69"/>
    <w:rsid w:val="00B30AC5"/>
    <w:rsid w:val="00B30B59"/>
    <w:rsid w:val="00B30C2C"/>
    <w:rsid w:val="00B30C79"/>
    <w:rsid w:val="00B30CB0"/>
    <w:rsid w:val="00B30CD6"/>
    <w:rsid w:val="00B30DAA"/>
    <w:rsid w:val="00B30E0D"/>
    <w:rsid w:val="00B30EE9"/>
    <w:rsid w:val="00B30FF8"/>
    <w:rsid w:val="00B3103B"/>
    <w:rsid w:val="00B3104A"/>
    <w:rsid w:val="00B310B0"/>
    <w:rsid w:val="00B311DA"/>
    <w:rsid w:val="00B3125F"/>
    <w:rsid w:val="00B313AC"/>
    <w:rsid w:val="00B3144B"/>
    <w:rsid w:val="00B31486"/>
    <w:rsid w:val="00B314BD"/>
    <w:rsid w:val="00B314CD"/>
    <w:rsid w:val="00B314E0"/>
    <w:rsid w:val="00B3151C"/>
    <w:rsid w:val="00B3152E"/>
    <w:rsid w:val="00B31590"/>
    <w:rsid w:val="00B317F7"/>
    <w:rsid w:val="00B319F4"/>
    <w:rsid w:val="00B31A10"/>
    <w:rsid w:val="00B31BCD"/>
    <w:rsid w:val="00B31C3E"/>
    <w:rsid w:val="00B31E2A"/>
    <w:rsid w:val="00B31E39"/>
    <w:rsid w:val="00B31E56"/>
    <w:rsid w:val="00B31EC9"/>
    <w:rsid w:val="00B31EEB"/>
    <w:rsid w:val="00B31F08"/>
    <w:rsid w:val="00B31F11"/>
    <w:rsid w:val="00B31F7A"/>
    <w:rsid w:val="00B31F88"/>
    <w:rsid w:val="00B321D4"/>
    <w:rsid w:val="00B3223D"/>
    <w:rsid w:val="00B323B9"/>
    <w:rsid w:val="00B323C0"/>
    <w:rsid w:val="00B32437"/>
    <w:rsid w:val="00B325A5"/>
    <w:rsid w:val="00B32680"/>
    <w:rsid w:val="00B32752"/>
    <w:rsid w:val="00B3278C"/>
    <w:rsid w:val="00B327B4"/>
    <w:rsid w:val="00B32839"/>
    <w:rsid w:val="00B328E8"/>
    <w:rsid w:val="00B32995"/>
    <w:rsid w:val="00B32A1D"/>
    <w:rsid w:val="00B32A77"/>
    <w:rsid w:val="00B32A95"/>
    <w:rsid w:val="00B32AD9"/>
    <w:rsid w:val="00B32B2F"/>
    <w:rsid w:val="00B32B95"/>
    <w:rsid w:val="00B32D10"/>
    <w:rsid w:val="00B32E07"/>
    <w:rsid w:val="00B330CC"/>
    <w:rsid w:val="00B331CF"/>
    <w:rsid w:val="00B331F1"/>
    <w:rsid w:val="00B3327C"/>
    <w:rsid w:val="00B332C4"/>
    <w:rsid w:val="00B333B4"/>
    <w:rsid w:val="00B33451"/>
    <w:rsid w:val="00B3346C"/>
    <w:rsid w:val="00B3352B"/>
    <w:rsid w:val="00B3356E"/>
    <w:rsid w:val="00B335DA"/>
    <w:rsid w:val="00B33633"/>
    <w:rsid w:val="00B33685"/>
    <w:rsid w:val="00B3373C"/>
    <w:rsid w:val="00B338C1"/>
    <w:rsid w:val="00B3392D"/>
    <w:rsid w:val="00B33984"/>
    <w:rsid w:val="00B339B5"/>
    <w:rsid w:val="00B33A24"/>
    <w:rsid w:val="00B33A6F"/>
    <w:rsid w:val="00B33A81"/>
    <w:rsid w:val="00B33AD6"/>
    <w:rsid w:val="00B33B59"/>
    <w:rsid w:val="00B33B8B"/>
    <w:rsid w:val="00B33D00"/>
    <w:rsid w:val="00B33D7B"/>
    <w:rsid w:val="00B33EF1"/>
    <w:rsid w:val="00B33EFE"/>
    <w:rsid w:val="00B33F94"/>
    <w:rsid w:val="00B34263"/>
    <w:rsid w:val="00B3433F"/>
    <w:rsid w:val="00B3435A"/>
    <w:rsid w:val="00B343F7"/>
    <w:rsid w:val="00B343FF"/>
    <w:rsid w:val="00B34467"/>
    <w:rsid w:val="00B346CB"/>
    <w:rsid w:val="00B346D6"/>
    <w:rsid w:val="00B3473B"/>
    <w:rsid w:val="00B34751"/>
    <w:rsid w:val="00B34876"/>
    <w:rsid w:val="00B3494D"/>
    <w:rsid w:val="00B34985"/>
    <w:rsid w:val="00B34AD2"/>
    <w:rsid w:val="00B34B25"/>
    <w:rsid w:val="00B34C30"/>
    <w:rsid w:val="00B34C3D"/>
    <w:rsid w:val="00B34CD4"/>
    <w:rsid w:val="00B34D30"/>
    <w:rsid w:val="00B34DE9"/>
    <w:rsid w:val="00B34E6A"/>
    <w:rsid w:val="00B34EC0"/>
    <w:rsid w:val="00B34EE1"/>
    <w:rsid w:val="00B34F34"/>
    <w:rsid w:val="00B34F5B"/>
    <w:rsid w:val="00B34F9C"/>
    <w:rsid w:val="00B3500F"/>
    <w:rsid w:val="00B350D7"/>
    <w:rsid w:val="00B3519A"/>
    <w:rsid w:val="00B351EC"/>
    <w:rsid w:val="00B35261"/>
    <w:rsid w:val="00B353CE"/>
    <w:rsid w:val="00B353D9"/>
    <w:rsid w:val="00B35555"/>
    <w:rsid w:val="00B3559E"/>
    <w:rsid w:val="00B35641"/>
    <w:rsid w:val="00B3568E"/>
    <w:rsid w:val="00B356D6"/>
    <w:rsid w:val="00B356E5"/>
    <w:rsid w:val="00B35939"/>
    <w:rsid w:val="00B3598A"/>
    <w:rsid w:val="00B359A5"/>
    <w:rsid w:val="00B35A35"/>
    <w:rsid w:val="00B35A3B"/>
    <w:rsid w:val="00B35A8A"/>
    <w:rsid w:val="00B35BAB"/>
    <w:rsid w:val="00B35CF8"/>
    <w:rsid w:val="00B35D08"/>
    <w:rsid w:val="00B36113"/>
    <w:rsid w:val="00B362A3"/>
    <w:rsid w:val="00B3633A"/>
    <w:rsid w:val="00B363E6"/>
    <w:rsid w:val="00B364C4"/>
    <w:rsid w:val="00B366BF"/>
    <w:rsid w:val="00B36929"/>
    <w:rsid w:val="00B36B9D"/>
    <w:rsid w:val="00B36CFB"/>
    <w:rsid w:val="00B36E98"/>
    <w:rsid w:val="00B36F01"/>
    <w:rsid w:val="00B36F21"/>
    <w:rsid w:val="00B36F5A"/>
    <w:rsid w:val="00B36FD9"/>
    <w:rsid w:val="00B3702F"/>
    <w:rsid w:val="00B37078"/>
    <w:rsid w:val="00B3711C"/>
    <w:rsid w:val="00B371A5"/>
    <w:rsid w:val="00B371E0"/>
    <w:rsid w:val="00B372D6"/>
    <w:rsid w:val="00B3738F"/>
    <w:rsid w:val="00B37486"/>
    <w:rsid w:val="00B374DD"/>
    <w:rsid w:val="00B375E5"/>
    <w:rsid w:val="00B3765D"/>
    <w:rsid w:val="00B3779A"/>
    <w:rsid w:val="00B3781D"/>
    <w:rsid w:val="00B37AD7"/>
    <w:rsid w:val="00B37DF1"/>
    <w:rsid w:val="00B37E02"/>
    <w:rsid w:val="00B37E10"/>
    <w:rsid w:val="00B37E15"/>
    <w:rsid w:val="00B37EE0"/>
    <w:rsid w:val="00B40013"/>
    <w:rsid w:val="00B4004A"/>
    <w:rsid w:val="00B40084"/>
    <w:rsid w:val="00B40150"/>
    <w:rsid w:val="00B401A4"/>
    <w:rsid w:val="00B40241"/>
    <w:rsid w:val="00B40262"/>
    <w:rsid w:val="00B40340"/>
    <w:rsid w:val="00B4034F"/>
    <w:rsid w:val="00B40372"/>
    <w:rsid w:val="00B4037C"/>
    <w:rsid w:val="00B405CC"/>
    <w:rsid w:val="00B4068B"/>
    <w:rsid w:val="00B40692"/>
    <w:rsid w:val="00B407AE"/>
    <w:rsid w:val="00B40808"/>
    <w:rsid w:val="00B4088E"/>
    <w:rsid w:val="00B408B0"/>
    <w:rsid w:val="00B408DE"/>
    <w:rsid w:val="00B40995"/>
    <w:rsid w:val="00B409CB"/>
    <w:rsid w:val="00B40A38"/>
    <w:rsid w:val="00B40A7C"/>
    <w:rsid w:val="00B40B0E"/>
    <w:rsid w:val="00B40BCF"/>
    <w:rsid w:val="00B40C17"/>
    <w:rsid w:val="00B40C60"/>
    <w:rsid w:val="00B40D6C"/>
    <w:rsid w:val="00B40FF0"/>
    <w:rsid w:val="00B40FFD"/>
    <w:rsid w:val="00B4107C"/>
    <w:rsid w:val="00B41127"/>
    <w:rsid w:val="00B411CB"/>
    <w:rsid w:val="00B41393"/>
    <w:rsid w:val="00B41542"/>
    <w:rsid w:val="00B415E1"/>
    <w:rsid w:val="00B415EF"/>
    <w:rsid w:val="00B417A4"/>
    <w:rsid w:val="00B417CC"/>
    <w:rsid w:val="00B419B0"/>
    <w:rsid w:val="00B41B40"/>
    <w:rsid w:val="00B41C4A"/>
    <w:rsid w:val="00B41D00"/>
    <w:rsid w:val="00B41D1E"/>
    <w:rsid w:val="00B41D7A"/>
    <w:rsid w:val="00B41D90"/>
    <w:rsid w:val="00B41FD3"/>
    <w:rsid w:val="00B41FEB"/>
    <w:rsid w:val="00B420D9"/>
    <w:rsid w:val="00B422C5"/>
    <w:rsid w:val="00B424B8"/>
    <w:rsid w:val="00B42506"/>
    <w:rsid w:val="00B42800"/>
    <w:rsid w:val="00B42939"/>
    <w:rsid w:val="00B42999"/>
    <w:rsid w:val="00B429ED"/>
    <w:rsid w:val="00B42A67"/>
    <w:rsid w:val="00B42B31"/>
    <w:rsid w:val="00B42C8C"/>
    <w:rsid w:val="00B42C90"/>
    <w:rsid w:val="00B42C9C"/>
    <w:rsid w:val="00B42D17"/>
    <w:rsid w:val="00B42DC8"/>
    <w:rsid w:val="00B42F91"/>
    <w:rsid w:val="00B43135"/>
    <w:rsid w:val="00B4316C"/>
    <w:rsid w:val="00B43213"/>
    <w:rsid w:val="00B43253"/>
    <w:rsid w:val="00B43325"/>
    <w:rsid w:val="00B4346A"/>
    <w:rsid w:val="00B43586"/>
    <w:rsid w:val="00B43595"/>
    <w:rsid w:val="00B4369A"/>
    <w:rsid w:val="00B43939"/>
    <w:rsid w:val="00B43974"/>
    <w:rsid w:val="00B439D6"/>
    <w:rsid w:val="00B43B4D"/>
    <w:rsid w:val="00B43BB6"/>
    <w:rsid w:val="00B43C1B"/>
    <w:rsid w:val="00B43C54"/>
    <w:rsid w:val="00B43CAC"/>
    <w:rsid w:val="00B43DC9"/>
    <w:rsid w:val="00B43E3B"/>
    <w:rsid w:val="00B44244"/>
    <w:rsid w:val="00B443AA"/>
    <w:rsid w:val="00B443BC"/>
    <w:rsid w:val="00B4447E"/>
    <w:rsid w:val="00B4448A"/>
    <w:rsid w:val="00B444B2"/>
    <w:rsid w:val="00B444C5"/>
    <w:rsid w:val="00B44556"/>
    <w:rsid w:val="00B445F4"/>
    <w:rsid w:val="00B44822"/>
    <w:rsid w:val="00B44918"/>
    <w:rsid w:val="00B449BC"/>
    <w:rsid w:val="00B44B96"/>
    <w:rsid w:val="00B44C9C"/>
    <w:rsid w:val="00B44CA7"/>
    <w:rsid w:val="00B44DA0"/>
    <w:rsid w:val="00B44DBF"/>
    <w:rsid w:val="00B44E4C"/>
    <w:rsid w:val="00B44FA2"/>
    <w:rsid w:val="00B4500A"/>
    <w:rsid w:val="00B450ED"/>
    <w:rsid w:val="00B45111"/>
    <w:rsid w:val="00B45280"/>
    <w:rsid w:val="00B452E6"/>
    <w:rsid w:val="00B454BD"/>
    <w:rsid w:val="00B454DC"/>
    <w:rsid w:val="00B45720"/>
    <w:rsid w:val="00B45823"/>
    <w:rsid w:val="00B458BB"/>
    <w:rsid w:val="00B45902"/>
    <w:rsid w:val="00B45ABC"/>
    <w:rsid w:val="00B45B29"/>
    <w:rsid w:val="00B45BF8"/>
    <w:rsid w:val="00B45C94"/>
    <w:rsid w:val="00B45DAC"/>
    <w:rsid w:val="00B45E6E"/>
    <w:rsid w:val="00B45EE3"/>
    <w:rsid w:val="00B46007"/>
    <w:rsid w:val="00B46088"/>
    <w:rsid w:val="00B46117"/>
    <w:rsid w:val="00B462CE"/>
    <w:rsid w:val="00B462FD"/>
    <w:rsid w:val="00B46389"/>
    <w:rsid w:val="00B4641F"/>
    <w:rsid w:val="00B46463"/>
    <w:rsid w:val="00B464B9"/>
    <w:rsid w:val="00B465EB"/>
    <w:rsid w:val="00B465F0"/>
    <w:rsid w:val="00B4660D"/>
    <w:rsid w:val="00B4668C"/>
    <w:rsid w:val="00B466C4"/>
    <w:rsid w:val="00B4675B"/>
    <w:rsid w:val="00B467C2"/>
    <w:rsid w:val="00B4688C"/>
    <w:rsid w:val="00B468FE"/>
    <w:rsid w:val="00B46901"/>
    <w:rsid w:val="00B469BE"/>
    <w:rsid w:val="00B46A0B"/>
    <w:rsid w:val="00B46A95"/>
    <w:rsid w:val="00B46B00"/>
    <w:rsid w:val="00B46B5E"/>
    <w:rsid w:val="00B46BB9"/>
    <w:rsid w:val="00B46C41"/>
    <w:rsid w:val="00B46CC3"/>
    <w:rsid w:val="00B46D7C"/>
    <w:rsid w:val="00B46EE1"/>
    <w:rsid w:val="00B46EFA"/>
    <w:rsid w:val="00B46F3F"/>
    <w:rsid w:val="00B46FA0"/>
    <w:rsid w:val="00B470F5"/>
    <w:rsid w:val="00B47123"/>
    <w:rsid w:val="00B47154"/>
    <w:rsid w:val="00B47171"/>
    <w:rsid w:val="00B471B0"/>
    <w:rsid w:val="00B47222"/>
    <w:rsid w:val="00B4730E"/>
    <w:rsid w:val="00B47326"/>
    <w:rsid w:val="00B4740B"/>
    <w:rsid w:val="00B47554"/>
    <w:rsid w:val="00B47649"/>
    <w:rsid w:val="00B477E3"/>
    <w:rsid w:val="00B47AC9"/>
    <w:rsid w:val="00B47B3B"/>
    <w:rsid w:val="00B47B5B"/>
    <w:rsid w:val="00B47C4F"/>
    <w:rsid w:val="00B47D5A"/>
    <w:rsid w:val="00B47E8A"/>
    <w:rsid w:val="00B47E9A"/>
    <w:rsid w:val="00B5004A"/>
    <w:rsid w:val="00B5009F"/>
    <w:rsid w:val="00B50111"/>
    <w:rsid w:val="00B50182"/>
    <w:rsid w:val="00B5036C"/>
    <w:rsid w:val="00B504BB"/>
    <w:rsid w:val="00B50517"/>
    <w:rsid w:val="00B50521"/>
    <w:rsid w:val="00B505EC"/>
    <w:rsid w:val="00B50601"/>
    <w:rsid w:val="00B50760"/>
    <w:rsid w:val="00B50909"/>
    <w:rsid w:val="00B509D0"/>
    <w:rsid w:val="00B50A06"/>
    <w:rsid w:val="00B50A9A"/>
    <w:rsid w:val="00B50AD3"/>
    <w:rsid w:val="00B50ADF"/>
    <w:rsid w:val="00B50B7D"/>
    <w:rsid w:val="00B50C80"/>
    <w:rsid w:val="00B50CE6"/>
    <w:rsid w:val="00B50D16"/>
    <w:rsid w:val="00B50DF2"/>
    <w:rsid w:val="00B50E86"/>
    <w:rsid w:val="00B50EE5"/>
    <w:rsid w:val="00B50F31"/>
    <w:rsid w:val="00B51089"/>
    <w:rsid w:val="00B5113C"/>
    <w:rsid w:val="00B5113F"/>
    <w:rsid w:val="00B51169"/>
    <w:rsid w:val="00B511B4"/>
    <w:rsid w:val="00B511BA"/>
    <w:rsid w:val="00B5122B"/>
    <w:rsid w:val="00B513CD"/>
    <w:rsid w:val="00B515FE"/>
    <w:rsid w:val="00B51709"/>
    <w:rsid w:val="00B51789"/>
    <w:rsid w:val="00B518A8"/>
    <w:rsid w:val="00B51937"/>
    <w:rsid w:val="00B51982"/>
    <w:rsid w:val="00B519A1"/>
    <w:rsid w:val="00B51CD2"/>
    <w:rsid w:val="00B51CED"/>
    <w:rsid w:val="00B51CF9"/>
    <w:rsid w:val="00B51D94"/>
    <w:rsid w:val="00B51E84"/>
    <w:rsid w:val="00B51E9D"/>
    <w:rsid w:val="00B51EC0"/>
    <w:rsid w:val="00B51F8B"/>
    <w:rsid w:val="00B51FFD"/>
    <w:rsid w:val="00B52034"/>
    <w:rsid w:val="00B52120"/>
    <w:rsid w:val="00B52274"/>
    <w:rsid w:val="00B52397"/>
    <w:rsid w:val="00B523C2"/>
    <w:rsid w:val="00B52436"/>
    <w:rsid w:val="00B5244A"/>
    <w:rsid w:val="00B5246C"/>
    <w:rsid w:val="00B524F3"/>
    <w:rsid w:val="00B52598"/>
    <w:rsid w:val="00B525D4"/>
    <w:rsid w:val="00B5260D"/>
    <w:rsid w:val="00B52613"/>
    <w:rsid w:val="00B526B3"/>
    <w:rsid w:val="00B52748"/>
    <w:rsid w:val="00B52800"/>
    <w:rsid w:val="00B52888"/>
    <w:rsid w:val="00B52B3C"/>
    <w:rsid w:val="00B52C9E"/>
    <w:rsid w:val="00B52CE1"/>
    <w:rsid w:val="00B52D16"/>
    <w:rsid w:val="00B52DC8"/>
    <w:rsid w:val="00B52E64"/>
    <w:rsid w:val="00B52F43"/>
    <w:rsid w:val="00B52FB0"/>
    <w:rsid w:val="00B53023"/>
    <w:rsid w:val="00B532DB"/>
    <w:rsid w:val="00B53307"/>
    <w:rsid w:val="00B5330A"/>
    <w:rsid w:val="00B533A7"/>
    <w:rsid w:val="00B53604"/>
    <w:rsid w:val="00B536F5"/>
    <w:rsid w:val="00B537A2"/>
    <w:rsid w:val="00B5384A"/>
    <w:rsid w:val="00B53883"/>
    <w:rsid w:val="00B5392F"/>
    <w:rsid w:val="00B53940"/>
    <w:rsid w:val="00B53A41"/>
    <w:rsid w:val="00B53B64"/>
    <w:rsid w:val="00B53B6B"/>
    <w:rsid w:val="00B53C4D"/>
    <w:rsid w:val="00B53C50"/>
    <w:rsid w:val="00B53C5A"/>
    <w:rsid w:val="00B53DF9"/>
    <w:rsid w:val="00B53E53"/>
    <w:rsid w:val="00B54025"/>
    <w:rsid w:val="00B54126"/>
    <w:rsid w:val="00B54299"/>
    <w:rsid w:val="00B54425"/>
    <w:rsid w:val="00B54429"/>
    <w:rsid w:val="00B5447E"/>
    <w:rsid w:val="00B544FB"/>
    <w:rsid w:val="00B5457A"/>
    <w:rsid w:val="00B54674"/>
    <w:rsid w:val="00B54677"/>
    <w:rsid w:val="00B547AC"/>
    <w:rsid w:val="00B547FA"/>
    <w:rsid w:val="00B548A9"/>
    <w:rsid w:val="00B548D6"/>
    <w:rsid w:val="00B54979"/>
    <w:rsid w:val="00B54987"/>
    <w:rsid w:val="00B54AD2"/>
    <w:rsid w:val="00B54B55"/>
    <w:rsid w:val="00B54C1D"/>
    <w:rsid w:val="00B54C60"/>
    <w:rsid w:val="00B54C79"/>
    <w:rsid w:val="00B54C7E"/>
    <w:rsid w:val="00B54CCB"/>
    <w:rsid w:val="00B54D1C"/>
    <w:rsid w:val="00B54D3B"/>
    <w:rsid w:val="00B54E01"/>
    <w:rsid w:val="00B54E93"/>
    <w:rsid w:val="00B54F9F"/>
    <w:rsid w:val="00B5510E"/>
    <w:rsid w:val="00B5511F"/>
    <w:rsid w:val="00B55187"/>
    <w:rsid w:val="00B5524D"/>
    <w:rsid w:val="00B55255"/>
    <w:rsid w:val="00B552D3"/>
    <w:rsid w:val="00B553AF"/>
    <w:rsid w:val="00B55411"/>
    <w:rsid w:val="00B55445"/>
    <w:rsid w:val="00B555B2"/>
    <w:rsid w:val="00B557CA"/>
    <w:rsid w:val="00B55815"/>
    <w:rsid w:val="00B55888"/>
    <w:rsid w:val="00B558D0"/>
    <w:rsid w:val="00B5590C"/>
    <w:rsid w:val="00B5597B"/>
    <w:rsid w:val="00B559CD"/>
    <w:rsid w:val="00B55BEF"/>
    <w:rsid w:val="00B55CB6"/>
    <w:rsid w:val="00B55CC3"/>
    <w:rsid w:val="00B55E20"/>
    <w:rsid w:val="00B55E35"/>
    <w:rsid w:val="00B55EA8"/>
    <w:rsid w:val="00B5603F"/>
    <w:rsid w:val="00B5619E"/>
    <w:rsid w:val="00B56251"/>
    <w:rsid w:val="00B56383"/>
    <w:rsid w:val="00B564D5"/>
    <w:rsid w:val="00B56583"/>
    <w:rsid w:val="00B56662"/>
    <w:rsid w:val="00B56691"/>
    <w:rsid w:val="00B5681D"/>
    <w:rsid w:val="00B5685B"/>
    <w:rsid w:val="00B56A53"/>
    <w:rsid w:val="00B56A72"/>
    <w:rsid w:val="00B56AAB"/>
    <w:rsid w:val="00B56B48"/>
    <w:rsid w:val="00B56B49"/>
    <w:rsid w:val="00B56BA1"/>
    <w:rsid w:val="00B56E9D"/>
    <w:rsid w:val="00B56EC7"/>
    <w:rsid w:val="00B571B2"/>
    <w:rsid w:val="00B5739D"/>
    <w:rsid w:val="00B5745A"/>
    <w:rsid w:val="00B575D9"/>
    <w:rsid w:val="00B578AB"/>
    <w:rsid w:val="00B578D7"/>
    <w:rsid w:val="00B5794A"/>
    <w:rsid w:val="00B57CA8"/>
    <w:rsid w:val="00B57CBE"/>
    <w:rsid w:val="00B57D1C"/>
    <w:rsid w:val="00B57D3A"/>
    <w:rsid w:val="00B57DB5"/>
    <w:rsid w:val="00B57DEA"/>
    <w:rsid w:val="00B57E3C"/>
    <w:rsid w:val="00B57EBF"/>
    <w:rsid w:val="00B57F15"/>
    <w:rsid w:val="00B601B8"/>
    <w:rsid w:val="00B6022E"/>
    <w:rsid w:val="00B6025D"/>
    <w:rsid w:val="00B602BB"/>
    <w:rsid w:val="00B603AC"/>
    <w:rsid w:val="00B603D4"/>
    <w:rsid w:val="00B603E1"/>
    <w:rsid w:val="00B6053A"/>
    <w:rsid w:val="00B60563"/>
    <w:rsid w:val="00B60793"/>
    <w:rsid w:val="00B607C9"/>
    <w:rsid w:val="00B6090C"/>
    <w:rsid w:val="00B6095F"/>
    <w:rsid w:val="00B60A67"/>
    <w:rsid w:val="00B60C8D"/>
    <w:rsid w:val="00B60CFF"/>
    <w:rsid w:val="00B60D2C"/>
    <w:rsid w:val="00B60DDE"/>
    <w:rsid w:val="00B60E13"/>
    <w:rsid w:val="00B60E2A"/>
    <w:rsid w:val="00B60EDE"/>
    <w:rsid w:val="00B60FA4"/>
    <w:rsid w:val="00B61181"/>
    <w:rsid w:val="00B61187"/>
    <w:rsid w:val="00B61326"/>
    <w:rsid w:val="00B613D7"/>
    <w:rsid w:val="00B61444"/>
    <w:rsid w:val="00B61703"/>
    <w:rsid w:val="00B6175C"/>
    <w:rsid w:val="00B6178F"/>
    <w:rsid w:val="00B618DE"/>
    <w:rsid w:val="00B61910"/>
    <w:rsid w:val="00B61AA8"/>
    <w:rsid w:val="00B61C86"/>
    <w:rsid w:val="00B61CA3"/>
    <w:rsid w:val="00B61D3D"/>
    <w:rsid w:val="00B61EA0"/>
    <w:rsid w:val="00B61F2B"/>
    <w:rsid w:val="00B61F9E"/>
    <w:rsid w:val="00B6211F"/>
    <w:rsid w:val="00B62161"/>
    <w:rsid w:val="00B6218D"/>
    <w:rsid w:val="00B621E0"/>
    <w:rsid w:val="00B62251"/>
    <w:rsid w:val="00B62279"/>
    <w:rsid w:val="00B6236A"/>
    <w:rsid w:val="00B62396"/>
    <w:rsid w:val="00B623A8"/>
    <w:rsid w:val="00B62401"/>
    <w:rsid w:val="00B624A8"/>
    <w:rsid w:val="00B626F9"/>
    <w:rsid w:val="00B6281C"/>
    <w:rsid w:val="00B6290E"/>
    <w:rsid w:val="00B6294F"/>
    <w:rsid w:val="00B629D6"/>
    <w:rsid w:val="00B62A20"/>
    <w:rsid w:val="00B62A63"/>
    <w:rsid w:val="00B62AC1"/>
    <w:rsid w:val="00B62C29"/>
    <w:rsid w:val="00B62D35"/>
    <w:rsid w:val="00B62E0B"/>
    <w:rsid w:val="00B62FCB"/>
    <w:rsid w:val="00B6301D"/>
    <w:rsid w:val="00B6317A"/>
    <w:rsid w:val="00B631D0"/>
    <w:rsid w:val="00B631FC"/>
    <w:rsid w:val="00B63211"/>
    <w:rsid w:val="00B633CE"/>
    <w:rsid w:val="00B63461"/>
    <w:rsid w:val="00B634C7"/>
    <w:rsid w:val="00B6355E"/>
    <w:rsid w:val="00B637D3"/>
    <w:rsid w:val="00B63930"/>
    <w:rsid w:val="00B639A0"/>
    <w:rsid w:val="00B639E4"/>
    <w:rsid w:val="00B63A67"/>
    <w:rsid w:val="00B63A6E"/>
    <w:rsid w:val="00B63A99"/>
    <w:rsid w:val="00B63AF8"/>
    <w:rsid w:val="00B63B48"/>
    <w:rsid w:val="00B63B51"/>
    <w:rsid w:val="00B63BA5"/>
    <w:rsid w:val="00B63C13"/>
    <w:rsid w:val="00B63C17"/>
    <w:rsid w:val="00B63D56"/>
    <w:rsid w:val="00B63D67"/>
    <w:rsid w:val="00B63D85"/>
    <w:rsid w:val="00B63E88"/>
    <w:rsid w:val="00B63EE0"/>
    <w:rsid w:val="00B63F01"/>
    <w:rsid w:val="00B63F1A"/>
    <w:rsid w:val="00B63F1D"/>
    <w:rsid w:val="00B63F2D"/>
    <w:rsid w:val="00B64029"/>
    <w:rsid w:val="00B6413D"/>
    <w:rsid w:val="00B6414B"/>
    <w:rsid w:val="00B6426A"/>
    <w:rsid w:val="00B64406"/>
    <w:rsid w:val="00B64470"/>
    <w:rsid w:val="00B644BC"/>
    <w:rsid w:val="00B6459B"/>
    <w:rsid w:val="00B64732"/>
    <w:rsid w:val="00B647A3"/>
    <w:rsid w:val="00B64834"/>
    <w:rsid w:val="00B64924"/>
    <w:rsid w:val="00B64A6E"/>
    <w:rsid w:val="00B64A78"/>
    <w:rsid w:val="00B64B04"/>
    <w:rsid w:val="00B64C3A"/>
    <w:rsid w:val="00B64C63"/>
    <w:rsid w:val="00B64C95"/>
    <w:rsid w:val="00B64D4E"/>
    <w:rsid w:val="00B64D5E"/>
    <w:rsid w:val="00B64E0C"/>
    <w:rsid w:val="00B64EBE"/>
    <w:rsid w:val="00B64EE5"/>
    <w:rsid w:val="00B651A2"/>
    <w:rsid w:val="00B651AC"/>
    <w:rsid w:val="00B651FD"/>
    <w:rsid w:val="00B654ED"/>
    <w:rsid w:val="00B6574A"/>
    <w:rsid w:val="00B65847"/>
    <w:rsid w:val="00B658C0"/>
    <w:rsid w:val="00B659E3"/>
    <w:rsid w:val="00B65A5C"/>
    <w:rsid w:val="00B65B6F"/>
    <w:rsid w:val="00B65C74"/>
    <w:rsid w:val="00B65D5F"/>
    <w:rsid w:val="00B65DDA"/>
    <w:rsid w:val="00B65E11"/>
    <w:rsid w:val="00B65ED7"/>
    <w:rsid w:val="00B65F7B"/>
    <w:rsid w:val="00B65F99"/>
    <w:rsid w:val="00B66004"/>
    <w:rsid w:val="00B6607E"/>
    <w:rsid w:val="00B66264"/>
    <w:rsid w:val="00B6628F"/>
    <w:rsid w:val="00B664C6"/>
    <w:rsid w:val="00B66516"/>
    <w:rsid w:val="00B6654A"/>
    <w:rsid w:val="00B66580"/>
    <w:rsid w:val="00B665FC"/>
    <w:rsid w:val="00B66671"/>
    <w:rsid w:val="00B66695"/>
    <w:rsid w:val="00B6675F"/>
    <w:rsid w:val="00B66780"/>
    <w:rsid w:val="00B669CE"/>
    <w:rsid w:val="00B669E3"/>
    <w:rsid w:val="00B66A31"/>
    <w:rsid w:val="00B66BD5"/>
    <w:rsid w:val="00B66CCA"/>
    <w:rsid w:val="00B66D2E"/>
    <w:rsid w:val="00B66D71"/>
    <w:rsid w:val="00B66DF1"/>
    <w:rsid w:val="00B66F3C"/>
    <w:rsid w:val="00B67119"/>
    <w:rsid w:val="00B6718F"/>
    <w:rsid w:val="00B6738C"/>
    <w:rsid w:val="00B67446"/>
    <w:rsid w:val="00B67502"/>
    <w:rsid w:val="00B675F1"/>
    <w:rsid w:val="00B67648"/>
    <w:rsid w:val="00B676D4"/>
    <w:rsid w:val="00B67818"/>
    <w:rsid w:val="00B67833"/>
    <w:rsid w:val="00B6795B"/>
    <w:rsid w:val="00B6795C"/>
    <w:rsid w:val="00B67997"/>
    <w:rsid w:val="00B67B65"/>
    <w:rsid w:val="00B67B74"/>
    <w:rsid w:val="00B67B76"/>
    <w:rsid w:val="00B67B78"/>
    <w:rsid w:val="00B67BD6"/>
    <w:rsid w:val="00B67CFC"/>
    <w:rsid w:val="00B67FD1"/>
    <w:rsid w:val="00B70083"/>
    <w:rsid w:val="00B7008B"/>
    <w:rsid w:val="00B70098"/>
    <w:rsid w:val="00B7014F"/>
    <w:rsid w:val="00B70366"/>
    <w:rsid w:val="00B70388"/>
    <w:rsid w:val="00B70560"/>
    <w:rsid w:val="00B7057A"/>
    <w:rsid w:val="00B705F3"/>
    <w:rsid w:val="00B706D0"/>
    <w:rsid w:val="00B706DA"/>
    <w:rsid w:val="00B70798"/>
    <w:rsid w:val="00B707DE"/>
    <w:rsid w:val="00B70854"/>
    <w:rsid w:val="00B708AF"/>
    <w:rsid w:val="00B70928"/>
    <w:rsid w:val="00B70AE9"/>
    <w:rsid w:val="00B70B45"/>
    <w:rsid w:val="00B70BB0"/>
    <w:rsid w:val="00B70BEB"/>
    <w:rsid w:val="00B70BFF"/>
    <w:rsid w:val="00B70C5A"/>
    <w:rsid w:val="00B70C9F"/>
    <w:rsid w:val="00B70D58"/>
    <w:rsid w:val="00B71092"/>
    <w:rsid w:val="00B7109A"/>
    <w:rsid w:val="00B710BE"/>
    <w:rsid w:val="00B71272"/>
    <w:rsid w:val="00B712B1"/>
    <w:rsid w:val="00B7143B"/>
    <w:rsid w:val="00B714B0"/>
    <w:rsid w:val="00B7153B"/>
    <w:rsid w:val="00B71589"/>
    <w:rsid w:val="00B7161F"/>
    <w:rsid w:val="00B71763"/>
    <w:rsid w:val="00B7177C"/>
    <w:rsid w:val="00B71AA1"/>
    <w:rsid w:val="00B71BB4"/>
    <w:rsid w:val="00B71C85"/>
    <w:rsid w:val="00B71CE8"/>
    <w:rsid w:val="00B71DDA"/>
    <w:rsid w:val="00B71E45"/>
    <w:rsid w:val="00B71E6A"/>
    <w:rsid w:val="00B71F1D"/>
    <w:rsid w:val="00B72094"/>
    <w:rsid w:val="00B72137"/>
    <w:rsid w:val="00B721A3"/>
    <w:rsid w:val="00B721AD"/>
    <w:rsid w:val="00B721FE"/>
    <w:rsid w:val="00B722E5"/>
    <w:rsid w:val="00B724F3"/>
    <w:rsid w:val="00B725E0"/>
    <w:rsid w:val="00B72930"/>
    <w:rsid w:val="00B729AE"/>
    <w:rsid w:val="00B72A0A"/>
    <w:rsid w:val="00B72A77"/>
    <w:rsid w:val="00B72B2C"/>
    <w:rsid w:val="00B72BE8"/>
    <w:rsid w:val="00B72DA5"/>
    <w:rsid w:val="00B72ED7"/>
    <w:rsid w:val="00B72F25"/>
    <w:rsid w:val="00B72F4E"/>
    <w:rsid w:val="00B73004"/>
    <w:rsid w:val="00B73163"/>
    <w:rsid w:val="00B731DC"/>
    <w:rsid w:val="00B73223"/>
    <w:rsid w:val="00B732D2"/>
    <w:rsid w:val="00B733A3"/>
    <w:rsid w:val="00B733FE"/>
    <w:rsid w:val="00B737EF"/>
    <w:rsid w:val="00B738C0"/>
    <w:rsid w:val="00B738EE"/>
    <w:rsid w:val="00B73908"/>
    <w:rsid w:val="00B73964"/>
    <w:rsid w:val="00B739FA"/>
    <w:rsid w:val="00B73AE6"/>
    <w:rsid w:val="00B73C1A"/>
    <w:rsid w:val="00B73CE9"/>
    <w:rsid w:val="00B73EA9"/>
    <w:rsid w:val="00B73FFD"/>
    <w:rsid w:val="00B74289"/>
    <w:rsid w:val="00B742AA"/>
    <w:rsid w:val="00B742EA"/>
    <w:rsid w:val="00B74398"/>
    <w:rsid w:val="00B745F7"/>
    <w:rsid w:val="00B74774"/>
    <w:rsid w:val="00B74807"/>
    <w:rsid w:val="00B74939"/>
    <w:rsid w:val="00B74A50"/>
    <w:rsid w:val="00B74ACA"/>
    <w:rsid w:val="00B74AE2"/>
    <w:rsid w:val="00B74B48"/>
    <w:rsid w:val="00B74B5C"/>
    <w:rsid w:val="00B74B9C"/>
    <w:rsid w:val="00B74D2A"/>
    <w:rsid w:val="00B74D82"/>
    <w:rsid w:val="00B74EA6"/>
    <w:rsid w:val="00B74F4C"/>
    <w:rsid w:val="00B74FF1"/>
    <w:rsid w:val="00B750A3"/>
    <w:rsid w:val="00B75317"/>
    <w:rsid w:val="00B7536C"/>
    <w:rsid w:val="00B75516"/>
    <w:rsid w:val="00B75638"/>
    <w:rsid w:val="00B75661"/>
    <w:rsid w:val="00B75669"/>
    <w:rsid w:val="00B75739"/>
    <w:rsid w:val="00B75776"/>
    <w:rsid w:val="00B75897"/>
    <w:rsid w:val="00B75A4E"/>
    <w:rsid w:val="00B75A9B"/>
    <w:rsid w:val="00B75ACB"/>
    <w:rsid w:val="00B75B2B"/>
    <w:rsid w:val="00B75B2E"/>
    <w:rsid w:val="00B75C0C"/>
    <w:rsid w:val="00B75C57"/>
    <w:rsid w:val="00B75C81"/>
    <w:rsid w:val="00B75D30"/>
    <w:rsid w:val="00B75D50"/>
    <w:rsid w:val="00B75DBB"/>
    <w:rsid w:val="00B75DF1"/>
    <w:rsid w:val="00B75E26"/>
    <w:rsid w:val="00B75EEF"/>
    <w:rsid w:val="00B75FDF"/>
    <w:rsid w:val="00B7601F"/>
    <w:rsid w:val="00B760E9"/>
    <w:rsid w:val="00B761AD"/>
    <w:rsid w:val="00B7621B"/>
    <w:rsid w:val="00B76222"/>
    <w:rsid w:val="00B76229"/>
    <w:rsid w:val="00B76282"/>
    <w:rsid w:val="00B76361"/>
    <w:rsid w:val="00B763D0"/>
    <w:rsid w:val="00B763DD"/>
    <w:rsid w:val="00B76408"/>
    <w:rsid w:val="00B7645F"/>
    <w:rsid w:val="00B764B3"/>
    <w:rsid w:val="00B764E1"/>
    <w:rsid w:val="00B7694E"/>
    <w:rsid w:val="00B76951"/>
    <w:rsid w:val="00B76AAD"/>
    <w:rsid w:val="00B76AFB"/>
    <w:rsid w:val="00B76B1B"/>
    <w:rsid w:val="00B76C57"/>
    <w:rsid w:val="00B76CA3"/>
    <w:rsid w:val="00B76CC3"/>
    <w:rsid w:val="00B76E1A"/>
    <w:rsid w:val="00B76F98"/>
    <w:rsid w:val="00B7702C"/>
    <w:rsid w:val="00B772CD"/>
    <w:rsid w:val="00B77314"/>
    <w:rsid w:val="00B77386"/>
    <w:rsid w:val="00B774A4"/>
    <w:rsid w:val="00B7780F"/>
    <w:rsid w:val="00B779BE"/>
    <w:rsid w:val="00B77A84"/>
    <w:rsid w:val="00B77B05"/>
    <w:rsid w:val="00B77BB3"/>
    <w:rsid w:val="00B77C2C"/>
    <w:rsid w:val="00B77D1F"/>
    <w:rsid w:val="00B77F95"/>
    <w:rsid w:val="00B77FB2"/>
    <w:rsid w:val="00B80039"/>
    <w:rsid w:val="00B80043"/>
    <w:rsid w:val="00B800CE"/>
    <w:rsid w:val="00B80191"/>
    <w:rsid w:val="00B801BD"/>
    <w:rsid w:val="00B802FD"/>
    <w:rsid w:val="00B80350"/>
    <w:rsid w:val="00B804F6"/>
    <w:rsid w:val="00B8064C"/>
    <w:rsid w:val="00B8085A"/>
    <w:rsid w:val="00B80860"/>
    <w:rsid w:val="00B80865"/>
    <w:rsid w:val="00B80924"/>
    <w:rsid w:val="00B80940"/>
    <w:rsid w:val="00B80950"/>
    <w:rsid w:val="00B809A8"/>
    <w:rsid w:val="00B809B6"/>
    <w:rsid w:val="00B80A33"/>
    <w:rsid w:val="00B80CE8"/>
    <w:rsid w:val="00B80DB0"/>
    <w:rsid w:val="00B80FF8"/>
    <w:rsid w:val="00B8117F"/>
    <w:rsid w:val="00B811FB"/>
    <w:rsid w:val="00B812D1"/>
    <w:rsid w:val="00B812E4"/>
    <w:rsid w:val="00B81784"/>
    <w:rsid w:val="00B817C4"/>
    <w:rsid w:val="00B8181F"/>
    <w:rsid w:val="00B81837"/>
    <w:rsid w:val="00B818A4"/>
    <w:rsid w:val="00B81919"/>
    <w:rsid w:val="00B81AD8"/>
    <w:rsid w:val="00B81AEC"/>
    <w:rsid w:val="00B81BFA"/>
    <w:rsid w:val="00B81E57"/>
    <w:rsid w:val="00B82089"/>
    <w:rsid w:val="00B821AC"/>
    <w:rsid w:val="00B821D9"/>
    <w:rsid w:val="00B8248D"/>
    <w:rsid w:val="00B824F3"/>
    <w:rsid w:val="00B82645"/>
    <w:rsid w:val="00B826FA"/>
    <w:rsid w:val="00B82809"/>
    <w:rsid w:val="00B82810"/>
    <w:rsid w:val="00B82893"/>
    <w:rsid w:val="00B828CA"/>
    <w:rsid w:val="00B82A63"/>
    <w:rsid w:val="00B82BAF"/>
    <w:rsid w:val="00B82BE2"/>
    <w:rsid w:val="00B82D45"/>
    <w:rsid w:val="00B82D4D"/>
    <w:rsid w:val="00B82E02"/>
    <w:rsid w:val="00B82E0A"/>
    <w:rsid w:val="00B82E4B"/>
    <w:rsid w:val="00B82E60"/>
    <w:rsid w:val="00B82EBF"/>
    <w:rsid w:val="00B830D6"/>
    <w:rsid w:val="00B83145"/>
    <w:rsid w:val="00B8315B"/>
    <w:rsid w:val="00B83171"/>
    <w:rsid w:val="00B83268"/>
    <w:rsid w:val="00B83374"/>
    <w:rsid w:val="00B834BB"/>
    <w:rsid w:val="00B83762"/>
    <w:rsid w:val="00B83816"/>
    <w:rsid w:val="00B83826"/>
    <w:rsid w:val="00B838FC"/>
    <w:rsid w:val="00B83900"/>
    <w:rsid w:val="00B839DA"/>
    <w:rsid w:val="00B839DC"/>
    <w:rsid w:val="00B839E0"/>
    <w:rsid w:val="00B83A74"/>
    <w:rsid w:val="00B83BB5"/>
    <w:rsid w:val="00B83C00"/>
    <w:rsid w:val="00B83D0F"/>
    <w:rsid w:val="00B83E2D"/>
    <w:rsid w:val="00B83EA8"/>
    <w:rsid w:val="00B83F37"/>
    <w:rsid w:val="00B83FCA"/>
    <w:rsid w:val="00B84081"/>
    <w:rsid w:val="00B843D4"/>
    <w:rsid w:val="00B843D8"/>
    <w:rsid w:val="00B8451B"/>
    <w:rsid w:val="00B84547"/>
    <w:rsid w:val="00B84644"/>
    <w:rsid w:val="00B846B9"/>
    <w:rsid w:val="00B8475F"/>
    <w:rsid w:val="00B84778"/>
    <w:rsid w:val="00B84784"/>
    <w:rsid w:val="00B847A2"/>
    <w:rsid w:val="00B84A2F"/>
    <w:rsid w:val="00B84A81"/>
    <w:rsid w:val="00B84ADE"/>
    <w:rsid w:val="00B84C09"/>
    <w:rsid w:val="00B84C0A"/>
    <w:rsid w:val="00B84C1E"/>
    <w:rsid w:val="00B84C39"/>
    <w:rsid w:val="00B84C49"/>
    <w:rsid w:val="00B84CCB"/>
    <w:rsid w:val="00B84D11"/>
    <w:rsid w:val="00B84D25"/>
    <w:rsid w:val="00B84E1B"/>
    <w:rsid w:val="00B84E80"/>
    <w:rsid w:val="00B84EA3"/>
    <w:rsid w:val="00B84EDB"/>
    <w:rsid w:val="00B84EE0"/>
    <w:rsid w:val="00B84F2A"/>
    <w:rsid w:val="00B84F70"/>
    <w:rsid w:val="00B8504D"/>
    <w:rsid w:val="00B8514E"/>
    <w:rsid w:val="00B852F0"/>
    <w:rsid w:val="00B853EE"/>
    <w:rsid w:val="00B854F9"/>
    <w:rsid w:val="00B85567"/>
    <w:rsid w:val="00B85646"/>
    <w:rsid w:val="00B85695"/>
    <w:rsid w:val="00B856A9"/>
    <w:rsid w:val="00B857A0"/>
    <w:rsid w:val="00B85835"/>
    <w:rsid w:val="00B858B5"/>
    <w:rsid w:val="00B858CA"/>
    <w:rsid w:val="00B8592A"/>
    <w:rsid w:val="00B85AB0"/>
    <w:rsid w:val="00B85AB8"/>
    <w:rsid w:val="00B85B26"/>
    <w:rsid w:val="00B85B8D"/>
    <w:rsid w:val="00B85BC8"/>
    <w:rsid w:val="00B85C13"/>
    <w:rsid w:val="00B85D13"/>
    <w:rsid w:val="00B85EA2"/>
    <w:rsid w:val="00B86142"/>
    <w:rsid w:val="00B861BC"/>
    <w:rsid w:val="00B8626C"/>
    <w:rsid w:val="00B8643F"/>
    <w:rsid w:val="00B8646C"/>
    <w:rsid w:val="00B86540"/>
    <w:rsid w:val="00B8654B"/>
    <w:rsid w:val="00B866A3"/>
    <w:rsid w:val="00B86776"/>
    <w:rsid w:val="00B867CC"/>
    <w:rsid w:val="00B8694A"/>
    <w:rsid w:val="00B86A29"/>
    <w:rsid w:val="00B86AAA"/>
    <w:rsid w:val="00B86BEA"/>
    <w:rsid w:val="00B86C6A"/>
    <w:rsid w:val="00B86E10"/>
    <w:rsid w:val="00B86F5F"/>
    <w:rsid w:val="00B8718E"/>
    <w:rsid w:val="00B872AF"/>
    <w:rsid w:val="00B8737F"/>
    <w:rsid w:val="00B874D6"/>
    <w:rsid w:val="00B874D7"/>
    <w:rsid w:val="00B8758A"/>
    <w:rsid w:val="00B8758D"/>
    <w:rsid w:val="00B875AE"/>
    <w:rsid w:val="00B87708"/>
    <w:rsid w:val="00B87771"/>
    <w:rsid w:val="00B8778B"/>
    <w:rsid w:val="00B87912"/>
    <w:rsid w:val="00B87919"/>
    <w:rsid w:val="00B879B2"/>
    <w:rsid w:val="00B879F8"/>
    <w:rsid w:val="00B87A3A"/>
    <w:rsid w:val="00B87AB0"/>
    <w:rsid w:val="00B87B8A"/>
    <w:rsid w:val="00B87C90"/>
    <w:rsid w:val="00B87F31"/>
    <w:rsid w:val="00B87F8A"/>
    <w:rsid w:val="00B90027"/>
    <w:rsid w:val="00B90196"/>
    <w:rsid w:val="00B90305"/>
    <w:rsid w:val="00B90373"/>
    <w:rsid w:val="00B903C5"/>
    <w:rsid w:val="00B903F3"/>
    <w:rsid w:val="00B90548"/>
    <w:rsid w:val="00B905AF"/>
    <w:rsid w:val="00B9067F"/>
    <w:rsid w:val="00B9068E"/>
    <w:rsid w:val="00B906F4"/>
    <w:rsid w:val="00B90753"/>
    <w:rsid w:val="00B90810"/>
    <w:rsid w:val="00B909BE"/>
    <w:rsid w:val="00B909D6"/>
    <w:rsid w:val="00B90A16"/>
    <w:rsid w:val="00B90B63"/>
    <w:rsid w:val="00B90B99"/>
    <w:rsid w:val="00B90CD2"/>
    <w:rsid w:val="00B90DD8"/>
    <w:rsid w:val="00B90DF1"/>
    <w:rsid w:val="00B90E69"/>
    <w:rsid w:val="00B90F6A"/>
    <w:rsid w:val="00B90FC0"/>
    <w:rsid w:val="00B91093"/>
    <w:rsid w:val="00B91164"/>
    <w:rsid w:val="00B911FC"/>
    <w:rsid w:val="00B912B4"/>
    <w:rsid w:val="00B913DA"/>
    <w:rsid w:val="00B9140F"/>
    <w:rsid w:val="00B91622"/>
    <w:rsid w:val="00B91641"/>
    <w:rsid w:val="00B916B7"/>
    <w:rsid w:val="00B917BA"/>
    <w:rsid w:val="00B917E4"/>
    <w:rsid w:val="00B9186F"/>
    <w:rsid w:val="00B91934"/>
    <w:rsid w:val="00B91A1E"/>
    <w:rsid w:val="00B91A7B"/>
    <w:rsid w:val="00B91AA4"/>
    <w:rsid w:val="00B91EE3"/>
    <w:rsid w:val="00B92062"/>
    <w:rsid w:val="00B920D4"/>
    <w:rsid w:val="00B92102"/>
    <w:rsid w:val="00B9226A"/>
    <w:rsid w:val="00B92300"/>
    <w:rsid w:val="00B92351"/>
    <w:rsid w:val="00B92374"/>
    <w:rsid w:val="00B923FB"/>
    <w:rsid w:val="00B923FD"/>
    <w:rsid w:val="00B9242F"/>
    <w:rsid w:val="00B9243B"/>
    <w:rsid w:val="00B9245B"/>
    <w:rsid w:val="00B924E9"/>
    <w:rsid w:val="00B9251F"/>
    <w:rsid w:val="00B9268F"/>
    <w:rsid w:val="00B926D9"/>
    <w:rsid w:val="00B926F5"/>
    <w:rsid w:val="00B9278E"/>
    <w:rsid w:val="00B927D2"/>
    <w:rsid w:val="00B92820"/>
    <w:rsid w:val="00B9284D"/>
    <w:rsid w:val="00B92949"/>
    <w:rsid w:val="00B92B5A"/>
    <w:rsid w:val="00B92CF7"/>
    <w:rsid w:val="00B92D2B"/>
    <w:rsid w:val="00B92EAF"/>
    <w:rsid w:val="00B92EBB"/>
    <w:rsid w:val="00B92F65"/>
    <w:rsid w:val="00B92FF2"/>
    <w:rsid w:val="00B93195"/>
    <w:rsid w:val="00B9343F"/>
    <w:rsid w:val="00B9347D"/>
    <w:rsid w:val="00B935E9"/>
    <w:rsid w:val="00B93910"/>
    <w:rsid w:val="00B93A29"/>
    <w:rsid w:val="00B93C3B"/>
    <w:rsid w:val="00B93D5F"/>
    <w:rsid w:val="00B93E31"/>
    <w:rsid w:val="00B93E49"/>
    <w:rsid w:val="00B93F56"/>
    <w:rsid w:val="00B94088"/>
    <w:rsid w:val="00B940D0"/>
    <w:rsid w:val="00B94201"/>
    <w:rsid w:val="00B94294"/>
    <w:rsid w:val="00B943ED"/>
    <w:rsid w:val="00B945CF"/>
    <w:rsid w:val="00B94632"/>
    <w:rsid w:val="00B9472A"/>
    <w:rsid w:val="00B9478A"/>
    <w:rsid w:val="00B947CF"/>
    <w:rsid w:val="00B948BA"/>
    <w:rsid w:val="00B9493F"/>
    <w:rsid w:val="00B94DD5"/>
    <w:rsid w:val="00B94DE5"/>
    <w:rsid w:val="00B94DED"/>
    <w:rsid w:val="00B94E9D"/>
    <w:rsid w:val="00B94FD6"/>
    <w:rsid w:val="00B95054"/>
    <w:rsid w:val="00B95195"/>
    <w:rsid w:val="00B951EA"/>
    <w:rsid w:val="00B9534E"/>
    <w:rsid w:val="00B95367"/>
    <w:rsid w:val="00B953A7"/>
    <w:rsid w:val="00B954FB"/>
    <w:rsid w:val="00B955E5"/>
    <w:rsid w:val="00B955F0"/>
    <w:rsid w:val="00B9560D"/>
    <w:rsid w:val="00B956B4"/>
    <w:rsid w:val="00B956F2"/>
    <w:rsid w:val="00B95716"/>
    <w:rsid w:val="00B9588C"/>
    <w:rsid w:val="00B959E7"/>
    <w:rsid w:val="00B95AB9"/>
    <w:rsid w:val="00B95AD0"/>
    <w:rsid w:val="00B95B42"/>
    <w:rsid w:val="00B95B99"/>
    <w:rsid w:val="00B95D8F"/>
    <w:rsid w:val="00B95DA1"/>
    <w:rsid w:val="00B95ECC"/>
    <w:rsid w:val="00B95FAF"/>
    <w:rsid w:val="00B960C3"/>
    <w:rsid w:val="00B9610A"/>
    <w:rsid w:val="00B96120"/>
    <w:rsid w:val="00B961DB"/>
    <w:rsid w:val="00B9632A"/>
    <w:rsid w:val="00B9637F"/>
    <w:rsid w:val="00B96492"/>
    <w:rsid w:val="00B9652A"/>
    <w:rsid w:val="00B96559"/>
    <w:rsid w:val="00B96582"/>
    <w:rsid w:val="00B965D1"/>
    <w:rsid w:val="00B96601"/>
    <w:rsid w:val="00B9675F"/>
    <w:rsid w:val="00B96795"/>
    <w:rsid w:val="00B96796"/>
    <w:rsid w:val="00B96851"/>
    <w:rsid w:val="00B968F0"/>
    <w:rsid w:val="00B96B14"/>
    <w:rsid w:val="00B96C31"/>
    <w:rsid w:val="00B96D6F"/>
    <w:rsid w:val="00B96EF5"/>
    <w:rsid w:val="00B96FF0"/>
    <w:rsid w:val="00B97050"/>
    <w:rsid w:val="00B9713A"/>
    <w:rsid w:val="00B9718E"/>
    <w:rsid w:val="00B974DC"/>
    <w:rsid w:val="00B97613"/>
    <w:rsid w:val="00B977BB"/>
    <w:rsid w:val="00B977C1"/>
    <w:rsid w:val="00B97B1F"/>
    <w:rsid w:val="00B97BF5"/>
    <w:rsid w:val="00B97D83"/>
    <w:rsid w:val="00B97DBE"/>
    <w:rsid w:val="00B97E75"/>
    <w:rsid w:val="00B97EAA"/>
    <w:rsid w:val="00B97F7C"/>
    <w:rsid w:val="00B97FC8"/>
    <w:rsid w:val="00BA0056"/>
    <w:rsid w:val="00BA0129"/>
    <w:rsid w:val="00BA0308"/>
    <w:rsid w:val="00BA0344"/>
    <w:rsid w:val="00BA04D2"/>
    <w:rsid w:val="00BA0595"/>
    <w:rsid w:val="00BA05F3"/>
    <w:rsid w:val="00BA0838"/>
    <w:rsid w:val="00BA0847"/>
    <w:rsid w:val="00BA089D"/>
    <w:rsid w:val="00BA09D0"/>
    <w:rsid w:val="00BA0C0F"/>
    <w:rsid w:val="00BA0D50"/>
    <w:rsid w:val="00BA0D97"/>
    <w:rsid w:val="00BA0DAE"/>
    <w:rsid w:val="00BA0DAF"/>
    <w:rsid w:val="00BA0EF2"/>
    <w:rsid w:val="00BA1074"/>
    <w:rsid w:val="00BA1154"/>
    <w:rsid w:val="00BA1261"/>
    <w:rsid w:val="00BA12E0"/>
    <w:rsid w:val="00BA12FB"/>
    <w:rsid w:val="00BA13D4"/>
    <w:rsid w:val="00BA143C"/>
    <w:rsid w:val="00BA1521"/>
    <w:rsid w:val="00BA1640"/>
    <w:rsid w:val="00BA168C"/>
    <w:rsid w:val="00BA1816"/>
    <w:rsid w:val="00BA1839"/>
    <w:rsid w:val="00BA18F8"/>
    <w:rsid w:val="00BA1972"/>
    <w:rsid w:val="00BA19DD"/>
    <w:rsid w:val="00BA1A42"/>
    <w:rsid w:val="00BA1AD9"/>
    <w:rsid w:val="00BA1B78"/>
    <w:rsid w:val="00BA1CAF"/>
    <w:rsid w:val="00BA1CBB"/>
    <w:rsid w:val="00BA1CE2"/>
    <w:rsid w:val="00BA1D1F"/>
    <w:rsid w:val="00BA1DC8"/>
    <w:rsid w:val="00BA1DD3"/>
    <w:rsid w:val="00BA1DFB"/>
    <w:rsid w:val="00BA1EF1"/>
    <w:rsid w:val="00BA1FBC"/>
    <w:rsid w:val="00BA2117"/>
    <w:rsid w:val="00BA2173"/>
    <w:rsid w:val="00BA2242"/>
    <w:rsid w:val="00BA22BD"/>
    <w:rsid w:val="00BA23D5"/>
    <w:rsid w:val="00BA23F0"/>
    <w:rsid w:val="00BA2485"/>
    <w:rsid w:val="00BA258B"/>
    <w:rsid w:val="00BA267F"/>
    <w:rsid w:val="00BA272F"/>
    <w:rsid w:val="00BA2785"/>
    <w:rsid w:val="00BA27AA"/>
    <w:rsid w:val="00BA2803"/>
    <w:rsid w:val="00BA291D"/>
    <w:rsid w:val="00BA296C"/>
    <w:rsid w:val="00BA29B3"/>
    <w:rsid w:val="00BA2A1F"/>
    <w:rsid w:val="00BA2A95"/>
    <w:rsid w:val="00BA2B28"/>
    <w:rsid w:val="00BA2C10"/>
    <w:rsid w:val="00BA2C7D"/>
    <w:rsid w:val="00BA2D32"/>
    <w:rsid w:val="00BA2D46"/>
    <w:rsid w:val="00BA2E1D"/>
    <w:rsid w:val="00BA2E25"/>
    <w:rsid w:val="00BA2E34"/>
    <w:rsid w:val="00BA2E49"/>
    <w:rsid w:val="00BA2E9E"/>
    <w:rsid w:val="00BA302E"/>
    <w:rsid w:val="00BA3070"/>
    <w:rsid w:val="00BA3087"/>
    <w:rsid w:val="00BA3218"/>
    <w:rsid w:val="00BA352F"/>
    <w:rsid w:val="00BA366D"/>
    <w:rsid w:val="00BA3684"/>
    <w:rsid w:val="00BA3797"/>
    <w:rsid w:val="00BA3809"/>
    <w:rsid w:val="00BA386E"/>
    <w:rsid w:val="00BA38C5"/>
    <w:rsid w:val="00BA3A1F"/>
    <w:rsid w:val="00BA3BB7"/>
    <w:rsid w:val="00BA3C55"/>
    <w:rsid w:val="00BA3DB1"/>
    <w:rsid w:val="00BA3DDA"/>
    <w:rsid w:val="00BA3E94"/>
    <w:rsid w:val="00BA406E"/>
    <w:rsid w:val="00BA40B1"/>
    <w:rsid w:val="00BA4133"/>
    <w:rsid w:val="00BA4136"/>
    <w:rsid w:val="00BA4323"/>
    <w:rsid w:val="00BA4339"/>
    <w:rsid w:val="00BA443B"/>
    <w:rsid w:val="00BA456A"/>
    <w:rsid w:val="00BA466B"/>
    <w:rsid w:val="00BA4677"/>
    <w:rsid w:val="00BA4693"/>
    <w:rsid w:val="00BA47E3"/>
    <w:rsid w:val="00BA48D8"/>
    <w:rsid w:val="00BA4937"/>
    <w:rsid w:val="00BA49E1"/>
    <w:rsid w:val="00BA4A64"/>
    <w:rsid w:val="00BA4B8C"/>
    <w:rsid w:val="00BA4B9F"/>
    <w:rsid w:val="00BA4C2C"/>
    <w:rsid w:val="00BA4C4F"/>
    <w:rsid w:val="00BA4C7A"/>
    <w:rsid w:val="00BA4C7B"/>
    <w:rsid w:val="00BA4CAC"/>
    <w:rsid w:val="00BA4EFC"/>
    <w:rsid w:val="00BA50E7"/>
    <w:rsid w:val="00BA5173"/>
    <w:rsid w:val="00BA51A3"/>
    <w:rsid w:val="00BA5247"/>
    <w:rsid w:val="00BA52B8"/>
    <w:rsid w:val="00BA52CA"/>
    <w:rsid w:val="00BA5426"/>
    <w:rsid w:val="00BA564A"/>
    <w:rsid w:val="00BA565C"/>
    <w:rsid w:val="00BA589F"/>
    <w:rsid w:val="00BA5909"/>
    <w:rsid w:val="00BA5A3A"/>
    <w:rsid w:val="00BA5AA0"/>
    <w:rsid w:val="00BA5AAB"/>
    <w:rsid w:val="00BA5C35"/>
    <w:rsid w:val="00BA5C3A"/>
    <w:rsid w:val="00BA5C61"/>
    <w:rsid w:val="00BA5CEC"/>
    <w:rsid w:val="00BA5DDB"/>
    <w:rsid w:val="00BA6238"/>
    <w:rsid w:val="00BA628D"/>
    <w:rsid w:val="00BA62A6"/>
    <w:rsid w:val="00BA6350"/>
    <w:rsid w:val="00BA644A"/>
    <w:rsid w:val="00BA6475"/>
    <w:rsid w:val="00BA65DF"/>
    <w:rsid w:val="00BA6650"/>
    <w:rsid w:val="00BA678E"/>
    <w:rsid w:val="00BA6813"/>
    <w:rsid w:val="00BA6852"/>
    <w:rsid w:val="00BA686A"/>
    <w:rsid w:val="00BA68F7"/>
    <w:rsid w:val="00BA699E"/>
    <w:rsid w:val="00BA6A84"/>
    <w:rsid w:val="00BA6B53"/>
    <w:rsid w:val="00BA6BD3"/>
    <w:rsid w:val="00BA6C75"/>
    <w:rsid w:val="00BA6C81"/>
    <w:rsid w:val="00BA6D49"/>
    <w:rsid w:val="00BA6D78"/>
    <w:rsid w:val="00BA6DBD"/>
    <w:rsid w:val="00BA6E7B"/>
    <w:rsid w:val="00BA6EAA"/>
    <w:rsid w:val="00BA6F41"/>
    <w:rsid w:val="00BA6F99"/>
    <w:rsid w:val="00BA6FA4"/>
    <w:rsid w:val="00BA6FEF"/>
    <w:rsid w:val="00BA711C"/>
    <w:rsid w:val="00BA7146"/>
    <w:rsid w:val="00BA714A"/>
    <w:rsid w:val="00BA7477"/>
    <w:rsid w:val="00BA75B3"/>
    <w:rsid w:val="00BA767D"/>
    <w:rsid w:val="00BA76A2"/>
    <w:rsid w:val="00BA77DD"/>
    <w:rsid w:val="00BA78C6"/>
    <w:rsid w:val="00BA7A56"/>
    <w:rsid w:val="00BA7B02"/>
    <w:rsid w:val="00BA7B72"/>
    <w:rsid w:val="00BA7C6A"/>
    <w:rsid w:val="00BA7DB8"/>
    <w:rsid w:val="00BA7F81"/>
    <w:rsid w:val="00BA7FC3"/>
    <w:rsid w:val="00BB00D0"/>
    <w:rsid w:val="00BB0143"/>
    <w:rsid w:val="00BB01BB"/>
    <w:rsid w:val="00BB029F"/>
    <w:rsid w:val="00BB032D"/>
    <w:rsid w:val="00BB03E2"/>
    <w:rsid w:val="00BB0412"/>
    <w:rsid w:val="00BB0414"/>
    <w:rsid w:val="00BB0492"/>
    <w:rsid w:val="00BB0496"/>
    <w:rsid w:val="00BB0519"/>
    <w:rsid w:val="00BB051F"/>
    <w:rsid w:val="00BB06DA"/>
    <w:rsid w:val="00BB08DF"/>
    <w:rsid w:val="00BB094E"/>
    <w:rsid w:val="00BB099B"/>
    <w:rsid w:val="00BB0A24"/>
    <w:rsid w:val="00BB0AB9"/>
    <w:rsid w:val="00BB0AC1"/>
    <w:rsid w:val="00BB0C75"/>
    <w:rsid w:val="00BB0CD0"/>
    <w:rsid w:val="00BB0D4B"/>
    <w:rsid w:val="00BB0D66"/>
    <w:rsid w:val="00BB0D89"/>
    <w:rsid w:val="00BB0E4A"/>
    <w:rsid w:val="00BB0F90"/>
    <w:rsid w:val="00BB102D"/>
    <w:rsid w:val="00BB1043"/>
    <w:rsid w:val="00BB105D"/>
    <w:rsid w:val="00BB1090"/>
    <w:rsid w:val="00BB10D1"/>
    <w:rsid w:val="00BB1546"/>
    <w:rsid w:val="00BB16AB"/>
    <w:rsid w:val="00BB18D3"/>
    <w:rsid w:val="00BB1944"/>
    <w:rsid w:val="00BB19B3"/>
    <w:rsid w:val="00BB1A45"/>
    <w:rsid w:val="00BB1A47"/>
    <w:rsid w:val="00BB1A73"/>
    <w:rsid w:val="00BB1AD0"/>
    <w:rsid w:val="00BB1BEA"/>
    <w:rsid w:val="00BB1C1F"/>
    <w:rsid w:val="00BB1D88"/>
    <w:rsid w:val="00BB1E78"/>
    <w:rsid w:val="00BB2135"/>
    <w:rsid w:val="00BB21B9"/>
    <w:rsid w:val="00BB227E"/>
    <w:rsid w:val="00BB22A0"/>
    <w:rsid w:val="00BB22A3"/>
    <w:rsid w:val="00BB22BB"/>
    <w:rsid w:val="00BB2377"/>
    <w:rsid w:val="00BB2455"/>
    <w:rsid w:val="00BB25B2"/>
    <w:rsid w:val="00BB2745"/>
    <w:rsid w:val="00BB27CE"/>
    <w:rsid w:val="00BB27CF"/>
    <w:rsid w:val="00BB2979"/>
    <w:rsid w:val="00BB2A2B"/>
    <w:rsid w:val="00BB2A30"/>
    <w:rsid w:val="00BB2A39"/>
    <w:rsid w:val="00BB2A56"/>
    <w:rsid w:val="00BB2A94"/>
    <w:rsid w:val="00BB2B41"/>
    <w:rsid w:val="00BB2C50"/>
    <w:rsid w:val="00BB2C83"/>
    <w:rsid w:val="00BB2C86"/>
    <w:rsid w:val="00BB2CBF"/>
    <w:rsid w:val="00BB2E32"/>
    <w:rsid w:val="00BB2E60"/>
    <w:rsid w:val="00BB2EB4"/>
    <w:rsid w:val="00BB2F7E"/>
    <w:rsid w:val="00BB3062"/>
    <w:rsid w:val="00BB30E6"/>
    <w:rsid w:val="00BB30ED"/>
    <w:rsid w:val="00BB310A"/>
    <w:rsid w:val="00BB31C7"/>
    <w:rsid w:val="00BB3211"/>
    <w:rsid w:val="00BB3215"/>
    <w:rsid w:val="00BB32B6"/>
    <w:rsid w:val="00BB32E8"/>
    <w:rsid w:val="00BB3363"/>
    <w:rsid w:val="00BB33EF"/>
    <w:rsid w:val="00BB3472"/>
    <w:rsid w:val="00BB34FD"/>
    <w:rsid w:val="00BB350A"/>
    <w:rsid w:val="00BB350F"/>
    <w:rsid w:val="00BB352E"/>
    <w:rsid w:val="00BB35A3"/>
    <w:rsid w:val="00BB35AD"/>
    <w:rsid w:val="00BB35DF"/>
    <w:rsid w:val="00BB35EA"/>
    <w:rsid w:val="00BB35F2"/>
    <w:rsid w:val="00BB365A"/>
    <w:rsid w:val="00BB365E"/>
    <w:rsid w:val="00BB3677"/>
    <w:rsid w:val="00BB3749"/>
    <w:rsid w:val="00BB375A"/>
    <w:rsid w:val="00BB375F"/>
    <w:rsid w:val="00BB37CA"/>
    <w:rsid w:val="00BB3800"/>
    <w:rsid w:val="00BB39D6"/>
    <w:rsid w:val="00BB39E3"/>
    <w:rsid w:val="00BB3B1A"/>
    <w:rsid w:val="00BB3B75"/>
    <w:rsid w:val="00BB3BB1"/>
    <w:rsid w:val="00BB3BCB"/>
    <w:rsid w:val="00BB3E11"/>
    <w:rsid w:val="00BB3E4E"/>
    <w:rsid w:val="00BB3E5B"/>
    <w:rsid w:val="00BB3FCF"/>
    <w:rsid w:val="00BB4167"/>
    <w:rsid w:val="00BB4175"/>
    <w:rsid w:val="00BB4332"/>
    <w:rsid w:val="00BB4350"/>
    <w:rsid w:val="00BB43FD"/>
    <w:rsid w:val="00BB45A7"/>
    <w:rsid w:val="00BB45C8"/>
    <w:rsid w:val="00BB4846"/>
    <w:rsid w:val="00BB4961"/>
    <w:rsid w:val="00BB4B40"/>
    <w:rsid w:val="00BB4BD2"/>
    <w:rsid w:val="00BB4C8C"/>
    <w:rsid w:val="00BB4CEF"/>
    <w:rsid w:val="00BB4D6B"/>
    <w:rsid w:val="00BB4D84"/>
    <w:rsid w:val="00BB4E3E"/>
    <w:rsid w:val="00BB4F11"/>
    <w:rsid w:val="00BB5010"/>
    <w:rsid w:val="00BB5068"/>
    <w:rsid w:val="00BB5080"/>
    <w:rsid w:val="00BB50F6"/>
    <w:rsid w:val="00BB5136"/>
    <w:rsid w:val="00BB52F1"/>
    <w:rsid w:val="00BB530B"/>
    <w:rsid w:val="00BB5315"/>
    <w:rsid w:val="00BB5374"/>
    <w:rsid w:val="00BB53DA"/>
    <w:rsid w:val="00BB5424"/>
    <w:rsid w:val="00BB54FD"/>
    <w:rsid w:val="00BB55CE"/>
    <w:rsid w:val="00BB55F4"/>
    <w:rsid w:val="00BB560B"/>
    <w:rsid w:val="00BB56EB"/>
    <w:rsid w:val="00BB5810"/>
    <w:rsid w:val="00BB5879"/>
    <w:rsid w:val="00BB587C"/>
    <w:rsid w:val="00BB5894"/>
    <w:rsid w:val="00BB5919"/>
    <w:rsid w:val="00BB59C6"/>
    <w:rsid w:val="00BB5A1D"/>
    <w:rsid w:val="00BB5B4E"/>
    <w:rsid w:val="00BB5B85"/>
    <w:rsid w:val="00BB5BE1"/>
    <w:rsid w:val="00BB5C08"/>
    <w:rsid w:val="00BB5E1E"/>
    <w:rsid w:val="00BB5E7F"/>
    <w:rsid w:val="00BB5F14"/>
    <w:rsid w:val="00BB602A"/>
    <w:rsid w:val="00BB603C"/>
    <w:rsid w:val="00BB6163"/>
    <w:rsid w:val="00BB621B"/>
    <w:rsid w:val="00BB633F"/>
    <w:rsid w:val="00BB64D0"/>
    <w:rsid w:val="00BB663B"/>
    <w:rsid w:val="00BB6674"/>
    <w:rsid w:val="00BB69D0"/>
    <w:rsid w:val="00BB6B6D"/>
    <w:rsid w:val="00BB6BF8"/>
    <w:rsid w:val="00BB6C14"/>
    <w:rsid w:val="00BB6C1E"/>
    <w:rsid w:val="00BB6CF9"/>
    <w:rsid w:val="00BB6E26"/>
    <w:rsid w:val="00BB6F5C"/>
    <w:rsid w:val="00BB6FCD"/>
    <w:rsid w:val="00BB702F"/>
    <w:rsid w:val="00BB7182"/>
    <w:rsid w:val="00BB731E"/>
    <w:rsid w:val="00BB73A1"/>
    <w:rsid w:val="00BB7478"/>
    <w:rsid w:val="00BB74F1"/>
    <w:rsid w:val="00BB7547"/>
    <w:rsid w:val="00BB754B"/>
    <w:rsid w:val="00BB75DA"/>
    <w:rsid w:val="00BB76A8"/>
    <w:rsid w:val="00BB779A"/>
    <w:rsid w:val="00BB78A6"/>
    <w:rsid w:val="00BB7987"/>
    <w:rsid w:val="00BB798C"/>
    <w:rsid w:val="00BB7A86"/>
    <w:rsid w:val="00BB7B3F"/>
    <w:rsid w:val="00BB7C35"/>
    <w:rsid w:val="00BB7DAF"/>
    <w:rsid w:val="00BB7E8D"/>
    <w:rsid w:val="00BB7ECB"/>
    <w:rsid w:val="00BB7EFD"/>
    <w:rsid w:val="00BB7F63"/>
    <w:rsid w:val="00BB7F81"/>
    <w:rsid w:val="00BB7F8A"/>
    <w:rsid w:val="00BB7F8F"/>
    <w:rsid w:val="00BC000E"/>
    <w:rsid w:val="00BC040A"/>
    <w:rsid w:val="00BC047C"/>
    <w:rsid w:val="00BC04A1"/>
    <w:rsid w:val="00BC0506"/>
    <w:rsid w:val="00BC054B"/>
    <w:rsid w:val="00BC059D"/>
    <w:rsid w:val="00BC0623"/>
    <w:rsid w:val="00BC0630"/>
    <w:rsid w:val="00BC07FF"/>
    <w:rsid w:val="00BC091B"/>
    <w:rsid w:val="00BC09B2"/>
    <w:rsid w:val="00BC0A9E"/>
    <w:rsid w:val="00BC0B43"/>
    <w:rsid w:val="00BC0C23"/>
    <w:rsid w:val="00BC0C4C"/>
    <w:rsid w:val="00BC0D33"/>
    <w:rsid w:val="00BC0D3C"/>
    <w:rsid w:val="00BC0D51"/>
    <w:rsid w:val="00BC108F"/>
    <w:rsid w:val="00BC1113"/>
    <w:rsid w:val="00BC120B"/>
    <w:rsid w:val="00BC1475"/>
    <w:rsid w:val="00BC1614"/>
    <w:rsid w:val="00BC1702"/>
    <w:rsid w:val="00BC1737"/>
    <w:rsid w:val="00BC1779"/>
    <w:rsid w:val="00BC1867"/>
    <w:rsid w:val="00BC18CA"/>
    <w:rsid w:val="00BC18ED"/>
    <w:rsid w:val="00BC19F5"/>
    <w:rsid w:val="00BC1AA7"/>
    <w:rsid w:val="00BC1AB6"/>
    <w:rsid w:val="00BC1ACC"/>
    <w:rsid w:val="00BC1B1F"/>
    <w:rsid w:val="00BC1C6F"/>
    <w:rsid w:val="00BC1D7B"/>
    <w:rsid w:val="00BC207E"/>
    <w:rsid w:val="00BC20A6"/>
    <w:rsid w:val="00BC215C"/>
    <w:rsid w:val="00BC21B7"/>
    <w:rsid w:val="00BC225A"/>
    <w:rsid w:val="00BC229A"/>
    <w:rsid w:val="00BC2300"/>
    <w:rsid w:val="00BC231C"/>
    <w:rsid w:val="00BC2445"/>
    <w:rsid w:val="00BC273C"/>
    <w:rsid w:val="00BC2753"/>
    <w:rsid w:val="00BC289B"/>
    <w:rsid w:val="00BC28A3"/>
    <w:rsid w:val="00BC2904"/>
    <w:rsid w:val="00BC2A90"/>
    <w:rsid w:val="00BC2BCD"/>
    <w:rsid w:val="00BC2D1B"/>
    <w:rsid w:val="00BC2EBB"/>
    <w:rsid w:val="00BC3146"/>
    <w:rsid w:val="00BC31B5"/>
    <w:rsid w:val="00BC31C7"/>
    <w:rsid w:val="00BC3349"/>
    <w:rsid w:val="00BC33AE"/>
    <w:rsid w:val="00BC33DD"/>
    <w:rsid w:val="00BC341A"/>
    <w:rsid w:val="00BC3431"/>
    <w:rsid w:val="00BC3597"/>
    <w:rsid w:val="00BC3622"/>
    <w:rsid w:val="00BC36B2"/>
    <w:rsid w:val="00BC36DD"/>
    <w:rsid w:val="00BC3772"/>
    <w:rsid w:val="00BC3792"/>
    <w:rsid w:val="00BC37B5"/>
    <w:rsid w:val="00BC38C2"/>
    <w:rsid w:val="00BC3980"/>
    <w:rsid w:val="00BC399E"/>
    <w:rsid w:val="00BC39D3"/>
    <w:rsid w:val="00BC39E6"/>
    <w:rsid w:val="00BC3BE2"/>
    <w:rsid w:val="00BC3E37"/>
    <w:rsid w:val="00BC3ECA"/>
    <w:rsid w:val="00BC3EFB"/>
    <w:rsid w:val="00BC3F0A"/>
    <w:rsid w:val="00BC3FDD"/>
    <w:rsid w:val="00BC4041"/>
    <w:rsid w:val="00BC4239"/>
    <w:rsid w:val="00BC42DB"/>
    <w:rsid w:val="00BC431B"/>
    <w:rsid w:val="00BC4381"/>
    <w:rsid w:val="00BC4395"/>
    <w:rsid w:val="00BC4417"/>
    <w:rsid w:val="00BC452A"/>
    <w:rsid w:val="00BC4532"/>
    <w:rsid w:val="00BC45D2"/>
    <w:rsid w:val="00BC465B"/>
    <w:rsid w:val="00BC4676"/>
    <w:rsid w:val="00BC46BB"/>
    <w:rsid w:val="00BC47CB"/>
    <w:rsid w:val="00BC48D9"/>
    <w:rsid w:val="00BC48E3"/>
    <w:rsid w:val="00BC494C"/>
    <w:rsid w:val="00BC4952"/>
    <w:rsid w:val="00BC4968"/>
    <w:rsid w:val="00BC49E6"/>
    <w:rsid w:val="00BC4AAA"/>
    <w:rsid w:val="00BC4AFF"/>
    <w:rsid w:val="00BC4B34"/>
    <w:rsid w:val="00BC4B90"/>
    <w:rsid w:val="00BC4DD6"/>
    <w:rsid w:val="00BC4E00"/>
    <w:rsid w:val="00BC4E4B"/>
    <w:rsid w:val="00BC4F1E"/>
    <w:rsid w:val="00BC4F9E"/>
    <w:rsid w:val="00BC5051"/>
    <w:rsid w:val="00BC530F"/>
    <w:rsid w:val="00BC5490"/>
    <w:rsid w:val="00BC5510"/>
    <w:rsid w:val="00BC558E"/>
    <w:rsid w:val="00BC5611"/>
    <w:rsid w:val="00BC5618"/>
    <w:rsid w:val="00BC564B"/>
    <w:rsid w:val="00BC57BD"/>
    <w:rsid w:val="00BC57C1"/>
    <w:rsid w:val="00BC5885"/>
    <w:rsid w:val="00BC58EA"/>
    <w:rsid w:val="00BC5915"/>
    <w:rsid w:val="00BC5A1A"/>
    <w:rsid w:val="00BC5C1C"/>
    <w:rsid w:val="00BC5CDC"/>
    <w:rsid w:val="00BC5D17"/>
    <w:rsid w:val="00BC5FA7"/>
    <w:rsid w:val="00BC60E1"/>
    <w:rsid w:val="00BC6116"/>
    <w:rsid w:val="00BC6281"/>
    <w:rsid w:val="00BC63A1"/>
    <w:rsid w:val="00BC63C7"/>
    <w:rsid w:val="00BC63E7"/>
    <w:rsid w:val="00BC643B"/>
    <w:rsid w:val="00BC6539"/>
    <w:rsid w:val="00BC6643"/>
    <w:rsid w:val="00BC670F"/>
    <w:rsid w:val="00BC677B"/>
    <w:rsid w:val="00BC68B2"/>
    <w:rsid w:val="00BC6AB3"/>
    <w:rsid w:val="00BC6C7B"/>
    <w:rsid w:val="00BC6DC0"/>
    <w:rsid w:val="00BC6F05"/>
    <w:rsid w:val="00BC6F5A"/>
    <w:rsid w:val="00BC7164"/>
    <w:rsid w:val="00BC71C7"/>
    <w:rsid w:val="00BC7379"/>
    <w:rsid w:val="00BC7436"/>
    <w:rsid w:val="00BC7447"/>
    <w:rsid w:val="00BC74B6"/>
    <w:rsid w:val="00BC74CA"/>
    <w:rsid w:val="00BC75A6"/>
    <w:rsid w:val="00BC75E0"/>
    <w:rsid w:val="00BC786B"/>
    <w:rsid w:val="00BC7937"/>
    <w:rsid w:val="00BC7A07"/>
    <w:rsid w:val="00BC7A17"/>
    <w:rsid w:val="00BC7A8C"/>
    <w:rsid w:val="00BC7AAD"/>
    <w:rsid w:val="00BC7B45"/>
    <w:rsid w:val="00BC7B76"/>
    <w:rsid w:val="00BC7B93"/>
    <w:rsid w:val="00BC7D30"/>
    <w:rsid w:val="00BC7D5E"/>
    <w:rsid w:val="00BC7D65"/>
    <w:rsid w:val="00BC7E2B"/>
    <w:rsid w:val="00BD0026"/>
    <w:rsid w:val="00BD008A"/>
    <w:rsid w:val="00BD009A"/>
    <w:rsid w:val="00BD0148"/>
    <w:rsid w:val="00BD0380"/>
    <w:rsid w:val="00BD04AB"/>
    <w:rsid w:val="00BD05D9"/>
    <w:rsid w:val="00BD05F9"/>
    <w:rsid w:val="00BD0654"/>
    <w:rsid w:val="00BD0655"/>
    <w:rsid w:val="00BD0C07"/>
    <w:rsid w:val="00BD0CB9"/>
    <w:rsid w:val="00BD0CDD"/>
    <w:rsid w:val="00BD0DD6"/>
    <w:rsid w:val="00BD0DDE"/>
    <w:rsid w:val="00BD0FD6"/>
    <w:rsid w:val="00BD108A"/>
    <w:rsid w:val="00BD1194"/>
    <w:rsid w:val="00BD1215"/>
    <w:rsid w:val="00BD12A5"/>
    <w:rsid w:val="00BD1393"/>
    <w:rsid w:val="00BD1397"/>
    <w:rsid w:val="00BD139F"/>
    <w:rsid w:val="00BD13AE"/>
    <w:rsid w:val="00BD147F"/>
    <w:rsid w:val="00BD155C"/>
    <w:rsid w:val="00BD172A"/>
    <w:rsid w:val="00BD182B"/>
    <w:rsid w:val="00BD188D"/>
    <w:rsid w:val="00BD1909"/>
    <w:rsid w:val="00BD19C1"/>
    <w:rsid w:val="00BD1A1F"/>
    <w:rsid w:val="00BD1AD5"/>
    <w:rsid w:val="00BD1DA1"/>
    <w:rsid w:val="00BD1E97"/>
    <w:rsid w:val="00BD1EE7"/>
    <w:rsid w:val="00BD1F96"/>
    <w:rsid w:val="00BD21CD"/>
    <w:rsid w:val="00BD2256"/>
    <w:rsid w:val="00BD2348"/>
    <w:rsid w:val="00BD2379"/>
    <w:rsid w:val="00BD259C"/>
    <w:rsid w:val="00BD2616"/>
    <w:rsid w:val="00BD2678"/>
    <w:rsid w:val="00BD26F7"/>
    <w:rsid w:val="00BD2993"/>
    <w:rsid w:val="00BD2A91"/>
    <w:rsid w:val="00BD2AB5"/>
    <w:rsid w:val="00BD2B77"/>
    <w:rsid w:val="00BD2B95"/>
    <w:rsid w:val="00BD2CB9"/>
    <w:rsid w:val="00BD2D9A"/>
    <w:rsid w:val="00BD2DD2"/>
    <w:rsid w:val="00BD2E13"/>
    <w:rsid w:val="00BD2EB2"/>
    <w:rsid w:val="00BD3034"/>
    <w:rsid w:val="00BD30B6"/>
    <w:rsid w:val="00BD30E9"/>
    <w:rsid w:val="00BD3189"/>
    <w:rsid w:val="00BD3209"/>
    <w:rsid w:val="00BD321B"/>
    <w:rsid w:val="00BD3267"/>
    <w:rsid w:val="00BD32CB"/>
    <w:rsid w:val="00BD33E1"/>
    <w:rsid w:val="00BD36A4"/>
    <w:rsid w:val="00BD36BC"/>
    <w:rsid w:val="00BD3898"/>
    <w:rsid w:val="00BD393A"/>
    <w:rsid w:val="00BD3954"/>
    <w:rsid w:val="00BD3AB7"/>
    <w:rsid w:val="00BD3BFB"/>
    <w:rsid w:val="00BD3C80"/>
    <w:rsid w:val="00BD3CD3"/>
    <w:rsid w:val="00BD3D09"/>
    <w:rsid w:val="00BD3D5E"/>
    <w:rsid w:val="00BD3DD2"/>
    <w:rsid w:val="00BD3EA9"/>
    <w:rsid w:val="00BD3F91"/>
    <w:rsid w:val="00BD3FFC"/>
    <w:rsid w:val="00BD4009"/>
    <w:rsid w:val="00BD405F"/>
    <w:rsid w:val="00BD41C6"/>
    <w:rsid w:val="00BD41DE"/>
    <w:rsid w:val="00BD421D"/>
    <w:rsid w:val="00BD42EB"/>
    <w:rsid w:val="00BD432A"/>
    <w:rsid w:val="00BD442E"/>
    <w:rsid w:val="00BD450D"/>
    <w:rsid w:val="00BD4586"/>
    <w:rsid w:val="00BD45ED"/>
    <w:rsid w:val="00BD4617"/>
    <w:rsid w:val="00BD4681"/>
    <w:rsid w:val="00BD4705"/>
    <w:rsid w:val="00BD4850"/>
    <w:rsid w:val="00BD48B1"/>
    <w:rsid w:val="00BD48BB"/>
    <w:rsid w:val="00BD4927"/>
    <w:rsid w:val="00BD495D"/>
    <w:rsid w:val="00BD4969"/>
    <w:rsid w:val="00BD4A95"/>
    <w:rsid w:val="00BD4AA7"/>
    <w:rsid w:val="00BD4AD0"/>
    <w:rsid w:val="00BD4BA1"/>
    <w:rsid w:val="00BD4C31"/>
    <w:rsid w:val="00BD4CDB"/>
    <w:rsid w:val="00BD4D48"/>
    <w:rsid w:val="00BD4DB4"/>
    <w:rsid w:val="00BD4E9D"/>
    <w:rsid w:val="00BD4EB6"/>
    <w:rsid w:val="00BD4ED9"/>
    <w:rsid w:val="00BD4F14"/>
    <w:rsid w:val="00BD4F3F"/>
    <w:rsid w:val="00BD4F4A"/>
    <w:rsid w:val="00BD5014"/>
    <w:rsid w:val="00BD50A0"/>
    <w:rsid w:val="00BD524D"/>
    <w:rsid w:val="00BD5272"/>
    <w:rsid w:val="00BD5290"/>
    <w:rsid w:val="00BD52C7"/>
    <w:rsid w:val="00BD5590"/>
    <w:rsid w:val="00BD55ED"/>
    <w:rsid w:val="00BD5688"/>
    <w:rsid w:val="00BD56AA"/>
    <w:rsid w:val="00BD57E7"/>
    <w:rsid w:val="00BD582C"/>
    <w:rsid w:val="00BD5833"/>
    <w:rsid w:val="00BD585C"/>
    <w:rsid w:val="00BD588C"/>
    <w:rsid w:val="00BD58D7"/>
    <w:rsid w:val="00BD58DF"/>
    <w:rsid w:val="00BD5A35"/>
    <w:rsid w:val="00BD5A88"/>
    <w:rsid w:val="00BD5AFB"/>
    <w:rsid w:val="00BD5AFC"/>
    <w:rsid w:val="00BD5B40"/>
    <w:rsid w:val="00BD5B6A"/>
    <w:rsid w:val="00BD5BDE"/>
    <w:rsid w:val="00BD5C2B"/>
    <w:rsid w:val="00BD5CEF"/>
    <w:rsid w:val="00BD5D9E"/>
    <w:rsid w:val="00BD5E00"/>
    <w:rsid w:val="00BD5E2A"/>
    <w:rsid w:val="00BD5E73"/>
    <w:rsid w:val="00BD5E83"/>
    <w:rsid w:val="00BD5EEB"/>
    <w:rsid w:val="00BD5F3F"/>
    <w:rsid w:val="00BD611C"/>
    <w:rsid w:val="00BD612C"/>
    <w:rsid w:val="00BD612E"/>
    <w:rsid w:val="00BD61CF"/>
    <w:rsid w:val="00BD61D9"/>
    <w:rsid w:val="00BD61E0"/>
    <w:rsid w:val="00BD6247"/>
    <w:rsid w:val="00BD636F"/>
    <w:rsid w:val="00BD63A9"/>
    <w:rsid w:val="00BD6427"/>
    <w:rsid w:val="00BD643D"/>
    <w:rsid w:val="00BD64BE"/>
    <w:rsid w:val="00BD658E"/>
    <w:rsid w:val="00BD658F"/>
    <w:rsid w:val="00BD66AD"/>
    <w:rsid w:val="00BD68CA"/>
    <w:rsid w:val="00BD69CF"/>
    <w:rsid w:val="00BD6A9E"/>
    <w:rsid w:val="00BD6ABB"/>
    <w:rsid w:val="00BD6B07"/>
    <w:rsid w:val="00BD6BBA"/>
    <w:rsid w:val="00BD6BF6"/>
    <w:rsid w:val="00BD6C8B"/>
    <w:rsid w:val="00BD6D5D"/>
    <w:rsid w:val="00BD6D89"/>
    <w:rsid w:val="00BD6E21"/>
    <w:rsid w:val="00BD6ECE"/>
    <w:rsid w:val="00BD6EEE"/>
    <w:rsid w:val="00BD70C5"/>
    <w:rsid w:val="00BD715B"/>
    <w:rsid w:val="00BD7223"/>
    <w:rsid w:val="00BD722A"/>
    <w:rsid w:val="00BD7267"/>
    <w:rsid w:val="00BD729C"/>
    <w:rsid w:val="00BD72AC"/>
    <w:rsid w:val="00BD7329"/>
    <w:rsid w:val="00BD735E"/>
    <w:rsid w:val="00BD7434"/>
    <w:rsid w:val="00BD74EE"/>
    <w:rsid w:val="00BD75DA"/>
    <w:rsid w:val="00BD762D"/>
    <w:rsid w:val="00BD7724"/>
    <w:rsid w:val="00BD7750"/>
    <w:rsid w:val="00BD77BD"/>
    <w:rsid w:val="00BD786C"/>
    <w:rsid w:val="00BD78B3"/>
    <w:rsid w:val="00BD7901"/>
    <w:rsid w:val="00BD7975"/>
    <w:rsid w:val="00BD79CB"/>
    <w:rsid w:val="00BD7A42"/>
    <w:rsid w:val="00BD7BC9"/>
    <w:rsid w:val="00BD7C6C"/>
    <w:rsid w:val="00BD7CB3"/>
    <w:rsid w:val="00BD7CDD"/>
    <w:rsid w:val="00BD7D81"/>
    <w:rsid w:val="00BD7EAE"/>
    <w:rsid w:val="00BE019A"/>
    <w:rsid w:val="00BE01CD"/>
    <w:rsid w:val="00BE024F"/>
    <w:rsid w:val="00BE0392"/>
    <w:rsid w:val="00BE042C"/>
    <w:rsid w:val="00BE04B7"/>
    <w:rsid w:val="00BE055A"/>
    <w:rsid w:val="00BE07EC"/>
    <w:rsid w:val="00BE07F0"/>
    <w:rsid w:val="00BE0823"/>
    <w:rsid w:val="00BE085D"/>
    <w:rsid w:val="00BE092E"/>
    <w:rsid w:val="00BE0A43"/>
    <w:rsid w:val="00BE0C01"/>
    <w:rsid w:val="00BE0E17"/>
    <w:rsid w:val="00BE0EFC"/>
    <w:rsid w:val="00BE0F49"/>
    <w:rsid w:val="00BE0FAB"/>
    <w:rsid w:val="00BE0FDF"/>
    <w:rsid w:val="00BE1128"/>
    <w:rsid w:val="00BE1174"/>
    <w:rsid w:val="00BE1203"/>
    <w:rsid w:val="00BE12E2"/>
    <w:rsid w:val="00BE13B9"/>
    <w:rsid w:val="00BE15B6"/>
    <w:rsid w:val="00BE1730"/>
    <w:rsid w:val="00BE17A5"/>
    <w:rsid w:val="00BE17D9"/>
    <w:rsid w:val="00BE18D5"/>
    <w:rsid w:val="00BE19F6"/>
    <w:rsid w:val="00BE1A2D"/>
    <w:rsid w:val="00BE1B18"/>
    <w:rsid w:val="00BE1B31"/>
    <w:rsid w:val="00BE1C04"/>
    <w:rsid w:val="00BE1D39"/>
    <w:rsid w:val="00BE2049"/>
    <w:rsid w:val="00BE2149"/>
    <w:rsid w:val="00BE2306"/>
    <w:rsid w:val="00BE236C"/>
    <w:rsid w:val="00BE23F4"/>
    <w:rsid w:val="00BE2448"/>
    <w:rsid w:val="00BE2494"/>
    <w:rsid w:val="00BE2637"/>
    <w:rsid w:val="00BE2657"/>
    <w:rsid w:val="00BE2689"/>
    <w:rsid w:val="00BE26B4"/>
    <w:rsid w:val="00BE273A"/>
    <w:rsid w:val="00BE27FA"/>
    <w:rsid w:val="00BE2868"/>
    <w:rsid w:val="00BE28DD"/>
    <w:rsid w:val="00BE2945"/>
    <w:rsid w:val="00BE29DE"/>
    <w:rsid w:val="00BE29E4"/>
    <w:rsid w:val="00BE2ACF"/>
    <w:rsid w:val="00BE2AE0"/>
    <w:rsid w:val="00BE2BE8"/>
    <w:rsid w:val="00BE2EDB"/>
    <w:rsid w:val="00BE2F20"/>
    <w:rsid w:val="00BE305B"/>
    <w:rsid w:val="00BE31A6"/>
    <w:rsid w:val="00BE31FA"/>
    <w:rsid w:val="00BE3335"/>
    <w:rsid w:val="00BE33E5"/>
    <w:rsid w:val="00BE3425"/>
    <w:rsid w:val="00BE3484"/>
    <w:rsid w:val="00BE3726"/>
    <w:rsid w:val="00BE3773"/>
    <w:rsid w:val="00BE38BD"/>
    <w:rsid w:val="00BE38D0"/>
    <w:rsid w:val="00BE3919"/>
    <w:rsid w:val="00BE3933"/>
    <w:rsid w:val="00BE39A2"/>
    <w:rsid w:val="00BE3A08"/>
    <w:rsid w:val="00BE3DAE"/>
    <w:rsid w:val="00BE3E19"/>
    <w:rsid w:val="00BE3E41"/>
    <w:rsid w:val="00BE3EA5"/>
    <w:rsid w:val="00BE4135"/>
    <w:rsid w:val="00BE416A"/>
    <w:rsid w:val="00BE434F"/>
    <w:rsid w:val="00BE43BF"/>
    <w:rsid w:val="00BE43E9"/>
    <w:rsid w:val="00BE442A"/>
    <w:rsid w:val="00BE444B"/>
    <w:rsid w:val="00BE44A8"/>
    <w:rsid w:val="00BE465A"/>
    <w:rsid w:val="00BE47BA"/>
    <w:rsid w:val="00BE4894"/>
    <w:rsid w:val="00BE48A1"/>
    <w:rsid w:val="00BE49FB"/>
    <w:rsid w:val="00BE4B14"/>
    <w:rsid w:val="00BE4B7A"/>
    <w:rsid w:val="00BE4C71"/>
    <w:rsid w:val="00BE4C91"/>
    <w:rsid w:val="00BE4D67"/>
    <w:rsid w:val="00BE4FEC"/>
    <w:rsid w:val="00BE511F"/>
    <w:rsid w:val="00BE518F"/>
    <w:rsid w:val="00BE51FE"/>
    <w:rsid w:val="00BE5260"/>
    <w:rsid w:val="00BE52C3"/>
    <w:rsid w:val="00BE530A"/>
    <w:rsid w:val="00BE537F"/>
    <w:rsid w:val="00BE543E"/>
    <w:rsid w:val="00BE553E"/>
    <w:rsid w:val="00BE56BB"/>
    <w:rsid w:val="00BE56C2"/>
    <w:rsid w:val="00BE59B9"/>
    <w:rsid w:val="00BE5A9D"/>
    <w:rsid w:val="00BE5BE8"/>
    <w:rsid w:val="00BE5C26"/>
    <w:rsid w:val="00BE5CAC"/>
    <w:rsid w:val="00BE5CD4"/>
    <w:rsid w:val="00BE5DAF"/>
    <w:rsid w:val="00BE5EC5"/>
    <w:rsid w:val="00BE6141"/>
    <w:rsid w:val="00BE6153"/>
    <w:rsid w:val="00BE61C1"/>
    <w:rsid w:val="00BE61F5"/>
    <w:rsid w:val="00BE623E"/>
    <w:rsid w:val="00BE62C2"/>
    <w:rsid w:val="00BE6398"/>
    <w:rsid w:val="00BE639F"/>
    <w:rsid w:val="00BE64DD"/>
    <w:rsid w:val="00BE6548"/>
    <w:rsid w:val="00BE6562"/>
    <w:rsid w:val="00BE66A9"/>
    <w:rsid w:val="00BE66D3"/>
    <w:rsid w:val="00BE6799"/>
    <w:rsid w:val="00BE67A6"/>
    <w:rsid w:val="00BE6947"/>
    <w:rsid w:val="00BE694A"/>
    <w:rsid w:val="00BE697B"/>
    <w:rsid w:val="00BE6AB1"/>
    <w:rsid w:val="00BE6B3D"/>
    <w:rsid w:val="00BE6B86"/>
    <w:rsid w:val="00BE6BD7"/>
    <w:rsid w:val="00BE6CD0"/>
    <w:rsid w:val="00BE6CED"/>
    <w:rsid w:val="00BE6E7D"/>
    <w:rsid w:val="00BE6E9C"/>
    <w:rsid w:val="00BE6EBA"/>
    <w:rsid w:val="00BE6EF4"/>
    <w:rsid w:val="00BE6FB7"/>
    <w:rsid w:val="00BE6FCC"/>
    <w:rsid w:val="00BE7037"/>
    <w:rsid w:val="00BE706D"/>
    <w:rsid w:val="00BE73CD"/>
    <w:rsid w:val="00BE7562"/>
    <w:rsid w:val="00BE763A"/>
    <w:rsid w:val="00BE7747"/>
    <w:rsid w:val="00BE774F"/>
    <w:rsid w:val="00BE7752"/>
    <w:rsid w:val="00BE77CC"/>
    <w:rsid w:val="00BE77EA"/>
    <w:rsid w:val="00BE7875"/>
    <w:rsid w:val="00BE7942"/>
    <w:rsid w:val="00BE7AF1"/>
    <w:rsid w:val="00BE7BB3"/>
    <w:rsid w:val="00BE7C50"/>
    <w:rsid w:val="00BE7C67"/>
    <w:rsid w:val="00BE7CA4"/>
    <w:rsid w:val="00BE7D57"/>
    <w:rsid w:val="00BE7D65"/>
    <w:rsid w:val="00BE7E30"/>
    <w:rsid w:val="00BE7ECE"/>
    <w:rsid w:val="00BF0379"/>
    <w:rsid w:val="00BF053B"/>
    <w:rsid w:val="00BF0580"/>
    <w:rsid w:val="00BF0596"/>
    <w:rsid w:val="00BF073F"/>
    <w:rsid w:val="00BF090C"/>
    <w:rsid w:val="00BF092A"/>
    <w:rsid w:val="00BF0AE6"/>
    <w:rsid w:val="00BF0B44"/>
    <w:rsid w:val="00BF0BC7"/>
    <w:rsid w:val="00BF0BFC"/>
    <w:rsid w:val="00BF0C31"/>
    <w:rsid w:val="00BF0D9A"/>
    <w:rsid w:val="00BF0E6A"/>
    <w:rsid w:val="00BF0E85"/>
    <w:rsid w:val="00BF0E9B"/>
    <w:rsid w:val="00BF0ECE"/>
    <w:rsid w:val="00BF0ECF"/>
    <w:rsid w:val="00BF1207"/>
    <w:rsid w:val="00BF1211"/>
    <w:rsid w:val="00BF1235"/>
    <w:rsid w:val="00BF1310"/>
    <w:rsid w:val="00BF1415"/>
    <w:rsid w:val="00BF142E"/>
    <w:rsid w:val="00BF1448"/>
    <w:rsid w:val="00BF16B8"/>
    <w:rsid w:val="00BF17F8"/>
    <w:rsid w:val="00BF18ED"/>
    <w:rsid w:val="00BF194C"/>
    <w:rsid w:val="00BF19E9"/>
    <w:rsid w:val="00BF1A2F"/>
    <w:rsid w:val="00BF1AEA"/>
    <w:rsid w:val="00BF1B54"/>
    <w:rsid w:val="00BF1B5B"/>
    <w:rsid w:val="00BF1B65"/>
    <w:rsid w:val="00BF1B6E"/>
    <w:rsid w:val="00BF1B7F"/>
    <w:rsid w:val="00BF1BB5"/>
    <w:rsid w:val="00BF1BDA"/>
    <w:rsid w:val="00BF1D1D"/>
    <w:rsid w:val="00BF1E11"/>
    <w:rsid w:val="00BF1EF0"/>
    <w:rsid w:val="00BF1F3F"/>
    <w:rsid w:val="00BF1F70"/>
    <w:rsid w:val="00BF1FB1"/>
    <w:rsid w:val="00BF1FC7"/>
    <w:rsid w:val="00BF20A9"/>
    <w:rsid w:val="00BF20E5"/>
    <w:rsid w:val="00BF2116"/>
    <w:rsid w:val="00BF22F6"/>
    <w:rsid w:val="00BF259B"/>
    <w:rsid w:val="00BF2618"/>
    <w:rsid w:val="00BF2675"/>
    <w:rsid w:val="00BF2768"/>
    <w:rsid w:val="00BF2773"/>
    <w:rsid w:val="00BF27F2"/>
    <w:rsid w:val="00BF295D"/>
    <w:rsid w:val="00BF29CB"/>
    <w:rsid w:val="00BF2A56"/>
    <w:rsid w:val="00BF2CA1"/>
    <w:rsid w:val="00BF2CDC"/>
    <w:rsid w:val="00BF2DA5"/>
    <w:rsid w:val="00BF2E32"/>
    <w:rsid w:val="00BF2FDF"/>
    <w:rsid w:val="00BF318A"/>
    <w:rsid w:val="00BF31BE"/>
    <w:rsid w:val="00BF3245"/>
    <w:rsid w:val="00BF3306"/>
    <w:rsid w:val="00BF33B4"/>
    <w:rsid w:val="00BF33B5"/>
    <w:rsid w:val="00BF3630"/>
    <w:rsid w:val="00BF3677"/>
    <w:rsid w:val="00BF3770"/>
    <w:rsid w:val="00BF38B1"/>
    <w:rsid w:val="00BF38BA"/>
    <w:rsid w:val="00BF3909"/>
    <w:rsid w:val="00BF3972"/>
    <w:rsid w:val="00BF39D3"/>
    <w:rsid w:val="00BF3B39"/>
    <w:rsid w:val="00BF3BB7"/>
    <w:rsid w:val="00BF3CD5"/>
    <w:rsid w:val="00BF3D45"/>
    <w:rsid w:val="00BF3DFD"/>
    <w:rsid w:val="00BF403C"/>
    <w:rsid w:val="00BF40D9"/>
    <w:rsid w:val="00BF42A4"/>
    <w:rsid w:val="00BF42B7"/>
    <w:rsid w:val="00BF432A"/>
    <w:rsid w:val="00BF4484"/>
    <w:rsid w:val="00BF4673"/>
    <w:rsid w:val="00BF46E6"/>
    <w:rsid w:val="00BF4755"/>
    <w:rsid w:val="00BF4AB2"/>
    <w:rsid w:val="00BF4B49"/>
    <w:rsid w:val="00BF4B4D"/>
    <w:rsid w:val="00BF4BBA"/>
    <w:rsid w:val="00BF4CE6"/>
    <w:rsid w:val="00BF4E01"/>
    <w:rsid w:val="00BF4EF9"/>
    <w:rsid w:val="00BF502D"/>
    <w:rsid w:val="00BF52CA"/>
    <w:rsid w:val="00BF52CC"/>
    <w:rsid w:val="00BF535B"/>
    <w:rsid w:val="00BF5375"/>
    <w:rsid w:val="00BF53A3"/>
    <w:rsid w:val="00BF53C6"/>
    <w:rsid w:val="00BF5429"/>
    <w:rsid w:val="00BF55C6"/>
    <w:rsid w:val="00BF5784"/>
    <w:rsid w:val="00BF5858"/>
    <w:rsid w:val="00BF59D2"/>
    <w:rsid w:val="00BF5AE0"/>
    <w:rsid w:val="00BF5AE6"/>
    <w:rsid w:val="00BF5D34"/>
    <w:rsid w:val="00BF5E09"/>
    <w:rsid w:val="00BF5E7B"/>
    <w:rsid w:val="00BF5F6B"/>
    <w:rsid w:val="00BF6039"/>
    <w:rsid w:val="00BF606D"/>
    <w:rsid w:val="00BF60A1"/>
    <w:rsid w:val="00BF6102"/>
    <w:rsid w:val="00BF6401"/>
    <w:rsid w:val="00BF64EC"/>
    <w:rsid w:val="00BF64ED"/>
    <w:rsid w:val="00BF651F"/>
    <w:rsid w:val="00BF656B"/>
    <w:rsid w:val="00BF65B7"/>
    <w:rsid w:val="00BF6623"/>
    <w:rsid w:val="00BF66BA"/>
    <w:rsid w:val="00BF67CB"/>
    <w:rsid w:val="00BF69C2"/>
    <w:rsid w:val="00BF6CE4"/>
    <w:rsid w:val="00BF6D1B"/>
    <w:rsid w:val="00BF6D38"/>
    <w:rsid w:val="00BF6D3A"/>
    <w:rsid w:val="00BF6E1D"/>
    <w:rsid w:val="00BF6E44"/>
    <w:rsid w:val="00BF6F21"/>
    <w:rsid w:val="00BF7131"/>
    <w:rsid w:val="00BF721F"/>
    <w:rsid w:val="00BF7227"/>
    <w:rsid w:val="00BF7381"/>
    <w:rsid w:val="00BF74C6"/>
    <w:rsid w:val="00BF74F2"/>
    <w:rsid w:val="00BF7519"/>
    <w:rsid w:val="00BF7568"/>
    <w:rsid w:val="00BF7645"/>
    <w:rsid w:val="00BF7762"/>
    <w:rsid w:val="00BF77FA"/>
    <w:rsid w:val="00BF781B"/>
    <w:rsid w:val="00BF7890"/>
    <w:rsid w:val="00BF79C8"/>
    <w:rsid w:val="00BF7BC4"/>
    <w:rsid w:val="00BF7C98"/>
    <w:rsid w:val="00BF7CA3"/>
    <w:rsid w:val="00BF7CB8"/>
    <w:rsid w:val="00BF7D26"/>
    <w:rsid w:val="00BF7D8F"/>
    <w:rsid w:val="00BF7EC6"/>
    <w:rsid w:val="00C000AE"/>
    <w:rsid w:val="00C000DA"/>
    <w:rsid w:val="00C000DB"/>
    <w:rsid w:val="00C0013A"/>
    <w:rsid w:val="00C001CB"/>
    <w:rsid w:val="00C00269"/>
    <w:rsid w:val="00C002EA"/>
    <w:rsid w:val="00C003C0"/>
    <w:rsid w:val="00C003CD"/>
    <w:rsid w:val="00C00504"/>
    <w:rsid w:val="00C006D4"/>
    <w:rsid w:val="00C006FF"/>
    <w:rsid w:val="00C00765"/>
    <w:rsid w:val="00C00786"/>
    <w:rsid w:val="00C008ED"/>
    <w:rsid w:val="00C0097C"/>
    <w:rsid w:val="00C00C37"/>
    <w:rsid w:val="00C00CA5"/>
    <w:rsid w:val="00C00CCF"/>
    <w:rsid w:val="00C00CD5"/>
    <w:rsid w:val="00C00CFB"/>
    <w:rsid w:val="00C00D5F"/>
    <w:rsid w:val="00C00DE8"/>
    <w:rsid w:val="00C01037"/>
    <w:rsid w:val="00C0104F"/>
    <w:rsid w:val="00C01144"/>
    <w:rsid w:val="00C012D1"/>
    <w:rsid w:val="00C01317"/>
    <w:rsid w:val="00C0137F"/>
    <w:rsid w:val="00C013DA"/>
    <w:rsid w:val="00C013FF"/>
    <w:rsid w:val="00C0148A"/>
    <w:rsid w:val="00C01641"/>
    <w:rsid w:val="00C01758"/>
    <w:rsid w:val="00C01801"/>
    <w:rsid w:val="00C018B3"/>
    <w:rsid w:val="00C01929"/>
    <w:rsid w:val="00C01AA7"/>
    <w:rsid w:val="00C01AFE"/>
    <w:rsid w:val="00C01C68"/>
    <w:rsid w:val="00C01CEE"/>
    <w:rsid w:val="00C01E45"/>
    <w:rsid w:val="00C01FD8"/>
    <w:rsid w:val="00C02057"/>
    <w:rsid w:val="00C02240"/>
    <w:rsid w:val="00C02302"/>
    <w:rsid w:val="00C024EF"/>
    <w:rsid w:val="00C0253F"/>
    <w:rsid w:val="00C02553"/>
    <w:rsid w:val="00C02700"/>
    <w:rsid w:val="00C0275E"/>
    <w:rsid w:val="00C027EB"/>
    <w:rsid w:val="00C02886"/>
    <w:rsid w:val="00C028D6"/>
    <w:rsid w:val="00C028E8"/>
    <w:rsid w:val="00C02A4C"/>
    <w:rsid w:val="00C02CA4"/>
    <w:rsid w:val="00C02D6E"/>
    <w:rsid w:val="00C02F63"/>
    <w:rsid w:val="00C030DE"/>
    <w:rsid w:val="00C031F2"/>
    <w:rsid w:val="00C03234"/>
    <w:rsid w:val="00C0336F"/>
    <w:rsid w:val="00C0350A"/>
    <w:rsid w:val="00C0353C"/>
    <w:rsid w:val="00C035B3"/>
    <w:rsid w:val="00C037E4"/>
    <w:rsid w:val="00C0380C"/>
    <w:rsid w:val="00C03812"/>
    <w:rsid w:val="00C03920"/>
    <w:rsid w:val="00C03923"/>
    <w:rsid w:val="00C03977"/>
    <w:rsid w:val="00C039FA"/>
    <w:rsid w:val="00C03B90"/>
    <w:rsid w:val="00C03BD6"/>
    <w:rsid w:val="00C03BE7"/>
    <w:rsid w:val="00C03C07"/>
    <w:rsid w:val="00C03CB7"/>
    <w:rsid w:val="00C03D79"/>
    <w:rsid w:val="00C03DD9"/>
    <w:rsid w:val="00C03E31"/>
    <w:rsid w:val="00C040D7"/>
    <w:rsid w:val="00C04135"/>
    <w:rsid w:val="00C04163"/>
    <w:rsid w:val="00C041FE"/>
    <w:rsid w:val="00C04260"/>
    <w:rsid w:val="00C04352"/>
    <w:rsid w:val="00C043E7"/>
    <w:rsid w:val="00C04407"/>
    <w:rsid w:val="00C04436"/>
    <w:rsid w:val="00C04474"/>
    <w:rsid w:val="00C0451B"/>
    <w:rsid w:val="00C0453C"/>
    <w:rsid w:val="00C0459B"/>
    <w:rsid w:val="00C045D8"/>
    <w:rsid w:val="00C0473B"/>
    <w:rsid w:val="00C04771"/>
    <w:rsid w:val="00C048E9"/>
    <w:rsid w:val="00C049B6"/>
    <w:rsid w:val="00C04A6E"/>
    <w:rsid w:val="00C04B1B"/>
    <w:rsid w:val="00C04BBC"/>
    <w:rsid w:val="00C04BBE"/>
    <w:rsid w:val="00C04C63"/>
    <w:rsid w:val="00C04CC9"/>
    <w:rsid w:val="00C04E37"/>
    <w:rsid w:val="00C04EEE"/>
    <w:rsid w:val="00C04F0C"/>
    <w:rsid w:val="00C04FD9"/>
    <w:rsid w:val="00C0502D"/>
    <w:rsid w:val="00C050B5"/>
    <w:rsid w:val="00C050C9"/>
    <w:rsid w:val="00C051FF"/>
    <w:rsid w:val="00C05272"/>
    <w:rsid w:val="00C0530C"/>
    <w:rsid w:val="00C05327"/>
    <w:rsid w:val="00C053F8"/>
    <w:rsid w:val="00C0540C"/>
    <w:rsid w:val="00C0541B"/>
    <w:rsid w:val="00C05489"/>
    <w:rsid w:val="00C054A3"/>
    <w:rsid w:val="00C05525"/>
    <w:rsid w:val="00C05604"/>
    <w:rsid w:val="00C057F2"/>
    <w:rsid w:val="00C05832"/>
    <w:rsid w:val="00C059FC"/>
    <w:rsid w:val="00C05A81"/>
    <w:rsid w:val="00C05AF3"/>
    <w:rsid w:val="00C05C25"/>
    <w:rsid w:val="00C05D82"/>
    <w:rsid w:val="00C05E26"/>
    <w:rsid w:val="00C05E53"/>
    <w:rsid w:val="00C05E82"/>
    <w:rsid w:val="00C05F0D"/>
    <w:rsid w:val="00C05FDA"/>
    <w:rsid w:val="00C05FEF"/>
    <w:rsid w:val="00C0606B"/>
    <w:rsid w:val="00C06074"/>
    <w:rsid w:val="00C061CC"/>
    <w:rsid w:val="00C0628B"/>
    <w:rsid w:val="00C062C4"/>
    <w:rsid w:val="00C062E2"/>
    <w:rsid w:val="00C06402"/>
    <w:rsid w:val="00C0645C"/>
    <w:rsid w:val="00C06625"/>
    <w:rsid w:val="00C0671B"/>
    <w:rsid w:val="00C067AB"/>
    <w:rsid w:val="00C0685B"/>
    <w:rsid w:val="00C06865"/>
    <w:rsid w:val="00C06891"/>
    <w:rsid w:val="00C068FF"/>
    <w:rsid w:val="00C0694C"/>
    <w:rsid w:val="00C06991"/>
    <w:rsid w:val="00C06B16"/>
    <w:rsid w:val="00C06C62"/>
    <w:rsid w:val="00C06D00"/>
    <w:rsid w:val="00C06DAC"/>
    <w:rsid w:val="00C06EF8"/>
    <w:rsid w:val="00C06F38"/>
    <w:rsid w:val="00C06F50"/>
    <w:rsid w:val="00C06F8F"/>
    <w:rsid w:val="00C06FBD"/>
    <w:rsid w:val="00C07003"/>
    <w:rsid w:val="00C0708A"/>
    <w:rsid w:val="00C07136"/>
    <w:rsid w:val="00C07192"/>
    <w:rsid w:val="00C071A3"/>
    <w:rsid w:val="00C071B0"/>
    <w:rsid w:val="00C0724B"/>
    <w:rsid w:val="00C07469"/>
    <w:rsid w:val="00C07522"/>
    <w:rsid w:val="00C0754E"/>
    <w:rsid w:val="00C075DD"/>
    <w:rsid w:val="00C077C5"/>
    <w:rsid w:val="00C079B7"/>
    <w:rsid w:val="00C07A31"/>
    <w:rsid w:val="00C07A5D"/>
    <w:rsid w:val="00C07AF3"/>
    <w:rsid w:val="00C07C02"/>
    <w:rsid w:val="00C07C2A"/>
    <w:rsid w:val="00C07C8A"/>
    <w:rsid w:val="00C07CA7"/>
    <w:rsid w:val="00C07D6B"/>
    <w:rsid w:val="00C07E19"/>
    <w:rsid w:val="00C07F14"/>
    <w:rsid w:val="00C07F4E"/>
    <w:rsid w:val="00C1009C"/>
    <w:rsid w:val="00C1012F"/>
    <w:rsid w:val="00C10141"/>
    <w:rsid w:val="00C10218"/>
    <w:rsid w:val="00C10423"/>
    <w:rsid w:val="00C104A3"/>
    <w:rsid w:val="00C1055A"/>
    <w:rsid w:val="00C105D6"/>
    <w:rsid w:val="00C1062A"/>
    <w:rsid w:val="00C10673"/>
    <w:rsid w:val="00C108ED"/>
    <w:rsid w:val="00C10955"/>
    <w:rsid w:val="00C109E3"/>
    <w:rsid w:val="00C10A0B"/>
    <w:rsid w:val="00C10B33"/>
    <w:rsid w:val="00C10C00"/>
    <w:rsid w:val="00C10C2C"/>
    <w:rsid w:val="00C10C86"/>
    <w:rsid w:val="00C10D3F"/>
    <w:rsid w:val="00C10D88"/>
    <w:rsid w:val="00C10E0C"/>
    <w:rsid w:val="00C10E4A"/>
    <w:rsid w:val="00C10E69"/>
    <w:rsid w:val="00C110CF"/>
    <w:rsid w:val="00C11153"/>
    <w:rsid w:val="00C11188"/>
    <w:rsid w:val="00C111B1"/>
    <w:rsid w:val="00C112C8"/>
    <w:rsid w:val="00C11385"/>
    <w:rsid w:val="00C113D3"/>
    <w:rsid w:val="00C115A0"/>
    <w:rsid w:val="00C11726"/>
    <w:rsid w:val="00C11777"/>
    <w:rsid w:val="00C11823"/>
    <w:rsid w:val="00C11A3F"/>
    <w:rsid w:val="00C11AB9"/>
    <w:rsid w:val="00C11C3A"/>
    <w:rsid w:val="00C11E6B"/>
    <w:rsid w:val="00C11FA8"/>
    <w:rsid w:val="00C121A8"/>
    <w:rsid w:val="00C121B6"/>
    <w:rsid w:val="00C121CD"/>
    <w:rsid w:val="00C122D3"/>
    <w:rsid w:val="00C12364"/>
    <w:rsid w:val="00C1244C"/>
    <w:rsid w:val="00C12464"/>
    <w:rsid w:val="00C125F4"/>
    <w:rsid w:val="00C125FB"/>
    <w:rsid w:val="00C1261A"/>
    <w:rsid w:val="00C126BE"/>
    <w:rsid w:val="00C126BF"/>
    <w:rsid w:val="00C127A6"/>
    <w:rsid w:val="00C12941"/>
    <w:rsid w:val="00C12C14"/>
    <w:rsid w:val="00C12CC0"/>
    <w:rsid w:val="00C12DB2"/>
    <w:rsid w:val="00C12DE2"/>
    <w:rsid w:val="00C12FEF"/>
    <w:rsid w:val="00C13060"/>
    <w:rsid w:val="00C13075"/>
    <w:rsid w:val="00C1309C"/>
    <w:rsid w:val="00C13192"/>
    <w:rsid w:val="00C1319A"/>
    <w:rsid w:val="00C131EE"/>
    <w:rsid w:val="00C13258"/>
    <w:rsid w:val="00C1344F"/>
    <w:rsid w:val="00C1348C"/>
    <w:rsid w:val="00C13504"/>
    <w:rsid w:val="00C1353D"/>
    <w:rsid w:val="00C13556"/>
    <w:rsid w:val="00C135CB"/>
    <w:rsid w:val="00C13652"/>
    <w:rsid w:val="00C136A9"/>
    <w:rsid w:val="00C136CD"/>
    <w:rsid w:val="00C136D4"/>
    <w:rsid w:val="00C1378A"/>
    <w:rsid w:val="00C137F7"/>
    <w:rsid w:val="00C1380B"/>
    <w:rsid w:val="00C13825"/>
    <w:rsid w:val="00C138B0"/>
    <w:rsid w:val="00C13C9A"/>
    <w:rsid w:val="00C13CA1"/>
    <w:rsid w:val="00C13DCD"/>
    <w:rsid w:val="00C13DE7"/>
    <w:rsid w:val="00C13EE0"/>
    <w:rsid w:val="00C13F08"/>
    <w:rsid w:val="00C1416C"/>
    <w:rsid w:val="00C142AB"/>
    <w:rsid w:val="00C1438B"/>
    <w:rsid w:val="00C1448F"/>
    <w:rsid w:val="00C14505"/>
    <w:rsid w:val="00C14527"/>
    <w:rsid w:val="00C14649"/>
    <w:rsid w:val="00C14809"/>
    <w:rsid w:val="00C1481F"/>
    <w:rsid w:val="00C14860"/>
    <w:rsid w:val="00C1498E"/>
    <w:rsid w:val="00C149C0"/>
    <w:rsid w:val="00C14A35"/>
    <w:rsid w:val="00C14B4D"/>
    <w:rsid w:val="00C14BE5"/>
    <w:rsid w:val="00C14BE9"/>
    <w:rsid w:val="00C14CE8"/>
    <w:rsid w:val="00C14E86"/>
    <w:rsid w:val="00C14F2E"/>
    <w:rsid w:val="00C152E1"/>
    <w:rsid w:val="00C153FC"/>
    <w:rsid w:val="00C1541A"/>
    <w:rsid w:val="00C1544D"/>
    <w:rsid w:val="00C155DC"/>
    <w:rsid w:val="00C15662"/>
    <w:rsid w:val="00C156C9"/>
    <w:rsid w:val="00C156D7"/>
    <w:rsid w:val="00C1571E"/>
    <w:rsid w:val="00C1573F"/>
    <w:rsid w:val="00C15754"/>
    <w:rsid w:val="00C15781"/>
    <w:rsid w:val="00C1587E"/>
    <w:rsid w:val="00C159FC"/>
    <w:rsid w:val="00C15A44"/>
    <w:rsid w:val="00C15A84"/>
    <w:rsid w:val="00C15B7A"/>
    <w:rsid w:val="00C15BE3"/>
    <w:rsid w:val="00C15C40"/>
    <w:rsid w:val="00C15C9B"/>
    <w:rsid w:val="00C15D0B"/>
    <w:rsid w:val="00C15F1F"/>
    <w:rsid w:val="00C15F48"/>
    <w:rsid w:val="00C15FE8"/>
    <w:rsid w:val="00C1604B"/>
    <w:rsid w:val="00C16201"/>
    <w:rsid w:val="00C1620F"/>
    <w:rsid w:val="00C16282"/>
    <w:rsid w:val="00C163AA"/>
    <w:rsid w:val="00C16404"/>
    <w:rsid w:val="00C164C1"/>
    <w:rsid w:val="00C16667"/>
    <w:rsid w:val="00C1671E"/>
    <w:rsid w:val="00C16760"/>
    <w:rsid w:val="00C1687E"/>
    <w:rsid w:val="00C168E2"/>
    <w:rsid w:val="00C16A74"/>
    <w:rsid w:val="00C16AA6"/>
    <w:rsid w:val="00C16B57"/>
    <w:rsid w:val="00C16B6D"/>
    <w:rsid w:val="00C16C04"/>
    <w:rsid w:val="00C16C50"/>
    <w:rsid w:val="00C16CC0"/>
    <w:rsid w:val="00C16CC6"/>
    <w:rsid w:val="00C16CD9"/>
    <w:rsid w:val="00C16DBD"/>
    <w:rsid w:val="00C16DF8"/>
    <w:rsid w:val="00C1701B"/>
    <w:rsid w:val="00C1708A"/>
    <w:rsid w:val="00C170D2"/>
    <w:rsid w:val="00C17103"/>
    <w:rsid w:val="00C17115"/>
    <w:rsid w:val="00C171BC"/>
    <w:rsid w:val="00C171F0"/>
    <w:rsid w:val="00C17275"/>
    <w:rsid w:val="00C17366"/>
    <w:rsid w:val="00C17459"/>
    <w:rsid w:val="00C1750F"/>
    <w:rsid w:val="00C175C4"/>
    <w:rsid w:val="00C175DF"/>
    <w:rsid w:val="00C176FE"/>
    <w:rsid w:val="00C1775D"/>
    <w:rsid w:val="00C1780D"/>
    <w:rsid w:val="00C1789B"/>
    <w:rsid w:val="00C17943"/>
    <w:rsid w:val="00C1795F"/>
    <w:rsid w:val="00C17A04"/>
    <w:rsid w:val="00C17CBB"/>
    <w:rsid w:val="00C17D6F"/>
    <w:rsid w:val="00C17E37"/>
    <w:rsid w:val="00C17E81"/>
    <w:rsid w:val="00C200AE"/>
    <w:rsid w:val="00C20231"/>
    <w:rsid w:val="00C2027E"/>
    <w:rsid w:val="00C20322"/>
    <w:rsid w:val="00C2038B"/>
    <w:rsid w:val="00C203B0"/>
    <w:rsid w:val="00C203B1"/>
    <w:rsid w:val="00C2041E"/>
    <w:rsid w:val="00C2049B"/>
    <w:rsid w:val="00C20538"/>
    <w:rsid w:val="00C20570"/>
    <w:rsid w:val="00C206D9"/>
    <w:rsid w:val="00C20713"/>
    <w:rsid w:val="00C20759"/>
    <w:rsid w:val="00C20786"/>
    <w:rsid w:val="00C207BA"/>
    <w:rsid w:val="00C20802"/>
    <w:rsid w:val="00C2080C"/>
    <w:rsid w:val="00C2088F"/>
    <w:rsid w:val="00C20892"/>
    <w:rsid w:val="00C20ACA"/>
    <w:rsid w:val="00C20B6B"/>
    <w:rsid w:val="00C20B77"/>
    <w:rsid w:val="00C20C64"/>
    <w:rsid w:val="00C20D68"/>
    <w:rsid w:val="00C20DF6"/>
    <w:rsid w:val="00C20E71"/>
    <w:rsid w:val="00C20EE8"/>
    <w:rsid w:val="00C20EEB"/>
    <w:rsid w:val="00C20F21"/>
    <w:rsid w:val="00C21042"/>
    <w:rsid w:val="00C2105E"/>
    <w:rsid w:val="00C21192"/>
    <w:rsid w:val="00C21205"/>
    <w:rsid w:val="00C21230"/>
    <w:rsid w:val="00C212D4"/>
    <w:rsid w:val="00C214F8"/>
    <w:rsid w:val="00C21674"/>
    <w:rsid w:val="00C2177A"/>
    <w:rsid w:val="00C217AD"/>
    <w:rsid w:val="00C217DF"/>
    <w:rsid w:val="00C21854"/>
    <w:rsid w:val="00C218AC"/>
    <w:rsid w:val="00C218B5"/>
    <w:rsid w:val="00C21BFB"/>
    <w:rsid w:val="00C21CFD"/>
    <w:rsid w:val="00C21D5E"/>
    <w:rsid w:val="00C21DBB"/>
    <w:rsid w:val="00C21E6A"/>
    <w:rsid w:val="00C21ED2"/>
    <w:rsid w:val="00C21F10"/>
    <w:rsid w:val="00C21F12"/>
    <w:rsid w:val="00C22047"/>
    <w:rsid w:val="00C220B3"/>
    <w:rsid w:val="00C220D0"/>
    <w:rsid w:val="00C22140"/>
    <w:rsid w:val="00C2219F"/>
    <w:rsid w:val="00C221E3"/>
    <w:rsid w:val="00C22276"/>
    <w:rsid w:val="00C22291"/>
    <w:rsid w:val="00C22299"/>
    <w:rsid w:val="00C22346"/>
    <w:rsid w:val="00C22438"/>
    <w:rsid w:val="00C22603"/>
    <w:rsid w:val="00C22669"/>
    <w:rsid w:val="00C22700"/>
    <w:rsid w:val="00C22819"/>
    <w:rsid w:val="00C2283D"/>
    <w:rsid w:val="00C22A0A"/>
    <w:rsid w:val="00C22A42"/>
    <w:rsid w:val="00C22ADD"/>
    <w:rsid w:val="00C22C43"/>
    <w:rsid w:val="00C22C96"/>
    <w:rsid w:val="00C22D3C"/>
    <w:rsid w:val="00C22DB7"/>
    <w:rsid w:val="00C22E3E"/>
    <w:rsid w:val="00C22E4E"/>
    <w:rsid w:val="00C22ECB"/>
    <w:rsid w:val="00C230A4"/>
    <w:rsid w:val="00C23118"/>
    <w:rsid w:val="00C23166"/>
    <w:rsid w:val="00C23200"/>
    <w:rsid w:val="00C235EC"/>
    <w:rsid w:val="00C236D7"/>
    <w:rsid w:val="00C236F9"/>
    <w:rsid w:val="00C237F5"/>
    <w:rsid w:val="00C23807"/>
    <w:rsid w:val="00C238F9"/>
    <w:rsid w:val="00C2398D"/>
    <w:rsid w:val="00C239AD"/>
    <w:rsid w:val="00C239B7"/>
    <w:rsid w:val="00C23A0C"/>
    <w:rsid w:val="00C23A13"/>
    <w:rsid w:val="00C23B26"/>
    <w:rsid w:val="00C23C9B"/>
    <w:rsid w:val="00C23D2C"/>
    <w:rsid w:val="00C23D7F"/>
    <w:rsid w:val="00C23E01"/>
    <w:rsid w:val="00C23E3C"/>
    <w:rsid w:val="00C23E8C"/>
    <w:rsid w:val="00C24014"/>
    <w:rsid w:val="00C24020"/>
    <w:rsid w:val="00C2406E"/>
    <w:rsid w:val="00C240C2"/>
    <w:rsid w:val="00C242C3"/>
    <w:rsid w:val="00C24323"/>
    <w:rsid w:val="00C24358"/>
    <w:rsid w:val="00C24387"/>
    <w:rsid w:val="00C243CB"/>
    <w:rsid w:val="00C2448A"/>
    <w:rsid w:val="00C24701"/>
    <w:rsid w:val="00C247CA"/>
    <w:rsid w:val="00C24920"/>
    <w:rsid w:val="00C24958"/>
    <w:rsid w:val="00C249AD"/>
    <w:rsid w:val="00C249DE"/>
    <w:rsid w:val="00C24A77"/>
    <w:rsid w:val="00C24AE9"/>
    <w:rsid w:val="00C24BCC"/>
    <w:rsid w:val="00C24C2B"/>
    <w:rsid w:val="00C24C7F"/>
    <w:rsid w:val="00C24E58"/>
    <w:rsid w:val="00C25123"/>
    <w:rsid w:val="00C25299"/>
    <w:rsid w:val="00C253C0"/>
    <w:rsid w:val="00C253C9"/>
    <w:rsid w:val="00C25540"/>
    <w:rsid w:val="00C2556E"/>
    <w:rsid w:val="00C25855"/>
    <w:rsid w:val="00C258C7"/>
    <w:rsid w:val="00C25A06"/>
    <w:rsid w:val="00C25B0E"/>
    <w:rsid w:val="00C25BD4"/>
    <w:rsid w:val="00C25D31"/>
    <w:rsid w:val="00C25D3C"/>
    <w:rsid w:val="00C25D6D"/>
    <w:rsid w:val="00C25DD0"/>
    <w:rsid w:val="00C25E1F"/>
    <w:rsid w:val="00C25E20"/>
    <w:rsid w:val="00C25E32"/>
    <w:rsid w:val="00C25FB7"/>
    <w:rsid w:val="00C26084"/>
    <w:rsid w:val="00C2612B"/>
    <w:rsid w:val="00C26262"/>
    <w:rsid w:val="00C2627D"/>
    <w:rsid w:val="00C262C2"/>
    <w:rsid w:val="00C26323"/>
    <w:rsid w:val="00C263B7"/>
    <w:rsid w:val="00C26495"/>
    <w:rsid w:val="00C26563"/>
    <w:rsid w:val="00C2659D"/>
    <w:rsid w:val="00C2666F"/>
    <w:rsid w:val="00C26952"/>
    <w:rsid w:val="00C26A44"/>
    <w:rsid w:val="00C26A47"/>
    <w:rsid w:val="00C26B52"/>
    <w:rsid w:val="00C26C5A"/>
    <w:rsid w:val="00C26F84"/>
    <w:rsid w:val="00C270A8"/>
    <w:rsid w:val="00C2710C"/>
    <w:rsid w:val="00C27182"/>
    <w:rsid w:val="00C2742E"/>
    <w:rsid w:val="00C2750C"/>
    <w:rsid w:val="00C27565"/>
    <w:rsid w:val="00C2775A"/>
    <w:rsid w:val="00C27797"/>
    <w:rsid w:val="00C27859"/>
    <w:rsid w:val="00C278F1"/>
    <w:rsid w:val="00C279C8"/>
    <w:rsid w:val="00C27A19"/>
    <w:rsid w:val="00C27B02"/>
    <w:rsid w:val="00C27B89"/>
    <w:rsid w:val="00C27CBE"/>
    <w:rsid w:val="00C27D2F"/>
    <w:rsid w:val="00C27E59"/>
    <w:rsid w:val="00C27ED9"/>
    <w:rsid w:val="00C27F78"/>
    <w:rsid w:val="00C27FCF"/>
    <w:rsid w:val="00C30017"/>
    <w:rsid w:val="00C3001A"/>
    <w:rsid w:val="00C301AC"/>
    <w:rsid w:val="00C3022A"/>
    <w:rsid w:val="00C302B9"/>
    <w:rsid w:val="00C3037C"/>
    <w:rsid w:val="00C30389"/>
    <w:rsid w:val="00C3038B"/>
    <w:rsid w:val="00C30394"/>
    <w:rsid w:val="00C303C2"/>
    <w:rsid w:val="00C303F1"/>
    <w:rsid w:val="00C305D7"/>
    <w:rsid w:val="00C30725"/>
    <w:rsid w:val="00C30752"/>
    <w:rsid w:val="00C3089E"/>
    <w:rsid w:val="00C308EB"/>
    <w:rsid w:val="00C309AA"/>
    <w:rsid w:val="00C30A4D"/>
    <w:rsid w:val="00C30A53"/>
    <w:rsid w:val="00C30AC4"/>
    <w:rsid w:val="00C30B05"/>
    <w:rsid w:val="00C30B61"/>
    <w:rsid w:val="00C30B84"/>
    <w:rsid w:val="00C30BB6"/>
    <w:rsid w:val="00C30C7D"/>
    <w:rsid w:val="00C30DC5"/>
    <w:rsid w:val="00C30E22"/>
    <w:rsid w:val="00C30EEE"/>
    <w:rsid w:val="00C30F2E"/>
    <w:rsid w:val="00C30F4C"/>
    <w:rsid w:val="00C3104D"/>
    <w:rsid w:val="00C311CC"/>
    <w:rsid w:val="00C312A2"/>
    <w:rsid w:val="00C312BB"/>
    <w:rsid w:val="00C31514"/>
    <w:rsid w:val="00C3169F"/>
    <w:rsid w:val="00C316C3"/>
    <w:rsid w:val="00C316DC"/>
    <w:rsid w:val="00C3182C"/>
    <w:rsid w:val="00C31856"/>
    <w:rsid w:val="00C3191D"/>
    <w:rsid w:val="00C319BC"/>
    <w:rsid w:val="00C319FA"/>
    <w:rsid w:val="00C31A78"/>
    <w:rsid w:val="00C31B1F"/>
    <w:rsid w:val="00C31BAB"/>
    <w:rsid w:val="00C31BB3"/>
    <w:rsid w:val="00C31C55"/>
    <w:rsid w:val="00C31CA1"/>
    <w:rsid w:val="00C31D4A"/>
    <w:rsid w:val="00C31DD3"/>
    <w:rsid w:val="00C321A9"/>
    <w:rsid w:val="00C323F7"/>
    <w:rsid w:val="00C32475"/>
    <w:rsid w:val="00C324AB"/>
    <w:rsid w:val="00C329A5"/>
    <w:rsid w:val="00C32A3B"/>
    <w:rsid w:val="00C32A53"/>
    <w:rsid w:val="00C32B00"/>
    <w:rsid w:val="00C32BB2"/>
    <w:rsid w:val="00C32D39"/>
    <w:rsid w:val="00C32D85"/>
    <w:rsid w:val="00C32ED1"/>
    <w:rsid w:val="00C32F65"/>
    <w:rsid w:val="00C33022"/>
    <w:rsid w:val="00C33032"/>
    <w:rsid w:val="00C330F1"/>
    <w:rsid w:val="00C33241"/>
    <w:rsid w:val="00C332BA"/>
    <w:rsid w:val="00C334D4"/>
    <w:rsid w:val="00C334E7"/>
    <w:rsid w:val="00C33519"/>
    <w:rsid w:val="00C3351F"/>
    <w:rsid w:val="00C335B4"/>
    <w:rsid w:val="00C33646"/>
    <w:rsid w:val="00C3373C"/>
    <w:rsid w:val="00C337BA"/>
    <w:rsid w:val="00C338F5"/>
    <w:rsid w:val="00C33A26"/>
    <w:rsid w:val="00C33A4C"/>
    <w:rsid w:val="00C33B74"/>
    <w:rsid w:val="00C33BB3"/>
    <w:rsid w:val="00C33BF3"/>
    <w:rsid w:val="00C33C74"/>
    <w:rsid w:val="00C33D30"/>
    <w:rsid w:val="00C33D95"/>
    <w:rsid w:val="00C33DCC"/>
    <w:rsid w:val="00C33E79"/>
    <w:rsid w:val="00C33E9F"/>
    <w:rsid w:val="00C33FB5"/>
    <w:rsid w:val="00C3403C"/>
    <w:rsid w:val="00C340A0"/>
    <w:rsid w:val="00C340D4"/>
    <w:rsid w:val="00C34189"/>
    <w:rsid w:val="00C3468E"/>
    <w:rsid w:val="00C34791"/>
    <w:rsid w:val="00C347AE"/>
    <w:rsid w:val="00C34835"/>
    <w:rsid w:val="00C34A54"/>
    <w:rsid w:val="00C34AA3"/>
    <w:rsid w:val="00C34C43"/>
    <w:rsid w:val="00C34CB2"/>
    <w:rsid w:val="00C34D84"/>
    <w:rsid w:val="00C34D94"/>
    <w:rsid w:val="00C34DA1"/>
    <w:rsid w:val="00C34E42"/>
    <w:rsid w:val="00C34E9E"/>
    <w:rsid w:val="00C34F2E"/>
    <w:rsid w:val="00C34FAE"/>
    <w:rsid w:val="00C34FF0"/>
    <w:rsid w:val="00C3503D"/>
    <w:rsid w:val="00C35090"/>
    <w:rsid w:val="00C35131"/>
    <w:rsid w:val="00C35143"/>
    <w:rsid w:val="00C35220"/>
    <w:rsid w:val="00C353A0"/>
    <w:rsid w:val="00C353CB"/>
    <w:rsid w:val="00C354D3"/>
    <w:rsid w:val="00C354E0"/>
    <w:rsid w:val="00C3563B"/>
    <w:rsid w:val="00C3565B"/>
    <w:rsid w:val="00C3568F"/>
    <w:rsid w:val="00C3577F"/>
    <w:rsid w:val="00C35844"/>
    <w:rsid w:val="00C3588E"/>
    <w:rsid w:val="00C3588F"/>
    <w:rsid w:val="00C3594F"/>
    <w:rsid w:val="00C359F6"/>
    <w:rsid w:val="00C35A38"/>
    <w:rsid w:val="00C35A9B"/>
    <w:rsid w:val="00C35AE5"/>
    <w:rsid w:val="00C35B5C"/>
    <w:rsid w:val="00C35B6F"/>
    <w:rsid w:val="00C35D5C"/>
    <w:rsid w:val="00C35D5F"/>
    <w:rsid w:val="00C35E32"/>
    <w:rsid w:val="00C35EC4"/>
    <w:rsid w:val="00C35F63"/>
    <w:rsid w:val="00C35FAC"/>
    <w:rsid w:val="00C36098"/>
    <w:rsid w:val="00C360A1"/>
    <w:rsid w:val="00C360D4"/>
    <w:rsid w:val="00C360EE"/>
    <w:rsid w:val="00C36104"/>
    <w:rsid w:val="00C361DD"/>
    <w:rsid w:val="00C36210"/>
    <w:rsid w:val="00C36215"/>
    <w:rsid w:val="00C3626A"/>
    <w:rsid w:val="00C36293"/>
    <w:rsid w:val="00C362A8"/>
    <w:rsid w:val="00C3630A"/>
    <w:rsid w:val="00C36358"/>
    <w:rsid w:val="00C3636D"/>
    <w:rsid w:val="00C36381"/>
    <w:rsid w:val="00C36421"/>
    <w:rsid w:val="00C36436"/>
    <w:rsid w:val="00C36567"/>
    <w:rsid w:val="00C366A0"/>
    <w:rsid w:val="00C369AB"/>
    <w:rsid w:val="00C369C5"/>
    <w:rsid w:val="00C36AD8"/>
    <w:rsid w:val="00C36B11"/>
    <w:rsid w:val="00C36BC8"/>
    <w:rsid w:val="00C36C7A"/>
    <w:rsid w:val="00C36C7E"/>
    <w:rsid w:val="00C36CBD"/>
    <w:rsid w:val="00C36D68"/>
    <w:rsid w:val="00C36E2C"/>
    <w:rsid w:val="00C36E9E"/>
    <w:rsid w:val="00C36F7F"/>
    <w:rsid w:val="00C36FBB"/>
    <w:rsid w:val="00C36FD3"/>
    <w:rsid w:val="00C372FB"/>
    <w:rsid w:val="00C374A9"/>
    <w:rsid w:val="00C37536"/>
    <w:rsid w:val="00C3758D"/>
    <w:rsid w:val="00C37599"/>
    <w:rsid w:val="00C3759D"/>
    <w:rsid w:val="00C375C9"/>
    <w:rsid w:val="00C375CF"/>
    <w:rsid w:val="00C37625"/>
    <w:rsid w:val="00C376CC"/>
    <w:rsid w:val="00C377A1"/>
    <w:rsid w:val="00C37902"/>
    <w:rsid w:val="00C379AD"/>
    <w:rsid w:val="00C379FC"/>
    <w:rsid w:val="00C37A64"/>
    <w:rsid w:val="00C37B1F"/>
    <w:rsid w:val="00C37C89"/>
    <w:rsid w:val="00C37C8C"/>
    <w:rsid w:val="00C37D5D"/>
    <w:rsid w:val="00C37DA8"/>
    <w:rsid w:val="00C37E16"/>
    <w:rsid w:val="00C37F1B"/>
    <w:rsid w:val="00C37F47"/>
    <w:rsid w:val="00C40004"/>
    <w:rsid w:val="00C40100"/>
    <w:rsid w:val="00C40113"/>
    <w:rsid w:val="00C40126"/>
    <w:rsid w:val="00C4021D"/>
    <w:rsid w:val="00C4023C"/>
    <w:rsid w:val="00C402AC"/>
    <w:rsid w:val="00C40307"/>
    <w:rsid w:val="00C4033C"/>
    <w:rsid w:val="00C403F6"/>
    <w:rsid w:val="00C4049B"/>
    <w:rsid w:val="00C4049C"/>
    <w:rsid w:val="00C404FC"/>
    <w:rsid w:val="00C4050C"/>
    <w:rsid w:val="00C405D6"/>
    <w:rsid w:val="00C40694"/>
    <w:rsid w:val="00C40851"/>
    <w:rsid w:val="00C40877"/>
    <w:rsid w:val="00C40897"/>
    <w:rsid w:val="00C40961"/>
    <w:rsid w:val="00C40975"/>
    <w:rsid w:val="00C40A31"/>
    <w:rsid w:val="00C40BAE"/>
    <w:rsid w:val="00C40C15"/>
    <w:rsid w:val="00C40CAE"/>
    <w:rsid w:val="00C40D1D"/>
    <w:rsid w:val="00C40DA3"/>
    <w:rsid w:val="00C40E68"/>
    <w:rsid w:val="00C40EDE"/>
    <w:rsid w:val="00C40F21"/>
    <w:rsid w:val="00C40F75"/>
    <w:rsid w:val="00C4124B"/>
    <w:rsid w:val="00C4134F"/>
    <w:rsid w:val="00C413B8"/>
    <w:rsid w:val="00C413E4"/>
    <w:rsid w:val="00C4146D"/>
    <w:rsid w:val="00C4147F"/>
    <w:rsid w:val="00C41528"/>
    <w:rsid w:val="00C416EA"/>
    <w:rsid w:val="00C41779"/>
    <w:rsid w:val="00C4188B"/>
    <w:rsid w:val="00C41A3E"/>
    <w:rsid w:val="00C41A7B"/>
    <w:rsid w:val="00C41C63"/>
    <w:rsid w:val="00C41C82"/>
    <w:rsid w:val="00C41CAA"/>
    <w:rsid w:val="00C41F4D"/>
    <w:rsid w:val="00C42011"/>
    <w:rsid w:val="00C42027"/>
    <w:rsid w:val="00C420AE"/>
    <w:rsid w:val="00C420AF"/>
    <w:rsid w:val="00C420F1"/>
    <w:rsid w:val="00C42164"/>
    <w:rsid w:val="00C4225D"/>
    <w:rsid w:val="00C4234F"/>
    <w:rsid w:val="00C42399"/>
    <w:rsid w:val="00C423E1"/>
    <w:rsid w:val="00C4249A"/>
    <w:rsid w:val="00C42536"/>
    <w:rsid w:val="00C42577"/>
    <w:rsid w:val="00C42603"/>
    <w:rsid w:val="00C42620"/>
    <w:rsid w:val="00C42792"/>
    <w:rsid w:val="00C427F1"/>
    <w:rsid w:val="00C42829"/>
    <w:rsid w:val="00C428FB"/>
    <w:rsid w:val="00C429BF"/>
    <w:rsid w:val="00C42A4D"/>
    <w:rsid w:val="00C42AA3"/>
    <w:rsid w:val="00C42B21"/>
    <w:rsid w:val="00C42C28"/>
    <w:rsid w:val="00C42C43"/>
    <w:rsid w:val="00C42CE7"/>
    <w:rsid w:val="00C42D38"/>
    <w:rsid w:val="00C42DC8"/>
    <w:rsid w:val="00C42DD9"/>
    <w:rsid w:val="00C42E1D"/>
    <w:rsid w:val="00C42EB0"/>
    <w:rsid w:val="00C42F6D"/>
    <w:rsid w:val="00C42FFA"/>
    <w:rsid w:val="00C43156"/>
    <w:rsid w:val="00C4316B"/>
    <w:rsid w:val="00C431BF"/>
    <w:rsid w:val="00C431D5"/>
    <w:rsid w:val="00C4330B"/>
    <w:rsid w:val="00C43516"/>
    <w:rsid w:val="00C4353C"/>
    <w:rsid w:val="00C4356D"/>
    <w:rsid w:val="00C4362F"/>
    <w:rsid w:val="00C436CF"/>
    <w:rsid w:val="00C4372F"/>
    <w:rsid w:val="00C437EF"/>
    <w:rsid w:val="00C438A7"/>
    <w:rsid w:val="00C43960"/>
    <w:rsid w:val="00C43AC7"/>
    <w:rsid w:val="00C43B0B"/>
    <w:rsid w:val="00C43C6A"/>
    <w:rsid w:val="00C43D4F"/>
    <w:rsid w:val="00C43DA2"/>
    <w:rsid w:val="00C43E70"/>
    <w:rsid w:val="00C43EBD"/>
    <w:rsid w:val="00C43F26"/>
    <w:rsid w:val="00C43FA5"/>
    <w:rsid w:val="00C4409B"/>
    <w:rsid w:val="00C440A6"/>
    <w:rsid w:val="00C443EF"/>
    <w:rsid w:val="00C4459F"/>
    <w:rsid w:val="00C445BA"/>
    <w:rsid w:val="00C4464F"/>
    <w:rsid w:val="00C446A8"/>
    <w:rsid w:val="00C44710"/>
    <w:rsid w:val="00C44774"/>
    <w:rsid w:val="00C448D6"/>
    <w:rsid w:val="00C4491D"/>
    <w:rsid w:val="00C44954"/>
    <w:rsid w:val="00C44A23"/>
    <w:rsid w:val="00C44A29"/>
    <w:rsid w:val="00C44B04"/>
    <w:rsid w:val="00C44D04"/>
    <w:rsid w:val="00C44D0B"/>
    <w:rsid w:val="00C44D59"/>
    <w:rsid w:val="00C44D8B"/>
    <w:rsid w:val="00C44E02"/>
    <w:rsid w:val="00C44E1E"/>
    <w:rsid w:val="00C44E34"/>
    <w:rsid w:val="00C44EBD"/>
    <w:rsid w:val="00C44F49"/>
    <w:rsid w:val="00C45018"/>
    <w:rsid w:val="00C45096"/>
    <w:rsid w:val="00C45135"/>
    <w:rsid w:val="00C45145"/>
    <w:rsid w:val="00C45199"/>
    <w:rsid w:val="00C453F7"/>
    <w:rsid w:val="00C456DB"/>
    <w:rsid w:val="00C4572B"/>
    <w:rsid w:val="00C4579C"/>
    <w:rsid w:val="00C459BF"/>
    <w:rsid w:val="00C45A9D"/>
    <w:rsid w:val="00C45AFA"/>
    <w:rsid w:val="00C45C2C"/>
    <w:rsid w:val="00C45C49"/>
    <w:rsid w:val="00C45C99"/>
    <w:rsid w:val="00C45CE9"/>
    <w:rsid w:val="00C462B5"/>
    <w:rsid w:val="00C46315"/>
    <w:rsid w:val="00C46350"/>
    <w:rsid w:val="00C46385"/>
    <w:rsid w:val="00C46471"/>
    <w:rsid w:val="00C46479"/>
    <w:rsid w:val="00C464EB"/>
    <w:rsid w:val="00C46513"/>
    <w:rsid w:val="00C465A6"/>
    <w:rsid w:val="00C46780"/>
    <w:rsid w:val="00C467D4"/>
    <w:rsid w:val="00C467DE"/>
    <w:rsid w:val="00C46B14"/>
    <w:rsid w:val="00C46B42"/>
    <w:rsid w:val="00C46C04"/>
    <w:rsid w:val="00C46CED"/>
    <w:rsid w:val="00C46D34"/>
    <w:rsid w:val="00C46E3D"/>
    <w:rsid w:val="00C46EA1"/>
    <w:rsid w:val="00C46F6D"/>
    <w:rsid w:val="00C470AD"/>
    <w:rsid w:val="00C47231"/>
    <w:rsid w:val="00C473AD"/>
    <w:rsid w:val="00C473B4"/>
    <w:rsid w:val="00C4740C"/>
    <w:rsid w:val="00C4744C"/>
    <w:rsid w:val="00C4749E"/>
    <w:rsid w:val="00C47571"/>
    <w:rsid w:val="00C47668"/>
    <w:rsid w:val="00C476B2"/>
    <w:rsid w:val="00C4783E"/>
    <w:rsid w:val="00C47858"/>
    <w:rsid w:val="00C478C2"/>
    <w:rsid w:val="00C4794E"/>
    <w:rsid w:val="00C47959"/>
    <w:rsid w:val="00C47A21"/>
    <w:rsid w:val="00C47AAD"/>
    <w:rsid w:val="00C47B1D"/>
    <w:rsid w:val="00C47BEF"/>
    <w:rsid w:val="00C47C99"/>
    <w:rsid w:val="00C47D24"/>
    <w:rsid w:val="00C47DB7"/>
    <w:rsid w:val="00C47DD6"/>
    <w:rsid w:val="00C47E2A"/>
    <w:rsid w:val="00C47EF5"/>
    <w:rsid w:val="00C47FFB"/>
    <w:rsid w:val="00C50106"/>
    <w:rsid w:val="00C5020B"/>
    <w:rsid w:val="00C5022F"/>
    <w:rsid w:val="00C5023C"/>
    <w:rsid w:val="00C50491"/>
    <w:rsid w:val="00C504D7"/>
    <w:rsid w:val="00C5082F"/>
    <w:rsid w:val="00C508CA"/>
    <w:rsid w:val="00C508D4"/>
    <w:rsid w:val="00C508EA"/>
    <w:rsid w:val="00C5098B"/>
    <w:rsid w:val="00C50AD3"/>
    <w:rsid w:val="00C50B79"/>
    <w:rsid w:val="00C50CCA"/>
    <w:rsid w:val="00C50CDE"/>
    <w:rsid w:val="00C50E0E"/>
    <w:rsid w:val="00C50E56"/>
    <w:rsid w:val="00C50F02"/>
    <w:rsid w:val="00C50F58"/>
    <w:rsid w:val="00C51180"/>
    <w:rsid w:val="00C511A7"/>
    <w:rsid w:val="00C51346"/>
    <w:rsid w:val="00C5134F"/>
    <w:rsid w:val="00C5139A"/>
    <w:rsid w:val="00C51431"/>
    <w:rsid w:val="00C5151B"/>
    <w:rsid w:val="00C51535"/>
    <w:rsid w:val="00C515A5"/>
    <w:rsid w:val="00C515E3"/>
    <w:rsid w:val="00C51630"/>
    <w:rsid w:val="00C5163D"/>
    <w:rsid w:val="00C5177E"/>
    <w:rsid w:val="00C518FF"/>
    <w:rsid w:val="00C51901"/>
    <w:rsid w:val="00C519CD"/>
    <w:rsid w:val="00C51A2D"/>
    <w:rsid w:val="00C51D4B"/>
    <w:rsid w:val="00C51DFC"/>
    <w:rsid w:val="00C51EEC"/>
    <w:rsid w:val="00C51F12"/>
    <w:rsid w:val="00C51F1D"/>
    <w:rsid w:val="00C51F58"/>
    <w:rsid w:val="00C51F79"/>
    <w:rsid w:val="00C51F80"/>
    <w:rsid w:val="00C51F98"/>
    <w:rsid w:val="00C51FC5"/>
    <w:rsid w:val="00C51FD2"/>
    <w:rsid w:val="00C520F7"/>
    <w:rsid w:val="00C521CB"/>
    <w:rsid w:val="00C52299"/>
    <w:rsid w:val="00C5229A"/>
    <w:rsid w:val="00C522DE"/>
    <w:rsid w:val="00C5231B"/>
    <w:rsid w:val="00C523CB"/>
    <w:rsid w:val="00C523EC"/>
    <w:rsid w:val="00C524BA"/>
    <w:rsid w:val="00C52592"/>
    <w:rsid w:val="00C52609"/>
    <w:rsid w:val="00C52774"/>
    <w:rsid w:val="00C52786"/>
    <w:rsid w:val="00C52964"/>
    <w:rsid w:val="00C5297B"/>
    <w:rsid w:val="00C52999"/>
    <w:rsid w:val="00C52AD9"/>
    <w:rsid w:val="00C52AE0"/>
    <w:rsid w:val="00C52C0B"/>
    <w:rsid w:val="00C52CAA"/>
    <w:rsid w:val="00C52D65"/>
    <w:rsid w:val="00C52D68"/>
    <w:rsid w:val="00C52DAB"/>
    <w:rsid w:val="00C52DCE"/>
    <w:rsid w:val="00C52DE0"/>
    <w:rsid w:val="00C52DEA"/>
    <w:rsid w:val="00C52EE9"/>
    <w:rsid w:val="00C530EA"/>
    <w:rsid w:val="00C533A7"/>
    <w:rsid w:val="00C533B1"/>
    <w:rsid w:val="00C533FA"/>
    <w:rsid w:val="00C5369F"/>
    <w:rsid w:val="00C53735"/>
    <w:rsid w:val="00C5376A"/>
    <w:rsid w:val="00C53816"/>
    <w:rsid w:val="00C5384A"/>
    <w:rsid w:val="00C5388F"/>
    <w:rsid w:val="00C538C5"/>
    <w:rsid w:val="00C53AB1"/>
    <w:rsid w:val="00C53B26"/>
    <w:rsid w:val="00C53B4F"/>
    <w:rsid w:val="00C53B70"/>
    <w:rsid w:val="00C53B97"/>
    <w:rsid w:val="00C53C1A"/>
    <w:rsid w:val="00C53D21"/>
    <w:rsid w:val="00C53D35"/>
    <w:rsid w:val="00C53E01"/>
    <w:rsid w:val="00C53E3E"/>
    <w:rsid w:val="00C53E60"/>
    <w:rsid w:val="00C53EE7"/>
    <w:rsid w:val="00C53F49"/>
    <w:rsid w:val="00C53F88"/>
    <w:rsid w:val="00C53FDD"/>
    <w:rsid w:val="00C540DE"/>
    <w:rsid w:val="00C5413F"/>
    <w:rsid w:val="00C54209"/>
    <w:rsid w:val="00C54259"/>
    <w:rsid w:val="00C542A2"/>
    <w:rsid w:val="00C54454"/>
    <w:rsid w:val="00C54474"/>
    <w:rsid w:val="00C544FE"/>
    <w:rsid w:val="00C54666"/>
    <w:rsid w:val="00C54753"/>
    <w:rsid w:val="00C54813"/>
    <w:rsid w:val="00C54820"/>
    <w:rsid w:val="00C548AE"/>
    <w:rsid w:val="00C548FF"/>
    <w:rsid w:val="00C54C06"/>
    <w:rsid w:val="00C54D00"/>
    <w:rsid w:val="00C54DD2"/>
    <w:rsid w:val="00C54ED6"/>
    <w:rsid w:val="00C55006"/>
    <w:rsid w:val="00C55080"/>
    <w:rsid w:val="00C5523C"/>
    <w:rsid w:val="00C552EC"/>
    <w:rsid w:val="00C5530D"/>
    <w:rsid w:val="00C553BF"/>
    <w:rsid w:val="00C553D9"/>
    <w:rsid w:val="00C5543E"/>
    <w:rsid w:val="00C554D5"/>
    <w:rsid w:val="00C55501"/>
    <w:rsid w:val="00C555AF"/>
    <w:rsid w:val="00C555E8"/>
    <w:rsid w:val="00C55847"/>
    <w:rsid w:val="00C558FA"/>
    <w:rsid w:val="00C5599B"/>
    <w:rsid w:val="00C55ABB"/>
    <w:rsid w:val="00C55ACB"/>
    <w:rsid w:val="00C55C93"/>
    <w:rsid w:val="00C55CC5"/>
    <w:rsid w:val="00C55D69"/>
    <w:rsid w:val="00C55DBD"/>
    <w:rsid w:val="00C55DD5"/>
    <w:rsid w:val="00C55EB6"/>
    <w:rsid w:val="00C55FC6"/>
    <w:rsid w:val="00C56028"/>
    <w:rsid w:val="00C5607A"/>
    <w:rsid w:val="00C56171"/>
    <w:rsid w:val="00C56286"/>
    <w:rsid w:val="00C562A0"/>
    <w:rsid w:val="00C56324"/>
    <w:rsid w:val="00C56349"/>
    <w:rsid w:val="00C5636C"/>
    <w:rsid w:val="00C56446"/>
    <w:rsid w:val="00C564AF"/>
    <w:rsid w:val="00C565DD"/>
    <w:rsid w:val="00C56806"/>
    <w:rsid w:val="00C5682D"/>
    <w:rsid w:val="00C56850"/>
    <w:rsid w:val="00C5685D"/>
    <w:rsid w:val="00C56C85"/>
    <w:rsid w:val="00C56D25"/>
    <w:rsid w:val="00C56DB2"/>
    <w:rsid w:val="00C56DF0"/>
    <w:rsid w:val="00C56DFB"/>
    <w:rsid w:val="00C56E2A"/>
    <w:rsid w:val="00C56E42"/>
    <w:rsid w:val="00C56EBB"/>
    <w:rsid w:val="00C56F02"/>
    <w:rsid w:val="00C56F0B"/>
    <w:rsid w:val="00C57054"/>
    <w:rsid w:val="00C57064"/>
    <w:rsid w:val="00C57099"/>
    <w:rsid w:val="00C5712D"/>
    <w:rsid w:val="00C5725B"/>
    <w:rsid w:val="00C5736E"/>
    <w:rsid w:val="00C57409"/>
    <w:rsid w:val="00C574CF"/>
    <w:rsid w:val="00C574D6"/>
    <w:rsid w:val="00C5756F"/>
    <w:rsid w:val="00C57592"/>
    <w:rsid w:val="00C575D4"/>
    <w:rsid w:val="00C57613"/>
    <w:rsid w:val="00C576C7"/>
    <w:rsid w:val="00C5770B"/>
    <w:rsid w:val="00C577A9"/>
    <w:rsid w:val="00C5782A"/>
    <w:rsid w:val="00C5796C"/>
    <w:rsid w:val="00C579E1"/>
    <w:rsid w:val="00C57A53"/>
    <w:rsid w:val="00C57A9C"/>
    <w:rsid w:val="00C57AA5"/>
    <w:rsid w:val="00C57AE9"/>
    <w:rsid w:val="00C57B05"/>
    <w:rsid w:val="00C57BC5"/>
    <w:rsid w:val="00C57C2F"/>
    <w:rsid w:val="00C57C65"/>
    <w:rsid w:val="00C57C6D"/>
    <w:rsid w:val="00C57D80"/>
    <w:rsid w:val="00C57D8F"/>
    <w:rsid w:val="00C57EAA"/>
    <w:rsid w:val="00C57F73"/>
    <w:rsid w:val="00C601DB"/>
    <w:rsid w:val="00C603C3"/>
    <w:rsid w:val="00C60401"/>
    <w:rsid w:val="00C60495"/>
    <w:rsid w:val="00C605A0"/>
    <w:rsid w:val="00C605B7"/>
    <w:rsid w:val="00C60658"/>
    <w:rsid w:val="00C606B2"/>
    <w:rsid w:val="00C60744"/>
    <w:rsid w:val="00C60865"/>
    <w:rsid w:val="00C6088A"/>
    <w:rsid w:val="00C608B8"/>
    <w:rsid w:val="00C608FD"/>
    <w:rsid w:val="00C60909"/>
    <w:rsid w:val="00C60AF9"/>
    <w:rsid w:val="00C60B8B"/>
    <w:rsid w:val="00C60BED"/>
    <w:rsid w:val="00C60C5B"/>
    <w:rsid w:val="00C60D9E"/>
    <w:rsid w:val="00C60E1B"/>
    <w:rsid w:val="00C60EA6"/>
    <w:rsid w:val="00C60FB1"/>
    <w:rsid w:val="00C60FB9"/>
    <w:rsid w:val="00C60FE9"/>
    <w:rsid w:val="00C60FEB"/>
    <w:rsid w:val="00C610B0"/>
    <w:rsid w:val="00C610FC"/>
    <w:rsid w:val="00C611B7"/>
    <w:rsid w:val="00C61244"/>
    <w:rsid w:val="00C613C3"/>
    <w:rsid w:val="00C61468"/>
    <w:rsid w:val="00C6148C"/>
    <w:rsid w:val="00C615B8"/>
    <w:rsid w:val="00C61641"/>
    <w:rsid w:val="00C61712"/>
    <w:rsid w:val="00C6177C"/>
    <w:rsid w:val="00C61946"/>
    <w:rsid w:val="00C61A33"/>
    <w:rsid w:val="00C61A74"/>
    <w:rsid w:val="00C61C35"/>
    <w:rsid w:val="00C61CB7"/>
    <w:rsid w:val="00C61D9A"/>
    <w:rsid w:val="00C61E14"/>
    <w:rsid w:val="00C61EAD"/>
    <w:rsid w:val="00C62076"/>
    <w:rsid w:val="00C620BA"/>
    <w:rsid w:val="00C622E6"/>
    <w:rsid w:val="00C622F9"/>
    <w:rsid w:val="00C624AE"/>
    <w:rsid w:val="00C624BD"/>
    <w:rsid w:val="00C624D4"/>
    <w:rsid w:val="00C6256B"/>
    <w:rsid w:val="00C625DA"/>
    <w:rsid w:val="00C62602"/>
    <w:rsid w:val="00C627DD"/>
    <w:rsid w:val="00C6289D"/>
    <w:rsid w:val="00C6290B"/>
    <w:rsid w:val="00C629F8"/>
    <w:rsid w:val="00C62AA2"/>
    <w:rsid w:val="00C62ADF"/>
    <w:rsid w:val="00C62B0D"/>
    <w:rsid w:val="00C62BD3"/>
    <w:rsid w:val="00C62D17"/>
    <w:rsid w:val="00C62D6E"/>
    <w:rsid w:val="00C62E46"/>
    <w:rsid w:val="00C62F39"/>
    <w:rsid w:val="00C63026"/>
    <w:rsid w:val="00C63060"/>
    <w:rsid w:val="00C630A0"/>
    <w:rsid w:val="00C6316A"/>
    <w:rsid w:val="00C631AE"/>
    <w:rsid w:val="00C63204"/>
    <w:rsid w:val="00C6322F"/>
    <w:rsid w:val="00C6325B"/>
    <w:rsid w:val="00C63355"/>
    <w:rsid w:val="00C634CC"/>
    <w:rsid w:val="00C634F2"/>
    <w:rsid w:val="00C634FF"/>
    <w:rsid w:val="00C63570"/>
    <w:rsid w:val="00C635A2"/>
    <w:rsid w:val="00C63661"/>
    <w:rsid w:val="00C63674"/>
    <w:rsid w:val="00C636A2"/>
    <w:rsid w:val="00C63767"/>
    <w:rsid w:val="00C6380F"/>
    <w:rsid w:val="00C63852"/>
    <w:rsid w:val="00C63A33"/>
    <w:rsid w:val="00C63A34"/>
    <w:rsid w:val="00C63BAD"/>
    <w:rsid w:val="00C63DEA"/>
    <w:rsid w:val="00C63E5F"/>
    <w:rsid w:val="00C63F62"/>
    <w:rsid w:val="00C640A4"/>
    <w:rsid w:val="00C641C9"/>
    <w:rsid w:val="00C64290"/>
    <w:rsid w:val="00C642BC"/>
    <w:rsid w:val="00C64503"/>
    <w:rsid w:val="00C64701"/>
    <w:rsid w:val="00C64736"/>
    <w:rsid w:val="00C64904"/>
    <w:rsid w:val="00C64984"/>
    <w:rsid w:val="00C64B52"/>
    <w:rsid w:val="00C64BC8"/>
    <w:rsid w:val="00C64BCF"/>
    <w:rsid w:val="00C64C14"/>
    <w:rsid w:val="00C64C2A"/>
    <w:rsid w:val="00C64C2D"/>
    <w:rsid w:val="00C64CA0"/>
    <w:rsid w:val="00C64D14"/>
    <w:rsid w:val="00C64FD5"/>
    <w:rsid w:val="00C65071"/>
    <w:rsid w:val="00C65090"/>
    <w:rsid w:val="00C652A0"/>
    <w:rsid w:val="00C65327"/>
    <w:rsid w:val="00C653F8"/>
    <w:rsid w:val="00C6555B"/>
    <w:rsid w:val="00C6557C"/>
    <w:rsid w:val="00C6557D"/>
    <w:rsid w:val="00C65596"/>
    <w:rsid w:val="00C656AE"/>
    <w:rsid w:val="00C65952"/>
    <w:rsid w:val="00C65A14"/>
    <w:rsid w:val="00C65A26"/>
    <w:rsid w:val="00C65A72"/>
    <w:rsid w:val="00C65B10"/>
    <w:rsid w:val="00C65BCB"/>
    <w:rsid w:val="00C65BEB"/>
    <w:rsid w:val="00C65CCE"/>
    <w:rsid w:val="00C65D05"/>
    <w:rsid w:val="00C65D32"/>
    <w:rsid w:val="00C65D98"/>
    <w:rsid w:val="00C65F9C"/>
    <w:rsid w:val="00C6625D"/>
    <w:rsid w:val="00C6637B"/>
    <w:rsid w:val="00C663D6"/>
    <w:rsid w:val="00C6654E"/>
    <w:rsid w:val="00C66609"/>
    <w:rsid w:val="00C6676E"/>
    <w:rsid w:val="00C66791"/>
    <w:rsid w:val="00C667F2"/>
    <w:rsid w:val="00C66807"/>
    <w:rsid w:val="00C6689B"/>
    <w:rsid w:val="00C6694A"/>
    <w:rsid w:val="00C66963"/>
    <w:rsid w:val="00C66AB7"/>
    <w:rsid w:val="00C66AC6"/>
    <w:rsid w:val="00C66AD2"/>
    <w:rsid w:val="00C66B1E"/>
    <w:rsid w:val="00C66B2D"/>
    <w:rsid w:val="00C66BA7"/>
    <w:rsid w:val="00C66BB4"/>
    <w:rsid w:val="00C66C23"/>
    <w:rsid w:val="00C66D0B"/>
    <w:rsid w:val="00C66D38"/>
    <w:rsid w:val="00C66E13"/>
    <w:rsid w:val="00C66E7C"/>
    <w:rsid w:val="00C66F16"/>
    <w:rsid w:val="00C67159"/>
    <w:rsid w:val="00C671BC"/>
    <w:rsid w:val="00C6720B"/>
    <w:rsid w:val="00C672D3"/>
    <w:rsid w:val="00C67300"/>
    <w:rsid w:val="00C673A4"/>
    <w:rsid w:val="00C673B2"/>
    <w:rsid w:val="00C673EF"/>
    <w:rsid w:val="00C673F5"/>
    <w:rsid w:val="00C673FB"/>
    <w:rsid w:val="00C6740A"/>
    <w:rsid w:val="00C67491"/>
    <w:rsid w:val="00C674A3"/>
    <w:rsid w:val="00C6754B"/>
    <w:rsid w:val="00C6755B"/>
    <w:rsid w:val="00C67745"/>
    <w:rsid w:val="00C67749"/>
    <w:rsid w:val="00C67814"/>
    <w:rsid w:val="00C6794F"/>
    <w:rsid w:val="00C67996"/>
    <w:rsid w:val="00C67A5A"/>
    <w:rsid w:val="00C67A84"/>
    <w:rsid w:val="00C67ACE"/>
    <w:rsid w:val="00C67BE1"/>
    <w:rsid w:val="00C67BEF"/>
    <w:rsid w:val="00C67CEB"/>
    <w:rsid w:val="00C67E06"/>
    <w:rsid w:val="00C67E2A"/>
    <w:rsid w:val="00C67E53"/>
    <w:rsid w:val="00C67F21"/>
    <w:rsid w:val="00C70064"/>
    <w:rsid w:val="00C70077"/>
    <w:rsid w:val="00C70171"/>
    <w:rsid w:val="00C70209"/>
    <w:rsid w:val="00C7021D"/>
    <w:rsid w:val="00C7030B"/>
    <w:rsid w:val="00C7038E"/>
    <w:rsid w:val="00C70434"/>
    <w:rsid w:val="00C70478"/>
    <w:rsid w:val="00C7051A"/>
    <w:rsid w:val="00C705B4"/>
    <w:rsid w:val="00C706E0"/>
    <w:rsid w:val="00C706E2"/>
    <w:rsid w:val="00C70790"/>
    <w:rsid w:val="00C70866"/>
    <w:rsid w:val="00C7092C"/>
    <w:rsid w:val="00C70A75"/>
    <w:rsid w:val="00C70ABD"/>
    <w:rsid w:val="00C70B77"/>
    <w:rsid w:val="00C70BC2"/>
    <w:rsid w:val="00C70BD3"/>
    <w:rsid w:val="00C70C80"/>
    <w:rsid w:val="00C70CD6"/>
    <w:rsid w:val="00C70DDC"/>
    <w:rsid w:val="00C70E41"/>
    <w:rsid w:val="00C70E71"/>
    <w:rsid w:val="00C70F1B"/>
    <w:rsid w:val="00C711BA"/>
    <w:rsid w:val="00C7126C"/>
    <w:rsid w:val="00C712BD"/>
    <w:rsid w:val="00C71418"/>
    <w:rsid w:val="00C7141A"/>
    <w:rsid w:val="00C714D7"/>
    <w:rsid w:val="00C71520"/>
    <w:rsid w:val="00C715E2"/>
    <w:rsid w:val="00C7163D"/>
    <w:rsid w:val="00C717DE"/>
    <w:rsid w:val="00C717F1"/>
    <w:rsid w:val="00C719B4"/>
    <w:rsid w:val="00C71A88"/>
    <w:rsid w:val="00C71B5D"/>
    <w:rsid w:val="00C71D11"/>
    <w:rsid w:val="00C71DEF"/>
    <w:rsid w:val="00C71E53"/>
    <w:rsid w:val="00C71E5E"/>
    <w:rsid w:val="00C71E9D"/>
    <w:rsid w:val="00C71EBB"/>
    <w:rsid w:val="00C71F8D"/>
    <w:rsid w:val="00C71FE0"/>
    <w:rsid w:val="00C72252"/>
    <w:rsid w:val="00C7229C"/>
    <w:rsid w:val="00C722EF"/>
    <w:rsid w:val="00C7234E"/>
    <w:rsid w:val="00C72354"/>
    <w:rsid w:val="00C7237F"/>
    <w:rsid w:val="00C723F0"/>
    <w:rsid w:val="00C72458"/>
    <w:rsid w:val="00C72744"/>
    <w:rsid w:val="00C729EE"/>
    <w:rsid w:val="00C72A98"/>
    <w:rsid w:val="00C72AFE"/>
    <w:rsid w:val="00C72D40"/>
    <w:rsid w:val="00C72F79"/>
    <w:rsid w:val="00C72F85"/>
    <w:rsid w:val="00C730B5"/>
    <w:rsid w:val="00C73137"/>
    <w:rsid w:val="00C731C5"/>
    <w:rsid w:val="00C73245"/>
    <w:rsid w:val="00C73478"/>
    <w:rsid w:val="00C734CC"/>
    <w:rsid w:val="00C7351B"/>
    <w:rsid w:val="00C735E5"/>
    <w:rsid w:val="00C73727"/>
    <w:rsid w:val="00C7375E"/>
    <w:rsid w:val="00C737A4"/>
    <w:rsid w:val="00C737B9"/>
    <w:rsid w:val="00C737D9"/>
    <w:rsid w:val="00C738BB"/>
    <w:rsid w:val="00C738F0"/>
    <w:rsid w:val="00C73950"/>
    <w:rsid w:val="00C73A58"/>
    <w:rsid w:val="00C73B20"/>
    <w:rsid w:val="00C73B93"/>
    <w:rsid w:val="00C73C21"/>
    <w:rsid w:val="00C73C65"/>
    <w:rsid w:val="00C73E40"/>
    <w:rsid w:val="00C73EE7"/>
    <w:rsid w:val="00C74181"/>
    <w:rsid w:val="00C7426C"/>
    <w:rsid w:val="00C74338"/>
    <w:rsid w:val="00C74361"/>
    <w:rsid w:val="00C74391"/>
    <w:rsid w:val="00C743DA"/>
    <w:rsid w:val="00C7449A"/>
    <w:rsid w:val="00C7449B"/>
    <w:rsid w:val="00C7453D"/>
    <w:rsid w:val="00C7455F"/>
    <w:rsid w:val="00C74604"/>
    <w:rsid w:val="00C74687"/>
    <w:rsid w:val="00C746C3"/>
    <w:rsid w:val="00C74847"/>
    <w:rsid w:val="00C74879"/>
    <w:rsid w:val="00C74916"/>
    <w:rsid w:val="00C74AAD"/>
    <w:rsid w:val="00C74AE2"/>
    <w:rsid w:val="00C74C4B"/>
    <w:rsid w:val="00C74CB3"/>
    <w:rsid w:val="00C74D1E"/>
    <w:rsid w:val="00C74D2C"/>
    <w:rsid w:val="00C74F82"/>
    <w:rsid w:val="00C74FA9"/>
    <w:rsid w:val="00C7508F"/>
    <w:rsid w:val="00C7513E"/>
    <w:rsid w:val="00C75169"/>
    <w:rsid w:val="00C751B5"/>
    <w:rsid w:val="00C7523F"/>
    <w:rsid w:val="00C75301"/>
    <w:rsid w:val="00C753D5"/>
    <w:rsid w:val="00C75503"/>
    <w:rsid w:val="00C755D8"/>
    <w:rsid w:val="00C7563B"/>
    <w:rsid w:val="00C756F7"/>
    <w:rsid w:val="00C7581B"/>
    <w:rsid w:val="00C75831"/>
    <w:rsid w:val="00C758D4"/>
    <w:rsid w:val="00C75A22"/>
    <w:rsid w:val="00C75A8B"/>
    <w:rsid w:val="00C75B17"/>
    <w:rsid w:val="00C75B44"/>
    <w:rsid w:val="00C75BE1"/>
    <w:rsid w:val="00C75C39"/>
    <w:rsid w:val="00C75D7E"/>
    <w:rsid w:val="00C75F38"/>
    <w:rsid w:val="00C75F58"/>
    <w:rsid w:val="00C760D8"/>
    <w:rsid w:val="00C76120"/>
    <w:rsid w:val="00C76318"/>
    <w:rsid w:val="00C76364"/>
    <w:rsid w:val="00C76389"/>
    <w:rsid w:val="00C7641B"/>
    <w:rsid w:val="00C7642A"/>
    <w:rsid w:val="00C76460"/>
    <w:rsid w:val="00C7652A"/>
    <w:rsid w:val="00C76544"/>
    <w:rsid w:val="00C7660B"/>
    <w:rsid w:val="00C7661E"/>
    <w:rsid w:val="00C7668A"/>
    <w:rsid w:val="00C7668C"/>
    <w:rsid w:val="00C766B0"/>
    <w:rsid w:val="00C766F8"/>
    <w:rsid w:val="00C7675F"/>
    <w:rsid w:val="00C76986"/>
    <w:rsid w:val="00C76A01"/>
    <w:rsid w:val="00C76A44"/>
    <w:rsid w:val="00C76A99"/>
    <w:rsid w:val="00C76B50"/>
    <w:rsid w:val="00C76B5D"/>
    <w:rsid w:val="00C76CE2"/>
    <w:rsid w:val="00C771D5"/>
    <w:rsid w:val="00C77225"/>
    <w:rsid w:val="00C7723E"/>
    <w:rsid w:val="00C7726A"/>
    <w:rsid w:val="00C772CD"/>
    <w:rsid w:val="00C773A7"/>
    <w:rsid w:val="00C774EC"/>
    <w:rsid w:val="00C77546"/>
    <w:rsid w:val="00C775D2"/>
    <w:rsid w:val="00C7765A"/>
    <w:rsid w:val="00C7765E"/>
    <w:rsid w:val="00C7768D"/>
    <w:rsid w:val="00C77742"/>
    <w:rsid w:val="00C77753"/>
    <w:rsid w:val="00C77857"/>
    <w:rsid w:val="00C778AF"/>
    <w:rsid w:val="00C77A1F"/>
    <w:rsid w:val="00C77C09"/>
    <w:rsid w:val="00C77C75"/>
    <w:rsid w:val="00C77EF1"/>
    <w:rsid w:val="00C77F01"/>
    <w:rsid w:val="00C77F3D"/>
    <w:rsid w:val="00C77F79"/>
    <w:rsid w:val="00C80074"/>
    <w:rsid w:val="00C8008A"/>
    <w:rsid w:val="00C8012F"/>
    <w:rsid w:val="00C80133"/>
    <w:rsid w:val="00C80176"/>
    <w:rsid w:val="00C803BD"/>
    <w:rsid w:val="00C80429"/>
    <w:rsid w:val="00C80485"/>
    <w:rsid w:val="00C805F1"/>
    <w:rsid w:val="00C807F8"/>
    <w:rsid w:val="00C80846"/>
    <w:rsid w:val="00C80902"/>
    <w:rsid w:val="00C80987"/>
    <w:rsid w:val="00C80A1B"/>
    <w:rsid w:val="00C80ABC"/>
    <w:rsid w:val="00C80CCC"/>
    <w:rsid w:val="00C80CED"/>
    <w:rsid w:val="00C80D87"/>
    <w:rsid w:val="00C80DEB"/>
    <w:rsid w:val="00C80E9D"/>
    <w:rsid w:val="00C80F06"/>
    <w:rsid w:val="00C80FB7"/>
    <w:rsid w:val="00C81196"/>
    <w:rsid w:val="00C81287"/>
    <w:rsid w:val="00C81309"/>
    <w:rsid w:val="00C813C3"/>
    <w:rsid w:val="00C813F3"/>
    <w:rsid w:val="00C81599"/>
    <w:rsid w:val="00C8166A"/>
    <w:rsid w:val="00C816AE"/>
    <w:rsid w:val="00C81830"/>
    <w:rsid w:val="00C8183D"/>
    <w:rsid w:val="00C818AF"/>
    <w:rsid w:val="00C818B3"/>
    <w:rsid w:val="00C81A6E"/>
    <w:rsid w:val="00C81B31"/>
    <w:rsid w:val="00C81D3E"/>
    <w:rsid w:val="00C81D6E"/>
    <w:rsid w:val="00C81DCC"/>
    <w:rsid w:val="00C81DCE"/>
    <w:rsid w:val="00C81F7E"/>
    <w:rsid w:val="00C81FB2"/>
    <w:rsid w:val="00C821C9"/>
    <w:rsid w:val="00C82215"/>
    <w:rsid w:val="00C82286"/>
    <w:rsid w:val="00C822E7"/>
    <w:rsid w:val="00C823F2"/>
    <w:rsid w:val="00C824D6"/>
    <w:rsid w:val="00C82564"/>
    <w:rsid w:val="00C82570"/>
    <w:rsid w:val="00C825C8"/>
    <w:rsid w:val="00C826E8"/>
    <w:rsid w:val="00C82701"/>
    <w:rsid w:val="00C829A9"/>
    <w:rsid w:val="00C82A2F"/>
    <w:rsid w:val="00C82AAD"/>
    <w:rsid w:val="00C82B0C"/>
    <w:rsid w:val="00C82CCE"/>
    <w:rsid w:val="00C82D4E"/>
    <w:rsid w:val="00C82EAA"/>
    <w:rsid w:val="00C82F3B"/>
    <w:rsid w:val="00C8308F"/>
    <w:rsid w:val="00C830CA"/>
    <w:rsid w:val="00C83348"/>
    <w:rsid w:val="00C8335C"/>
    <w:rsid w:val="00C83408"/>
    <w:rsid w:val="00C83522"/>
    <w:rsid w:val="00C83559"/>
    <w:rsid w:val="00C835D5"/>
    <w:rsid w:val="00C8363C"/>
    <w:rsid w:val="00C83644"/>
    <w:rsid w:val="00C83845"/>
    <w:rsid w:val="00C8389F"/>
    <w:rsid w:val="00C83917"/>
    <w:rsid w:val="00C8395D"/>
    <w:rsid w:val="00C83A62"/>
    <w:rsid w:val="00C83BCC"/>
    <w:rsid w:val="00C83BF9"/>
    <w:rsid w:val="00C83C25"/>
    <w:rsid w:val="00C83CE3"/>
    <w:rsid w:val="00C83DD0"/>
    <w:rsid w:val="00C83DD1"/>
    <w:rsid w:val="00C83E42"/>
    <w:rsid w:val="00C83FA1"/>
    <w:rsid w:val="00C83FE2"/>
    <w:rsid w:val="00C84009"/>
    <w:rsid w:val="00C8418F"/>
    <w:rsid w:val="00C84271"/>
    <w:rsid w:val="00C8429C"/>
    <w:rsid w:val="00C84308"/>
    <w:rsid w:val="00C84331"/>
    <w:rsid w:val="00C84431"/>
    <w:rsid w:val="00C8449B"/>
    <w:rsid w:val="00C84589"/>
    <w:rsid w:val="00C8466E"/>
    <w:rsid w:val="00C84ACA"/>
    <w:rsid w:val="00C84C2F"/>
    <w:rsid w:val="00C84CB0"/>
    <w:rsid w:val="00C84D89"/>
    <w:rsid w:val="00C84E05"/>
    <w:rsid w:val="00C84EB0"/>
    <w:rsid w:val="00C84F29"/>
    <w:rsid w:val="00C84F9B"/>
    <w:rsid w:val="00C85024"/>
    <w:rsid w:val="00C8505A"/>
    <w:rsid w:val="00C85087"/>
    <w:rsid w:val="00C8511E"/>
    <w:rsid w:val="00C851A9"/>
    <w:rsid w:val="00C852B5"/>
    <w:rsid w:val="00C85487"/>
    <w:rsid w:val="00C8548E"/>
    <w:rsid w:val="00C85525"/>
    <w:rsid w:val="00C85631"/>
    <w:rsid w:val="00C8564E"/>
    <w:rsid w:val="00C8571E"/>
    <w:rsid w:val="00C8573A"/>
    <w:rsid w:val="00C8573F"/>
    <w:rsid w:val="00C857D6"/>
    <w:rsid w:val="00C8589D"/>
    <w:rsid w:val="00C8589F"/>
    <w:rsid w:val="00C8591D"/>
    <w:rsid w:val="00C859A3"/>
    <w:rsid w:val="00C85A34"/>
    <w:rsid w:val="00C85ACA"/>
    <w:rsid w:val="00C85CDE"/>
    <w:rsid w:val="00C85CDF"/>
    <w:rsid w:val="00C85D48"/>
    <w:rsid w:val="00C85EB0"/>
    <w:rsid w:val="00C85EF1"/>
    <w:rsid w:val="00C85F07"/>
    <w:rsid w:val="00C86005"/>
    <w:rsid w:val="00C86066"/>
    <w:rsid w:val="00C8606D"/>
    <w:rsid w:val="00C860C5"/>
    <w:rsid w:val="00C8628B"/>
    <w:rsid w:val="00C864D8"/>
    <w:rsid w:val="00C8658B"/>
    <w:rsid w:val="00C865A4"/>
    <w:rsid w:val="00C86833"/>
    <w:rsid w:val="00C86844"/>
    <w:rsid w:val="00C86864"/>
    <w:rsid w:val="00C868B9"/>
    <w:rsid w:val="00C868DE"/>
    <w:rsid w:val="00C86995"/>
    <w:rsid w:val="00C869C6"/>
    <w:rsid w:val="00C86E7E"/>
    <w:rsid w:val="00C86F28"/>
    <w:rsid w:val="00C8710B"/>
    <w:rsid w:val="00C87166"/>
    <w:rsid w:val="00C87263"/>
    <w:rsid w:val="00C875AD"/>
    <w:rsid w:val="00C8777A"/>
    <w:rsid w:val="00C8777F"/>
    <w:rsid w:val="00C878B5"/>
    <w:rsid w:val="00C87956"/>
    <w:rsid w:val="00C8797A"/>
    <w:rsid w:val="00C87BC8"/>
    <w:rsid w:val="00C87D08"/>
    <w:rsid w:val="00C87D70"/>
    <w:rsid w:val="00C87E04"/>
    <w:rsid w:val="00C87E51"/>
    <w:rsid w:val="00C87EEA"/>
    <w:rsid w:val="00C87F30"/>
    <w:rsid w:val="00C87FBA"/>
    <w:rsid w:val="00C90082"/>
    <w:rsid w:val="00C900B3"/>
    <w:rsid w:val="00C901E1"/>
    <w:rsid w:val="00C90203"/>
    <w:rsid w:val="00C902D8"/>
    <w:rsid w:val="00C902DD"/>
    <w:rsid w:val="00C9031D"/>
    <w:rsid w:val="00C9041F"/>
    <w:rsid w:val="00C905FB"/>
    <w:rsid w:val="00C90719"/>
    <w:rsid w:val="00C9073F"/>
    <w:rsid w:val="00C90811"/>
    <w:rsid w:val="00C9087F"/>
    <w:rsid w:val="00C909AE"/>
    <w:rsid w:val="00C909CA"/>
    <w:rsid w:val="00C90A31"/>
    <w:rsid w:val="00C90B0B"/>
    <w:rsid w:val="00C90BBC"/>
    <w:rsid w:val="00C90D09"/>
    <w:rsid w:val="00C90D9C"/>
    <w:rsid w:val="00C90EB8"/>
    <w:rsid w:val="00C90EFD"/>
    <w:rsid w:val="00C90F7C"/>
    <w:rsid w:val="00C9101D"/>
    <w:rsid w:val="00C9114C"/>
    <w:rsid w:val="00C9127A"/>
    <w:rsid w:val="00C91294"/>
    <w:rsid w:val="00C912D8"/>
    <w:rsid w:val="00C914A0"/>
    <w:rsid w:val="00C914C5"/>
    <w:rsid w:val="00C915E1"/>
    <w:rsid w:val="00C91648"/>
    <w:rsid w:val="00C916FF"/>
    <w:rsid w:val="00C91864"/>
    <w:rsid w:val="00C918F9"/>
    <w:rsid w:val="00C9194C"/>
    <w:rsid w:val="00C91B8A"/>
    <w:rsid w:val="00C91CD7"/>
    <w:rsid w:val="00C91D16"/>
    <w:rsid w:val="00C91E46"/>
    <w:rsid w:val="00C91EF9"/>
    <w:rsid w:val="00C91F10"/>
    <w:rsid w:val="00C91F4B"/>
    <w:rsid w:val="00C92009"/>
    <w:rsid w:val="00C92264"/>
    <w:rsid w:val="00C92297"/>
    <w:rsid w:val="00C9244D"/>
    <w:rsid w:val="00C924A1"/>
    <w:rsid w:val="00C924B4"/>
    <w:rsid w:val="00C9257D"/>
    <w:rsid w:val="00C92588"/>
    <w:rsid w:val="00C925DD"/>
    <w:rsid w:val="00C92642"/>
    <w:rsid w:val="00C926B8"/>
    <w:rsid w:val="00C927F6"/>
    <w:rsid w:val="00C92931"/>
    <w:rsid w:val="00C92945"/>
    <w:rsid w:val="00C92951"/>
    <w:rsid w:val="00C92981"/>
    <w:rsid w:val="00C929A3"/>
    <w:rsid w:val="00C92A32"/>
    <w:rsid w:val="00C92AE6"/>
    <w:rsid w:val="00C92B13"/>
    <w:rsid w:val="00C92B64"/>
    <w:rsid w:val="00C92BF9"/>
    <w:rsid w:val="00C92C2F"/>
    <w:rsid w:val="00C92C64"/>
    <w:rsid w:val="00C92D51"/>
    <w:rsid w:val="00C92D61"/>
    <w:rsid w:val="00C92D65"/>
    <w:rsid w:val="00C92DB9"/>
    <w:rsid w:val="00C92E07"/>
    <w:rsid w:val="00C92E7E"/>
    <w:rsid w:val="00C92F0B"/>
    <w:rsid w:val="00C92F34"/>
    <w:rsid w:val="00C92F78"/>
    <w:rsid w:val="00C93121"/>
    <w:rsid w:val="00C93126"/>
    <w:rsid w:val="00C93271"/>
    <w:rsid w:val="00C9328D"/>
    <w:rsid w:val="00C9328F"/>
    <w:rsid w:val="00C932CB"/>
    <w:rsid w:val="00C93452"/>
    <w:rsid w:val="00C9354D"/>
    <w:rsid w:val="00C935AA"/>
    <w:rsid w:val="00C935C0"/>
    <w:rsid w:val="00C935E9"/>
    <w:rsid w:val="00C936CA"/>
    <w:rsid w:val="00C936CB"/>
    <w:rsid w:val="00C936EF"/>
    <w:rsid w:val="00C93705"/>
    <w:rsid w:val="00C937A6"/>
    <w:rsid w:val="00C93837"/>
    <w:rsid w:val="00C9391C"/>
    <w:rsid w:val="00C93B98"/>
    <w:rsid w:val="00C93D4C"/>
    <w:rsid w:val="00C93F56"/>
    <w:rsid w:val="00C93F58"/>
    <w:rsid w:val="00C94067"/>
    <w:rsid w:val="00C940A0"/>
    <w:rsid w:val="00C940D4"/>
    <w:rsid w:val="00C9411A"/>
    <w:rsid w:val="00C94450"/>
    <w:rsid w:val="00C94468"/>
    <w:rsid w:val="00C9464E"/>
    <w:rsid w:val="00C94710"/>
    <w:rsid w:val="00C94760"/>
    <w:rsid w:val="00C9480E"/>
    <w:rsid w:val="00C9481D"/>
    <w:rsid w:val="00C94912"/>
    <w:rsid w:val="00C9493B"/>
    <w:rsid w:val="00C9498C"/>
    <w:rsid w:val="00C94991"/>
    <w:rsid w:val="00C94A13"/>
    <w:rsid w:val="00C94A69"/>
    <w:rsid w:val="00C94B6F"/>
    <w:rsid w:val="00C95024"/>
    <w:rsid w:val="00C951E1"/>
    <w:rsid w:val="00C95208"/>
    <w:rsid w:val="00C952C5"/>
    <w:rsid w:val="00C953AB"/>
    <w:rsid w:val="00C95420"/>
    <w:rsid w:val="00C95437"/>
    <w:rsid w:val="00C95495"/>
    <w:rsid w:val="00C954CD"/>
    <w:rsid w:val="00C9557E"/>
    <w:rsid w:val="00C95595"/>
    <w:rsid w:val="00C95702"/>
    <w:rsid w:val="00C95796"/>
    <w:rsid w:val="00C957A4"/>
    <w:rsid w:val="00C959C7"/>
    <w:rsid w:val="00C95A64"/>
    <w:rsid w:val="00C95ABE"/>
    <w:rsid w:val="00C95B13"/>
    <w:rsid w:val="00C95B3A"/>
    <w:rsid w:val="00C95B8D"/>
    <w:rsid w:val="00C95C27"/>
    <w:rsid w:val="00C95EB7"/>
    <w:rsid w:val="00C95FA5"/>
    <w:rsid w:val="00C95FA7"/>
    <w:rsid w:val="00C95FED"/>
    <w:rsid w:val="00C960FE"/>
    <w:rsid w:val="00C961BA"/>
    <w:rsid w:val="00C96212"/>
    <w:rsid w:val="00C963BA"/>
    <w:rsid w:val="00C96492"/>
    <w:rsid w:val="00C964C8"/>
    <w:rsid w:val="00C96543"/>
    <w:rsid w:val="00C965C3"/>
    <w:rsid w:val="00C967A5"/>
    <w:rsid w:val="00C9681D"/>
    <w:rsid w:val="00C968C2"/>
    <w:rsid w:val="00C968E8"/>
    <w:rsid w:val="00C96990"/>
    <w:rsid w:val="00C96A46"/>
    <w:rsid w:val="00C96A51"/>
    <w:rsid w:val="00C96B9B"/>
    <w:rsid w:val="00C96BB7"/>
    <w:rsid w:val="00C96BCE"/>
    <w:rsid w:val="00C96E4A"/>
    <w:rsid w:val="00C96F48"/>
    <w:rsid w:val="00C96F8F"/>
    <w:rsid w:val="00C9703E"/>
    <w:rsid w:val="00C970AA"/>
    <w:rsid w:val="00C97194"/>
    <w:rsid w:val="00C97199"/>
    <w:rsid w:val="00C97299"/>
    <w:rsid w:val="00C972E8"/>
    <w:rsid w:val="00C973AC"/>
    <w:rsid w:val="00C973B9"/>
    <w:rsid w:val="00C976CA"/>
    <w:rsid w:val="00C977B9"/>
    <w:rsid w:val="00C9784E"/>
    <w:rsid w:val="00C978F5"/>
    <w:rsid w:val="00C97A27"/>
    <w:rsid w:val="00C97A51"/>
    <w:rsid w:val="00C97A7D"/>
    <w:rsid w:val="00C97B43"/>
    <w:rsid w:val="00C97B91"/>
    <w:rsid w:val="00C97C1B"/>
    <w:rsid w:val="00C97C56"/>
    <w:rsid w:val="00C97CD3"/>
    <w:rsid w:val="00C97E14"/>
    <w:rsid w:val="00C97ED2"/>
    <w:rsid w:val="00C97F6D"/>
    <w:rsid w:val="00C97F94"/>
    <w:rsid w:val="00CA002C"/>
    <w:rsid w:val="00CA0121"/>
    <w:rsid w:val="00CA017A"/>
    <w:rsid w:val="00CA02E1"/>
    <w:rsid w:val="00CA0330"/>
    <w:rsid w:val="00CA03E6"/>
    <w:rsid w:val="00CA03FF"/>
    <w:rsid w:val="00CA04EA"/>
    <w:rsid w:val="00CA052E"/>
    <w:rsid w:val="00CA05A9"/>
    <w:rsid w:val="00CA0633"/>
    <w:rsid w:val="00CA067A"/>
    <w:rsid w:val="00CA0877"/>
    <w:rsid w:val="00CA09D9"/>
    <w:rsid w:val="00CA0A22"/>
    <w:rsid w:val="00CA0A6D"/>
    <w:rsid w:val="00CA0AB1"/>
    <w:rsid w:val="00CA0B42"/>
    <w:rsid w:val="00CA0B86"/>
    <w:rsid w:val="00CA0BFE"/>
    <w:rsid w:val="00CA0D67"/>
    <w:rsid w:val="00CA0D75"/>
    <w:rsid w:val="00CA0D96"/>
    <w:rsid w:val="00CA0EB3"/>
    <w:rsid w:val="00CA0EC7"/>
    <w:rsid w:val="00CA0ECE"/>
    <w:rsid w:val="00CA101A"/>
    <w:rsid w:val="00CA108D"/>
    <w:rsid w:val="00CA11E5"/>
    <w:rsid w:val="00CA12A6"/>
    <w:rsid w:val="00CA14E2"/>
    <w:rsid w:val="00CA1554"/>
    <w:rsid w:val="00CA157A"/>
    <w:rsid w:val="00CA15CB"/>
    <w:rsid w:val="00CA15E4"/>
    <w:rsid w:val="00CA15E6"/>
    <w:rsid w:val="00CA167E"/>
    <w:rsid w:val="00CA16AE"/>
    <w:rsid w:val="00CA17A6"/>
    <w:rsid w:val="00CA17B6"/>
    <w:rsid w:val="00CA17BD"/>
    <w:rsid w:val="00CA17D1"/>
    <w:rsid w:val="00CA17EC"/>
    <w:rsid w:val="00CA182A"/>
    <w:rsid w:val="00CA188C"/>
    <w:rsid w:val="00CA18BF"/>
    <w:rsid w:val="00CA197C"/>
    <w:rsid w:val="00CA1985"/>
    <w:rsid w:val="00CA1A58"/>
    <w:rsid w:val="00CA1AFB"/>
    <w:rsid w:val="00CA1BD1"/>
    <w:rsid w:val="00CA1CA1"/>
    <w:rsid w:val="00CA1D46"/>
    <w:rsid w:val="00CA1EF8"/>
    <w:rsid w:val="00CA1F2C"/>
    <w:rsid w:val="00CA1F79"/>
    <w:rsid w:val="00CA1FC0"/>
    <w:rsid w:val="00CA1FD3"/>
    <w:rsid w:val="00CA2017"/>
    <w:rsid w:val="00CA208E"/>
    <w:rsid w:val="00CA21CF"/>
    <w:rsid w:val="00CA2251"/>
    <w:rsid w:val="00CA2283"/>
    <w:rsid w:val="00CA23C0"/>
    <w:rsid w:val="00CA2581"/>
    <w:rsid w:val="00CA26F9"/>
    <w:rsid w:val="00CA27B4"/>
    <w:rsid w:val="00CA2972"/>
    <w:rsid w:val="00CA29E5"/>
    <w:rsid w:val="00CA2A68"/>
    <w:rsid w:val="00CA2AF7"/>
    <w:rsid w:val="00CA2BE5"/>
    <w:rsid w:val="00CA2C2E"/>
    <w:rsid w:val="00CA2D7A"/>
    <w:rsid w:val="00CA2E80"/>
    <w:rsid w:val="00CA2EBD"/>
    <w:rsid w:val="00CA2EBF"/>
    <w:rsid w:val="00CA318A"/>
    <w:rsid w:val="00CA31C2"/>
    <w:rsid w:val="00CA3259"/>
    <w:rsid w:val="00CA32C8"/>
    <w:rsid w:val="00CA3351"/>
    <w:rsid w:val="00CA3369"/>
    <w:rsid w:val="00CA3468"/>
    <w:rsid w:val="00CA34D5"/>
    <w:rsid w:val="00CA34F9"/>
    <w:rsid w:val="00CA3572"/>
    <w:rsid w:val="00CA3619"/>
    <w:rsid w:val="00CA361E"/>
    <w:rsid w:val="00CA3752"/>
    <w:rsid w:val="00CA37B8"/>
    <w:rsid w:val="00CA38AE"/>
    <w:rsid w:val="00CA3949"/>
    <w:rsid w:val="00CA3A9E"/>
    <w:rsid w:val="00CA3B23"/>
    <w:rsid w:val="00CA3CE2"/>
    <w:rsid w:val="00CA3DF4"/>
    <w:rsid w:val="00CA3E8A"/>
    <w:rsid w:val="00CA3F22"/>
    <w:rsid w:val="00CA402B"/>
    <w:rsid w:val="00CA40EB"/>
    <w:rsid w:val="00CA41AB"/>
    <w:rsid w:val="00CA443E"/>
    <w:rsid w:val="00CA44A3"/>
    <w:rsid w:val="00CA45CD"/>
    <w:rsid w:val="00CA463D"/>
    <w:rsid w:val="00CA46E0"/>
    <w:rsid w:val="00CA4798"/>
    <w:rsid w:val="00CA49AD"/>
    <w:rsid w:val="00CA4A89"/>
    <w:rsid w:val="00CA4AB5"/>
    <w:rsid w:val="00CA4C2E"/>
    <w:rsid w:val="00CA4D31"/>
    <w:rsid w:val="00CA4D39"/>
    <w:rsid w:val="00CA4DF1"/>
    <w:rsid w:val="00CA4E5D"/>
    <w:rsid w:val="00CA4EE7"/>
    <w:rsid w:val="00CA4F05"/>
    <w:rsid w:val="00CA504F"/>
    <w:rsid w:val="00CA50B9"/>
    <w:rsid w:val="00CA50DE"/>
    <w:rsid w:val="00CA52DC"/>
    <w:rsid w:val="00CA5307"/>
    <w:rsid w:val="00CA5344"/>
    <w:rsid w:val="00CA53A9"/>
    <w:rsid w:val="00CA53FD"/>
    <w:rsid w:val="00CA548E"/>
    <w:rsid w:val="00CA54DE"/>
    <w:rsid w:val="00CA58D6"/>
    <w:rsid w:val="00CA593A"/>
    <w:rsid w:val="00CA5A0A"/>
    <w:rsid w:val="00CA5A45"/>
    <w:rsid w:val="00CA5BC9"/>
    <w:rsid w:val="00CA5D96"/>
    <w:rsid w:val="00CA5DE4"/>
    <w:rsid w:val="00CA5DFD"/>
    <w:rsid w:val="00CA5F52"/>
    <w:rsid w:val="00CA606E"/>
    <w:rsid w:val="00CA6267"/>
    <w:rsid w:val="00CA6294"/>
    <w:rsid w:val="00CA6340"/>
    <w:rsid w:val="00CA6367"/>
    <w:rsid w:val="00CA63A9"/>
    <w:rsid w:val="00CA63F1"/>
    <w:rsid w:val="00CA63F6"/>
    <w:rsid w:val="00CA6411"/>
    <w:rsid w:val="00CA64A8"/>
    <w:rsid w:val="00CA658D"/>
    <w:rsid w:val="00CA65CF"/>
    <w:rsid w:val="00CA66A1"/>
    <w:rsid w:val="00CA67CA"/>
    <w:rsid w:val="00CA67F4"/>
    <w:rsid w:val="00CA6877"/>
    <w:rsid w:val="00CA68A3"/>
    <w:rsid w:val="00CA68DE"/>
    <w:rsid w:val="00CA6B4D"/>
    <w:rsid w:val="00CA6B60"/>
    <w:rsid w:val="00CA6C60"/>
    <w:rsid w:val="00CA6C8B"/>
    <w:rsid w:val="00CA6D9A"/>
    <w:rsid w:val="00CA6F19"/>
    <w:rsid w:val="00CA7065"/>
    <w:rsid w:val="00CA707B"/>
    <w:rsid w:val="00CA7185"/>
    <w:rsid w:val="00CA71EF"/>
    <w:rsid w:val="00CA754C"/>
    <w:rsid w:val="00CA7677"/>
    <w:rsid w:val="00CA79AC"/>
    <w:rsid w:val="00CA7B98"/>
    <w:rsid w:val="00CA7BEE"/>
    <w:rsid w:val="00CA7BFD"/>
    <w:rsid w:val="00CA7D4D"/>
    <w:rsid w:val="00CA7E32"/>
    <w:rsid w:val="00CA7F20"/>
    <w:rsid w:val="00CA7F25"/>
    <w:rsid w:val="00CA7F26"/>
    <w:rsid w:val="00CA7F74"/>
    <w:rsid w:val="00CA7F84"/>
    <w:rsid w:val="00CB0063"/>
    <w:rsid w:val="00CB006A"/>
    <w:rsid w:val="00CB0072"/>
    <w:rsid w:val="00CB00C9"/>
    <w:rsid w:val="00CB01E2"/>
    <w:rsid w:val="00CB0329"/>
    <w:rsid w:val="00CB0345"/>
    <w:rsid w:val="00CB043C"/>
    <w:rsid w:val="00CB0458"/>
    <w:rsid w:val="00CB051E"/>
    <w:rsid w:val="00CB0531"/>
    <w:rsid w:val="00CB069B"/>
    <w:rsid w:val="00CB06FD"/>
    <w:rsid w:val="00CB0798"/>
    <w:rsid w:val="00CB07D5"/>
    <w:rsid w:val="00CB0892"/>
    <w:rsid w:val="00CB09E9"/>
    <w:rsid w:val="00CB09FB"/>
    <w:rsid w:val="00CB0A3A"/>
    <w:rsid w:val="00CB0BC6"/>
    <w:rsid w:val="00CB0BF1"/>
    <w:rsid w:val="00CB0CC8"/>
    <w:rsid w:val="00CB0DB9"/>
    <w:rsid w:val="00CB0E0B"/>
    <w:rsid w:val="00CB0E0D"/>
    <w:rsid w:val="00CB0EB3"/>
    <w:rsid w:val="00CB0F7A"/>
    <w:rsid w:val="00CB0F8F"/>
    <w:rsid w:val="00CB0FA8"/>
    <w:rsid w:val="00CB105E"/>
    <w:rsid w:val="00CB108A"/>
    <w:rsid w:val="00CB11F8"/>
    <w:rsid w:val="00CB1230"/>
    <w:rsid w:val="00CB1231"/>
    <w:rsid w:val="00CB1382"/>
    <w:rsid w:val="00CB13C8"/>
    <w:rsid w:val="00CB14C6"/>
    <w:rsid w:val="00CB150D"/>
    <w:rsid w:val="00CB1515"/>
    <w:rsid w:val="00CB1654"/>
    <w:rsid w:val="00CB16C8"/>
    <w:rsid w:val="00CB16F1"/>
    <w:rsid w:val="00CB1742"/>
    <w:rsid w:val="00CB176C"/>
    <w:rsid w:val="00CB1822"/>
    <w:rsid w:val="00CB18F6"/>
    <w:rsid w:val="00CB19A4"/>
    <w:rsid w:val="00CB1B08"/>
    <w:rsid w:val="00CB1B73"/>
    <w:rsid w:val="00CB1B8B"/>
    <w:rsid w:val="00CB1C14"/>
    <w:rsid w:val="00CB1CDE"/>
    <w:rsid w:val="00CB1CF0"/>
    <w:rsid w:val="00CB1DFE"/>
    <w:rsid w:val="00CB1F22"/>
    <w:rsid w:val="00CB1FE0"/>
    <w:rsid w:val="00CB2029"/>
    <w:rsid w:val="00CB20EF"/>
    <w:rsid w:val="00CB216E"/>
    <w:rsid w:val="00CB21DE"/>
    <w:rsid w:val="00CB220A"/>
    <w:rsid w:val="00CB23BE"/>
    <w:rsid w:val="00CB2434"/>
    <w:rsid w:val="00CB24D0"/>
    <w:rsid w:val="00CB24D9"/>
    <w:rsid w:val="00CB258D"/>
    <w:rsid w:val="00CB25EA"/>
    <w:rsid w:val="00CB2605"/>
    <w:rsid w:val="00CB26FD"/>
    <w:rsid w:val="00CB27BC"/>
    <w:rsid w:val="00CB27D0"/>
    <w:rsid w:val="00CB29C7"/>
    <w:rsid w:val="00CB29CE"/>
    <w:rsid w:val="00CB2A53"/>
    <w:rsid w:val="00CB2B82"/>
    <w:rsid w:val="00CB2D98"/>
    <w:rsid w:val="00CB2E06"/>
    <w:rsid w:val="00CB2ED1"/>
    <w:rsid w:val="00CB2EF9"/>
    <w:rsid w:val="00CB2F5E"/>
    <w:rsid w:val="00CB30FF"/>
    <w:rsid w:val="00CB3106"/>
    <w:rsid w:val="00CB3126"/>
    <w:rsid w:val="00CB31DC"/>
    <w:rsid w:val="00CB3275"/>
    <w:rsid w:val="00CB33D1"/>
    <w:rsid w:val="00CB3482"/>
    <w:rsid w:val="00CB34EE"/>
    <w:rsid w:val="00CB354C"/>
    <w:rsid w:val="00CB35BA"/>
    <w:rsid w:val="00CB3610"/>
    <w:rsid w:val="00CB3639"/>
    <w:rsid w:val="00CB36D8"/>
    <w:rsid w:val="00CB381A"/>
    <w:rsid w:val="00CB382F"/>
    <w:rsid w:val="00CB3856"/>
    <w:rsid w:val="00CB3894"/>
    <w:rsid w:val="00CB38EB"/>
    <w:rsid w:val="00CB3C05"/>
    <w:rsid w:val="00CB3C43"/>
    <w:rsid w:val="00CB3C4C"/>
    <w:rsid w:val="00CB3C56"/>
    <w:rsid w:val="00CB3D52"/>
    <w:rsid w:val="00CB4023"/>
    <w:rsid w:val="00CB41C5"/>
    <w:rsid w:val="00CB42FB"/>
    <w:rsid w:val="00CB4376"/>
    <w:rsid w:val="00CB4392"/>
    <w:rsid w:val="00CB43F1"/>
    <w:rsid w:val="00CB4414"/>
    <w:rsid w:val="00CB44B4"/>
    <w:rsid w:val="00CB4521"/>
    <w:rsid w:val="00CB4599"/>
    <w:rsid w:val="00CB45E5"/>
    <w:rsid w:val="00CB4603"/>
    <w:rsid w:val="00CB4692"/>
    <w:rsid w:val="00CB46CA"/>
    <w:rsid w:val="00CB46F1"/>
    <w:rsid w:val="00CB4861"/>
    <w:rsid w:val="00CB48B8"/>
    <w:rsid w:val="00CB48C1"/>
    <w:rsid w:val="00CB49E3"/>
    <w:rsid w:val="00CB4ADE"/>
    <w:rsid w:val="00CB4AFC"/>
    <w:rsid w:val="00CB4B80"/>
    <w:rsid w:val="00CB4CBE"/>
    <w:rsid w:val="00CB4DBC"/>
    <w:rsid w:val="00CB4ECD"/>
    <w:rsid w:val="00CB505A"/>
    <w:rsid w:val="00CB5194"/>
    <w:rsid w:val="00CB5285"/>
    <w:rsid w:val="00CB5426"/>
    <w:rsid w:val="00CB5470"/>
    <w:rsid w:val="00CB549A"/>
    <w:rsid w:val="00CB550C"/>
    <w:rsid w:val="00CB557E"/>
    <w:rsid w:val="00CB563F"/>
    <w:rsid w:val="00CB56A1"/>
    <w:rsid w:val="00CB5812"/>
    <w:rsid w:val="00CB5A0E"/>
    <w:rsid w:val="00CB5AC8"/>
    <w:rsid w:val="00CB5B0D"/>
    <w:rsid w:val="00CB5BD0"/>
    <w:rsid w:val="00CB5C22"/>
    <w:rsid w:val="00CB5C3B"/>
    <w:rsid w:val="00CB5C9E"/>
    <w:rsid w:val="00CB5F3D"/>
    <w:rsid w:val="00CB5F83"/>
    <w:rsid w:val="00CB5FB3"/>
    <w:rsid w:val="00CB60ED"/>
    <w:rsid w:val="00CB6110"/>
    <w:rsid w:val="00CB6191"/>
    <w:rsid w:val="00CB6201"/>
    <w:rsid w:val="00CB6286"/>
    <w:rsid w:val="00CB642D"/>
    <w:rsid w:val="00CB6446"/>
    <w:rsid w:val="00CB64C0"/>
    <w:rsid w:val="00CB65B7"/>
    <w:rsid w:val="00CB66C3"/>
    <w:rsid w:val="00CB685F"/>
    <w:rsid w:val="00CB68AA"/>
    <w:rsid w:val="00CB6B73"/>
    <w:rsid w:val="00CB6CA3"/>
    <w:rsid w:val="00CB6D71"/>
    <w:rsid w:val="00CB6D83"/>
    <w:rsid w:val="00CB6D8E"/>
    <w:rsid w:val="00CB6E92"/>
    <w:rsid w:val="00CB6F49"/>
    <w:rsid w:val="00CB715B"/>
    <w:rsid w:val="00CB717F"/>
    <w:rsid w:val="00CB71FB"/>
    <w:rsid w:val="00CB726C"/>
    <w:rsid w:val="00CB72F7"/>
    <w:rsid w:val="00CB7309"/>
    <w:rsid w:val="00CB7432"/>
    <w:rsid w:val="00CB7527"/>
    <w:rsid w:val="00CB75C2"/>
    <w:rsid w:val="00CB75C4"/>
    <w:rsid w:val="00CB75D4"/>
    <w:rsid w:val="00CB76E1"/>
    <w:rsid w:val="00CB7700"/>
    <w:rsid w:val="00CB786D"/>
    <w:rsid w:val="00CB7996"/>
    <w:rsid w:val="00CB79DD"/>
    <w:rsid w:val="00CB7AB0"/>
    <w:rsid w:val="00CB7AD6"/>
    <w:rsid w:val="00CB7B17"/>
    <w:rsid w:val="00CB7C8E"/>
    <w:rsid w:val="00CB7D03"/>
    <w:rsid w:val="00CB7D3B"/>
    <w:rsid w:val="00CB7D86"/>
    <w:rsid w:val="00CB7EE3"/>
    <w:rsid w:val="00CB7F06"/>
    <w:rsid w:val="00CB7F6B"/>
    <w:rsid w:val="00CC008D"/>
    <w:rsid w:val="00CC0154"/>
    <w:rsid w:val="00CC0258"/>
    <w:rsid w:val="00CC0270"/>
    <w:rsid w:val="00CC02B6"/>
    <w:rsid w:val="00CC038C"/>
    <w:rsid w:val="00CC03FF"/>
    <w:rsid w:val="00CC044E"/>
    <w:rsid w:val="00CC049A"/>
    <w:rsid w:val="00CC04DA"/>
    <w:rsid w:val="00CC04E9"/>
    <w:rsid w:val="00CC07D9"/>
    <w:rsid w:val="00CC0ADE"/>
    <w:rsid w:val="00CC0CAA"/>
    <w:rsid w:val="00CC0E73"/>
    <w:rsid w:val="00CC0E8A"/>
    <w:rsid w:val="00CC0E8B"/>
    <w:rsid w:val="00CC0F0A"/>
    <w:rsid w:val="00CC107F"/>
    <w:rsid w:val="00CC1144"/>
    <w:rsid w:val="00CC11FF"/>
    <w:rsid w:val="00CC12CD"/>
    <w:rsid w:val="00CC13B1"/>
    <w:rsid w:val="00CC14B5"/>
    <w:rsid w:val="00CC1537"/>
    <w:rsid w:val="00CC16FA"/>
    <w:rsid w:val="00CC170F"/>
    <w:rsid w:val="00CC1772"/>
    <w:rsid w:val="00CC17DC"/>
    <w:rsid w:val="00CC1853"/>
    <w:rsid w:val="00CC1887"/>
    <w:rsid w:val="00CC1913"/>
    <w:rsid w:val="00CC19E8"/>
    <w:rsid w:val="00CC1B44"/>
    <w:rsid w:val="00CC1BC4"/>
    <w:rsid w:val="00CC1D28"/>
    <w:rsid w:val="00CC1D7C"/>
    <w:rsid w:val="00CC1E55"/>
    <w:rsid w:val="00CC1EB8"/>
    <w:rsid w:val="00CC1F12"/>
    <w:rsid w:val="00CC219B"/>
    <w:rsid w:val="00CC21BF"/>
    <w:rsid w:val="00CC22F4"/>
    <w:rsid w:val="00CC2305"/>
    <w:rsid w:val="00CC2328"/>
    <w:rsid w:val="00CC2366"/>
    <w:rsid w:val="00CC25D2"/>
    <w:rsid w:val="00CC2723"/>
    <w:rsid w:val="00CC272E"/>
    <w:rsid w:val="00CC2818"/>
    <w:rsid w:val="00CC2844"/>
    <w:rsid w:val="00CC2883"/>
    <w:rsid w:val="00CC291D"/>
    <w:rsid w:val="00CC2941"/>
    <w:rsid w:val="00CC29AA"/>
    <w:rsid w:val="00CC2A2A"/>
    <w:rsid w:val="00CC2A60"/>
    <w:rsid w:val="00CC2A85"/>
    <w:rsid w:val="00CC2C6D"/>
    <w:rsid w:val="00CC2C93"/>
    <w:rsid w:val="00CC2D69"/>
    <w:rsid w:val="00CC2E06"/>
    <w:rsid w:val="00CC2EF8"/>
    <w:rsid w:val="00CC2EFB"/>
    <w:rsid w:val="00CC3023"/>
    <w:rsid w:val="00CC30AA"/>
    <w:rsid w:val="00CC3100"/>
    <w:rsid w:val="00CC3185"/>
    <w:rsid w:val="00CC31A5"/>
    <w:rsid w:val="00CC31EF"/>
    <w:rsid w:val="00CC3249"/>
    <w:rsid w:val="00CC332B"/>
    <w:rsid w:val="00CC349A"/>
    <w:rsid w:val="00CC3557"/>
    <w:rsid w:val="00CC35D8"/>
    <w:rsid w:val="00CC3684"/>
    <w:rsid w:val="00CC37AA"/>
    <w:rsid w:val="00CC381A"/>
    <w:rsid w:val="00CC38C5"/>
    <w:rsid w:val="00CC3A1A"/>
    <w:rsid w:val="00CC3A1D"/>
    <w:rsid w:val="00CC3A45"/>
    <w:rsid w:val="00CC3A87"/>
    <w:rsid w:val="00CC3B83"/>
    <w:rsid w:val="00CC3BD7"/>
    <w:rsid w:val="00CC3C10"/>
    <w:rsid w:val="00CC3C14"/>
    <w:rsid w:val="00CC3C58"/>
    <w:rsid w:val="00CC3C78"/>
    <w:rsid w:val="00CC3C87"/>
    <w:rsid w:val="00CC3DA9"/>
    <w:rsid w:val="00CC3EC6"/>
    <w:rsid w:val="00CC3FA7"/>
    <w:rsid w:val="00CC3FF1"/>
    <w:rsid w:val="00CC400F"/>
    <w:rsid w:val="00CC4025"/>
    <w:rsid w:val="00CC40DA"/>
    <w:rsid w:val="00CC417B"/>
    <w:rsid w:val="00CC4211"/>
    <w:rsid w:val="00CC429B"/>
    <w:rsid w:val="00CC4559"/>
    <w:rsid w:val="00CC4577"/>
    <w:rsid w:val="00CC4584"/>
    <w:rsid w:val="00CC4671"/>
    <w:rsid w:val="00CC46E9"/>
    <w:rsid w:val="00CC4700"/>
    <w:rsid w:val="00CC4729"/>
    <w:rsid w:val="00CC474F"/>
    <w:rsid w:val="00CC47F3"/>
    <w:rsid w:val="00CC485D"/>
    <w:rsid w:val="00CC48E7"/>
    <w:rsid w:val="00CC4930"/>
    <w:rsid w:val="00CC494E"/>
    <w:rsid w:val="00CC49E4"/>
    <w:rsid w:val="00CC4ACE"/>
    <w:rsid w:val="00CC4B95"/>
    <w:rsid w:val="00CC4BB0"/>
    <w:rsid w:val="00CC4C3C"/>
    <w:rsid w:val="00CC4E7A"/>
    <w:rsid w:val="00CC4F21"/>
    <w:rsid w:val="00CC4F3E"/>
    <w:rsid w:val="00CC4FBB"/>
    <w:rsid w:val="00CC54A9"/>
    <w:rsid w:val="00CC5574"/>
    <w:rsid w:val="00CC5616"/>
    <w:rsid w:val="00CC56A6"/>
    <w:rsid w:val="00CC571C"/>
    <w:rsid w:val="00CC573F"/>
    <w:rsid w:val="00CC5786"/>
    <w:rsid w:val="00CC5790"/>
    <w:rsid w:val="00CC5794"/>
    <w:rsid w:val="00CC5818"/>
    <w:rsid w:val="00CC58A2"/>
    <w:rsid w:val="00CC59EC"/>
    <w:rsid w:val="00CC5AF5"/>
    <w:rsid w:val="00CC5B80"/>
    <w:rsid w:val="00CC5D4A"/>
    <w:rsid w:val="00CC5D92"/>
    <w:rsid w:val="00CC5D9D"/>
    <w:rsid w:val="00CC5F7B"/>
    <w:rsid w:val="00CC6022"/>
    <w:rsid w:val="00CC60E9"/>
    <w:rsid w:val="00CC6106"/>
    <w:rsid w:val="00CC6160"/>
    <w:rsid w:val="00CC61A1"/>
    <w:rsid w:val="00CC6214"/>
    <w:rsid w:val="00CC6257"/>
    <w:rsid w:val="00CC6339"/>
    <w:rsid w:val="00CC6380"/>
    <w:rsid w:val="00CC6386"/>
    <w:rsid w:val="00CC63F6"/>
    <w:rsid w:val="00CC6487"/>
    <w:rsid w:val="00CC656B"/>
    <w:rsid w:val="00CC65C6"/>
    <w:rsid w:val="00CC66EB"/>
    <w:rsid w:val="00CC692B"/>
    <w:rsid w:val="00CC69F6"/>
    <w:rsid w:val="00CC6A33"/>
    <w:rsid w:val="00CC6A6C"/>
    <w:rsid w:val="00CC6B1F"/>
    <w:rsid w:val="00CC6E7D"/>
    <w:rsid w:val="00CC6F18"/>
    <w:rsid w:val="00CC6F4C"/>
    <w:rsid w:val="00CC6FD0"/>
    <w:rsid w:val="00CC702F"/>
    <w:rsid w:val="00CC70BB"/>
    <w:rsid w:val="00CC7116"/>
    <w:rsid w:val="00CC72CC"/>
    <w:rsid w:val="00CC72DB"/>
    <w:rsid w:val="00CC730E"/>
    <w:rsid w:val="00CC747F"/>
    <w:rsid w:val="00CC75AA"/>
    <w:rsid w:val="00CC76DC"/>
    <w:rsid w:val="00CC7981"/>
    <w:rsid w:val="00CC7B0C"/>
    <w:rsid w:val="00CC7B7E"/>
    <w:rsid w:val="00CC7BD3"/>
    <w:rsid w:val="00CC7CC2"/>
    <w:rsid w:val="00CC7D3E"/>
    <w:rsid w:val="00CC7EAA"/>
    <w:rsid w:val="00CC7EFD"/>
    <w:rsid w:val="00CC7F3B"/>
    <w:rsid w:val="00CC7F50"/>
    <w:rsid w:val="00CC7F5D"/>
    <w:rsid w:val="00CC7FA3"/>
    <w:rsid w:val="00CC7FDE"/>
    <w:rsid w:val="00CD003E"/>
    <w:rsid w:val="00CD0234"/>
    <w:rsid w:val="00CD0235"/>
    <w:rsid w:val="00CD0277"/>
    <w:rsid w:val="00CD02A4"/>
    <w:rsid w:val="00CD066B"/>
    <w:rsid w:val="00CD0686"/>
    <w:rsid w:val="00CD06A3"/>
    <w:rsid w:val="00CD06C2"/>
    <w:rsid w:val="00CD0712"/>
    <w:rsid w:val="00CD0879"/>
    <w:rsid w:val="00CD08DF"/>
    <w:rsid w:val="00CD08FD"/>
    <w:rsid w:val="00CD09A3"/>
    <w:rsid w:val="00CD0A34"/>
    <w:rsid w:val="00CD0BCC"/>
    <w:rsid w:val="00CD0C44"/>
    <w:rsid w:val="00CD0D33"/>
    <w:rsid w:val="00CD0E46"/>
    <w:rsid w:val="00CD0E8C"/>
    <w:rsid w:val="00CD0EFE"/>
    <w:rsid w:val="00CD0F34"/>
    <w:rsid w:val="00CD1010"/>
    <w:rsid w:val="00CD1144"/>
    <w:rsid w:val="00CD1203"/>
    <w:rsid w:val="00CD1227"/>
    <w:rsid w:val="00CD12DE"/>
    <w:rsid w:val="00CD1362"/>
    <w:rsid w:val="00CD1411"/>
    <w:rsid w:val="00CD149E"/>
    <w:rsid w:val="00CD155F"/>
    <w:rsid w:val="00CD16EF"/>
    <w:rsid w:val="00CD175B"/>
    <w:rsid w:val="00CD17E3"/>
    <w:rsid w:val="00CD18D0"/>
    <w:rsid w:val="00CD19A5"/>
    <w:rsid w:val="00CD1A0F"/>
    <w:rsid w:val="00CD1A53"/>
    <w:rsid w:val="00CD1B44"/>
    <w:rsid w:val="00CD1D09"/>
    <w:rsid w:val="00CD1D73"/>
    <w:rsid w:val="00CD1D78"/>
    <w:rsid w:val="00CD1D8F"/>
    <w:rsid w:val="00CD1F19"/>
    <w:rsid w:val="00CD1FD8"/>
    <w:rsid w:val="00CD2081"/>
    <w:rsid w:val="00CD20ED"/>
    <w:rsid w:val="00CD21E8"/>
    <w:rsid w:val="00CD2227"/>
    <w:rsid w:val="00CD22B4"/>
    <w:rsid w:val="00CD233C"/>
    <w:rsid w:val="00CD23C8"/>
    <w:rsid w:val="00CD2478"/>
    <w:rsid w:val="00CD2528"/>
    <w:rsid w:val="00CD26D6"/>
    <w:rsid w:val="00CD27F8"/>
    <w:rsid w:val="00CD293B"/>
    <w:rsid w:val="00CD29D8"/>
    <w:rsid w:val="00CD2AF4"/>
    <w:rsid w:val="00CD2BBA"/>
    <w:rsid w:val="00CD2C7B"/>
    <w:rsid w:val="00CD2D51"/>
    <w:rsid w:val="00CD2F91"/>
    <w:rsid w:val="00CD2F9F"/>
    <w:rsid w:val="00CD306F"/>
    <w:rsid w:val="00CD3167"/>
    <w:rsid w:val="00CD3291"/>
    <w:rsid w:val="00CD333D"/>
    <w:rsid w:val="00CD3377"/>
    <w:rsid w:val="00CD33E6"/>
    <w:rsid w:val="00CD35EA"/>
    <w:rsid w:val="00CD3687"/>
    <w:rsid w:val="00CD369A"/>
    <w:rsid w:val="00CD3749"/>
    <w:rsid w:val="00CD3A75"/>
    <w:rsid w:val="00CD3A8E"/>
    <w:rsid w:val="00CD3C5D"/>
    <w:rsid w:val="00CD3C84"/>
    <w:rsid w:val="00CD3C9F"/>
    <w:rsid w:val="00CD3E25"/>
    <w:rsid w:val="00CD3E77"/>
    <w:rsid w:val="00CD3EF3"/>
    <w:rsid w:val="00CD3F47"/>
    <w:rsid w:val="00CD3FFB"/>
    <w:rsid w:val="00CD4107"/>
    <w:rsid w:val="00CD4123"/>
    <w:rsid w:val="00CD4354"/>
    <w:rsid w:val="00CD4522"/>
    <w:rsid w:val="00CD452B"/>
    <w:rsid w:val="00CD4664"/>
    <w:rsid w:val="00CD4669"/>
    <w:rsid w:val="00CD46EC"/>
    <w:rsid w:val="00CD476C"/>
    <w:rsid w:val="00CD4924"/>
    <w:rsid w:val="00CD495D"/>
    <w:rsid w:val="00CD496B"/>
    <w:rsid w:val="00CD49FA"/>
    <w:rsid w:val="00CD4B49"/>
    <w:rsid w:val="00CD4BBA"/>
    <w:rsid w:val="00CD4C0D"/>
    <w:rsid w:val="00CD4C51"/>
    <w:rsid w:val="00CD4CBA"/>
    <w:rsid w:val="00CD4D4C"/>
    <w:rsid w:val="00CD4E94"/>
    <w:rsid w:val="00CD4F55"/>
    <w:rsid w:val="00CD50CD"/>
    <w:rsid w:val="00CD510F"/>
    <w:rsid w:val="00CD511E"/>
    <w:rsid w:val="00CD528F"/>
    <w:rsid w:val="00CD53B1"/>
    <w:rsid w:val="00CD5478"/>
    <w:rsid w:val="00CD54AE"/>
    <w:rsid w:val="00CD56A8"/>
    <w:rsid w:val="00CD56EA"/>
    <w:rsid w:val="00CD57D1"/>
    <w:rsid w:val="00CD5979"/>
    <w:rsid w:val="00CD59B1"/>
    <w:rsid w:val="00CD5A9F"/>
    <w:rsid w:val="00CD5B3E"/>
    <w:rsid w:val="00CD5B4E"/>
    <w:rsid w:val="00CD5C63"/>
    <w:rsid w:val="00CD5C94"/>
    <w:rsid w:val="00CD5CA6"/>
    <w:rsid w:val="00CD5CA7"/>
    <w:rsid w:val="00CD5DF7"/>
    <w:rsid w:val="00CD5E1B"/>
    <w:rsid w:val="00CD5E48"/>
    <w:rsid w:val="00CD5F89"/>
    <w:rsid w:val="00CD61DA"/>
    <w:rsid w:val="00CD63DE"/>
    <w:rsid w:val="00CD63E4"/>
    <w:rsid w:val="00CD65E5"/>
    <w:rsid w:val="00CD6639"/>
    <w:rsid w:val="00CD66AC"/>
    <w:rsid w:val="00CD66E5"/>
    <w:rsid w:val="00CD671C"/>
    <w:rsid w:val="00CD67AB"/>
    <w:rsid w:val="00CD6803"/>
    <w:rsid w:val="00CD6846"/>
    <w:rsid w:val="00CD69A5"/>
    <w:rsid w:val="00CD6BF7"/>
    <w:rsid w:val="00CD6CE2"/>
    <w:rsid w:val="00CD6D4E"/>
    <w:rsid w:val="00CD6E88"/>
    <w:rsid w:val="00CD72CF"/>
    <w:rsid w:val="00CD72ED"/>
    <w:rsid w:val="00CD7490"/>
    <w:rsid w:val="00CD7688"/>
    <w:rsid w:val="00CD7707"/>
    <w:rsid w:val="00CD77EB"/>
    <w:rsid w:val="00CD7875"/>
    <w:rsid w:val="00CD78A6"/>
    <w:rsid w:val="00CD79B5"/>
    <w:rsid w:val="00CD7A87"/>
    <w:rsid w:val="00CD7AE1"/>
    <w:rsid w:val="00CD7CE3"/>
    <w:rsid w:val="00CD7D93"/>
    <w:rsid w:val="00CD7E27"/>
    <w:rsid w:val="00CD7EFB"/>
    <w:rsid w:val="00CD7FB3"/>
    <w:rsid w:val="00CE007A"/>
    <w:rsid w:val="00CE0174"/>
    <w:rsid w:val="00CE01D0"/>
    <w:rsid w:val="00CE01E5"/>
    <w:rsid w:val="00CE0265"/>
    <w:rsid w:val="00CE0594"/>
    <w:rsid w:val="00CE05C9"/>
    <w:rsid w:val="00CE05DB"/>
    <w:rsid w:val="00CE0611"/>
    <w:rsid w:val="00CE068B"/>
    <w:rsid w:val="00CE06E2"/>
    <w:rsid w:val="00CE072C"/>
    <w:rsid w:val="00CE0732"/>
    <w:rsid w:val="00CE0816"/>
    <w:rsid w:val="00CE08EB"/>
    <w:rsid w:val="00CE0A09"/>
    <w:rsid w:val="00CE0A98"/>
    <w:rsid w:val="00CE0ABB"/>
    <w:rsid w:val="00CE0ABE"/>
    <w:rsid w:val="00CE0C85"/>
    <w:rsid w:val="00CE0CBE"/>
    <w:rsid w:val="00CE0E0D"/>
    <w:rsid w:val="00CE0E16"/>
    <w:rsid w:val="00CE0EFD"/>
    <w:rsid w:val="00CE0F34"/>
    <w:rsid w:val="00CE0F35"/>
    <w:rsid w:val="00CE1074"/>
    <w:rsid w:val="00CE109A"/>
    <w:rsid w:val="00CE11A9"/>
    <w:rsid w:val="00CE129F"/>
    <w:rsid w:val="00CE148D"/>
    <w:rsid w:val="00CE149B"/>
    <w:rsid w:val="00CE14AB"/>
    <w:rsid w:val="00CE14B8"/>
    <w:rsid w:val="00CE14DF"/>
    <w:rsid w:val="00CE14E7"/>
    <w:rsid w:val="00CE15DF"/>
    <w:rsid w:val="00CE1601"/>
    <w:rsid w:val="00CE165D"/>
    <w:rsid w:val="00CE16AC"/>
    <w:rsid w:val="00CE174D"/>
    <w:rsid w:val="00CE1767"/>
    <w:rsid w:val="00CE1878"/>
    <w:rsid w:val="00CE18EF"/>
    <w:rsid w:val="00CE1932"/>
    <w:rsid w:val="00CE1A15"/>
    <w:rsid w:val="00CE1B8A"/>
    <w:rsid w:val="00CE1C3A"/>
    <w:rsid w:val="00CE1C8B"/>
    <w:rsid w:val="00CE1E1C"/>
    <w:rsid w:val="00CE21A8"/>
    <w:rsid w:val="00CE21BB"/>
    <w:rsid w:val="00CE23C9"/>
    <w:rsid w:val="00CE23DB"/>
    <w:rsid w:val="00CE26D9"/>
    <w:rsid w:val="00CE26E8"/>
    <w:rsid w:val="00CE27D9"/>
    <w:rsid w:val="00CE2810"/>
    <w:rsid w:val="00CE2A1D"/>
    <w:rsid w:val="00CE2B27"/>
    <w:rsid w:val="00CE2D36"/>
    <w:rsid w:val="00CE2EC4"/>
    <w:rsid w:val="00CE2F4B"/>
    <w:rsid w:val="00CE301C"/>
    <w:rsid w:val="00CE30F2"/>
    <w:rsid w:val="00CE320A"/>
    <w:rsid w:val="00CE321C"/>
    <w:rsid w:val="00CE3457"/>
    <w:rsid w:val="00CE3552"/>
    <w:rsid w:val="00CE3765"/>
    <w:rsid w:val="00CE39A5"/>
    <w:rsid w:val="00CE3AE8"/>
    <w:rsid w:val="00CE3AFB"/>
    <w:rsid w:val="00CE3B44"/>
    <w:rsid w:val="00CE3DF2"/>
    <w:rsid w:val="00CE3FC4"/>
    <w:rsid w:val="00CE40A7"/>
    <w:rsid w:val="00CE40DA"/>
    <w:rsid w:val="00CE41A5"/>
    <w:rsid w:val="00CE4329"/>
    <w:rsid w:val="00CE4387"/>
    <w:rsid w:val="00CE4407"/>
    <w:rsid w:val="00CE4408"/>
    <w:rsid w:val="00CE4464"/>
    <w:rsid w:val="00CE455E"/>
    <w:rsid w:val="00CE457F"/>
    <w:rsid w:val="00CE4684"/>
    <w:rsid w:val="00CE47F0"/>
    <w:rsid w:val="00CE47FB"/>
    <w:rsid w:val="00CE496F"/>
    <w:rsid w:val="00CE49E9"/>
    <w:rsid w:val="00CE4ABC"/>
    <w:rsid w:val="00CE4AFD"/>
    <w:rsid w:val="00CE4BE6"/>
    <w:rsid w:val="00CE4C9D"/>
    <w:rsid w:val="00CE4CA5"/>
    <w:rsid w:val="00CE4CAF"/>
    <w:rsid w:val="00CE4D4E"/>
    <w:rsid w:val="00CE4D9D"/>
    <w:rsid w:val="00CE4E7E"/>
    <w:rsid w:val="00CE4F31"/>
    <w:rsid w:val="00CE4F6E"/>
    <w:rsid w:val="00CE5083"/>
    <w:rsid w:val="00CE52B2"/>
    <w:rsid w:val="00CE52EC"/>
    <w:rsid w:val="00CE5354"/>
    <w:rsid w:val="00CE5542"/>
    <w:rsid w:val="00CE55F3"/>
    <w:rsid w:val="00CE5762"/>
    <w:rsid w:val="00CE580C"/>
    <w:rsid w:val="00CE5928"/>
    <w:rsid w:val="00CE596B"/>
    <w:rsid w:val="00CE5AEE"/>
    <w:rsid w:val="00CE5E2D"/>
    <w:rsid w:val="00CE5E67"/>
    <w:rsid w:val="00CE5EC0"/>
    <w:rsid w:val="00CE5F1F"/>
    <w:rsid w:val="00CE6035"/>
    <w:rsid w:val="00CE606E"/>
    <w:rsid w:val="00CE6148"/>
    <w:rsid w:val="00CE614A"/>
    <w:rsid w:val="00CE6174"/>
    <w:rsid w:val="00CE6203"/>
    <w:rsid w:val="00CE627A"/>
    <w:rsid w:val="00CE62D4"/>
    <w:rsid w:val="00CE6522"/>
    <w:rsid w:val="00CE6596"/>
    <w:rsid w:val="00CE65F1"/>
    <w:rsid w:val="00CE6632"/>
    <w:rsid w:val="00CE6643"/>
    <w:rsid w:val="00CE66A0"/>
    <w:rsid w:val="00CE66BF"/>
    <w:rsid w:val="00CE674C"/>
    <w:rsid w:val="00CE6907"/>
    <w:rsid w:val="00CE695A"/>
    <w:rsid w:val="00CE6A13"/>
    <w:rsid w:val="00CE6BFB"/>
    <w:rsid w:val="00CE6C48"/>
    <w:rsid w:val="00CE6F55"/>
    <w:rsid w:val="00CE6F5F"/>
    <w:rsid w:val="00CE7013"/>
    <w:rsid w:val="00CE70E2"/>
    <w:rsid w:val="00CE7131"/>
    <w:rsid w:val="00CE7195"/>
    <w:rsid w:val="00CE71E7"/>
    <w:rsid w:val="00CE722C"/>
    <w:rsid w:val="00CE74F3"/>
    <w:rsid w:val="00CE7520"/>
    <w:rsid w:val="00CE75EF"/>
    <w:rsid w:val="00CE76EB"/>
    <w:rsid w:val="00CE7725"/>
    <w:rsid w:val="00CE7828"/>
    <w:rsid w:val="00CE7880"/>
    <w:rsid w:val="00CE7975"/>
    <w:rsid w:val="00CE7CE5"/>
    <w:rsid w:val="00CE7D91"/>
    <w:rsid w:val="00CE7F5F"/>
    <w:rsid w:val="00CE7F92"/>
    <w:rsid w:val="00CF00F5"/>
    <w:rsid w:val="00CF0195"/>
    <w:rsid w:val="00CF01D2"/>
    <w:rsid w:val="00CF0237"/>
    <w:rsid w:val="00CF0265"/>
    <w:rsid w:val="00CF0368"/>
    <w:rsid w:val="00CF03FC"/>
    <w:rsid w:val="00CF0592"/>
    <w:rsid w:val="00CF05AD"/>
    <w:rsid w:val="00CF06B3"/>
    <w:rsid w:val="00CF07B4"/>
    <w:rsid w:val="00CF07D2"/>
    <w:rsid w:val="00CF0A47"/>
    <w:rsid w:val="00CF0D46"/>
    <w:rsid w:val="00CF0D84"/>
    <w:rsid w:val="00CF0DA4"/>
    <w:rsid w:val="00CF0DDF"/>
    <w:rsid w:val="00CF0EA6"/>
    <w:rsid w:val="00CF0EF1"/>
    <w:rsid w:val="00CF0F28"/>
    <w:rsid w:val="00CF0F2E"/>
    <w:rsid w:val="00CF109B"/>
    <w:rsid w:val="00CF10C8"/>
    <w:rsid w:val="00CF1130"/>
    <w:rsid w:val="00CF11DD"/>
    <w:rsid w:val="00CF1218"/>
    <w:rsid w:val="00CF12C3"/>
    <w:rsid w:val="00CF1343"/>
    <w:rsid w:val="00CF1392"/>
    <w:rsid w:val="00CF13E3"/>
    <w:rsid w:val="00CF1464"/>
    <w:rsid w:val="00CF14C2"/>
    <w:rsid w:val="00CF14C6"/>
    <w:rsid w:val="00CF1527"/>
    <w:rsid w:val="00CF1637"/>
    <w:rsid w:val="00CF1752"/>
    <w:rsid w:val="00CF17B6"/>
    <w:rsid w:val="00CF17C6"/>
    <w:rsid w:val="00CF181B"/>
    <w:rsid w:val="00CF190F"/>
    <w:rsid w:val="00CF1A16"/>
    <w:rsid w:val="00CF1A3B"/>
    <w:rsid w:val="00CF1A6B"/>
    <w:rsid w:val="00CF1BB9"/>
    <w:rsid w:val="00CF1C28"/>
    <w:rsid w:val="00CF1DF0"/>
    <w:rsid w:val="00CF1E0F"/>
    <w:rsid w:val="00CF1ED3"/>
    <w:rsid w:val="00CF2068"/>
    <w:rsid w:val="00CF2087"/>
    <w:rsid w:val="00CF2121"/>
    <w:rsid w:val="00CF214F"/>
    <w:rsid w:val="00CF25D9"/>
    <w:rsid w:val="00CF2742"/>
    <w:rsid w:val="00CF279A"/>
    <w:rsid w:val="00CF27CE"/>
    <w:rsid w:val="00CF282D"/>
    <w:rsid w:val="00CF2853"/>
    <w:rsid w:val="00CF2887"/>
    <w:rsid w:val="00CF28CF"/>
    <w:rsid w:val="00CF2AC9"/>
    <w:rsid w:val="00CF2B18"/>
    <w:rsid w:val="00CF2BE7"/>
    <w:rsid w:val="00CF2C2B"/>
    <w:rsid w:val="00CF2C48"/>
    <w:rsid w:val="00CF2C4D"/>
    <w:rsid w:val="00CF2CCD"/>
    <w:rsid w:val="00CF2F84"/>
    <w:rsid w:val="00CF30CC"/>
    <w:rsid w:val="00CF3121"/>
    <w:rsid w:val="00CF313F"/>
    <w:rsid w:val="00CF34BC"/>
    <w:rsid w:val="00CF37BD"/>
    <w:rsid w:val="00CF395D"/>
    <w:rsid w:val="00CF3A2B"/>
    <w:rsid w:val="00CF3A33"/>
    <w:rsid w:val="00CF3A4B"/>
    <w:rsid w:val="00CF3B01"/>
    <w:rsid w:val="00CF3BAB"/>
    <w:rsid w:val="00CF3C0E"/>
    <w:rsid w:val="00CF3C3F"/>
    <w:rsid w:val="00CF3D70"/>
    <w:rsid w:val="00CF3DBD"/>
    <w:rsid w:val="00CF3E4D"/>
    <w:rsid w:val="00CF3E6B"/>
    <w:rsid w:val="00CF3EF0"/>
    <w:rsid w:val="00CF3F91"/>
    <w:rsid w:val="00CF40C9"/>
    <w:rsid w:val="00CF413C"/>
    <w:rsid w:val="00CF41FC"/>
    <w:rsid w:val="00CF428F"/>
    <w:rsid w:val="00CF4336"/>
    <w:rsid w:val="00CF438B"/>
    <w:rsid w:val="00CF4598"/>
    <w:rsid w:val="00CF459B"/>
    <w:rsid w:val="00CF46AA"/>
    <w:rsid w:val="00CF470A"/>
    <w:rsid w:val="00CF4922"/>
    <w:rsid w:val="00CF4A50"/>
    <w:rsid w:val="00CF4A9A"/>
    <w:rsid w:val="00CF4B69"/>
    <w:rsid w:val="00CF4C53"/>
    <w:rsid w:val="00CF4D3B"/>
    <w:rsid w:val="00CF4EBF"/>
    <w:rsid w:val="00CF4F17"/>
    <w:rsid w:val="00CF4F65"/>
    <w:rsid w:val="00CF5091"/>
    <w:rsid w:val="00CF518D"/>
    <w:rsid w:val="00CF531A"/>
    <w:rsid w:val="00CF5371"/>
    <w:rsid w:val="00CF5442"/>
    <w:rsid w:val="00CF5481"/>
    <w:rsid w:val="00CF561E"/>
    <w:rsid w:val="00CF5676"/>
    <w:rsid w:val="00CF574E"/>
    <w:rsid w:val="00CF5841"/>
    <w:rsid w:val="00CF587F"/>
    <w:rsid w:val="00CF5959"/>
    <w:rsid w:val="00CF59DA"/>
    <w:rsid w:val="00CF5C38"/>
    <w:rsid w:val="00CF5C92"/>
    <w:rsid w:val="00CF5D26"/>
    <w:rsid w:val="00CF5D2B"/>
    <w:rsid w:val="00CF5E25"/>
    <w:rsid w:val="00CF5F8B"/>
    <w:rsid w:val="00CF605D"/>
    <w:rsid w:val="00CF6265"/>
    <w:rsid w:val="00CF62A1"/>
    <w:rsid w:val="00CF6328"/>
    <w:rsid w:val="00CF6344"/>
    <w:rsid w:val="00CF6438"/>
    <w:rsid w:val="00CF647D"/>
    <w:rsid w:val="00CF651D"/>
    <w:rsid w:val="00CF659F"/>
    <w:rsid w:val="00CF6766"/>
    <w:rsid w:val="00CF683D"/>
    <w:rsid w:val="00CF6850"/>
    <w:rsid w:val="00CF69AE"/>
    <w:rsid w:val="00CF69C4"/>
    <w:rsid w:val="00CF6CCA"/>
    <w:rsid w:val="00CF6E4D"/>
    <w:rsid w:val="00CF6E6E"/>
    <w:rsid w:val="00CF6ED6"/>
    <w:rsid w:val="00CF71BB"/>
    <w:rsid w:val="00CF72F1"/>
    <w:rsid w:val="00CF738D"/>
    <w:rsid w:val="00CF750A"/>
    <w:rsid w:val="00CF7548"/>
    <w:rsid w:val="00CF76B2"/>
    <w:rsid w:val="00CF7739"/>
    <w:rsid w:val="00CF7789"/>
    <w:rsid w:val="00CF78C4"/>
    <w:rsid w:val="00CF78D5"/>
    <w:rsid w:val="00CF78FD"/>
    <w:rsid w:val="00CF792C"/>
    <w:rsid w:val="00CF797B"/>
    <w:rsid w:val="00CF7A21"/>
    <w:rsid w:val="00CF7A2E"/>
    <w:rsid w:val="00CF7B0D"/>
    <w:rsid w:val="00CF7B38"/>
    <w:rsid w:val="00CF7C30"/>
    <w:rsid w:val="00CF7C40"/>
    <w:rsid w:val="00CF7C4D"/>
    <w:rsid w:val="00CF7D36"/>
    <w:rsid w:val="00CF7E6C"/>
    <w:rsid w:val="00CF7F68"/>
    <w:rsid w:val="00CF7F97"/>
    <w:rsid w:val="00D00026"/>
    <w:rsid w:val="00D0015E"/>
    <w:rsid w:val="00D001F5"/>
    <w:rsid w:val="00D00205"/>
    <w:rsid w:val="00D00227"/>
    <w:rsid w:val="00D00295"/>
    <w:rsid w:val="00D00354"/>
    <w:rsid w:val="00D0036E"/>
    <w:rsid w:val="00D003B9"/>
    <w:rsid w:val="00D00586"/>
    <w:rsid w:val="00D00594"/>
    <w:rsid w:val="00D005EC"/>
    <w:rsid w:val="00D0064C"/>
    <w:rsid w:val="00D00677"/>
    <w:rsid w:val="00D00736"/>
    <w:rsid w:val="00D00762"/>
    <w:rsid w:val="00D007F1"/>
    <w:rsid w:val="00D0085A"/>
    <w:rsid w:val="00D009ED"/>
    <w:rsid w:val="00D00AC0"/>
    <w:rsid w:val="00D00AF2"/>
    <w:rsid w:val="00D00CCA"/>
    <w:rsid w:val="00D00CF9"/>
    <w:rsid w:val="00D00D81"/>
    <w:rsid w:val="00D00DCD"/>
    <w:rsid w:val="00D00DE6"/>
    <w:rsid w:val="00D00F53"/>
    <w:rsid w:val="00D00F7F"/>
    <w:rsid w:val="00D00FBC"/>
    <w:rsid w:val="00D00FCA"/>
    <w:rsid w:val="00D01040"/>
    <w:rsid w:val="00D0112C"/>
    <w:rsid w:val="00D0120E"/>
    <w:rsid w:val="00D0122A"/>
    <w:rsid w:val="00D012EF"/>
    <w:rsid w:val="00D012F3"/>
    <w:rsid w:val="00D01339"/>
    <w:rsid w:val="00D013A7"/>
    <w:rsid w:val="00D015CD"/>
    <w:rsid w:val="00D01779"/>
    <w:rsid w:val="00D0183C"/>
    <w:rsid w:val="00D018E5"/>
    <w:rsid w:val="00D0195F"/>
    <w:rsid w:val="00D019D6"/>
    <w:rsid w:val="00D01A56"/>
    <w:rsid w:val="00D01A68"/>
    <w:rsid w:val="00D01B51"/>
    <w:rsid w:val="00D01B69"/>
    <w:rsid w:val="00D01B6A"/>
    <w:rsid w:val="00D01BC5"/>
    <w:rsid w:val="00D01BF1"/>
    <w:rsid w:val="00D01BFF"/>
    <w:rsid w:val="00D01D24"/>
    <w:rsid w:val="00D01E76"/>
    <w:rsid w:val="00D01EAC"/>
    <w:rsid w:val="00D01F3A"/>
    <w:rsid w:val="00D02060"/>
    <w:rsid w:val="00D02094"/>
    <w:rsid w:val="00D020F6"/>
    <w:rsid w:val="00D0213B"/>
    <w:rsid w:val="00D022FD"/>
    <w:rsid w:val="00D0230E"/>
    <w:rsid w:val="00D02364"/>
    <w:rsid w:val="00D02586"/>
    <w:rsid w:val="00D02595"/>
    <w:rsid w:val="00D0259E"/>
    <w:rsid w:val="00D02750"/>
    <w:rsid w:val="00D0287E"/>
    <w:rsid w:val="00D028E9"/>
    <w:rsid w:val="00D02919"/>
    <w:rsid w:val="00D02A1C"/>
    <w:rsid w:val="00D02B42"/>
    <w:rsid w:val="00D02B73"/>
    <w:rsid w:val="00D02D19"/>
    <w:rsid w:val="00D02D3D"/>
    <w:rsid w:val="00D02D80"/>
    <w:rsid w:val="00D02E23"/>
    <w:rsid w:val="00D02E7D"/>
    <w:rsid w:val="00D02E7E"/>
    <w:rsid w:val="00D02F2C"/>
    <w:rsid w:val="00D03050"/>
    <w:rsid w:val="00D03062"/>
    <w:rsid w:val="00D03132"/>
    <w:rsid w:val="00D03180"/>
    <w:rsid w:val="00D0322E"/>
    <w:rsid w:val="00D03436"/>
    <w:rsid w:val="00D03619"/>
    <w:rsid w:val="00D0374A"/>
    <w:rsid w:val="00D03793"/>
    <w:rsid w:val="00D038E3"/>
    <w:rsid w:val="00D0392D"/>
    <w:rsid w:val="00D0395B"/>
    <w:rsid w:val="00D03996"/>
    <w:rsid w:val="00D03AEF"/>
    <w:rsid w:val="00D03BAB"/>
    <w:rsid w:val="00D03D2A"/>
    <w:rsid w:val="00D03E16"/>
    <w:rsid w:val="00D03E24"/>
    <w:rsid w:val="00D03E33"/>
    <w:rsid w:val="00D03E99"/>
    <w:rsid w:val="00D03EAE"/>
    <w:rsid w:val="00D03EDE"/>
    <w:rsid w:val="00D03F32"/>
    <w:rsid w:val="00D04029"/>
    <w:rsid w:val="00D040C6"/>
    <w:rsid w:val="00D04260"/>
    <w:rsid w:val="00D0429C"/>
    <w:rsid w:val="00D042E1"/>
    <w:rsid w:val="00D04638"/>
    <w:rsid w:val="00D0463F"/>
    <w:rsid w:val="00D04673"/>
    <w:rsid w:val="00D0476E"/>
    <w:rsid w:val="00D049D4"/>
    <w:rsid w:val="00D04AE5"/>
    <w:rsid w:val="00D04B37"/>
    <w:rsid w:val="00D04BE7"/>
    <w:rsid w:val="00D04D02"/>
    <w:rsid w:val="00D04E53"/>
    <w:rsid w:val="00D04FEF"/>
    <w:rsid w:val="00D050ED"/>
    <w:rsid w:val="00D05113"/>
    <w:rsid w:val="00D052E4"/>
    <w:rsid w:val="00D053E4"/>
    <w:rsid w:val="00D05404"/>
    <w:rsid w:val="00D0545C"/>
    <w:rsid w:val="00D0563B"/>
    <w:rsid w:val="00D05694"/>
    <w:rsid w:val="00D056E6"/>
    <w:rsid w:val="00D057A5"/>
    <w:rsid w:val="00D057CC"/>
    <w:rsid w:val="00D057DA"/>
    <w:rsid w:val="00D05982"/>
    <w:rsid w:val="00D059B0"/>
    <w:rsid w:val="00D05A53"/>
    <w:rsid w:val="00D05B85"/>
    <w:rsid w:val="00D05C26"/>
    <w:rsid w:val="00D05C65"/>
    <w:rsid w:val="00D05C8F"/>
    <w:rsid w:val="00D05CA8"/>
    <w:rsid w:val="00D05DED"/>
    <w:rsid w:val="00D05E2A"/>
    <w:rsid w:val="00D05F0E"/>
    <w:rsid w:val="00D06010"/>
    <w:rsid w:val="00D0621E"/>
    <w:rsid w:val="00D06225"/>
    <w:rsid w:val="00D06247"/>
    <w:rsid w:val="00D064A5"/>
    <w:rsid w:val="00D064EE"/>
    <w:rsid w:val="00D06641"/>
    <w:rsid w:val="00D06669"/>
    <w:rsid w:val="00D06677"/>
    <w:rsid w:val="00D0677C"/>
    <w:rsid w:val="00D069F1"/>
    <w:rsid w:val="00D06A6C"/>
    <w:rsid w:val="00D06AF6"/>
    <w:rsid w:val="00D06AF7"/>
    <w:rsid w:val="00D06B0A"/>
    <w:rsid w:val="00D06C0D"/>
    <w:rsid w:val="00D06C0F"/>
    <w:rsid w:val="00D06C37"/>
    <w:rsid w:val="00D06D36"/>
    <w:rsid w:val="00D06D37"/>
    <w:rsid w:val="00D06DB8"/>
    <w:rsid w:val="00D06DCD"/>
    <w:rsid w:val="00D070B0"/>
    <w:rsid w:val="00D070CC"/>
    <w:rsid w:val="00D0725A"/>
    <w:rsid w:val="00D07331"/>
    <w:rsid w:val="00D07516"/>
    <w:rsid w:val="00D07613"/>
    <w:rsid w:val="00D0769D"/>
    <w:rsid w:val="00D0780B"/>
    <w:rsid w:val="00D0787C"/>
    <w:rsid w:val="00D07B81"/>
    <w:rsid w:val="00D07CEE"/>
    <w:rsid w:val="00D07D99"/>
    <w:rsid w:val="00D07EB1"/>
    <w:rsid w:val="00D07F56"/>
    <w:rsid w:val="00D07FE4"/>
    <w:rsid w:val="00D10198"/>
    <w:rsid w:val="00D10299"/>
    <w:rsid w:val="00D10410"/>
    <w:rsid w:val="00D106DC"/>
    <w:rsid w:val="00D10714"/>
    <w:rsid w:val="00D10797"/>
    <w:rsid w:val="00D107B5"/>
    <w:rsid w:val="00D107BF"/>
    <w:rsid w:val="00D10829"/>
    <w:rsid w:val="00D10888"/>
    <w:rsid w:val="00D109B4"/>
    <w:rsid w:val="00D10AFD"/>
    <w:rsid w:val="00D10C4C"/>
    <w:rsid w:val="00D10D4F"/>
    <w:rsid w:val="00D10D82"/>
    <w:rsid w:val="00D10D99"/>
    <w:rsid w:val="00D10DCF"/>
    <w:rsid w:val="00D1120D"/>
    <w:rsid w:val="00D11231"/>
    <w:rsid w:val="00D112FB"/>
    <w:rsid w:val="00D1130F"/>
    <w:rsid w:val="00D11365"/>
    <w:rsid w:val="00D113CA"/>
    <w:rsid w:val="00D1149B"/>
    <w:rsid w:val="00D1150B"/>
    <w:rsid w:val="00D1153F"/>
    <w:rsid w:val="00D11609"/>
    <w:rsid w:val="00D11612"/>
    <w:rsid w:val="00D11669"/>
    <w:rsid w:val="00D116DA"/>
    <w:rsid w:val="00D11775"/>
    <w:rsid w:val="00D117B1"/>
    <w:rsid w:val="00D117FF"/>
    <w:rsid w:val="00D11833"/>
    <w:rsid w:val="00D11875"/>
    <w:rsid w:val="00D119D8"/>
    <w:rsid w:val="00D11BD1"/>
    <w:rsid w:val="00D11CE1"/>
    <w:rsid w:val="00D11E60"/>
    <w:rsid w:val="00D11EDD"/>
    <w:rsid w:val="00D11EF7"/>
    <w:rsid w:val="00D11F16"/>
    <w:rsid w:val="00D11FAB"/>
    <w:rsid w:val="00D120F3"/>
    <w:rsid w:val="00D121BA"/>
    <w:rsid w:val="00D12211"/>
    <w:rsid w:val="00D12234"/>
    <w:rsid w:val="00D122FB"/>
    <w:rsid w:val="00D12422"/>
    <w:rsid w:val="00D12523"/>
    <w:rsid w:val="00D12530"/>
    <w:rsid w:val="00D1255B"/>
    <w:rsid w:val="00D1275C"/>
    <w:rsid w:val="00D12874"/>
    <w:rsid w:val="00D128EE"/>
    <w:rsid w:val="00D1295C"/>
    <w:rsid w:val="00D129CB"/>
    <w:rsid w:val="00D12AF6"/>
    <w:rsid w:val="00D12B03"/>
    <w:rsid w:val="00D12B55"/>
    <w:rsid w:val="00D12BB0"/>
    <w:rsid w:val="00D12BD0"/>
    <w:rsid w:val="00D12C05"/>
    <w:rsid w:val="00D12D86"/>
    <w:rsid w:val="00D12DD7"/>
    <w:rsid w:val="00D12E13"/>
    <w:rsid w:val="00D13000"/>
    <w:rsid w:val="00D1303C"/>
    <w:rsid w:val="00D130E8"/>
    <w:rsid w:val="00D13154"/>
    <w:rsid w:val="00D13258"/>
    <w:rsid w:val="00D13519"/>
    <w:rsid w:val="00D13711"/>
    <w:rsid w:val="00D13798"/>
    <w:rsid w:val="00D13991"/>
    <w:rsid w:val="00D13AC0"/>
    <w:rsid w:val="00D13B5D"/>
    <w:rsid w:val="00D13B91"/>
    <w:rsid w:val="00D13C4D"/>
    <w:rsid w:val="00D13C53"/>
    <w:rsid w:val="00D13D19"/>
    <w:rsid w:val="00D13D5A"/>
    <w:rsid w:val="00D13DB4"/>
    <w:rsid w:val="00D13E81"/>
    <w:rsid w:val="00D13E98"/>
    <w:rsid w:val="00D13F60"/>
    <w:rsid w:val="00D13F93"/>
    <w:rsid w:val="00D140F5"/>
    <w:rsid w:val="00D14103"/>
    <w:rsid w:val="00D141E6"/>
    <w:rsid w:val="00D1425D"/>
    <w:rsid w:val="00D142EC"/>
    <w:rsid w:val="00D14357"/>
    <w:rsid w:val="00D14422"/>
    <w:rsid w:val="00D14448"/>
    <w:rsid w:val="00D144FA"/>
    <w:rsid w:val="00D14728"/>
    <w:rsid w:val="00D1477A"/>
    <w:rsid w:val="00D1490F"/>
    <w:rsid w:val="00D14964"/>
    <w:rsid w:val="00D149CB"/>
    <w:rsid w:val="00D149E6"/>
    <w:rsid w:val="00D149EC"/>
    <w:rsid w:val="00D14A19"/>
    <w:rsid w:val="00D14AA0"/>
    <w:rsid w:val="00D14C27"/>
    <w:rsid w:val="00D14D22"/>
    <w:rsid w:val="00D14DCE"/>
    <w:rsid w:val="00D14E28"/>
    <w:rsid w:val="00D14E5F"/>
    <w:rsid w:val="00D14EAA"/>
    <w:rsid w:val="00D14F8A"/>
    <w:rsid w:val="00D1514F"/>
    <w:rsid w:val="00D151D3"/>
    <w:rsid w:val="00D151DB"/>
    <w:rsid w:val="00D15539"/>
    <w:rsid w:val="00D1557C"/>
    <w:rsid w:val="00D155AB"/>
    <w:rsid w:val="00D15611"/>
    <w:rsid w:val="00D15615"/>
    <w:rsid w:val="00D15766"/>
    <w:rsid w:val="00D157B7"/>
    <w:rsid w:val="00D157C1"/>
    <w:rsid w:val="00D157CE"/>
    <w:rsid w:val="00D15851"/>
    <w:rsid w:val="00D1599D"/>
    <w:rsid w:val="00D159B9"/>
    <w:rsid w:val="00D15B68"/>
    <w:rsid w:val="00D15E7A"/>
    <w:rsid w:val="00D15F48"/>
    <w:rsid w:val="00D1609C"/>
    <w:rsid w:val="00D1617F"/>
    <w:rsid w:val="00D1634F"/>
    <w:rsid w:val="00D16526"/>
    <w:rsid w:val="00D1657D"/>
    <w:rsid w:val="00D16669"/>
    <w:rsid w:val="00D166A4"/>
    <w:rsid w:val="00D16815"/>
    <w:rsid w:val="00D168EC"/>
    <w:rsid w:val="00D1698A"/>
    <w:rsid w:val="00D1699D"/>
    <w:rsid w:val="00D169B5"/>
    <w:rsid w:val="00D169DA"/>
    <w:rsid w:val="00D16BD7"/>
    <w:rsid w:val="00D16C45"/>
    <w:rsid w:val="00D16D3A"/>
    <w:rsid w:val="00D16EB8"/>
    <w:rsid w:val="00D16F6C"/>
    <w:rsid w:val="00D17006"/>
    <w:rsid w:val="00D17034"/>
    <w:rsid w:val="00D170D4"/>
    <w:rsid w:val="00D1719B"/>
    <w:rsid w:val="00D1747E"/>
    <w:rsid w:val="00D175B6"/>
    <w:rsid w:val="00D17687"/>
    <w:rsid w:val="00D17715"/>
    <w:rsid w:val="00D17749"/>
    <w:rsid w:val="00D17802"/>
    <w:rsid w:val="00D1789F"/>
    <w:rsid w:val="00D178B6"/>
    <w:rsid w:val="00D178BA"/>
    <w:rsid w:val="00D178D6"/>
    <w:rsid w:val="00D1794C"/>
    <w:rsid w:val="00D179A1"/>
    <w:rsid w:val="00D17A18"/>
    <w:rsid w:val="00D17A80"/>
    <w:rsid w:val="00D17C53"/>
    <w:rsid w:val="00D17C85"/>
    <w:rsid w:val="00D17DD0"/>
    <w:rsid w:val="00D17DE1"/>
    <w:rsid w:val="00D17E28"/>
    <w:rsid w:val="00D17E9F"/>
    <w:rsid w:val="00D17FE7"/>
    <w:rsid w:val="00D2006C"/>
    <w:rsid w:val="00D20099"/>
    <w:rsid w:val="00D200B6"/>
    <w:rsid w:val="00D20179"/>
    <w:rsid w:val="00D201CF"/>
    <w:rsid w:val="00D201F6"/>
    <w:rsid w:val="00D2020C"/>
    <w:rsid w:val="00D20278"/>
    <w:rsid w:val="00D2041E"/>
    <w:rsid w:val="00D2044A"/>
    <w:rsid w:val="00D20477"/>
    <w:rsid w:val="00D2049A"/>
    <w:rsid w:val="00D206CE"/>
    <w:rsid w:val="00D208FB"/>
    <w:rsid w:val="00D2091E"/>
    <w:rsid w:val="00D2094C"/>
    <w:rsid w:val="00D20AE1"/>
    <w:rsid w:val="00D20AEE"/>
    <w:rsid w:val="00D20C1F"/>
    <w:rsid w:val="00D20C6A"/>
    <w:rsid w:val="00D20C6C"/>
    <w:rsid w:val="00D21223"/>
    <w:rsid w:val="00D21583"/>
    <w:rsid w:val="00D218B5"/>
    <w:rsid w:val="00D21E8A"/>
    <w:rsid w:val="00D21EC6"/>
    <w:rsid w:val="00D2218B"/>
    <w:rsid w:val="00D2219D"/>
    <w:rsid w:val="00D221CD"/>
    <w:rsid w:val="00D22206"/>
    <w:rsid w:val="00D2221E"/>
    <w:rsid w:val="00D22259"/>
    <w:rsid w:val="00D222CB"/>
    <w:rsid w:val="00D22341"/>
    <w:rsid w:val="00D223F7"/>
    <w:rsid w:val="00D22403"/>
    <w:rsid w:val="00D22541"/>
    <w:rsid w:val="00D226A7"/>
    <w:rsid w:val="00D2283E"/>
    <w:rsid w:val="00D22873"/>
    <w:rsid w:val="00D2290A"/>
    <w:rsid w:val="00D229ED"/>
    <w:rsid w:val="00D22A40"/>
    <w:rsid w:val="00D22A98"/>
    <w:rsid w:val="00D22AE0"/>
    <w:rsid w:val="00D22B44"/>
    <w:rsid w:val="00D22C2F"/>
    <w:rsid w:val="00D22D61"/>
    <w:rsid w:val="00D22D6C"/>
    <w:rsid w:val="00D22D90"/>
    <w:rsid w:val="00D22E18"/>
    <w:rsid w:val="00D22E75"/>
    <w:rsid w:val="00D22ED1"/>
    <w:rsid w:val="00D22F81"/>
    <w:rsid w:val="00D22FED"/>
    <w:rsid w:val="00D23048"/>
    <w:rsid w:val="00D230BB"/>
    <w:rsid w:val="00D2322C"/>
    <w:rsid w:val="00D2326A"/>
    <w:rsid w:val="00D23289"/>
    <w:rsid w:val="00D232AA"/>
    <w:rsid w:val="00D23349"/>
    <w:rsid w:val="00D2335F"/>
    <w:rsid w:val="00D23484"/>
    <w:rsid w:val="00D234E1"/>
    <w:rsid w:val="00D23626"/>
    <w:rsid w:val="00D236E0"/>
    <w:rsid w:val="00D236ED"/>
    <w:rsid w:val="00D2375C"/>
    <w:rsid w:val="00D23771"/>
    <w:rsid w:val="00D23779"/>
    <w:rsid w:val="00D237ED"/>
    <w:rsid w:val="00D2389C"/>
    <w:rsid w:val="00D238EC"/>
    <w:rsid w:val="00D2391B"/>
    <w:rsid w:val="00D23AB8"/>
    <w:rsid w:val="00D23C6D"/>
    <w:rsid w:val="00D23CC0"/>
    <w:rsid w:val="00D23D48"/>
    <w:rsid w:val="00D23DF6"/>
    <w:rsid w:val="00D23E2C"/>
    <w:rsid w:val="00D23E41"/>
    <w:rsid w:val="00D24065"/>
    <w:rsid w:val="00D24131"/>
    <w:rsid w:val="00D24194"/>
    <w:rsid w:val="00D241A4"/>
    <w:rsid w:val="00D241AF"/>
    <w:rsid w:val="00D241B0"/>
    <w:rsid w:val="00D24284"/>
    <w:rsid w:val="00D242A4"/>
    <w:rsid w:val="00D242C7"/>
    <w:rsid w:val="00D24354"/>
    <w:rsid w:val="00D2441C"/>
    <w:rsid w:val="00D245F4"/>
    <w:rsid w:val="00D246D7"/>
    <w:rsid w:val="00D24748"/>
    <w:rsid w:val="00D248D0"/>
    <w:rsid w:val="00D2498F"/>
    <w:rsid w:val="00D24A81"/>
    <w:rsid w:val="00D24A84"/>
    <w:rsid w:val="00D24B34"/>
    <w:rsid w:val="00D24B44"/>
    <w:rsid w:val="00D24BD7"/>
    <w:rsid w:val="00D24BE4"/>
    <w:rsid w:val="00D24C83"/>
    <w:rsid w:val="00D24D9C"/>
    <w:rsid w:val="00D24E6D"/>
    <w:rsid w:val="00D24E71"/>
    <w:rsid w:val="00D25076"/>
    <w:rsid w:val="00D250D2"/>
    <w:rsid w:val="00D25139"/>
    <w:rsid w:val="00D251C6"/>
    <w:rsid w:val="00D252E2"/>
    <w:rsid w:val="00D25413"/>
    <w:rsid w:val="00D25453"/>
    <w:rsid w:val="00D256E3"/>
    <w:rsid w:val="00D2572F"/>
    <w:rsid w:val="00D257F6"/>
    <w:rsid w:val="00D2587D"/>
    <w:rsid w:val="00D258F6"/>
    <w:rsid w:val="00D259D1"/>
    <w:rsid w:val="00D25A0A"/>
    <w:rsid w:val="00D25A62"/>
    <w:rsid w:val="00D25BA2"/>
    <w:rsid w:val="00D25BED"/>
    <w:rsid w:val="00D25C30"/>
    <w:rsid w:val="00D25D4B"/>
    <w:rsid w:val="00D25D4F"/>
    <w:rsid w:val="00D25D7D"/>
    <w:rsid w:val="00D25DF4"/>
    <w:rsid w:val="00D25E68"/>
    <w:rsid w:val="00D25ED5"/>
    <w:rsid w:val="00D25EF7"/>
    <w:rsid w:val="00D25F70"/>
    <w:rsid w:val="00D26028"/>
    <w:rsid w:val="00D26095"/>
    <w:rsid w:val="00D260ED"/>
    <w:rsid w:val="00D260FB"/>
    <w:rsid w:val="00D2639C"/>
    <w:rsid w:val="00D263FB"/>
    <w:rsid w:val="00D264AA"/>
    <w:rsid w:val="00D26504"/>
    <w:rsid w:val="00D265E6"/>
    <w:rsid w:val="00D2664A"/>
    <w:rsid w:val="00D266B8"/>
    <w:rsid w:val="00D267DF"/>
    <w:rsid w:val="00D2686B"/>
    <w:rsid w:val="00D2687E"/>
    <w:rsid w:val="00D268BE"/>
    <w:rsid w:val="00D268D0"/>
    <w:rsid w:val="00D268DC"/>
    <w:rsid w:val="00D26941"/>
    <w:rsid w:val="00D269A7"/>
    <w:rsid w:val="00D269B6"/>
    <w:rsid w:val="00D269F4"/>
    <w:rsid w:val="00D26A25"/>
    <w:rsid w:val="00D26B35"/>
    <w:rsid w:val="00D26B97"/>
    <w:rsid w:val="00D26D2E"/>
    <w:rsid w:val="00D26D7F"/>
    <w:rsid w:val="00D26DCC"/>
    <w:rsid w:val="00D26E8B"/>
    <w:rsid w:val="00D26EBC"/>
    <w:rsid w:val="00D26F43"/>
    <w:rsid w:val="00D26F4A"/>
    <w:rsid w:val="00D2705A"/>
    <w:rsid w:val="00D270C6"/>
    <w:rsid w:val="00D2711E"/>
    <w:rsid w:val="00D27151"/>
    <w:rsid w:val="00D27277"/>
    <w:rsid w:val="00D273D0"/>
    <w:rsid w:val="00D27482"/>
    <w:rsid w:val="00D2753A"/>
    <w:rsid w:val="00D27612"/>
    <w:rsid w:val="00D276FD"/>
    <w:rsid w:val="00D2786C"/>
    <w:rsid w:val="00D2788E"/>
    <w:rsid w:val="00D27A4E"/>
    <w:rsid w:val="00D27BD3"/>
    <w:rsid w:val="00D27DB7"/>
    <w:rsid w:val="00D27ED5"/>
    <w:rsid w:val="00D27EDD"/>
    <w:rsid w:val="00D27F16"/>
    <w:rsid w:val="00D27F20"/>
    <w:rsid w:val="00D27F93"/>
    <w:rsid w:val="00D27FF3"/>
    <w:rsid w:val="00D3003E"/>
    <w:rsid w:val="00D3006C"/>
    <w:rsid w:val="00D30081"/>
    <w:rsid w:val="00D30183"/>
    <w:rsid w:val="00D301D2"/>
    <w:rsid w:val="00D30214"/>
    <w:rsid w:val="00D30250"/>
    <w:rsid w:val="00D303E2"/>
    <w:rsid w:val="00D30717"/>
    <w:rsid w:val="00D3072E"/>
    <w:rsid w:val="00D3083D"/>
    <w:rsid w:val="00D30941"/>
    <w:rsid w:val="00D30998"/>
    <w:rsid w:val="00D30A5B"/>
    <w:rsid w:val="00D30B37"/>
    <w:rsid w:val="00D30B7E"/>
    <w:rsid w:val="00D30BAD"/>
    <w:rsid w:val="00D30CB1"/>
    <w:rsid w:val="00D30D07"/>
    <w:rsid w:val="00D30D90"/>
    <w:rsid w:val="00D30DA1"/>
    <w:rsid w:val="00D30E1E"/>
    <w:rsid w:val="00D30F0A"/>
    <w:rsid w:val="00D31042"/>
    <w:rsid w:val="00D310DA"/>
    <w:rsid w:val="00D311F5"/>
    <w:rsid w:val="00D31215"/>
    <w:rsid w:val="00D31227"/>
    <w:rsid w:val="00D312DB"/>
    <w:rsid w:val="00D31339"/>
    <w:rsid w:val="00D313E5"/>
    <w:rsid w:val="00D313F1"/>
    <w:rsid w:val="00D31416"/>
    <w:rsid w:val="00D31435"/>
    <w:rsid w:val="00D31471"/>
    <w:rsid w:val="00D31629"/>
    <w:rsid w:val="00D317FE"/>
    <w:rsid w:val="00D31860"/>
    <w:rsid w:val="00D318CE"/>
    <w:rsid w:val="00D318ED"/>
    <w:rsid w:val="00D31978"/>
    <w:rsid w:val="00D31A6B"/>
    <w:rsid w:val="00D31B54"/>
    <w:rsid w:val="00D31B56"/>
    <w:rsid w:val="00D31B58"/>
    <w:rsid w:val="00D31E3A"/>
    <w:rsid w:val="00D31EA6"/>
    <w:rsid w:val="00D31EEC"/>
    <w:rsid w:val="00D31FF7"/>
    <w:rsid w:val="00D3204D"/>
    <w:rsid w:val="00D32064"/>
    <w:rsid w:val="00D32117"/>
    <w:rsid w:val="00D32125"/>
    <w:rsid w:val="00D32210"/>
    <w:rsid w:val="00D3228D"/>
    <w:rsid w:val="00D323D8"/>
    <w:rsid w:val="00D32537"/>
    <w:rsid w:val="00D3255F"/>
    <w:rsid w:val="00D32603"/>
    <w:rsid w:val="00D326EE"/>
    <w:rsid w:val="00D3272A"/>
    <w:rsid w:val="00D32746"/>
    <w:rsid w:val="00D32780"/>
    <w:rsid w:val="00D32803"/>
    <w:rsid w:val="00D3284F"/>
    <w:rsid w:val="00D32860"/>
    <w:rsid w:val="00D328DD"/>
    <w:rsid w:val="00D32924"/>
    <w:rsid w:val="00D32940"/>
    <w:rsid w:val="00D329CA"/>
    <w:rsid w:val="00D32A2F"/>
    <w:rsid w:val="00D32B09"/>
    <w:rsid w:val="00D32B25"/>
    <w:rsid w:val="00D32CB4"/>
    <w:rsid w:val="00D32D29"/>
    <w:rsid w:val="00D32DD5"/>
    <w:rsid w:val="00D32E88"/>
    <w:rsid w:val="00D32F3D"/>
    <w:rsid w:val="00D32F43"/>
    <w:rsid w:val="00D32F5B"/>
    <w:rsid w:val="00D331F1"/>
    <w:rsid w:val="00D33282"/>
    <w:rsid w:val="00D33445"/>
    <w:rsid w:val="00D334A8"/>
    <w:rsid w:val="00D335A2"/>
    <w:rsid w:val="00D3362D"/>
    <w:rsid w:val="00D33641"/>
    <w:rsid w:val="00D336DF"/>
    <w:rsid w:val="00D3370E"/>
    <w:rsid w:val="00D337AD"/>
    <w:rsid w:val="00D33B21"/>
    <w:rsid w:val="00D33B83"/>
    <w:rsid w:val="00D33BAB"/>
    <w:rsid w:val="00D33BD7"/>
    <w:rsid w:val="00D33F59"/>
    <w:rsid w:val="00D33FA4"/>
    <w:rsid w:val="00D33FC2"/>
    <w:rsid w:val="00D34078"/>
    <w:rsid w:val="00D341E0"/>
    <w:rsid w:val="00D344AC"/>
    <w:rsid w:val="00D34550"/>
    <w:rsid w:val="00D345B8"/>
    <w:rsid w:val="00D345FA"/>
    <w:rsid w:val="00D348F4"/>
    <w:rsid w:val="00D34942"/>
    <w:rsid w:val="00D3495B"/>
    <w:rsid w:val="00D34973"/>
    <w:rsid w:val="00D34B36"/>
    <w:rsid w:val="00D34B45"/>
    <w:rsid w:val="00D34CB9"/>
    <w:rsid w:val="00D34D57"/>
    <w:rsid w:val="00D34D9B"/>
    <w:rsid w:val="00D34DB7"/>
    <w:rsid w:val="00D34E2D"/>
    <w:rsid w:val="00D34E75"/>
    <w:rsid w:val="00D34EB9"/>
    <w:rsid w:val="00D34F97"/>
    <w:rsid w:val="00D35190"/>
    <w:rsid w:val="00D35193"/>
    <w:rsid w:val="00D351A8"/>
    <w:rsid w:val="00D35242"/>
    <w:rsid w:val="00D3531D"/>
    <w:rsid w:val="00D3548D"/>
    <w:rsid w:val="00D354DF"/>
    <w:rsid w:val="00D35811"/>
    <w:rsid w:val="00D3584C"/>
    <w:rsid w:val="00D35903"/>
    <w:rsid w:val="00D3590E"/>
    <w:rsid w:val="00D359A9"/>
    <w:rsid w:val="00D35A0F"/>
    <w:rsid w:val="00D35B45"/>
    <w:rsid w:val="00D35C56"/>
    <w:rsid w:val="00D35D16"/>
    <w:rsid w:val="00D35D54"/>
    <w:rsid w:val="00D35E14"/>
    <w:rsid w:val="00D35EA4"/>
    <w:rsid w:val="00D35F40"/>
    <w:rsid w:val="00D36025"/>
    <w:rsid w:val="00D36070"/>
    <w:rsid w:val="00D360F0"/>
    <w:rsid w:val="00D36102"/>
    <w:rsid w:val="00D36234"/>
    <w:rsid w:val="00D3623A"/>
    <w:rsid w:val="00D36313"/>
    <w:rsid w:val="00D36326"/>
    <w:rsid w:val="00D36348"/>
    <w:rsid w:val="00D364B6"/>
    <w:rsid w:val="00D366BA"/>
    <w:rsid w:val="00D3671D"/>
    <w:rsid w:val="00D3685F"/>
    <w:rsid w:val="00D368AC"/>
    <w:rsid w:val="00D36922"/>
    <w:rsid w:val="00D36977"/>
    <w:rsid w:val="00D36979"/>
    <w:rsid w:val="00D369C6"/>
    <w:rsid w:val="00D36A49"/>
    <w:rsid w:val="00D36A4B"/>
    <w:rsid w:val="00D36A6D"/>
    <w:rsid w:val="00D36A74"/>
    <w:rsid w:val="00D36A8A"/>
    <w:rsid w:val="00D36B3A"/>
    <w:rsid w:val="00D36C5A"/>
    <w:rsid w:val="00D36D70"/>
    <w:rsid w:val="00D36D90"/>
    <w:rsid w:val="00D36E07"/>
    <w:rsid w:val="00D36E7D"/>
    <w:rsid w:val="00D36E87"/>
    <w:rsid w:val="00D36E8B"/>
    <w:rsid w:val="00D36EC0"/>
    <w:rsid w:val="00D36EDD"/>
    <w:rsid w:val="00D36EEE"/>
    <w:rsid w:val="00D36EFA"/>
    <w:rsid w:val="00D36F14"/>
    <w:rsid w:val="00D36F18"/>
    <w:rsid w:val="00D37113"/>
    <w:rsid w:val="00D3735D"/>
    <w:rsid w:val="00D37399"/>
    <w:rsid w:val="00D373C9"/>
    <w:rsid w:val="00D373EA"/>
    <w:rsid w:val="00D37402"/>
    <w:rsid w:val="00D3768E"/>
    <w:rsid w:val="00D376E5"/>
    <w:rsid w:val="00D3777E"/>
    <w:rsid w:val="00D377A7"/>
    <w:rsid w:val="00D377DB"/>
    <w:rsid w:val="00D3780C"/>
    <w:rsid w:val="00D378B4"/>
    <w:rsid w:val="00D378C4"/>
    <w:rsid w:val="00D37BAB"/>
    <w:rsid w:val="00D37C11"/>
    <w:rsid w:val="00D37D0D"/>
    <w:rsid w:val="00D37D1D"/>
    <w:rsid w:val="00D37E07"/>
    <w:rsid w:val="00D37E09"/>
    <w:rsid w:val="00D40185"/>
    <w:rsid w:val="00D401D5"/>
    <w:rsid w:val="00D4049B"/>
    <w:rsid w:val="00D404AE"/>
    <w:rsid w:val="00D40560"/>
    <w:rsid w:val="00D405BA"/>
    <w:rsid w:val="00D40649"/>
    <w:rsid w:val="00D40724"/>
    <w:rsid w:val="00D407D5"/>
    <w:rsid w:val="00D4083B"/>
    <w:rsid w:val="00D408F1"/>
    <w:rsid w:val="00D40900"/>
    <w:rsid w:val="00D40963"/>
    <w:rsid w:val="00D409EB"/>
    <w:rsid w:val="00D40BA1"/>
    <w:rsid w:val="00D40BC0"/>
    <w:rsid w:val="00D40C18"/>
    <w:rsid w:val="00D40DB7"/>
    <w:rsid w:val="00D41008"/>
    <w:rsid w:val="00D410BF"/>
    <w:rsid w:val="00D411C5"/>
    <w:rsid w:val="00D412A3"/>
    <w:rsid w:val="00D41352"/>
    <w:rsid w:val="00D41476"/>
    <w:rsid w:val="00D41697"/>
    <w:rsid w:val="00D416F0"/>
    <w:rsid w:val="00D4178A"/>
    <w:rsid w:val="00D41852"/>
    <w:rsid w:val="00D4193A"/>
    <w:rsid w:val="00D41AB7"/>
    <w:rsid w:val="00D41AEB"/>
    <w:rsid w:val="00D41C11"/>
    <w:rsid w:val="00D41D2D"/>
    <w:rsid w:val="00D41D82"/>
    <w:rsid w:val="00D41D98"/>
    <w:rsid w:val="00D41DC0"/>
    <w:rsid w:val="00D41DFA"/>
    <w:rsid w:val="00D41E23"/>
    <w:rsid w:val="00D41E7F"/>
    <w:rsid w:val="00D41F01"/>
    <w:rsid w:val="00D420D1"/>
    <w:rsid w:val="00D42150"/>
    <w:rsid w:val="00D4217C"/>
    <w:rsid w:val="00D421DF"/>
    <w:rsid w:val="00D422D7"/>
    <w:rsid w:val="00D422F6"/>
    <w:rsid w:val="00D4230B"/>
    <w:rsid w:val="00D42372"/>
    <w:rsid w:val="00D4243A"/>
    <w:rsid w:val="00D4253A"/>
    <w:rsid w:val="00D4262E"/>
    <w:rsid w:val="00D42729"/>
    <w:rsid w:val="00D42739"/>
    <w:rsid w:val="00D42799"/>
    <w:rsid w:val="00D427BB"/>
    <w:rsid w:val="00D428F4"/>
    <w:rsid w:val="00D42A34"/>
    <w:rsid w:val="00D42A5E"/>
    <w:rsid w:val="00D42AB1"/>
    <w:rsid w:val="00D42ABD"/>
    <w:rsid w:val="00D42B16"/>
    <w:rsid w:val="00D42BE4"/>
    <w:rsid w:val="00D42C08"/>
    <w:rsid w:val="00D42C31"/>
    <w:rsid w:val="00D42C77"/>
    <w:rsid w:val="00D42D52"/>
    <w:rsid w:val="00D42E43"/>
    <w:rsid w:val="00D42EE6"/>
    <w:rsid w:val="00D42F37"/>
    <w:rsid w:val="00D43496"/>
    <w:rsid w:val="00D4349B"/>
    <w:rsid w:val="00D434A5"/>
    <w:rsid w:val="00D434EE"/>
    <w:rsid w:val="00D4354E"/>
    <w:rsid w:val="00D436C0"/>
    <w:rsid w:val="00D436EF"/>
    <w:rsid w:val="00D43824"/>
    <w:rsid w:val="00D4384B"/>
    <w:rsid w:val="00D439C5"/>
    <w:rsid w:val="00D439C9"/>
    <w:rsid w:val="00D439DD"/>
    <w:rsid w:val="00D43A0C"/>
    <w:rsid w:val="00D43A34"/>
    <w:rsid w:val="00D43A5C"/>
    <w:rsid w:val="00D43AED"/>
    <w:rsid w:val="00D43C7E"/>
    <w:rsid w:val="00D43D2B"/>
    <w:rsid w:val="00D43D33"/>
    <w:rsid w:val="00D43EA1"/>
    <w:rsid w:val="00D4400C"/>
    <w:rsid w:val="00D44092"/>
    <w:rsid w:val="00D44108"/>
    <w:rsid w:val="00D44135"/>
    <w:rsid w:val="00D442CE"/>
    <w:rsid w:val="00D4439B"/>
    <w:rsid w:val="00D4444F"/>
    <w:rsid w:val="00D4446C"/>
    <w:rsid w:val="00D444AE"/>
    <w:rsid w:val="00D444B1"/>
    <w:rsid w:val="00D44520"/>
    <w:rsid w:val="00D4466C"/>
    <w:rsid w:val="00D446A3"/>
    <w:rsid w:val="00D447FC"/>
    <w:rsid w:val="00D44985"/>
    <w:rsid w:val="00D44996"/>
    <w:rsid w:val="00D44A27"/>
    <w:rsid w:val="00D44A57"/>
    <w:rsid w:val="00D44B26"/>
    <w:rsid w:val="00D44B4B"/>
    <w:rsid w:val="00D44C15"/>
    <w:rsid w:val="00D44C6D"/>
    <w:rsid w:val="00D44DBE"/>
    <w:rsid w:val="00D44E18"/>
    <w:rsid w:val="00D44E1D"/>
    <w:rsid w:val="00D44E2C"/>
    <w:rsid w:val="00D44ED7"/>
    <w:rsid w:val="00D44F03"/>
    <w:rsid w:val="00D44FDC"/>
    <w:rsid w:val="00D44FF8"/>
    <w:rsid w:val="00D4501D"/>
    <w:rsid w:val="00D45040"/>
    <w:rsid w:val="00D450C8"/>
    <w:rsid w:val="00D4518C"/>
    <w:rsid w:val="00D4550E"/>
    <w:rsid w:val="00D455AF"/>
    <w:rsid w:val="00D45745"/>
    <w:rsid w:val="00D4584F"/>
    <w:rsid w:val="00D458BA"/>
    <w:rsid w:val="00D45944"/>
    <w:rsid w:val="00D45A72"/>
    <w:rsid w:val="00D45A76"/>
    <w:rsid w:val="00D45A92"/>
    <w:rsid w:val="00D45B79"/>
    <w:rsid w:val="00D45DE3"/>
    <w:rsid w:val="00D45E2F"/>
    <w:rsid w:val="00D45E41"/>
    <w:rsid w:val="00D45EE5"/>
    <w:rsid w:val="00D45F7F"/>
    <w:rsid w:val="00D45FDA"/>
    <w:rsid w:val="00D46058"/>
    <w:rsid w:val="00D460F1"/>
    <w:rsid w:val="00D4610F"/>
    <w:rsid w:val="00D4615F"/>
    <w:rsid w:val="00D461EC"/>
    <w:rsid w:val="00D46478"/>
    <w:rsid w:val="00D4649F"/>
    <w:rsid w:val="00D46565"/>
    <w:rsid w:val="00D465B4"/>
    <w:rsid w:val="00D4662D"/>
    <w:rsid w:val="00D46635"/>
    <w:rsid w:val="00D466E4"/>
    <w:rsid w:val="00D46721"/>
    <w:rsid w:val="00D46766"/>
    <w:rsid w:val="00D4676B"/>
    <w:rsid w:val="00D46884"/>
    <w:rsid w:val="00D468CC"/>
    <w:rsid w:val="00D46913"/>
    <w:rsid w:val="00D4696D"/>
    <w:rsid w:val="00D46A61"/>
    <w:rsid w:val="00D46B0B"/>
    <w:rsid w:val="00D46B29"/>
    <w:rsid w:val="00D46BC4"/>
    <w:rsid w:val="00D46DB3"/>
    <w:rsid w:val="00D46F10"/>
    <w:rsid w:val="00D4706C"/>
    <w:rsid w:val="00D470A5"/>
    <w:rsid w:val="00D47205"/>
    <w:rsid w:val="00D47394"/>
    <w:rsid w:val="00D473E2"/>
    <w:rsid w:val="00D47405"/>
    <w:rsid w:val="00D4752F"/>
    <w:rsid w:val="00D47539"/>
    <w:rsid w:val="00D475DC"/>
    <w:rsid w:val="00D47742"/>
    <w:rsid w:val="00D4776A"/>
    <w:rsid w:val="00D477AC"/>
    <w:rsid w:val="00D47896"/>
    <w:rsid w:val="00D47908"/>
    <w:rsid w:val="00D47987"/>
    <w:rsid w:val="00D47A61"/>
    <w:rsid w:val="00D47AB9"/>
    <w:rsid w:val="00D47C32"/>
    <w:rsid w:val="00D47C5F"/>
    <w:rsid w:val="00D47CC4"/>
    <w:rsid w:val="00D47D0C"/>
    <w:rsid w:val="00D47D2B"/>
    <w:rsid w:val="00D47E7D"/>
    <w:rsid w:val="00D47EAA"/>
    <w:rsid w:val="00D47F71"/>
    <w:rsid w:val="00D50054"/>
    <w:rsid w:val="00D50078"/>
    <w:rsid w:val="00D50173"/>
    <w:rsid w:val="00D501C9"/>
    <w:rsid w:val="00D502AA"/>
    <w:rsid w:val="00D50392"/>
    <w:rsid w:val="00D5041C"/>
    <w:rsid w:val="00D505F9"/>
    <w:rsid w:val="00D50610"/>
    <w:rsid w:val="00D506C3"/>
    <w:rsid w:val="00D5079E"/>
    <w:rsid w:val="00D508A9"/>
    <w:rsid w:val="00D508AF"/>
    <w:rsid w:val="00D509A8"/>
    <w:rsid w:val="00D50AC7"/>
    <w:rsid w:val="00D50BBB"/>
    <w:rsid w:val="00D50C23"/>
    <w:rsid w:val="00D50C91"/>
    <w:rsid w:val="00D50D0E"/>
    <w:rsid w:val="00D50E22"/>
    <w:rsid w:val="00D50E3F"/>
    <w:rsid w:val="00D5110E"/>
    <w:rsid w:val="00D511B8"/>
    <w:rsid w:val="00D5136B"/>
    <w:rsid w:val="00D5138C"/>
    <w:rsid w:val="00D513B0"/>
    <w:rsid w:val="00D513B8"/>
    <w:rsid w:val="00D5144A"/>
    <w:rsid w:val="00D5145C"/>
    <w:rsid w:val="00D51483"/>
    <w:rsid w:val="00D51505"/>
    <w:rsid w:val="00D51525"/>
    <w:rsid w:val="00D5153C"/>
    <w:rsid w:val="00D515D1"/>
    <w:rsid w:val="00D516AA"/>
    <w:rsid w:val="00D516E1"/>
    <w:rsid w:val="00D516F3"/>
    <w:rsid w:val="00D51706"/>
    <w:rsid w:val="00D517ED"/>
    <w:rsid w:val="00D5185D"/>
    <w:rsid w:val="00D51872"/>
    <w:rsid w:val="00D51940"/>
    <w:rsid w:val="00D51999"/>
    <w:rsid w:val="00D51A0C"/>
    <w:rsid w:val="00D51A43"/>
    <w:rsid w:val="00D51AF2"/>
    <w:rsid w:val="00D51B3E"/>
    <w:rsid w:val="00D51B5E"/>
    <w:rsid w:val="00D51C03"/>
    <w:rsid w:val="00D51C2C"/>
    <w:rsid w:val="00D51EC7"/>
    <w:rsid w:val="00D51ED7"/>
    <w:rsid w:val="00D51F51"/>
    <w:rsid w:val="00D5201D"/>
    <w:rsid w:val="00D52092"/>
    <w:rsid w:val="00D5210D"/>
    <w:rsid w:val="00D52194"/>
    <w:rsid w:val="00D5230B"/>
    <w:rsid w:val="00D52342"/>
    <w:rsid w:val="00D52373"/>
    <w:rsid w:val="00D52578"/>
    <w:rsid w:val="00D525A9"/>
    <w:rsid w:val="00D525DB"/>
    <w:rsid w:val="00D5260C"/>
    <w:rsid w:val="00D5270D"/>
    <w:rsid w:val="00D527D2"/>
    <w:rsid w:val="00D52904"/>
    <w:rsid w:val="00D52905"/>
    <w:rsid w:val="00D52916"/>
    <w:rsid w:val="00D529E2"/>
    <w:rsid w:val="00D52ACC"/>
    <w:rsid w:val="00D52AD3"/>
    <w:rsid w:val="00D52ADD"/>
    <w:rsid w:val="00D52B3E"/>
    <w:rsid w:val="00D52BDD"/>
    <w:rsid w:val="00D52C8D"/>
    <w:rsid w:val="00D52D49"/>
    <w:rsid w:val="00D52E49"/>
    <w:rsid w:val="00D52FA0"/>
    <w:rsid w:val="00D530E3"/>
    <w:rsid w:val="00D531B5"/>
    <w:rsid w:val="00D531ED"/>
    <w:rsid w:val="00D5325C"/>
    <w:rsid w:val="00D5338D"/>
    <w:rsid w:val="00D53515"/>
    <w:rsid w:val="00D53522"/>
    <w:rsid w:val="00D535C7"/>
    <w:rsid w:val="00D5362B"/>
    <w:rsid w:val="00D536D8"/>
    <w:rsid w:val="00D53858"/>
    <w:rsid w:val="00D5393D"/>
    <w:rsid w:val="00D5394C"/>
    <w:rsid w:val="00D53A85"/>
    <w:rsid w:val="00D53BF7"/>
    <w:rsid w:val="00D53C3F"/>
    <w:rsid w:val="00D53C47"/>
    <w:rsid w:val="00D53C4E"/>
    <w:rsid w:val="00D53C85"/>
    <w:rsid w:val="00D53CF0"/>
    <w:rsid w:val="00D53D4A"/>
    <w:rsid w:val="00D53DA6"/>
    <w:rsid w:val="00D53DF8"/>
    <w:rsid w:val="00D53E82"/>
    <w:rsid w:val="00D53EF0"/>
    <w:rsid w:val="00D53EFD"/>
    <w:rsid w:val="00D53F3B"/>
    <w:rsid w:val="00D53FDC"/>
    <w:rsid w:val="00D53FED"/>
    <w:rsid w:val="00D542C4"/>
    <w:rsid w:val="00D542D3"/>
    <w:rsid w:val="00D542D6"/>
    <w:rsid w:val="00D54378"/>
    <w:rsid w:val="00D54387"/>
    <w:rsid w:val="00D5438C"/>
    <w:rsid w:val="00D543C6"/>
    <w:rsid w:val="00D543FE"/>
    <w:rsid w:val="00D544F1"/>
    <w:rsid w:val="00D54583"/>
    <w:rsid w:val="00D545CA"/>
    <w:rsid w:val="00D54641"/>
    <w:rsid w:val="00D54661"/>
    <w:rsid w:val="00D547B8"/>
    <w:rsid w:val="00D5487F"/>
    <w:rsid w:val="00D54968"/>
    <w:rsid w:val="00D54B5C"/>
    <w:rsid w:val="00D54B9F"/>
    <w:rsid w:val="00D54E14"/>
    <w:rsid w:val="00D54EA5"/>
    <w:rsid w:val="00D54EB0"/>
    <w:rsid w:val="00D5504F"/>
    <w:rsid w:val="00D55064"/>
    <w:rsid w:val="00D55157"/>
    <w:rsid w:val="00D552E2"/>
    <w:rsid w:val="00D552F2"/>
    <w:rsid w:val="00D55306"/>
    <w:rsid w:val="00D5544D"/>
    <w:rsid w:val="00D5544E"/>
    <w:rsid w:val="00D5546F"/>
    <w:rsid w:val="00D554BB"/>
    <w:rsid w:val="00D55727"/>
    <w:rsid w:val="00D5574E"/>
    <w:rsid w:val="00D55914"/>
    <w:rsid w:val="00D55BA6"/>
    <w:rsid w:val="00D55BED"/>
    <w:rsid w:val="00D55C3A"/>
    <w:rsid w:val="00D55CA9"/>
    <w:rsid w:val="00D55D65"/>
    <w:rsid w:val="00D55DA0"/>
    <w:rsid w:val="00D55DF3"/>
    <w:rsid w:val="00D55E3C"/>
    <w:rsid w:val="00D55EA8"/>
    <w:rsid w:val="00D5602F"/>
    <w:rsid w:val="00D560FB"/>
    <w:rsid w:val="00D5625D"/>
    <w:rsid w:val="00D562A4"/>
    <w:rsid w:val="00D562B9"/>
    <w:rsid w:val="00D562D7"/>
    <w:rsid w:val="00D5630A"/>
    <w:rsid w:val="00D563C4"/>
    <w:rsid w:val="00D56409"/>
    <w:rsid w:val="00D565C3"/>
    <w:rsid w:val="00D566F5"/>
    <w:rsid w:val="00D56710"/>
    <w:rsid w:val="00D5679E"/>
    <w:rsid w:val="00D5689A"/>
    <w:rsid w:val="00D56934"/>
    <w:rsid w:val="00D5695B"/>
    <w:rsid w:val="00D569C7"/>
    <w:rsid w:val="00D56A8B"/>
    <w:rsid w:val="00D56B4F"/>
    <w:rsid w:val="00D56B70"/>
    <w:rsid w:val="00D56BC6"/>
    <w:rsid w:val="00D56CAC"/>
    <w:rsid w:val="00D56D64"/>
    <w:rsid w:val="00D56FB0"/>
    <w:rsid w:val="00D56FC7"/>
    <w:rsid w:val="00D57264"/>
    <w:rsid w:val="00D572C0"/>
    <w:rsid w:val="00D572E2"/>
    <w:rsid w:val="00D57488"/>
    <w:rsid w:val="00D57513"/>
    <w:rsid w:val="00D575EF"/>
    <w:rsid w:val="00D5774D"/>
    <w:rsid w:val="00D5775D"/>
    <w:rsid w:val="00D57772"/>
    <w:rsid w:val="00D578A4"/>
    <w:rsid w:val="00D5793A"/>
    <w:rsid w:val="00D57A42"/>
    <w:rsid w:val="00D57AEA"/>
    <w:rsid w:val="00D57C03"/>
    <w:rsid w:val="00D57D20"/>
    <w:rsid w:val="00D57D8D"/>
    <w:rsid w:val="00D57E1F"/>
    <w:rsid w:val="00D60097"/>
    <w:rsid w:val="00D60194"/>
    <w:rsid w:val="00D601BF"/>
    <w:rsid w:val="00D601CA"/>
    <w:rsid w:val="00D6020C"/>
    <w:rsid w:val="00D60434"/>
    <w:rsid w:val="00D60472"/>
    <w:rsid w:val="00D6048F"/>
    <w:rsid w:val="00D604C3"/>
    <w:rsid w:val="00D604ED"/>
    <w:rsid w:val="00D6053E"/>
    <w:rsid w:val="00D60591"/>
    <w:rsid w:val="00D60636"/>
    <w:rsid w:val="00D606BE"/>
    <w:rsid w:val="00D60723"/>
    <w:rsid w:val="00D607AB"/>
    <w:rsid w:val="00D607F6"/>
    <w:rsid w:val="00D60943"/>
    <w:rsid w:val="00D60A82"/>
    <w:rsid w:val="00D60D55"/>
    <w:rsid w:val="00D60F58"/>
    <w:rsid w:val="00D612CF"/>
    <w:rsid w:val="00D61392"/>
    <w:rsid w:val="00D6139B"/>
    <w:rsid w:val="00D61675"/>
    <w:rsid w:val="00D616CF"/>
    <w:rsid w:val="00D61746"/>
    <w:rsid w:val="00D617A5"/>
    <w:rsid w:val="00D617DE"/>
    <w:rsid w:val="00D61A3E"/>
    <w:rsid w:val="00D61A5A"/>
    <w:rsid w:val="00D61AAF"/>
    <w:rsid w:val="00D61B18"/>
    <w:rsid w:val="00D61B41"/>
    <w:rsid w:val="00D61CE3"/>
    <w:rsid w:val="00D61D05"/>
    <w:rsid w:val="00D61E84"/>
    <w:rsid w:val="00D61EE3"/>
    <w:rsid w:val="00D61F88"/>
    <w:rsid w:val="00D61F93"/>
    <w:rsid w:val="00D6202E"/>
    <w:rsid w:val="00D62059"/>
    <w:rsid w:val="00D620D3"/>
    <w:rsid w:val="00D62236"/>
    <w:rsid w:val="00D62245"/>
    <w:rsid w:val="00D622F6"/>
    <w:rsid w:val="00D6247F"/>
    <w:rsid w:val="00D624E2"/>
    <w:rsid w:val="00D62518"/>
    <w:rsid w:val="00D62520"/>
    <w:rsid w:val="00D62586"/>
    <w:rsid w:val="00D62737"/>
    <w:rsid w:val="00D6276D"/>
    <w:rsid w:val="00D62886"/>
    <w:rsid w:val="00D628C9"/>
    <w:rsid w:val="00D62AB1"/>
    <w:rsid w:val="00D62B9F"/>
    <w:rsid w:val="00D62BD8"/>
    <w:rsid w:val="00D62C4C"/>
    <w:rsid w:val="00D62D62"/>
    <w:rsid w:val="00D62F24"/>
    <w:rsid w:val="00D62F75"/>
    <w:rsid w:val="00D62FA4"/>
    <w:rsid w:val="00D630DA"/>
    <w:rsid w:val="00D63158"/>
    <w:rsid w:val="00D631EC"/>
    <w:rsid w:val="00D6327E"/>
    <w:rsid w:val="00D632BB"/>
    <w:rsid w:val="00D63336"/>
    <w:rsid w:val="00D63384"/>
    <w:rsid w:val="00D633B4"/>
    <w:rsid w:val="00D633D6"/>
    <w:rsid w:val="00D634F8"/>
    <w:rsid w:val="00D63541"/>
    <w:rsid w:val="00D6359D"/>
    <w:rsid w:val="00D635B9"/>
    <w:rsid w:val="00D635DF"/>
    <w:rsid w:val="00D635FE"/>
    <w:rsid w:val="00D63689"/>
    <w:rsid w:val="00D63726"/>
    <w:rsid w:val="00D6378A"/>
    <w:rsid w:val="00D63871"/>
    <w:rsid w:val="00D63976"/>
    <w:rsid w:val="00D639AB"/>
    <w:rsid w:val="00D63AD4"/>
    <w:rsid w:val="00D63C77"/>
    <w:rsid w:val="00D63D42"/>
    <w:rsid w:val="00D63DB2"/>
    <w:rsid w:val="00D63E24"/>
    <w:rsid w:val="00D63E5B"/>
    <w:rsid w:val="00D63E8E"/>
    <w:rsid w:val="00D63F38"/>
    <w:rsid w:val="00D63F54"/>
    <w:rsid w:val="00D64050"/>
    <w:rsid w:val="00D640D6"/>
    <w:rsid w:val="00D6411A"/>
    <w:rsid w:val="00D64334"/>
    <w:rsid w:val="00D643AF"/>
    <w:rsid w:val="00D64448"/>
    <w:rsid w:val="00D644AB"/>
    <w:rsid w:val="00D64683"/>
    <w:rsid w:val="00D646B7"/>
    <w:rsid w:val="00D646B9"/>
    <w:rsid w:val="00D646F7"/>
    <w:rsid w:val="00D646F9"/>
    <w:rsid w:val="00D647F2"/>
    <w:rsid w:val="00D648C3"/>
    <w:rsid w:val="00D648FF"/>
    <w:rsid w:val="00D64967"/>
    <w:rsid w:val="00D6499C"/>
    <w:rsid w:val="00D64A37"/>
    <w:rsid w:val="00D64BB0"/>
    <w:rsid w:val="00D64C45"/>
    <w:rsid w:val="00D64C95"/>
    <w:rsid w:val="00D64D38"/>
    <w:rsid w:val="00D64D3D"/>
    <w:rsid w:val="00D64D3E"/>
    <w:rsid w:val="00D64DAC"/>
    <w:rsid w:val="00D64E05"/>
    <w:rsid w:val="00D64EE0"/>
    <w:rsid w:val="00D64F30"/>
    <w:rsid w:val="00D64F51"/>
    <w:rsid w:val="00D650A1"/>
    <w:rsid w:val="00D650B9"/>
    <w:rsid w:val="00D65165"/>
    <w:rsid w:val="00D651B7"/>
    <w:rsid w:val="00D651E1"/>
    <w:rsid w:val="00D65205"/>
    <w:rsid w:val="00D65361"/>
    <w:rsid w:val="00D653EE"/>
    <w:rsid w:val="00D654AE"/>
    <w:rsid w:val="00D65642"/>
    <w:rsid w:val="00D656C2"/>
    <w:rsid w:val="00D6570A"/>
    <w:rsid w:val="00D6581A"/>
    <w:rsid w:val="00D65846"/>
    <w:rsid w:val="00D65BD1"/>
    <w:rsid w:val="00D65E1F"/>
    <w:rsid w:val="00D65E53"/>
    <w:rsid w:val="00D65F2A"/>
    <w:rsid w:val="00D65F62"/>
    <w:rsid w:val="00D65FE3"/>
    <w:rsid w:val="00D66086"/>
    <w:rsid w:val="00D660C2"/>
    <w:rsid w:val="00D660FF"/>
    <w:rsid w:val="00D66216"/>
    <w:rsid w:val="00D66231"/>
    <w:rsid w:val="00D66314"/>
    <w:rsid w:val="00D6631C"/>
    <w:rsid w:val="00D66341"/>
    <w:rsid w:val="00D66353"/>
    <w:rsid w:val="00D66406"/>
    <w:rsid w:val="00D66446"/>
    <w:rsid w:val="00D66501"/>
    <w:rsid w:val="00D665A5"/>
    <w:rsid w:val="00D66632"/>
    <w:rsid w:val="00D6665B"/>
    <w:rsid w:val="00D6680B"/>
    <w:rsid w:val="00D66861"/>
    <w:rsid w:val="00D66891"/>
    <w:rsid w:val="00D66991"/>
    <w:rsid w:val="00D66A54"/>
    <w:rsid w:val="00D66AE5"/>
    <w:rsid w:val="00D66B19"/>
    <w:rsid w:val="00D66B1E"/>
    <w:rsid w:val="00D66CDC"/>
    <w:rsid w:val="00D66DAD"/>
    <w:rsid w:val="00D66DE4"/>
    <w:rsid w:val="00D66E93"/>
    <w:rsid w:val="00D66E9B"/>
    <w:rsid w:val="00D66EBB"/>
    <w:rsid w:val="00D67087"/>
    <w:rsid w:val="00D671B1"/>
    <w:rsid w:val="00D67237"/>
    <w:rsid w:val="00D67277"/>
    <w:rsid w:val="00D67287"/>
    <w:rsid w:val="00D672CE"/>
    <w:rsid w:val="00D672E0"/>
    <w:rsid w:val="00D67313"/>
    <w:rsid w:val="00D67344"/>
    <w:rsid w:val="00D6739D"/>
    <w:rsid w:val="00D6744D"/>
    <w:rsid w:val="00D67507"/>
    <w:rsid w:val="00D67518"/>
    <w:rsid w:val="00D675A5"/>
    <w:rsid w:val="00D67677"/>
    <w:rsid w:val="00D676C3"/>
    <w:rsid w:val="00D676C9"/>
    <w:rsid w:val="00D67753"/>
    <w:rsid w:val="00D6782F"/>
    <w:rsid w:val="00D67987"/>
    <w:rsid w:val="00D679C0"/>
    <w:rsid w:val="00D67A8A"/>
    <w:rsid w:val="00D67A91"/>
    <w:rsid w:val="00D67ACE"/>
    <w:rsid w:val="00D67B51"/>
    <w:rsid w:val="00D67C15"/>
    <w:rsid w:val="00D67E25"/>
    <w:rsid w:val="00D67E27"/>
    <w:rsid w:val="00D67E29"/>
    <w:rsid w:val="00D67E5D"/>
    <w:rsid w:val="00D67ED5"/>
    <w:rsid w:val="00D67F28"/>
    <w:rsid w:val="00D67F8A"/>
    <w:rsid w:val="00D67FB2"/>
    <w:rsid w:val="00D7025E"/>
    <w:rsid w:val="00D7031B"/>
    <w:rsid w:val="00D703FA"/>
    <w:rsid w:val="00D70455"/>
    <w:rsid w:val="00D7063C"/>
    <w:rsid w:val="00D7072C"/>
    <w:rsid w:val="00D70748"/>
    <w:rsid w:val="00D70939"/>
    <w:rsid w:val="00D709A0"/>
    <w:rsid w:val="00D709BC"/>
    <w:rsid w:val="00D70A26"/>
    <w:rsid w:val="00D70AF9"/>
    <w:rsid w:val="00D70B56"/>
    <w:rsid w:val="00D70C15"/>
    <w:rsid w:val="00D70C16"/>
    <w:rsid w:val="00D70D2D"/>
    <w:rsid w:val="00D7105B"/>
    <w:rsid w:val="00D710B6"/>
    <w:rsid w:val="00D71176"/>
    <w:rsid w:val="00D711A5"/>
    <w:rsid w:val="00D711CC"/>
    <w:rsid w:val="00D71344"/>
    <w:rsid w:val="00D71434"/>
    <w:rsid w:val="00D714F3"/>
    <w:rsid w:val="00D715BE"/>
    <w:rsid w:val="00D716D2"/>
    <w:rsid w:val="00D71908"/>
    <w:rsid w:val="00D71923"/>
    <w:rsid w:val="00D71A11"/>
    <w:rsid w:val="00D71A97"/>
    <w:rsid w:val="00D71AC2"/>
    <w:rsid w:val="00D71B6B"/>
    <w:rsid w:val="00D71BBF"/>
    <w:rsid w:val="00D71BCF"/>
    <w:rsid w:val="00D71C90"/>
    <w:rsid w:val="00D71CCC"/>
    <w:rsid w:val="00D71E6C"/>
    <w:rsid w:val="00D71EBE"/>
    <w:rsid w:val="00D71F08"/>
    <w:rsid w:val="00D71FD1"/>
    <w:rsid w:val="00D721FF"/>
    <w:rsid w:val="00D72225"/>
    <w:rsid w:val="00D7224B"/>
    <w:rsid w:val="00D7229E"/>
    <w:rsid w:val="00D7235C"/>
    <w:rsid w:val="00D72390"/>
    <w:rsid w:val="00D72436"/>
    <w:rsid w:val="00D72555"/>
    <w:rsid w:val="00D726AA"/>
    <w:rsid w:val="00D726FD"/>
    <w:rsid w:val="00D7289E"/>
    <w:rsid w:val="00D728AF"/>
    <w:rsid w:val="00D7291D"/>
    <w:rsid w:val="00D72930"/>
    <w:rsid w:val="00D729BA"/>
    <w:rsid w:val="00D729BC"/>
    <w:rsid w:val="00D72A78"/>
    <w:rsid w:val="00D72A82"/>
    <w:rsid w:val="00D72B5E"/>
    <w:rsid w:val="00D72C97"/>
    <w:rsid w:val="00D72D8A"/>
    <w:rsid w:val="00D72DB4"/>
    <w:rsid w:val="00D72E5E"/>
    <w:rsid w:val="00D730BB"/>
    <w:rsid w:val="00D7313E"/>
    <w:rsid w:val="00D73158"/>
    <w:rsid w:val="00D73197"/>
    <w:rsid w:val="00D73282"/>
    <w:rsid w:val="00D7331D"/>
    <w:rsid w:val="00D734E7"/>
    <w:rsid w:val="00D73705"/>
    <w:rsid w:val="00D73733"/>
    <w:rsid w:val="00D7373C"/>
    <w:rsid w:val="00D73762"/>
    <w:rsid w:val="00D738A8"/>
    <w:rsid w:val="00D7395E"/>
    <w:rsid w:val="00D739DB"/>
    <w:rsid w:val="00D73A35"/>
    <w:rsid w:val="00D73D33"/>
    <w:rsid w:val="00D73D36"/>
    <w:rsid w:val="00D73EF4"/>
    <w:rsid w:val="00D73F5B"/>
    <w:rsid w:val="00D73FCD"/>
    <w:rsid w:val="00D7405A"/>
    <w:rsid w:val="00D740C8"/>
    <w:rsid w:val="00D74127"/>
    <w:rsid w:val="00D74148"/>
    <w:rsid w:val="00D7414E"/>
    <w:rsid w:val="00D7415E"/>
    <w:rsid w:val="00D74279"/>
    <w:rsid w:val="00D742EF"/>
    <w:rsid w:val="00D743A6"/>
    <w:rsid w:val="00D74431"/>
    <w:rsid w:val="00D745A7"/>
    <w:rsid w:val="00D74603"/>
    <w:rsid w:val="00D74726"/>
    <w:rsid w:val="00D74754"/>
    <w:rsid w:val="00D74A83"/>
    <w:rsid w:val="00D74A89"/>
    <w:rsid w:val="00D74A8C"/>
    <w:rsid w:val="00D74AB5"/>
    <w:rsid w:val="00D74BCF"/>
    <w:rsid w:val="00D74C76"/>
    <w:rsid w:val="00D74CE5"/>
    <w:rsid w:val="00D74D0C"/>
    <w:rsid w:val="00D74D86"/>
    <w:rsid w:val="00D74DA4"/>
    <w:rsid w:val="00D74E2B"/>
    <w:rsid w:val="00D74E5F"/>
    <w:rsid w:val="00D750AE"/>
    <w:rsid w:val="00D750EC"/>
    <w:rsid w:val="00D750FE"/>
    <w:rsid w:val="00D75104"/>
    <w:rsid w:val="00D7513A"/>
    <w:rsid w:val="00D751BF"/>
    <w:rsid w:val="00D7529E"/>
    <w:rsid w:val="00D7537C"/>
    <w:rsid w:val="00D7542A"/>
    <w:rsid w:val="00D7543A"/>
    <w:rsid w:val="00D75466"/>
    <w:rsid w:val="00D754AB"/>
    <w:rsid w:val="00D7553B"/>
    <w:rsid w:val="00D75569"/>
    <w:rsid w:val="00D75673"/>
    <w:rsid w:val="00D75699"/>
    <w:rsid w:val="00D757EB"/>
    <w:rsid w:val="00D75806"/>
    <w:rsid w:val="00D75827"/>
    <w:rsid w:val="00D758DF"/>
    <w:rsid w:val="00D759AC"/>
    <w:rsid w:val="00D75A39"/>
    <w:rsid w:val="00D75A5C"/>
    <w:rsid w:val="00D75A5F"/>
    <w:rsid w:val="00D75A79"/>
    <w:rsid w:val="00D75B34"/>
    <w:rsid w:val="00D75B81"/>
    <w:rsid w:val="00D75C84"/>
    <w:rsid w:val="00D75C8C"/>
    <w:rsid w:val="00D75DB5"/>
    <w:rsid w:val="00D75E1E"/>
    <w:rsid w:val="00D75E7B"/>
    <w:rsid w:val="00D75EF7"/>
    <w:rsid w:val="00D760E3"/>
    <w:rsid w:val="00D76125"/>
    <w:rsid w:val="00D76131"/>
    <w:rsid w:val="00D761D0"/>
    <w:rsid w:val="00D761EE"/>
    <w:rsid w:val="00D762D2"/>
    <w:rsid w:val="00D762E8"/>
    <w:rsid w:val="00D76315"/>
    <w:rsid w:val="00D7643A"/>
    <w:rsid w:val="00D76772"/>
    <w:rsid w:val="00D767C0"/>
    <w:rsid w:val="00D76813"/>
    <w:rsid w:val="00D7681F"/>
    <w:rsid w:val="00D76821"/>
    <w:rsid w:val="00D769A9"/>
    <w:rsid w:val="00D769ED"/>
    <w:rsid w:val="00D76A1D"/>
    <w:rsid w:val="00D76AF6"/>
    <w:rsid w:val="00D76C6B"/>
    <w:rsid w:val="00D76D96"/>
    <w:rsid w:val="00D76EB7"/>
    <w:rsid w:val="00D76F03"/>
    <w:rsid w:val="00D76F73"/>
    <w:rsid w:val="00D76F87"/>
    <w:rsid w:val="00D77012"/>
    <w:rsid w:val="00D7707E"/>
    <w:rsid w:val="00D77096"/>
    <w:rsid w:val="00D770C3"/>
    <w:rsid w:val="00D77226"/>
    <w:rsid w:val="00D77314"/>
    <w:rsid w:val="00D773C1"/>
    <w:rsid w:val="00D7744B"/>
    <w:rsid w:val="00D774AE"/>
    <w:rsid w:val="00D774BF"/>
    <w:rsid w:val="00D77528"/>
    <w:rsid w:val="00D7755B"/>
    <w:rsid w:val="00D77646"/>
    <w:rsid w:val="00D77652"/>
    <w:rsid w:val="00D77764"/>
    <w:rsid w:val="00D778D3"/>
    <w:rsid w:val="00D77A24"/>
    <w:rsid w:val="00D77ACA"/>
    <w:rsid w:val="00D77B7C"/>
    <w:rsid w:val="00D77C7A"/>
    <w:rsid w:val="00D77D0E"/>
    <w:rsid w:val="00D77D17"/>
    <w:rsid w:val="00D77E05"/>
    <w:rsid w:val="00D77E60"/>
    <w:rsid w:val="00D77EA6"/>
    <w:rsid w:val="00D8005A"/>
    <w:rsid w:val="00D8009D"/>
    <w:rsid w:val="00D801B4"/>
    <w:rsid w:val="00D801DF"/>
    <w:rsid w:val="00D802F3"/>
    <w:rsid w:val="00D80512"/>
    <w:rsid w:val="00D8057B"/>
    <w:rsid w:val="00D806A5"/>
    <w:rsid w:val="00D806B9"/>
    <w:rsid w:val="00D806BB"/>
    <w:rsid w:val="00D80787"/>
    <w:rsid w:val="00D80A3E"/>
    <w:rsid w:val="00D80A5D"/>
    <w:rsid w:val="00D80A63"/>
    <w:rsid w:val="00D80AD5"/>
    <w:rsid w:val="00D80B07"/>
    <w:rsid w:val="00D80C15"/>
    <w:rsid w:val="00D80C3B"/>
    <w:rsid w:val="00D80CA8"/>
    <w:rsid w:val="00D80D11"/>
    <w:rsid w:val="00D80D8D"/>
    <w:rsid w:val="00D80E50"/>
    <w:rsid w:val="00D80ED8"/>
    <w:rsid w:val="00D810C2"/>
    <w:rsid w:val="00D81241"/>
    <w:rsid w:val="00D8124B"/>
    <w:rsid w:val="00D81375"/>
    <w:rsid w:val="00D8149E"/>
    <w:rsid w:val="00D8151C"/>
    <w:rsid w:val="00D8176E"/>
    <w:rsid w:val="00D81890"/>
    <w:rsid w:val="00D818AA"/>
    <w:rsid w:val="00D818B4"/>
    <w:rsid w:val="00D818E9"/>
    <w:rsid w:val="00D8197F"/>
    <w:rsid w:val="00D81988"/>
    <w:rsid w:val="00D819D2"/>
    <w:rsid w:val="00D81A63"/>
    <w:rsid w:val="00D81B87"/>
    <w:rsid w:val="00D81BC3"/>
    <w:rsid w:val="00D81CFA"/>
    <w:rsid w:val="00D81E0A"/>
    <w:rsid w:val="00D81E11"/>
    <w:rsid w:val="00D81EC1"/>
    <w:rsid w:val="00D81F17"/>
    <w:rsid w:val="00D82039"/>
    <w:rsid w:val="00D820AC"/>
    <w:rsid w:val="00D8210C"/>
    <w:rsid w:val="00D822AF"/>
    <w:rsid w:val="00D8252E"/>
    <w:rsid w:val="00D82564"/>
    <w:rsid w:val="00D825F8"/>
    <w:rsid w:val="00D825FC"/>
    <w:rsid w:val="00D827BC"/>
    <w:rsid w:val="00D827DA"/>
    <w:rsid w:val="00D82822"/>
    <w:rsid w:val="00D8282C"/>
    <w:rsid w:val="00D82855"/>
    <w:rsid w:val="00D82895"/>
    <w:rsid w:val="00D82942"/>
    <w:rsid w:val="00D8298F"/>
    <w:rsid w:val="00D82AFE"/>
    <w:rsid w:val="00D82B0F"/>
    <w:rsid w:val="00D82BAE"/>
    <w:rsid w:val="00D82C2A"/>
    <w:rsid w:val="00D82C70"/>
    <w:rsid w:val="00D82C76"/>
    <w:rsid w:val="00D82CAC"/>
    <w:rsid w:val="00D82CB0"/>
    <w:rsid w:val="00D82CF3"/>
    <w:rsid w:val="00D82DA4"/>
    <w:rsid w:val="00D82DBD"/>
    <w:rsid w:val="00D82DEE"/>
    <w:rsid w:val="00D830BF"/>
    <w:rsid w:val="00D83258"/>
    <w:rsid w:val="00D83372"/>
    <w:rsid w:val="00D833AE"/>
    <w:rsid w:val="00D833BA"/>
    <w:rsid w:val="00D8349D"/>
    <w:rsid w:val="00D8352A"/>
    <w:rsid w:val="00D83539"/>
    <w:rsid w:val="00D83551"/>
    <w:rsid w:val="00D8362A"/>
    <w:rsid w:val="00D8369C"/>
    <w:rsid w:val="00D83714"/>
    <w:rsid w:val="00D83937"/>
    <w:rsid w:val="00D83980"/>
    <w:rsid w:val="00D83A11"/>
    <w:rsid w:val="00D83BAC"/>
    <w:rsid w:val="00D83BCC"/>
    <w:rsid w:val="00D83DC1"/>
    <w:rsid w:val="00D83E66"/>
    <w:rsid w:val="00D83F93"/>
    <w:rsid w:val="00D840C6"/>
    <w:rsid w:val="00D84195"/>
    <w:rsid w:val="00D84262"/>
    <w:rsid w:val="00D8428C"/>
    <w:rsid w:val="00D842AD"/>
    <w:rsid w:val="00D842C7"/>
    <w:rsid w:val="00D8433F"/>
    <w:rsid w:val="00D84477"/>
    <w:rsid w:val="00D84485"/>
    <w:rsid w:val="00D846D3"/>
    <w:rsid w:val="00D847C1"/>
    <w:rsid w:val="00D848C1"/>
    <w:rsid w:val="00D8491F"/>
    <w:rsid w:val="00D84A4E"/>
    <w:rsid w:val="00D84A7F"/>
    <w:rsid w:val="00D84AF3"/>
    <w:rsid w:val="00D84B09"/>
    <w:rsid w:val="00D84B41"/>
    <w:rsid w:val="00D84C20"/>
    <w:rsid w:val="00D84D26"/>
    <w:rsid w:val="00D84D3A"/>
    <w:rsid w:val="00D84DC4"/>
    <w:rsid w:val="00D84F10"/>
    <w:rsid w:val="00D8509E"/>
    <w:rsid w:val="00D85166"/>
    <w:rsid w:val="00D852E1"/>
    <w:rsid w:val="00D852F8"/>
    <w:rsid w:val="00D85384"/>
    <w:rsid w:val="00D853C1"/>
    <w:rsid w:val="00D85509"/>
    <w:rsid w:val="00D8555B"/>
    <w:rsid w:val="00D8573E"/>
    <w:rsid w:val="00D85758"/>
    <w:rsid w:val="00D857B7"/>
    <w:rsid w:val="00D85A4C"/>
    <w:rsid w:val="00D85AE2"/>
    <w:rsid w:val="00D85C87"/>
    <w:rsid w:val="00D85DD3"/>
    <w:rsid w:val="00D85DD4"/>
    <w:rsid w:val="00D85E68"/>
    <w:rsid w:val="00D85F27"/>
    <w:rsid w:val="00D85FD8"/>
    <w:rsid w:val="00D860C4"/>
    <w:rsid w:val="00D86141"/>
    <w:rsid w:val="00D86159"/>
    <w:rsid w:val="00D861C4"/>
    <w:rsid w:val="00D8624D"/>
    <w:rsid w:val="00D86310"/>
    <w:rsid w:val="00D86343"/>
    <w:rsid w:val="00D8635E"/>
    <w:rsid w:val="00D86362"/>
    <w:rsid w:val="00D86462"/>
    <w:rsid w:val="00D865F4"/>
    <w:rsid w:val="00D86664"/>
    <w:rsid w:val="00D868F7"/>
    <w:rsid w:val="00D868FA"/>
    <w:rsid w:val="00D8694D"/>
    <w:rsid w:val="00D86A4F"/>
    <w:rsid w:val="00D86AF2"/>
    <w:rsid w:val="00D86B3C"/>
    <w:rsid w:val="00D86BFC"/>
    <w:rsid w:val="00D86D62"/>
    <w:rsid w:val="00D86D90"/>
    <w:rsid w:val="00D86F5E"/>
    <w:rsid w:val="00D87047"/>
    <w:rsid w:val="00D87064"/>
    <w:rsid w:val="00D87089"/>
    <w:rsid w:val="00D87227"/>
    <w:rsid w:val="00D8729E"/>
    <w:rsid w:val="00D872B8"/>
    <w:rsid w:val="00D873A6"/>
    <w:rsid w:val="00D873C5"/>
    <w:rsid w:val="00D87409"/>
    <w:rsid w:val="00D87429"/>
    <w:rsid w:val="00D87437"/>
    <w:rsid w:val="00D87735"/>
    <w:rsid w:val="00D8775F"/>
    <w:rsid w:val="00D877F5"/>
    <w:rsid w:val="00D878F5"/>
    <w:rsid w:val="00D87965"/>
    <w:rsid w:val="00D87AB4"/>
    <w:rsid w:val="00D87ADE"/>
    <w:rsid w:val="00D87BAA"/>
    <w:rsid w:val="00D87C0A"/>
    <w:rsid w:val="00D87CBF"/>
    <w:rsid w:val="00D87CF3"/>
    <w:rsid w:val="00D87D29"/>
    <w:rsid w:val="00D87DA8"/>
    <w:rsid w:val="00D87DB8"/>
    <w:rsid w:val="00D87DEF"/>
    <w:rsid w:val="00D87E49"/>
    <w:rsid w:val="00D87E6E"/>
    <w:rsid w:val="00D87F1A"/>
    <w:rsid w:val="00D90084"/>
    <w:rsid w:val="00D90158"/>
    <w:rsid w:val="00D9020E"/>
    <w:rsid w:val="00D9026D"/>
    <w:rsid w:val="00D902E7"/>
    <w:rsid w:val="00D9038E"/>
    <w:rsid w:val="00D90575"/>
    <w:rsid w:val="00D906C2"/>
    <w:rsid w:val="00D907C9"/>
    <w:rsid w:val="00D907E9"/>
    <w:rsid w:val="00D90824"/>
    <w:rsid w:val="00D90963"/>
    <w:rsid w:val="00D9098C"/>
    <w:rsid w:val="00D909BD"/>
    <w:rsid w:val="00D90A68"/>
    <w:rsid w:val="00D90B37"/>
    <w:rsid w:val="00D90BED"/>
    <w:rsid w:val="00D90C49"/>
    <w:rsid w:val="00D90C5D"/>
    <w:rsid w:val="00D90C60"/>
    <w:rsid w:val="00D90D9C"/>
    <w:rsid w:val="00D90E1E"/>
    <w:rsid w:val="00D90FE7"/>
    <w:rsid w:val="00D910E1"/>
    <w:rsid w:val="00D91129"/>
    <w:rsid w:val="00D911AE"/>
    <w:rsid w:val="00D911C1"/>
    <w:rsid w:val="00D91293"/>
    <w:rsid w:val="00D91326"/>
    <w:rsid w:val="00D91389"/>
    <w:rsid w:val="00D913CC"/>
    <w:rsid w:val="00D91560"/>
    <w:rsid w:val="00D91623"/>
    <w:rsid w:val="00D916BC"/>
    <w:rsid w:val="00D916F9"/>
    <w:rsid w:val="00D9174F"/>
    <w:rsid w:val="00D917D8"/>
    <w:rsid w:val="00D917EC"/>
    <w:rsid w:val="00D917FD"/>
    <w:rsid w:val="00D91846"/>
    <w:rsid w:val="00D91A2A"/>
    <w:rsid w:val="00D91AD3"/>
    <w:rsid w:val="00D91B10"/>
    <w:rsid w:val="00D91DBB"/>
    <w:rsid w:val="00D91E02"/>
    <w:rsid w:val="00D91E39"/>
    <w:rsid w:val="00D91EA5"/>
    <w:rsid w:val="00D91F7A"/>
    <w:rsid w:val="00D921D5"/>
    <w:rsid w:val="00D92260"/>
    <w:rsid w:val="00D9227E"/>
    <w:rsid w:val="00D92296"/>
    <w:rsid w:val="00D92433"/>
    <w:rsid w:val="00D9243B"/>
    <w:rsid w:val="00D925E2"/>
    <w:rsid w:val="00D926DE"/>
    <w:rsid w:val="00D927E6"/>
    <w:rsid w:val="00D92807"/>
    <w:rsid w:val="00D92886"/>
    <w:rsid w:val="00D929C5"/>
    <w:rsid w:val="00D92CFA"/>
    <w:rsid w:val="00D92D9D"/>
    <w:rsid w:val="00D92DCE"/>
    <w:rsid w:val="00D92DE1"/>
    <w:rsid w:val="00D92EE7"/>
    <w:rsid w:val="00D92F83"/>
    <w:rsid w:val="00D93003"/>
    <w:rsid w:val="00D9310D"/>
    <w:rsid w:val="00D931E6"/>
    <w:rsid w:val="00D9328F"/>
    <w:rsid w:val="00D9329A"/>
    <w:rsid w:val="00D932CA"/>
    <w:rsid w:val="00D93327"/>
    <w:rsid w:val="00D93360"/>
    <w:rsid w:val="00D93371"/>
    <w:rsid w:val="00D9338A"/>
    <w:rsid w:val="00D9348D"/>
    <w:rsid w:val="00D93495"/>
    <w:rsid w:val="00D9389B"/>
    <w:rsid w:val="00D93922"/>
    <w:rsid w:val="00D9398A"/>
    <w:rsid w:val="00D93B12"/>
    <w:rsid w:val="00D93B9B"/>
    <w:rsid w:val="00D93BB3"/>
    <w:rsid w:val="00D93C06"/>
    <w:rsid w:val="00D93C26"/>
    <w:rsid w:val="00D93F74"/>
    <w:rsid w:val="00D941A5"/>
    <w:rsid w:val="00D94258"/>
    <w:rsid w:val="00D94290"/>
    <w:rsid w:val="00D94598"/>
    <w:rsid w:val="00D946B3"/>
    <w:rsid w:val="00D9477C"/>
    <w:rsid w:val="00D947CA"/>
    <w:rsid w:val="00D947D6"/>
    <w:rsid w:val="00D9484F"/>
    <w:rsid w:val="00D94950"/>
    <w:rsid w:val="00D94ABB"/>
    <w:rsid w:val="00D94B56"/>
    <w:rsid w:val="00D94BA0"/>
    <w:rsid w:val="00D94CB0"/>
    <w:rsid w:val="00D94D60"/>
    <w:rsid w:val="00D94D84"/>
    <w:rsid w:val="00D94E96"/>
    <w:rsid w:val="00D94F4A"/>
    <w:rsid w:val="00D94F64"/>
    <w:rsid w:val="00D94F67"/>
    <w:rsid w:val="00D94FB0"/>
    <w:rsid w:val="00D94FFF"/>
    <w:rsid w:val="00D95092"/>
    <w:rsid w:val="00D950BF"/>
    <w:rsid w:val="00D95111"/>
    <w:rsid w:val="00D95215"/>
    <w:rsid w:val="00D95260"/>
    <w:rsid w:val="00D952FE"/>
    <w:rsid w:val="00D95325"/>
    <w:rsid w:val="00D95384"/>
    <w:rsid w:val="00D953A5"/>
    <w:rsid w:val="00D9549C"/>
    <w:rsid w:val="00D95505"/>
    <w:rsid w:val="00D955D4"/>
    <w:rsid w:val="00D95641"/>
    <w:rsid w:val="00D95680"/>
    <w:rsid w:val="00D956CC"/>
    <w:rsid w:val="00D956D6"/>
    <w:rsid w:val="00D95716"/>
    <w:rsid w:val="00D957BF"/>
    <w:rsid w:val="00D957E5"/>
    <w:rsid w:val="00D958C1"/>
    <w:rsid w:val="00D9592F"/>
    <w:rsid w:val="00D959BB"/>
    <w:rsid w:val="00D95A55"/>
    <w:rsid w:val="00D95AE4"/>
    <w:rsid w:val="00D95B54"/>
    <w:rsid w:val="00D95BF5"/>
    <w:rsid w:val="00D95D82"/>
    <w:rsid w:val="00D95E8E"/>
    <w:rsid w:val="00D95EAE"/>
    <w:rsid w:val="00D95F77"/>
    <w:rsid w:val="00D95FBC"/>
    <w:rsid w:val="00D9600D"/>
    <w:rsid w:val="00D9602A"/>
    <w:rsid w:val="00D960F9"/>
    <w:rsid w:val="00D96116"/>
    <w:rsid w:val="00D96129"/>
    <w:rsid w:val="00D96198"/>
    <w:rsid w:val="00D9638A"/>
    <w:rsid w:val="00D96396"/>
    <w:rsid w:val="00D963CA"/>
    <w:rsid w:val="00D963ED"/>
    <w:rsid w:val="00D96421"/>
    <w:rsid w:val="00D96619"/>
    <w:rsid w:val="00D96703"/>
    <w:rsid w:val="00D967D1"/>
    <w:rsid w:val="00D9681B"/>
    <w:rsid w:val="00D9687D"/>
    <w:rsid w:val="00D96897"/>
    <w:rsid w:val="00D968EB"/>
    <w:rsid w:val="00D96909"/>
    <w:rsid w:val="00D96919"/>
    <w:rsid w:val="00D96930"/>
    <w:rsid w:val="00D969A1"/>
    <w:rsid w:val="00D969AF"/>
    <w:rsid w:val="00D96AF2"/>
    <w:rsid w:val="00D96D9E"/>
    <w:rsid w:val="00D96E1C"/>
    <w:rsid w:val="00D96EF9"/>
    <w:rsid w:val="00D96F2F"/>
    <w:rsid w:val="00D9707F"/>
    <w:rsid w:val="00D97143"/>
    <w:rsid w:val="00D971CF"/>
    <w:rsid w:val="00D971D5"/>
    <w:rsid w:val="00D971D7"/>
    <w:rsid w:val="00D97236"/>
    <w:rsid w:val="00D9727E"/>
    <w:rsid w:val="00D97470"/>
    <w:rsid w:val="00D975BE"/>
    <w:rsid w:val="00D97872"/>
    <w:rsid w:val="00D97876"/>
    <w:rsid w:val="00D97888"/>
    <w:rsid w:val="00D97892"/>
    <w:rsid w:val="00D979B5"/>
    <w:rsid w:val="00D97AB6"/>
    <w:rsid w:val="00D97AE4"/>
    <w:rsid w:val="00D97BA6"/>
    <w:rsid w:val="00D97C40"/>
    <w:rsid w:val="00D97CDC"/>
    <w:rsid w:val="00D97CE2"/>
    <w:rsid w:val="00D97D05"/>
    <w:rsid w:val="00D97D70"/>
    <w:rsid w:val="00D97E00"/>
    <w:rsid w:val="00D97E2B"/>
    <w:rsid w:val="00D97EA1"/>
    <w:rsid w:val="00D97EFC"/>
    <w:rsid w:val="00D97FB8"/>
    <w:rsid w:val="00DA0006"/>
    <w:rsid w:val="00DA0017"/>
    <w:rsid w:val="00DA013F"/>
    <w:rsid w:val="00DA030F"/>
    <w:rsid w:val="00DA0369"/>
    <w:rsid w:val="00DA03AD"/>
    <w:rsid w:val="00DA04B5"/>
    <w:rsid w:val="00DA04CE"/>
    <w:rsid w:val="00DA0508"/>
    <w:rsid w:val="00DA06E4"/>
    <w:rsid w:val="00DA0880"/>
    <w:rsid w:val="00DA08F7"/>
    <w:rsid w:val="00DA08F8"/>
    <w:rsid w:val="00DA0905"/>
    <w:rsid w:val="00DA0938"/>
    <w:rsid w:val="00DA097B"/>
    <w:rsid w:val="00DA0999"/>
    <w:rsid w:val="00DA0A8A"/>
    <w:rsid w:val="00DA0CF5"/>
    <w:rsid w:val="00DA0D3F"/>
    <w:rsid w:val="00DA0D7D"/>
    <w:rsid w:val="00DA0DE4"/>
    <w:rsid w:val="00DA0DFE"/>
    <w:rsid w:val="00DA0E2F"/>
    <w:rsid w:val="00DA0FDC"/>
    <w:rsid w:val="00DA1013"/>
    <w:rsid w:val="00DA105F"/>
    <w:rsid w:val="00DA1181"/>
    <w:rsid w:val="00DA1207"/>
    <w:rsid w:val="00DA13DE"/>
    <w:rsid w:val="00DA1431"/>
    <w:rsid w:val="00DA152E"/>
    <w:rsid w:val="00DA156B"/>
    <w:rsid w:val="00DA15DE"/>
    <w:rsid w:val="00DA17DC"/>
    <w:rsid w:val="00DA19B8"/>
    <w:rsid w:val="00DA1B2B"/>
    <w:rsid w:val="00DA1B48"/>
    <w:rsid w:val="00DA1B7B"/>
    <w:rsid w:val="00DA1D22"/>
    <w:rsid w:val="00DA1D96"/>
    <w:rsid w:val="00DA1E96"/>
    <w:rsid w:val="00DA1FBB"/>
    <w:rsid w:val="00DA2276"/>
    <w:rsid w:val="00DA22A4"/>
    <w:rsid w:val="00DA22B3"/>
    <w:rsid w:val="00DA22E9"/>
    <w:rsid w:val="00DA232F"/>
    <w:rsid w:val="00DA2418"/>
    <w:rsid w:val="00DA2479"/>
    <w:rsid w:val="00DA24C3"/>
    <w:rsid w:val="00DA259A"/>
    <w:rsid w:val="00DA26F4"/>
    <w:rsid w:val="00DA2732"/>
    <w:rsid w:val="00DA281D"/>
    <w:rsid w:val="00DA282C"/>
    <w:rsid w:val="00DA2B11"/>
    <w:rsid w:val="00DA2B8E"/>
    <w:rsid w:val="00DA2BD8"/>
    <w:rsid w:val="00DA2DAF"/>
    <w:rsid w:val="00DA2E91"/>
    <w:rsid w:val="00DA2F34"/>
    <w:rsid w:val="00DA2FE6"/>
    <w:rsid w:val="00DA306D"/>
    <w:rsid w:val="00DA309A"/>
    <w:rsid w:val="00DA30B3"/>
    <w:rsid w:val="00DA30D0"/>
    <w:rsid w:val="00DA3114"/>
    <w:rsid w:val="00DA31A4"/>
    <w:rsid w:val="00DA3240"/>
    <w:rsid w:val="00DA33A5"/>
    <w:rsid w:val="00DA3435"/>
    <w:rsid w:val="00DA34D7"/>
    <w:rsid w:val="00DA34EB"/>
    <w:rsid w:val="00DA3619"/>
    <w:rsid w:val="00DA3711"/>
    <w:rsid w:val="00DA37A3"/>
    <w:rsid w:val="00DA3844"/>
    <w:rsid w:val="00DA38B0"/>
    <w:rsid w:val="00DA38DC"/>
    <w:rsid w:val="00DA390C"/>
    <w:rsid w:val="00DA3917"/>
    <w:rsid w:val="00DA3923"/>
    <w:rsid w:val="00DA39AF"/>
    <w:rsid w:val="00DA3A01"/>
    <w:rsid w:val="00DA3A2B"/>
    <w:rsid w:val="00DA3A4F"/>
    <w:rsid w:val="00DA3C87"/>
    <w:rsid w:val="00DA3CCA"/>
    <w:rsid w:val="00DA3D3F"/>
    <w:rsid w:val="00DA3D59"/>
    <w:rsid w:val="00DA3EAD"/>
    <w:rsid w:val="00DA3F29"/>
    <w:rsid w:val="00DA3FB7"/>
    <w:rsid w:val="00DA41A3"/>
    <w:rsid w:val="00DA41DE"/>
    <w:rsid w:val="00DA42D4"/>
    <w:rsid w:val="00DA436F"/>
    <w:rsid w:val="00DA4438"/>
    <w:rsid w:val="00DA44B3"/>
    <w:rsid w:val="00DA4538"/>
    <w:rsid w:val="00DA458A"/>
    <w:rsid w:val="00DA46EE"/>
    <w:rsid w:val="00DA47F4"/>
    <w:rsid w:val="00DA48B2"/>
    <w:rsid w:val="00DA48E8"/>
    <w:rsid w:val="00DA49C7"/>
    <w:rsid w:val="00DA4A64"/>
    <w:rsid w:val="00DA4B23"/>
    <w:rsid w:val="00DA4C8B"/>
    <w:rsid w:val="00DA4DDC"/>
    <w:rsid w:val="00DA4ECC"/>
    <w:rsid w:val="00DA4F52"/>
    <w:rsid w:val="00DA50DB"/>
    <w:rsid w:val="00DA51E0"/>
    <w:rsid w:val="00DA522A"/>
    <w:rsid w:val="00DA5349"/>
    <w:rsid w:val="00DA5362"/>
    <w:rsid w:val="00DA5366"/>
    <w:rsid w:val="00DA53D8"/>
    <w:rsid w:val="00DA5406"/>
    <w:rsid w:val="00DA551C"/>
    <w:rsid w:val="00DA561A"/>
    <w:rsid w:val="00DA5721"/>
    <w:rsid w:val="00DA57FE"/>
    <w:rsid w:val="00DA585F"/>
    <w:rsid w:val="00DA58EB"/>
    <w:rsid w:val="00DA5AA0"/>
    <w:rsid w:val="00DA5B6F"/>
    <w:rsid w:val="00DA5BD4"/>
    <w:rsid w:val="00DA5C04"/>
    <w:rsid w:val="00DA5E2F"/>
    <w:rsid w:val="00DA5E3E"/>
    <w:rsid w:val="00DA5F01"/>
    <w:rsid w:val="00DA5F76"/>
    <w:rsid w:val="00DA5FCA"/>
    <w:rsid w:val="00DA5FE8"/>
    <w:rsid w:val="00DA600E"/>
    <w:rsid w:val="00DA61D1"/>
    <w:rsid w:val="00DA628A"/>
    <w:rsid w:val="00DA62CE"/>
    <w:rsid w:val="00DA62DB"/>
    <w:rsid w:val="00DA6488"/>
    <w:rsid w:val="00DA65D1"/>
    <w:rsid w:val="00DA6607"/>
    <w:rsid w:val="00DA661D"/>
    <w:rsid w:val="00DA67F3"/>
    <w:rsid w:val="00DA683B"/>
    <w:rsid w:val="00DA6852"/>
    <w:rsid w:val="00DA6924"/>
    <w:rsid w:val="00DA6987"/>
    <w:rsid w:val="00DA69A9"/>
    <w:rsid w:val="00DA6A26"/>
    <w:rsid w:val="00DA6ADA"/>
    <w:rsid w:val="00DA6AF2"/>
    <w:rsid w:val="00DA6BF6"/>
    <w:rsid w:val="00DA6CFD"/>
    <w:rsid w:val="00DA70A8"/>
    <w:rsid w:val="00DA738A"/>
    <w:rsid w:val="00DA7413"/>
    <w:rsid w:val="00DA744C"/>
    <w:rsid w:val="00DA7490"/>
    <w:rsid w:val="00DA74D2"/>
    <w:rsid w:val="00DA74E2"/>
    <w:rsid w:val="00DA7535"/>
    <w:rsid w:val="00DA7591"/>
    <w:rsid w:val="00DA75C5"/>
    <w:rsid w:val="00DA7654"/>
    <w:rsid w:val="00DA7729"/>
    <w:rsid w:val="00DA77BA"/>
    <w:rsid w:val="00DA77F5"/>
    <w:rsid w:val="00DA7816"/>
    <w:rsid w:val="00DA7834"/>
    <w:rsid w:val="00DA799E"/>
    <w:rsid w:val="00DA7B0C"/>
    <w:rsid w:val="00DA7C94"/>
    <w:rsid w:val="00DA7D86"/>
    <w:rsid w:val="00DA7E6C"/>
    <w:rsid w:val="00DA7E80"/>
    <w:rsid w:val="00DA7F07"/>
    <w:rsid w:val="00DA7F49"/>
    <w:rsid w:val="00DA7F62"/>
    <w:rsid w:val="00DA7FCA"/>
    <w:rsid w:val="00DB0218"/>
    <w:rsid w:val="00DB023A"/>
    <w:rsid w:val="00DB025E"/>
    <w:rsid w:val="00DB038D"/>
    <w:rsid w:val="00DB0480"/>
    <w:rsid w:val="00DB04A0"/>
    <w:rsid w:val="00DB04A2"/>
    <w:rsid w:val="00DB04ED"/>
    <w:rsid w:val="00DB0603"/>
    <w:rsid w:val="00DB0688"/>
    <w:rsid w:val="00DB06BA"/>
    <w:rsid w:val="00DB0750"/>
    <w:rsid w:val="00DB08C4"/>
    <w:rsid w:val="00DB0C42"/>
    <w:rsid w:val="00DB0D16"/>
    <w:rsid w:val="00DB0D1E"/>
    <w:rsid w:val="00DB0EC6"/>
    <w:rsid w:val="00DB0ED2"/>
    <w:rsid w:val="00DB0F97"/>
    <w:rsid w:val="00DB0FD1"/>
    <w:rsid w:val="00DB0FE3"/>
    <w:rsid w:val="00DB10EB"/>
    <w:rsid w:val="00DB1132"/>
    <w:rsid w:val="00DB114D"/>
    <w:rsid w:val="00DB12C5"/>
    <w:rsid w:val="00DB137F"/>
    <w:rsid w:val="00DB13A6"/>
    <w:rsid w:val="00DB13F6"/>
    <w:rsid w:val="00DB149A"/>
    <w:rsid w:val="00DB14F8"/>
    <w:rsid w:val="00DB166A"/>
    <w:rsid w:val="00DB1839"/>
    <w:rsid w:val="00DB1AB7"/>
    <w:rsid w:val="00DB1AD4"/>
    <w:rsid w:val="00DB1B32"/>
    <w:rsid w:val="00DB1B47"/>
    <w:rsid w:val="00DB1B4C"/>
    <w:rsid w:val="00DB1C00"/>
    <w:rsid w:val="00DB1C07"/>
    <w:rsid w:val="00DB1C72"/>
    <w:rsid w:val="00DB1CFB"/>
    <w:rsid w:val="00DB1DD1"/>
    <w:rsid w:val="00DB1DDF"/>
    <w:rsid w:val="00DB1ECE"/>
    <w:rsid w:val="00DB1F21"/>
    <w:rsid w:val="00DB1F31"/>
    <w:rsid w:val="00DB1F6E"/>
    <w:rsid w:val="00DB2023"/>
    <w:rsid w:val="00DB220C"/>
    <w:rsid w:val="00DB2311"/>
    <w:rsid w:val="00DB23AC"/>
    <w:rsid w:val="00DB24E4"/>
    <w:rsid w:val="00DB2541"/>
    <w:rsid w:val="00DB2565"/>
    <w:rsid w:val="00DB25AC"/>
    <w:rsid w:val="00DB2689"/>
    <w:rsid w:val="00DB2702"/>
    <w:rsid w:val="00DB275C"/>
    <w:rsid w:val="00DB27A7"/>
    <w:rsid w:val="00DB294D"/>
    <w:rsid w:val="00DB2A58"/>
    <w:rsid w:val="00DB2A5F"/>
    <w:rsid w:val="00DB2A76"/>
    <w:rsid w:val="00DB2A96"/>
    <w:rsid w:val="00DB2B96"/>
    <w:rsid w:val="00DB2C13"/>
    <w:rsid w:val="00DB2D4E"/>
    <w:rsid w:val="00DB2ED5"/>
    <w:rsid w:val="00DB2EFB"/>
    <w:rsid w:val="00DB2F81"/>
    <w:rsid w:val="00DB2FDF"/>
    <w:rsid w:val="00DB2FEB"/>
    <w:rsid w:val="00DB3043"/>
    <w:rsid w:val="00DB31E1"/>
    <w:rsid w:val="00DB31F0"/>
    <w:rsid w:val="00DB3287"/>
    <w:rsid w:val="00DB32BE"/>
    <w:rsid w:val="00DB32C8"/>
    <w:rsid w:val="00DB32F6"/>
    <w:rsid w:val="00DB3307"/>
    <w:rsid w:val="00DB3313"/>
    <w:rsid w:val="00DB33F9"/>
    <w:rsid w:val="00DB33FB"/>
    <w:rsid w:val="00DB33FF"/>
    <w:rsid w:val="00DB34CF"/>
    <w:rsid w:val="00DB34DD"/>
    <w:rsid w:val="00DB37C9"/>
    <w:rsid w:val="00DB37FE"/>
    <w:rsid w:val="00DB391C"/>
    <w:rsid w:val="00DB39F2"/>
    <w:rsid w:val="00DB3A54"/>
    <w:rsid w:val="00DB3A6A"/>
    <w:rsid w:val="00DB3AEC"/>
    <w:rsid w:val="00DB3B8E"/>
    <w:rsid w:val="00DB3C45"/>
    <w:rsid w:val="00DB3C54"/>
    <w:rsid w:val="00DB3CC3"/>
    <w:rsid w:val="00DB3CC9"/>
    <w:rsid w:val="00DB4102"/>
    <w:rsid w:val="00DB41AF"/>
    <w:rsid w:val="00DB43E1"/>
    <w:rsid w:val="00DB4426"/>
    <w:rsid w:val="00DB4473"/>
    <w:rsid w:val="00DB44CF"/>
    <w:rsid w:val="00DB4525"/>
    <w:rsid w:val="00DB46A1"/>
    <w:rsid w:val="00DB48BB"/>
    <w:rsid w:val="00DB4A67"/>
    <w:rsid w:val="00DB4A72"/>
    <w:rsid w:val="00DB4AEA"/>
    <w:rsid w:val="00DB4B26"/>
    <w:rsid w:val="00DB4BA0"/>
    <w:rsid w:val="00DB4BBD"/>
    <w:rsid w:val="00DB4C77"/>
    <w:rsid w:val="00DB4C99"/>
    <w:rsid w:val="00DB4CF4"/>
    <w:rsid w:val="00DB4D85"/>
    <w:rsid w:val="00DB4D8A"/>
    <w:rsid w:val="00DB4D95"/>
    <w:rsid w:val="00DB4DBA"/>
    <w:rsid w:val="00DB4DCC"/>
    <w:rsid w:val="00DB4E5B"/>
    <w:rsid w:val="00DB4EAB"/>
    <w:rsid w:val="00DB4FBF"/>
    <w:rsid w:val="00DB5046"/>
    <w:rsid w:val="00DB50C8"/>
    <w:rsid w:val="00DB50E3"/>
    <w:rsid w:val="00DB50F3"/>
    <w:rsid w:val="00DB5146"/>
    <w:rsid w:val="00DB518D"/>
    <w:rsid w:val="00DB519D"/>
    <w:rsid w:val="00DB5229"/>
    <w:rsid w:val="00DB52B7"/>
    <w:rsid w:val="00DB5317"/>
    <w:rsid w:val="00DB53AE"/>
    <w:rsid w:val="00DB53CE"/>
    <w:rsid w:val="00DB54E7"/>
    <w:rsid w:val="00DB564D"/>
    <w:rsid w:val="00DB579F"/>
    <w:rsid w:val="00DB5877"/>
    <w:rsid w:val="00DB58E1"/>
    <w:rsid w:val="00DB59C5"/>
    <w:rsid w:val="00DB5A41"/>
    <w:rsid w:val="00DB5A90"/>
    <w:rsid w:val="00DB5B52"/>
    <w:rsid w:val="00DB5B85"/>
    <w:rsid w:val="00DB5D11"/>
    <w:rsid w:val="00DB5DA2"/>
    <w:rsid w:val="00DB5DC9"/>
    <w:rsid w:val="00DB6055"/>
    <w:rsid w:val="00DB6105"/>
    <w:rsid w:val="00DB6127"/>
    <w:rsid w:val="00DB61DF"/>
    <w:rsid w:val="00DB628A"/>
    <w:rsid w:val="00DB6347"/>
    <w:rsid w:val="00DB637F"/>
    <w:rsid w:val="00DB6384"/>
    <w:rsid w:val="00DB6415"/>
    <w:rsid w:val="00DB6522"/>
    <w:rsid w:val="00DB685E"/>
    <w:rsid w:val="00DB69AF"/>
    <w:rsid w:val="00DB6A1F"/>
    <w:rsid w:val="00DB6A21"/>
    <w:rsid w:val="00DB6ACE"/>
    <w:rsid w:val="00DB6B55"/>
    <w:rsid w:val="00DB6C31"/>
    <w:rsid w:val="00DB6D48"/>
    <w:rsid w:val="00DB6DDC"/>
    <w:rsid w:val="00DB6E42"/>
    <w:rsid w:val="00DB6F19"/>
    <w:rsid w:val="00DB6F32"/>
    <w:rsid w:val="00DB6F88"/>
    <w:rsid w:val="00DB7060"/>
    <w:rsid w:val="00DB7090"/>
    <w:rsid w:val="00DB71B9"/>
    <w:rsid w:val="00DB72F3"/>
    <w:rsid w:val="00DB7544"/>
    <w:rsid w:val="00DB764B"/>
    <w:rsid w:val="00DB7795"/>
    <w:rsid w:val="00DB7832"/>
    <w:rsid w:val="00DB7864"/>
    <w:rsid w:val="00DB79D8"/>
    <w:rsid w:val="00DB7B26"/>
    <w:rsid w:val="00DB7B59"/>
    <w:rsid w:val="00DB7C10"/>
    <w:rsid w:val="00DB7C89"/>
    <w:rsid w:val="00DB7D2A"/>
    <w:rsid w:val="00DB7E8A"/>
    <w:rsid w:val="00DB7E97"/>
    <w:rsid w:val="00DB7FC5"/>
    <w:rsid w:val="00DC0211"/>
    <w:rsid w:val="00DC0225"/>
    <w:rsid w:val="00DC02AB"/>
    <w:rsid w:val="00DC02B9"/>
    <w:rsid w:val="00DC02EA"/>
    <w:rsid w:val="00DC02F5"/>
    <w:rsid w:val="00DC0519"/>
    <w:rsid w:val="00DC0635"/>
    <w:rsid w:val="00DC06B5"/>
    <w:rsid w:val="00DC06EC"/>
    <w:rsid w:val="00DC0757"/>
    <w:rsid w:val="00DC075B"/>
    <w:rsid w:val="00DC07CD"/>
    <w:rsid w:val="00DC086F"/>
    <w:rsid w:val="00DC0981"/>
    <w:rsid w:val="00DC0A31"/>
    <w:rsid w:val="00DC0A51"/>
    <w:rsid w:val="00DC0AD4"/>
    <w:rsid w:val="00DC0AF6"/>
    <w:rsid w:val="00DC0B2D"/>
    <w:rsid w:val="00DC0B67"/>
    <w:rsid w:val="00DC0C18"/>
    <w:rsid w:val="00DC0E11"/>
    <w:rsid w:val="00DC0EBA"/>
    <w:rsid w:val="00DC0ED5"/>
    <w:rsid w:val="00DC10A5"/>
    <w:rsid w:val="00DC10FC"/>
    <w:rsid w:val="00DC1115"/>
    <w:rsid w:val="00DC1299"/>
    <w:rsid w:val="00DC129B"/>
    <w:rsid w:val="00DC13BB"/>
    <w:rsid w:val="00DC1471"/>
    <w:rsid w:val="00DC1576"/>
    <w:rsid w:val="00DC15BA"/>
    <w:rsid w:val="00DC1726"/>
    <w:rsid w:val="00DC17D0"/>
    <w:rsid w:val="00DC17D3"/>
    <w:rsid w:val="00DC186B"/>
    <w:rsid w:val="00DC1889"/>
    <w:rsid w:val="00DC1A1B"/>
    <w:rsid w:val="00DC1A6B"/>
    <w:rsid w:val="00DC1D3A"/>
    <w:rsid w:val="00DC1D85"/>
    <w:rsid w:val="00DC1D88"/>
    <w:rsid w:val="00DC1DA8"/>
    <w:rsid w:val="00DC1DE3"/>
    <w:rsid w:val="00DC1E75"/>
    <w:rsid w:val="00DC1EF6"/>
    <w:rsid w:val="00DC1F1E"/>
    <w:rsid w:val="00DC2109"/>
    <w:rsid w:val="00DC2294"/>
    <w:rsid w:val="00DC230B"/>
    <w:rsid w:val="00DC23B2"/>
    <w:rsid w:val="00DC23EA"/>
    <w:rsid w:val="00DC2485"/>
    <w:rsid w:val="00DC27D5"/>
    <w:rsid w:val="00DC2854"/>
    <w:rsid w:val="00DC2881"/>
    <w:rsid w:val="00DC28FE"/>
    <w:rsid w:val="00DC2983"/>
    <w:rsid w:val="00DC29ED"/>
    <w:rsid w:val="00DC2A2A"/>
    <w:rsid w:val="00DC2B83"/>
    <w:rsid w:val="00DC2BCB"/>
    <w:rsid w:val="00DC2C7B"/>
    <w:rsid w:val="00DC2CA2"/>
    <w:rsid w:val="00DC2CFD"/>
    <w:rsid w:val="00DC2D53"/>
    <w:rsid w:val="00DC2D59"/>
    <w:rsid w:val="00DC2D97"/>
    <w:rsid w:val="00DC2DE1"/>
    <w:rsid w:val="00DC2E17"/>
    <w:rsid w:val="00DC2E32"/>
    <w:rsid w:val="00DC2EFB"/>
    <w:rsid w:val="00DC2F26"/>
    <w:rsid w:val="00DC3172"/>
    <w:rsid w:val="00DC3186"/>
    <w:rsid w:val="00DC31DE"/>
    <w:rsid w:val="00DC32C5"/>
    <w:rsid w:val="00DC3397"/>
    <w:rsid w:val="00DC3498"/>
    <w:rsid w:val="00DC3516"/>
    <w:rsid w:val="00DC3523"/>
    <w:rsid w:val="00DC35B2"/>
    <w:rsid w:val="00DC3659"/>
    <w:rsid w:val="00DC36A6"/>
    <w:rsid w:val="00DC3793"/>
    <w:rsid w:val="00DC37D5"/>
    <w:rsid w:val="00DC3852"/>
    <w:rsid w:val="00DC3AFD"/>
    <w:rsid w:val="00DC3BB9"/>
    <w:rsid w:val="00DC3C8D"/>
    <w:rsid w:val="00DC3CF7"/>
    <w:rsid w:val="00DC3D11"/>
    <w:rsid w:val="00DC3D81"/>
    <w:rsid w:val="00DC3E84"/>
    <w:rsid w:val="00DC3ED3"/>
    <w:rsid w:val="00DC3F0B"/>
    <w:rsid w:val="00DC4041"/>
    <w:rsid w:val="00DC411E"/>
    <w:rsid w:val="00DC414A"/>
    <w:rsid w:val="00DC4289"/>
    <w:rsid w:val="00DC431B"/>
    <w:rsid w:val="00DC4342"/>
    <w:rsid w:val="00DC437F"/>
    <w:rsid w:val="00DC438D"/>
    <w:rsid w:val="00DC4436"/>
    <w:rsid w:val="00DC4440"/>
    <w:rsid w:val="00DC4466"/>
    <w:rsid w:val="00DC4477"/>
    <w:rsid w:val="00DC449A"/>
    <w:rsid w:val="00DC45BE"/>
    <w:rsid w:val="00DC4659"/>
    <w:rsid w:val="00DC46D6"/>
    <w:rsid w:val="00DC478C"/>
    <w:rsid w:val="00DC4963"/>
    <w:rsid w:val="00DC49ED"/>
    <w:rsid w:val="00DC4A78"/>
    <w:rsid w:val="00DC4AC6"/>
    <w:rsid w:val="00DC4C33"/>
    <w:rsid w:val="00DC4C3C"/>
    <w:rsid w:val="00DC4E28"/>
    <w:rsid w:val="00DC4EF5"/>
    <w:rsid w:val="00DC4FD6"/>
    <w:rsid w:val="00DC502E"/>
    <w:rsid w:val="00DC50C5"/>
    <w:rsid w:val="00DC5127"/>
    <w:rsid w:val="00DC5147"/>
    <w:rsid w:val="00DC5153"/>
    <w:rsid w:val="00DC5227"/>
    <w:rsid w:val="00DC5247"/>
    <w:rsid w:val="00DC53D2"/>
    <w:rsid w:val="00DC5467"/>
    <w:rsid w:val="00DC54A6"/>
    <w:rsid w:val="00DC55D7"/>
    <w:rsid w:val="00DC56E8"/>
    <w:rsid w:val="00DC587B"/>
    <w:rsid w:val="00DC5892"/>
    <w:rsid w:val="00DC58B5"/>
    <w:rsid w:val="00DC58BE"/>
    <w:rsid w:val="00DC5A31"/>
    <w:rsid w:val="00DC5ADF"/>
    <w:rsid w:val="00DC5B25"/>
    <w:rsid w:val="00DC5B2E"/>
    <w:rsid w:val="00DC5D99"/>
    <w:rsid w:val="00DC5DAB"/>
    <w:rsid w:val="00DC5DF8"/>
    <w:rsid w:val="00DC5E12"/>
    <w:rsid w:val="00DC5F3A"/>
    <w:rsid w:val="00DC6070"/>
    <w:rsid w:val="00DC60CC"/>
    <w:rsid w:val="00DC6165"/>
    <w:rsid w:val="00DC6246"/>
    <w:rsid w:val="00DC6263"/>
    <w:rsid w:val="00DC62DB"/>
    <w:rsid w:val="00DC6349"/>
    <w:rsid w:val="00DC6374"/>
    <w:rsid w:val="00DC6386"/>
    <w:rsid w:val="00DC63BB"/>
    <w:rsid w:val="00DC63FE"/>
    <w:rsid w:val="00DC6453"/>
    <w:rsid w:val="00DC6554"/>
    <w:rsid w:val="00DC6590"/>
    <w:rsid w:val="00DC66CF"/>
    <w:rsid w:val="00DC66FB"/>
    <w:rsid w:val="00DC688F"/>
    <w:rsid w:val="00DC68F9"/>
    <w:rsid w:val="00DC6C37"/>
    <w:rsid w:val="00DC6CB4"/>
    <w:rsid w:val="00DC6E10"/>
    <w:rsid w:val="00DC6FBB"/>
    <w:rsid w:val="00DC6FD6"/>
    <w:rsid w:val="00DC6FE4"/>
    <w:rsid w:val="00DC704F"/>
    <w:rsid w:val="00DC726D"/>
    <w:rsid w:val="00DC72BC"/>
    <w:rsid w:val="00DC72D8"/>
    <w:rsid w:val="00DC72FA"/>
    <w:rsid w:val="00DC7352"/>
    <w:rsid w:val="00DC74EB"/>
    <w:rsid w:val="00DC7593"/>
    <w:rsid w:val="00DC7647"/>
    <w:rsid w:val="00DC778C"/>
    <w:rsid w:val="00DC7820"/>
    <w:rsid w:val="00DC7828"/>
    <w:rsid w:val="00DC7957"/>
    <w:rsid w:val="00DC7A4B"/>
    <w:rsid w:val="00DC7B5D"/>
    <w:rsid w:val="00DC7D95"/>
    <w:rsid w:val="00DC7DC5"/>
    <w:rsid w:val="00DC7EEA"/>
    <w:rsid w:val="00DD0053"/>
    <w:rsid w:val="00DD0187"/>
    <w:rsid w:val="00DD0285"/>
    <w:rsid w:val="00DD02F4"/>
    <w:rsid w:val="00DD030A"/>
    <w:rsid w:val="00DD044D"/>
    <w:rsid w:val="00DD04FC"/>
    <w:rsid w:val="00DD057B"/>
    <w:rsid w:val="00DD05AE"/>
    <w:rsid w:val="00DD05BB"/>
    <w:rsid w:val="00DD0645"/>
    <w:rsid w:val="00DD0836"/>
    <w:rsid w:val="00DD0886"/>
    <w:rsid w:val="00DD097E"/>
    <w:rsid w:val="00DD09A7"/>
    <w:rsid w:val="00DD09BA"/>
    <w:rsid w:val="00DD0A7B"/>
    <w:rsid w:val="00DD0B1F"/>
    <w:rsid w:val="00DD0B87"/>
    <w:rsid w:val="00DD0BC9"/>
    <w:rsid w:val="00DD0DCE"/>
    <w:rsid w:val="00DD0DF7"/>
    <w:rsid w:val="00DD0E16"/>
    <w:rsid w:val="00DD0EB9"/>
    <w:rsid w:val="00DD10E6"/>
    <w:rsid w:val="00DD11C6"/>
    <w:rsid w:val="00DD12EB"/>
    <w:rsid w:val="00DD1339"/>
    <w:rsid w:val="00DD1353"/>
    <w:rsid w:val="00DD13DC"/>
    <w:rsid w:val="00DD15AE"/>
    <w:rsid w:val="00DD1665"/>
    <w:rsid w:val="00DD16BA"/>
    <w:rsid w:val="00DD16C3"/>
    <w:rsid w:val="00DD1734"/>
    <w:rsid w:val="00DD1738"/>
    <w:rsid w:val="00DD1894"/>
    <w:rsid w:val="00DD1979"/>
    <w:rsid w:val="00DD1AE7"/>
    <w:rsid w:val="00DD1C7B"/>
    <w:rsid w:val="00DD1D4E"/>
    <w:rsid w:val="00DD1E59"/>
    <w:rsid w:val="00DD1EA4"/>
    <w:rsid w:val="00DD1ED0"/>
    <w:rsid w:val="00DD1ED9"/>
    <w:rsid w:val="00DD1F51"/>
    <w:rsid w:val="00DD203A"/>
    <w:rsid w:val="00DD20F3"/>
    <w:rsid w:val="00DD2158"/>
    <w:rsid w:val="00DD21D3"/>
    <w:rsid w:val="00DD2289"/>
    <w:rsid w:val="00DD2394"/>
    <w:rsid w:val="00DD2453"/>
    <w:rsid w:val="00DD2482"/>
    <w:rsid w:val="00DD252C"/>
    <w:rsid w:val="00DD2619"/>
    <w:rsid w:val="00DD26B5"/>
    <w:rsid w:val="00DD26FD"/>
    <w:rsid w:val="00DD2720"/>
    <w:rsid w:val="00DD2721"/>
    <w:rsid w:val="00DD2856"/>
    <w:rsid w:val="00DD28B1"/>
    <w:rsid w:val="00DD28C5"/>
    <w:rsid w:val="00DD29DA"/>
    <w:rsid w:val="00DD29FF"/>
    <w:rsid w:val="00DD2AD2"/>
    <w:rsid w:val="00DD2BA8"/>
    <w:rsid w:val="00DD2C15"/>
    <w:rsid w:val="00DD2CE5"/>
    <w:rsid w:val="00DD2DBF"/>
    <w:rsid w:val="00DD2FED"/>
    <w:rsid w:val="00DD2FF6"/>
    <w:rsid w:val="00DD322A"/>
    <w:rsid w:val="00DD32DD"/>
    <w:rsid w:val="00DD3347"/>
    <w:rsid w:val="00DD33E4"/>
    <w:rsid w:val="00DD346F"/>
    <w:rsid w:val="00DD34B8"/>
    <w:rsid w:val="00DD3548"/>
    <w:rsid w:val="00DD35A9"/>
    <w:rsid w:val="00DD3633"/>
    <w:rsid w:val="00DD364A"/>
    <w:rsid w:val="00DD3704"/>
    <w:rsid w:val="00DD3781"/>
    <w:rsid w:val="00DD3815"/>
    <w:rsid w:val="00DD395C"/>
    <w:rsid w:val="00DD3A1C"/>
    <w:rsid w:val="00DD3A95"/>
    <w:rsid w:val="00DD3B19"/>
    <w:rsid w:val="00DD3B3E"/>
    <w:rsid w:val="00DD3C5F"/>
    <w:rsid w:val="00DD3D51"/>
    <w:rsid w:val="00DD3E1D"/>
    <w:rsid w:val="00DD4230"/>
    <w:rsid w:val="00DD4236"/>
    <w:rsid w:val="00DD43A7"/>
    <w:rsid w:val="00DD4533"/>
    <w:rsid w:val="00DD458E"/>
    <w:rsid w:val="00DD45AB"/>
    <w:rsid w:val="00DD463B"/>
    <w:rsid w:val="00DD4729"/>
    <w:rsid w:val="00DD4730"/>
    <w:rsid w:val="00DD4793"/>
    <w:rsid w:val="00DD498D"/>
    <w:rsid w:val="00DD499D"/>
    <w:rsid w:val="00DD4A62"/>
    <w:rsid w:val="00DD4AEA"/>
    <w:rsid w:val="00DD4B11"/>
    <w:rsid w:val="00DD4BDE"/>
    <w:rsid w:val="00DD4BF1"/>
    <w:rsid w:val="00DD4D16"/>
    <w:rsid w:val="00DD4D1E"/>
    <w:rsid w:val="00DD4DD4"/>
    <w:rsid w:val="00DD4E66"/>
    <w:rsid w:val="00DD4EA3"/>
    <w:rsid w:val="00DD4F27"/>
    <w:rsid w:val="00DD5075"/>
    <w:rsid w:val="00DD5469"/>
    <w:rsid w:val="00DD54D7"/>
    <w:rsid w:val="00DD550D"/>
    <w:rsid w:val="00DD553F"/>
    <w:rsid w:val="00DD584C"/>
    <w:rsid w:val="00DD5A87"/>
    <w:rsid w:val="00DD5C4F"/>
    <w:rsid w:val="00DD5D7A"/>
    <w:rsid w:val="00DD5DB5"/>
    <w:rsid w:val="00DD5FEA"/>
    <w:rsid w:val="00DD603D"/>
    <w:rsid w:val="00DD6141"/>
    <w:rsid w:val="00DD61E8"/>
    <w:rsid w:val="00DD6211"/>
    <w:rsid w:val="00DD6381"/>
    <w:rsid w:val="00DD6384"/>
    <w:rsid w:val="00DD63B7"/>
    <w:rsid w:val="00DD63EA"/>
    <w:rsid w:val="00DD63F6"/>
    <w:rsid w:val="00DD6470"/>
    <w:rsid w:val="00DD64BC"/>
    <w:rsid w:val="00DD64C8"/>
    <w:rsid w:val="00DD6580"/>
    <w:rsid w:val="00DD664B"/>
    <w:rsid w:val="00DD66FB"/>
    <w:rsid w:val="00DD6773"/>
    <w:rsid w:val="00DD67AA"/>
    <w:rsid w:val="00DD6812"/>
    <w:rsid w:val="00DD6936"/>
    <w:rsid w:val="00DD693B"/>
    <w:rsid w:val="00DD69E0"/>
    <w:rsid w:val="00DD6BEA"/>
    <w:rsid w:val="00DD70AE"/>
    <w:rsid w:val="00DD70D0"/>
    <w:rsid w:val="00DD70EF"/>
    <w:rsid w:val="00DD7218"/>
    <w:rsid w:val="00DD74B2"/>
    <w:rsid w:val="00DD74DA"/>
    <w:rsid w:val="00DD7648"/>
    <w:rsid w:val="00DD76BB"/>
    <w:rsid w:val="00DD7754"/>
    <w:rsid w:val="00DD77B6"/>
    <w:rsid w:val="00DD77EF"/>
    <w:rsid w:val="00DD7830"/>
    <w:rsid w:val="00DD783C"/>
    <w:rsid w:val="00DD7875"/>
    <w:rsid w:val="00DD7892"/>
    <w:rsid w:val="00DD78B3"/>
    <w:rsid w:val="00DD79A0"/>
    <w:rsid w:val="00DD79E5"/>
    <w:rsid w:val="00DD7A56"/>
    <w:rsid w:val="00DD7CFC"/>
    <w:rsid w:val="00DD7E42"/>
    <w:rsid w:val="00DE004B"/>
    <w:rsid w:val="00DE007B"/>
    <w:rsid w:val="00DE00FF"/>
    <w:rsid w:val="00DE01B2"/>
    <w:rsid w:val="00DE03BE"/>
    <w:rsid w:val="00DE060F"/>
    <w:rsid w:val="00DE06B0"/>
    <w:rsid w:val="00DE0745"/>
    <w:rsid w:val="00DE07B4"/>
    <w:rsid w:val="00DE07C9"/>
    <w:rsid w:val="00DE07E4"/>
    <w:rsid w:val="00DE09D4"/>
    <w:rsid w:val="00DE09FF"/>
    <w:rsid w:val="00DE0AEE"/>
    <w:rsid w:val="00DE0DE9"/>
    <w:rsid w:val="00DE0EB5"/>
    <w:rsid w:val="00DE0F23"/>
    <w:rsid w:val="00DE101B"/>
    <w:rsid w:val="00DE103E"/>
    <w:rsid w:val="00DE13E7"/>
    <w:rsid w:val="00DE1476"/>
    <w:rsid w:val="00DE1648"/>
    <w:rsid w:val="00DE1653"/>
    <w:rsid w:val="00DE18C7"/>
    <w:rsid w:val="00DE196E"/>
    <w:rsid w:val="00DE1A3B"/>
    <w:rsid w:val="00DE1ACC"/>
    <w:rsid w:val="00DE1B6D"/>
    <w:rsid w:val="00DE1C53"/>
    <w:rsid w:val="00DE1D53"/>
    <w:rsid w:val="00DE1D5A"/>
    <w:rsid w:val="00DE1E2C"/>
    <w:rsid w:val="00DE1F07"/>
    <w:rsid w:val="00DE1FDB"/>
    <w:rsid w:val="00DE1FF2"/>
    <w:rsid w:val="00DE2015"/>
    <w:rsid w:val="00DE2067"/>
    <w:rsid w:val="00DE2097"/>
    <w:rsid w:val="00DE219D"/>
    <w:rsid w:val="00DE22B3"/>
    <w:rsid w:val="00DE22F1"/>
    <w:rsid w:val="00DE232D"/>
    <w:rsid w:val="00DE246F"/>
    <w:rsid w:val="00DE269A"/>
    <w:rsid w:val="00DE26C5"/>
    <w:rsid w:val="00DE272B"/>
    <w:rsid w:val="00DE27B7"/>
    <w:rsid w:val="00DE28CA"/>
    <w:rsid w:val="00DE28EF"/>
    <w:rsid w:val="00DE2938"/>
    <w:rsid w:val="00DE29C5"/>
    <w:rsid w:val="00DE2A99"/>
    <w:rsid w:val="00DE2BD4"/>
    <w:rsid w:val="00DE2CC8"/>
    <w:rsid w:val="00DE319A"/>
    <w:rsid w:val="00DE3432"/>
    <w:rsid w:val="00DE3443"/>
    <w:rsid w:val="00DE3446"/>
    <w:rsid w:val="00DE3533"/>
    <w:rsid w:val="00DE35F2"/>
    <w:rsid w:val="00DE361F"/>
    <w:rsid w:val="00DE36B5"/>
    <w:rsid w:val="00DE37F5"/>
    <w:rsid w:val="00DE3A91"/>
    <w:rsid w:val="00DE3D17"/>
    <w:rsid w:val="00DE3D8A"/>
    <w:rsid w:val="00DE3F3A"/>
    <w:rsid w:val="00DE3F4C"/>
    <w:rsid w:val="00DE401C"/>
    <w:rsid w:val="00DE409D"/>
    <w:rsid w:val="00DE40E3"/>
    <w:rsid w:val="00DE4159"/>
    <w:rsid w:val="00DE415D"/>
    <w:rsid w:val="00DE4397"/>
    <w:rsid w:val="00DE4407"/>
    <w:rsid w:val="00DE44E3"/>
    <w:rsid w:val="00DE4534"/>
    <w:rsid w:val="00DE454B"/>
    <w:rsid w:val="00DE48F3"/>
    <w:rsid w:val="00DE493F"/>
    <w:rsid w:val="00DE49D2"/>
    <w:rsid w:val="00DE4A4C"/>
    <w:rsid w:val="00DE4AA8"/>
    <w:rsid w:val="00DE4ABA"/>
    <w:rsid w:val="00DE4BD4"/>
    <w:rsid w:val="00DE4C5B"/>
    <w:rsid w:val="00DE4D2A"/>
    <w:rsid w:val="00DE4D8F"/>
    <w:rsid w:val="00DE4DD5"/>
    <w:rsid w:val="00DE4E62"/>
    <w:rsid w:val="00DE50DE"/>
    <w:rsid w:val="00DE5312"/>
    <w:rsid w:val="00DE54D0"/>
    <w:rsid w:val="00DE54E9"/>
    <w:rsid w:val="00DE55E5"/>
    <w:rsid w:val="00DE56DF"/>
    <w:rsid w:val="00DE5765"/>
    <w:rsid w:val="00DE5825"/>
    <w:rsid w:val="00DE58F8"/>
    <w:rsid w:val="00DE5996"/>
    <w:rsid w:val="00DE59D8"/>
    <w:rsid w:val="00DE5A90"/>
    <w:rsid w:val="00DE5B45"/>
    <w:rsid w:val="00DE5BA4"/>
    <w:rsid w:val="00DE5C80"/>
    <w:rsid w:val="00DE5C95"/>
    <w:rsid w:val="00DE5CD0"/>
    <w:rsid w:val="00DE5CF6"/>
    <w:rsid w:val="00DE5D0F"/>
    <w:rsid w:val="00DE5DB1"/>
    <w:rsid w:val="00DE5EE1"/>
    <w:rsid w:val="00DE5FBE"/>
    <w:rsid w:val="00DE602E"/>
    <w:rsid w:val="00DE608D"/>
    <w:rsid w:val="00DE615E"/>
    <w:rsid w:val="00DE615F"/>
    <w:rsid w:val="00DE6218"/>
    <w:rsid w:val="00DE624A"/>
    <w:rsid w:val="00DE6294"/>
    <w:rsid w:val="00DE655D"/>
    <w:rsid w:val="00DE6672"/>
    <w:rsid w:val="00DE67A4"/>
    <w:rsid w:val="00DE6A90"/>
    <w:rsid w:val="00DE6AD1"/>
    <w:rsid w:val="00DE6AE1"/>
    <w:rsid w:val="00DE6C08"/>
    <w:rsid w:val="00DE6C29"/>
    <w:rsid w:val="00DE6D33"/>
    <w:rsid w:val="00DE6DA6"/>
    <w:rsid w:val="00DE6FFA"/>
    <w:rsid w:val="00DE7041"/>
    <w:rsid w:val="00DE704F"/>
    <w:rsid w:val="00DE709C"/>
    <w:rsid w:val="00DE70BE"/>
    <w:rsid w:val="00DE71C2"/>
    <w:rsid w:val="00DE723F"/>
    <w:rsid w:val="00DE7281"/>
    <w:rsid w:val="00DE7298"/>
    <w:rsid w:val="00DE72C0"/>
    <w:rsid w:val="00DE7405"/>
    <w:rsid w:val="00DE7469"/>
    <w:rsid w:val="00DE74F7"/>
    <w:rsid w:val="00DE752C"/>
    <w:rsid w:val="00DE75BE"/>
    <w:rsid w:val="00DE7601"/>
    <w:rsid w:val="00DE768C"/>
    <w:rsid w:val="00DE76C5"/>
    <w:rsid w:val="00DE7807"/>
    <w:rsid w:val="00DE782E"/>
    <w:rsid w:val="00DE78CD"/>
    <w:rsid w:val="00DE792B"/>
    <w:rsid w:val="00DE7937"/>
    <w:rsid w:val="00DE7A74"/>
    <w:rsid w:val="00DE7FB6"/>
    <w:rsid w:val="00DF0074"/>
    <w:rsid w:val="00DF03EE"/>
    <w:rsid w:val="00DF04C8"/>
    <w:rsid w:val="00DF04CD"/>
    <w:rsid w:val="00DF05C2"/>
    <w:rsid w:val="00DF0671"/>
    <w:rsid w:val="00DF0697"/>
    <w:rsid w:val="00DF0737"/>
    <w:rsid w:val="00DF086F"/>
    <w:rsid w:val="00DF08F1"/>
    <w:rsid w:val="00DF0A95"/>
    <w:rsid w:val="00DF0C94"/>
    <w:rsid w:val="00DF0D4E"/>
    <w:rsid w:val="00DF0D93"/>
    <w:rsid w:val="00DF0DD5"/>
    <w:rsid w:val="00DF0DEC"/>
    <w:rsid w:val="00DF0DF7"/>
    <w:rsid w:val="00DF0E0C"/>
    <w:rsid w:val="00DF0E2F"/>
    <w:rsid w:val="00DF0F5B"/>
    <w:rsid w:val="00DF0F8A"/>
    <w:rsid w:val="00DF0FE2"/>
    <w:rsid w:val="00DF1023"/>
    <w:rsid w:val="00DF13C7"/>
    <w:rsid w:val="00DF14DE"/>
    <w:rsid w:val="00DF153C"/>
    <w:rsid w:val="00DF155C"/>
    <w:rsid w:val="00DF1732"/>
    <w:rsid w:val="00DF186F"/>
    <w:rsid w:val="00DF1A7D"/>
    <w:rsid w:val="00DF1C32"/>
    <w:rsid w:val="00DF1C3B"/>
    <w:rsid w:val="00DF1D43"/>
    <w:rsid w:val="00DF1FED"/>
    <w:rsid w:val="00DF2091"/>
    <w:rsid w:val="00DF20A2"/>
    <w:rsid w:val="00DF214F"/>
    <w:rsid w:val="00DF2319"/>
    <w:rsid w:val="00DF24F6"/>
    <w:rsid w:val="00DF25C3"/>
    <w:rsid w:val="00DF2626"/>
    <w:rsid w:val="00DF26B8"/>
    <w:rsid w:val="00DF274B"/>
    <w:rsid w:val="00DF27CD"/>
    <w:rsid w:val="00DF2881"/>
    <w:rsid w:val="00DF28A7"/>
    <w:rsid w:val="00DF2A61"/>
    <w:rsid w:val="00DF2A6D"/>
    <w:rsid w:val="00DF2A8F"/>
    <w:rsid w:val="00DF2AB2"/>
    <w:rsid w:val="00DF2B85"/>
    <w:rsid w:val="00DF2B97"/>
    <w:rsid w:val="00DF2C80"/>
    <w:rsid w:val="00DF2DB3"/>
    <w:rsid w:val="00DF2E43"/>
    <w:rsid w:val="00DF2FF6"/>
    <w:rsid w:val="00DF301E"/>
    <w:rsid w:val="00DF3070"/>
    <w:rsid w:val="00DF30CD"/>
    <w:rsid w:val="00DF30F3"/>
    <w:rsid w:val="00DF3133"/>
    <w:rsid w:val="00DF329F"/>
    <w:rsid w:val="00DF3331"/>
    <w:rsid w:val="00DF3463"/>
    <w:rsid w:val="00DF356C"/>
    <w:rsid w:val="00DF35B3"/>
    <w:rsid w:val="00DF35DE"/>
    <w:rsid w:val="00DF369E"/>
    <w:rsid w:val="00DF373F"/>
    <w:rsid w:val="00DF38B9"/>
    <w:rsid w:val="00DF3940"/>
    <w:rsid w:val="00DF3944"/>
    <w:rsid w:val="00DF39DC"/>
    <w:rsid w:val="00DF3A80"/>
    <w:rsid w:val="00DF3AA3"/>
    <w:rsid w:val="00DF3B2A"/>
    <w:rsid w:val="00DF3B9C"/>
    <w:rsid w:val="00DF3DBC"/>
    <w:rsid w:val="00DF3E29"/>
    <w:rsid w:val="00DF3FBF"/>
    <w:rsid w:val="00DF3FFA"/>
    <w:rsid w:val="00DF4002"/>
    <w:rsid w:val="00DF4120"/>
    <w:rsid w:val="00DF42C3"/>
    <w:rsid w:val="00DF4426"/>
    <w:rsid w:val="00DF4431"/>
    <w:rsid w:val="00DF459E"/>
    <w:rsid w:val="00DF4688"/>
    <w:rsid w:val="00DF476B"/>
    <w:rsid w:val="00DF4900"/>
    <w:rsid w:val="00DF49AC"/>
    <w:rsid w:val="00DF49C5"/>
    <w:rsid w:val="00DF49CC"/>
    <w:rsid w:val="00DF4A29"/>
    <w:rsid w:val="00DF4A49"/>
    <w:rsid w:val="00DF4BC3"/>
    <w:rsid w:val="00DF4C06"/>
    <w:rsid w:val="00DF4D8A"/>
    <w:rsid w:val="00DF4D9F"/>
    <w:rsid w:val="00DF4E47"/>
    <w:rsid w:val="00DF4F96"/>
    <w:rsid w:val="00DF512F"/>
    <w:rsid w:val="00DF5348"/>
    <w:rsid w:val="00DF5386"/>
    <w:rsid w:val="00DF5433"/>
    <w:rsid w:val="00DF54C9"/>
    <w:rsid w:val="00DF55A7"/>
    <w:rsid w:val="00DF5614"/>
    <w:rsid w:val="00DF5680"/>
    <w:rsid w:val="00DF5830"/>
    <w:rsid w:val="00DF596F"/>
    <w:rsid w:val="00DF5BA8"/>
    <w:rsid w:val="00DF5C07"/>
    <w:rsid w:val="00DF5C87"/>
    <w:rsid w:val="00DF5D42"/>
    <w:rsid w:val="00DF5E95"/>
    <w:rsid w:val="00DF5F1A"/>
    <w:rsid w:val="00DF5F92"/>
    <w:rsid w:val="00DF60FE"/>
    <w:rsid w:val="00DF619E"/>
    <w:rsid w:val="00DF61DF"/>
    <w:rsid w:val="00DF622A"/>
    <w:rsid w:val="00DF624D"/>
    <w:rsid w:val="00DF63C2"/>
    <w:rsid w:val="00DF64BC"/>
    <w:rsid w:val="00DF65AF"/>
    <w:rsid w:val="00DF67EA"/>
    <w:rsid w:val="00DF680C"/>
    <w:rsid w:val="00DF6846"/>
    <w:rsid w:val="00DF6A0C"/>
    <w:rsid w:val="00DF6B31"/>
    <w:rsid w:val="00DF6B9C"/>
    <w:rsid w:val="00DF6BC6"/>
    <w:rsid w:val="00DF6CA3"/>
    <w:rsid w:val="00DF6CC2"/>
    <w:rsid w:val="00DF6D70"/>
    <w:rsid w:val="00DF70C8"/>
    <w:rsid w:val="00DF73D6"/>
    <w:rsid w:val="00DF7479"/>
    <w:rsid w:val="00DF7671"/>
    <w:rsid w:val="00DF767E"/>
    <w:rsid w:val="00DF770B"/>
    <w:rsid w:val="00DF7735"/>
    <w:rsid w:val="00DF77C2"/>
    <w:rsid w:val="00DF78F3"/>
    <w:rsid w:val="00DF7927"/>
    <w:rsid w:val="00DF794A"/>
    <w:rsid w:val="00DF7A27"/>
    <w:rsid w:val="00DF7A82"/>
    <w:rsid w:val="00DF7DBF"/>
    <w:rsid w:val="00DF7DDC"/>
    <w:rsid w:val="00E00182"/>
    <w:rsid w:val="00E001C7"/>
    <w:rsid w:val="00E001D8"/>
    <w:rsid w:val="00E002DA"/>
    <w:rsid w:val="00E0030A"/>
    <w:rsid w:val="00E0038B"/>
    <w:rsid w:val="00E003FF"/>
    <w:rsid w:val="00E004BD"/>
    <w:rsid w:val="00E004C0"/>
    <w:rsid w:val="00E00514"/>
    <w:rsid w:val="00E0059F"/>
    <w:rsid w:val="00E0086D"/>
    <w:rsid w:val="00E00882"/>
    <w:rsid w:val="00E008A7"/>
    <w:rsid w:val="00E009EF"/>
    <w:rsid w:val="00E00BDA"/>
    <w:rsid w:val="00E00C1A"/>
    <w:rsid w:val="00E00C9E"/>
    <w:rsid w:val="00E00CE2"/>
    <w:rsid w:val="00E00D5A"/>
    <w:rsid w:val="00E00E80"/>
    <w:rsid w:val="00E00EFB"/>
    <w:rsid w:val="00E00F16"/>
    <w:rsid w:val="00E00F55"/>
    <w:rsid w:val="00E00F7B"/>
    <w:rsid w:val="00E00FCC"/>
    <w:rsid w:val="00E00FEE"/>
    <w:rsid w:val="00E00FF8"/>
    <w:rsid w:val="00E01063"/>
    <w:rsid w:val="00E011E3"/>
    <w:rsid w:val="00E01238"/>
    <w:rsid w:val="00E012BC"/>
    <w:rsid w:val="00E0143F"/>
    <w:rsid w:val="00E01492"/>
    <w:rsid w:val="00E01517"/>
    <w:rsid w:val="00E0154B"/>
    <w:rsid w:val="00E01576"/>
    <w:rsid w:val="00E015A1"/>
    <w:rsid w:val="00E01606"/>
    <w:rsid w:val="00E0165A"/>
    <w:rsid w:val="00E01894"/>
    <w:rsid w:val="00E0191E"/>
    <w:rsid w:val="00E01967"/>
    <w:rsid w:val="00E019F0"/>
    <w:rsid w:val="00E01BDB"/>
    <w:rsid w:val="00E01D13"/>
    <w:rsid w:val="00E01E5F"/>
    <w:rsid w:val="00E01FB2"/>
    <w:rsid w:val="00E02108"/>
    <w:rsid w:val="00E02183"/>
    <w:rsid w:val="00E02195"/>
    <w:rsid w:val="00E021F1"/>
    <w:rsid w:val="00E02293"/>
    <w:rsid w:val="00E023A4"/>
    <w:rsid w:val="00E023C7"/>
    <w:rsid w:val="00E02482"/>
    <w:rsid w:val="00E02538"/>
    <w:rsid w:val="00E02541"/>
    <w:rsid w:val="00E0261E"/>
    <w:rsid w:val="00E02636"/>
    <w:rsid w:val="00E0263A"/>
    <w:rsid w:val="00E02696"/>
    <w:rsid w:val="00E0273F"/>
    <w:rsid w:val="00E027AE"/>
    <w:rsid w:val="00E027EA"/>
    <w:rsid w:val="00E028A5"/>
    <w:rsid w:val="00E028B7"/>
    <w:rsid w:val="00E02919"/>
    <w:rsid w:val="00E02DD2"/>
    <w:rsid w:val="00E02E46"/>
    <w:rsid w:val="00E02EC3"/>
    <w:rsid w:val="00E03024"/>
    <w:rsid w:val="00E0308D"/>
    <w:rsid w:val="00E030C5"/>
    <w:rsid w:val="00E031AB"/>
    <w:rsid w:val="00E03284"/>
    <w:rsid w:val="00E032BE"/>
    <w:rsid w:val="00E032FD"/>
    <w:rsid w:val="00E03405"/>
    <w:rsid w:val="00E03625"/>
    <w:rsid w:val="00E036C9"/>
    <w:rsid w:val="00E036E2"/>
    <w:rsid w:val="00E03723"/>
    <w:rsid w:val="00E0372D"/>
    <w:rsid w:val="00E039CF"/>
    <w:rsid w:val="00E039DF"/>
    <w:rsid w:val="00E03AB1"/>
    <w:rsid w:val="00E03B45"/>
    <w:rsid w:val="00E03B9B"/>
    <w:rsid w:val="00E03B9D"/>
    <w:rsid w:val="00E03BA4"/>
    <w:rsid w:val="00E03CA5"/>
    <w:rsid w:val="00E03CED"/>
    <w:rsid w:val="00E03D13"/>
    <w:rsid w:val="00E03E09"/>
    <w:rsid w:val="00E04020"/>
    <w:rsid w:val="00E04038"/>
    <w:rsid w:val="00E040B3"/>
    <w:rsid w:val="00E040DE"/>
    <w:rsid w:val="00E0415E"/>
    <w:rsid w:val="00E04185"/>
    <w:rsid w:val="00E041CA"/>
    <w:rsid w:val="00E041D0"/>
    <w:rsid w:val="00E041EA"/>
    <w:rsid w:val="00E042A2"/>
    <w:rsid w:val="00E0436C"/>
    <w:rsid w:val="00E043A9"/>
    <w:rsid w:val="00E0445A"/>
    <w:rsid w:val="00E04495"/>
    <w:rsid w:val="00E0456B"/>
    <w:rsid w:val="00E045F5"/>
    <w:rsid w:val="00E0475A"/>
    <w:rsid w:val="00E0493A"/>
    <w:rsid w:val="00E0496D"/>
    <w:rsid w:val="00E04AB6"/>
    <w:rsid w:val="00E04AD5"/>
    <w:rsid w:val="00E04B00"/>
    <w:rsid w:val="00E04B34"/>
    <w:rsid w:val="00E04BA5"/>
    <w:rsid w:val="00E04BF3"/>
    <w:rsid w:val="00E04C22"/>
    <w:rsid w:val="00E04C91"/>
    <w:rsid w:val="00E04CB8"/>
    <w:rsid w:val="00E04CF8"/>
    <w:rsid w:val="00E04E77"/>
    <w:rsid w:val="00E04EDC"/>
    <w:rsid w:val="00E04F08"/>
    <w:rsid w:val="00E04F79"/>
    <w:rsid w:val="00E04FBD"/>
    <w:rsid w:val="00E05076"/>
    <w:rsid w:val="00E0513B"/>
    <w:rsid w:val="00E05145"/>
    <w:rsid w:val="00E05155"/>
    <w:rsid w:val="00E05203"/>
    <w:rsid w:val="00E05244"/>
    <w:rsid w:val="00E05271"/>
    <w:rsid w:val="00E05275"/>
    <w:rsid w:val="00E0535C"/>
    <w:rsid w:val="00E05382"/>
    <w:rsid w:val="00E05391"/>
    <w:rsid w:val="00E0552C"/>
    <w:rsid w:val="00E05535"/>
    <w:rsid w:val="00E0559B"/>
    <w:rsid w:val="00E055CA"/>
    <w:rsid w:val="00E055D8"/>
    <w:rsid w:val="00E055DE"/>
    <w:rsid w:val="00E05602"/>
    <w:rsid w:val="00E0565B"/>
    <w:rsid w:val="00E056DB"/>
    <w:rsid w:val="00E05725"/>
    <w:rsid w:val="00E05835"/>
    <w:rsid w:val="00E05893"/>
    <w:rsid w:val="00E058B6"/>
    <w:rsid w:val="00E05AD3"/>
    <w:rsid w:val="00E05AEB"/>
    <w:rsid w:val="00E05B4E"/>
    <w:rsid w:val="00E05CCD"/>
    <w:rsid w:val="00E05D2E"/>
    <w:rsid w:val="00E05F87"/>
    <w:rsid w:val="00E06039"/>
    <w:rsid w:val="00E06067"/>
    <w:rsid w:val="00E0609C"/>
    <w:rsid w:val="00E06170"/>
    <w:rsid w:val="00E06285"/>
    <w:rsid w:val="00E062B2"/>
    <w:rsid w:val="00E062DA"/>
    <w:rsid w:val="00E062E3"/>
    <w:rsid w:val="00E063A5"/>
    <w:rsid w:val="00E0649F"/>
    <w:rsid w:val="00E0655B"/>
    <w:rsid w:val="00E0658F"/>
    <w:rsid w:val="00E0680E"/>
    <w:rsid w:val="00E06831"/>
    <w:rsid w:val="00E06853"/>
    <w:rsid w:val="00E06866"/>
    <w:rsid w:val="00E06898"/>
    <w:rsid w:val="00E0691F"/>
    <w:rsid w:val="00E06AAE"/>
    <w:rsid w:val="00E06AB2"/>
    <w:rsid w:val="00E06D27"/>
    <w:rsid w:val="00E06E16"/>
    <w:rsid w:val="00E06E5C"/>
    <w:rsid w:val="00E06F19"/>
    <w:rsid w:val="00E06F7A"/>
    <w:rsid w:val="00E0700E"/>
    <w:rsid w:val="00E07030"/>
    <w:rsid w:val="00E07056"/>
    <w:rsid w:val="00E0712B"/>
    <w:rsid w:val="00E0722C"/>
    <w:rsid w:val="00E072B0"/>
    <w:rsid w:val="00E07438"/>
    <w:rsid w:val="00E0749B"/>
    <w:rsid w:val="00E074F3"/>
    <w:rsid w:val="00E075DC"/>
    <w:rsid w:val="00E0768B"/>
    <w:rsid w:val="00E07716"/>
    <w:rsid w:val="00E0778B"/>
    <w:rsid w:val="00E077CA"/>
    <w:rsid w:val="00E078B1"/>
    <w:rsid w:val="00E079CA"/>
    <w:rsid w:val="00E079CB"/>
    <w:rsid w:val="00E07A06"/>
    <w:rsid w:val="00E07B8B"/>
    <w:rsid w:val="00E07BE5"/>
    <w:rsid w:val="00E07C57"/>
    <w:rsid w:val="00E07D0A"/>
    <w:rsid w:val="00E07DD3"/>
    <w:rsid w:val="00E07E05"/>
    <w:rsid w:val="00E07F0C"/>
    <w:rsid w:val="00E07FD1"/>
    <w:rsid w:val="00E07FFE"/>
    <w:rsid w:val="00E1004F"/>
    <w:rsid w:val="00E10079"/>
    <w:rsid w:val="00E102CD"/>
    <w:rsid w:val="00E10312"/>
    <w:rsid w:val="00E10403"/>
    <w:rsid w:val="00E106D0"/>
    <w:rsid w:val="00E10789"/>
    <w:rsid w:val="00E10844"/>
    <w:rsid w:val="00E10A63"/>
    <w:rsid w:val="00E10AC4"/>
    <w:rsid w:val="00E10C06"/>
    <w:rsid w:val="00E10C1F"/>
    <w:rsid w:val="00E10CF2"/>
    <w:rsid w:val="00E10EC7"/>
    <w:rsid w:val="00E10F44"/>
    <w:rsid w:val="00E11184"/>
    <w:rsid w:val="00E111F9"/>
    <w:rsid w:val="00E112A8"/>
    <w:rsid w:val="00E11409"/>
    <w:rsid w:val="00E11448"/>
    <w:rsid w:val="00E115A5"/>
    <w:rsid w:val="00E1162D"/>
    <w:rsid w:val="00E1172A"/>
    <w:rsid w:val="00E117F1"/>
    <w:rsid w:val="00E11894"/>
    <w:rsid w:val="00E118CD"/>
    <w:rsid w:val="00E1191C"/>
    <w:rsid w:val="00E1196D"/>
    <w:rsid w:val="00E11A17"/>
    <w:rsid w:val="00E11A8F"/>
    <w:rsid w:val="00E11BB4"/>
    <w:rsid w:val="00E11BCC"/>
    <w:rsid w:val="00E11BD4"/>
    <w:rsid w:val="00E11BF5"/>
    <w:rsid w:val="00E11BFD"/>
    <w:rsid w:val="00E11CBE"/>
    <w:rsid w:val="00E11D58"/>
    <w:rsid w:val="00E11D6F"/>
    <w:rsid w:val="00E11DDA"/>
    <w:rsid w:val="00E11DF0"/>
    <w:rsid w:val="00E11FCE"/>
    <w:rsid w:val="00E120D5"/>
    <w:rsid w:val="00E12112"/>
    <w:rsid w:val="00E122FB"/>
    <w:rsid w:val="00E12303"/>
    <w:rsid w:val="00E1231B"/>
    <w:rsid w:val="00E12326"/>
    <w:rsid w:val="00E12330"/>
    <w:rsid w:val="00E1235A"/>
    <w:rsid w:val="00E1235C"/>
    <w:rsid w:val="00E12459"/>
    <w:rsid w:val="00E1245E"/>
    <w:rsid w:val="00E126B5"/>
    <w:rsid w:val="00E12770"/>
    <w:rsid w:val="00E12937"/>
    <w:rsid w:val="00E12ACB"/>
    <w:rsid w:val="00E12B24"/>
    <w:rsid w:val="00E12B44"/>
    <w:rsid w:val="00E12B8B"/>
    <w:rsid w:val="00E12C2F"/>
    <w:rsid w:val="00E12C5C"/>
    <w:rsid w:val="00E12C9A"/>
    <w:rsid w:val="00E12CE0"/>
    <w:rsid w:val="00E12E86"/>
    <w:rsid w:val="00E12F2F"/>
    <w:rsid w:val="00E12F4E"/>
    <w:rsid w:val="00E12FE2"/>
    <w:rsid w:val="00E12FFA"/>
    <w:rsid w:val="00E13115"/>
    <w:rsid w:val="00E1316A"/>
    <w:rsid w:val="00E131BA"/>
    <w:rsid w:val="00E131E3"/>
    <w:rsid w:val="00E131FB"/>
    <w:rsid w:val="00E13241"/>
    <w:rsid w:val="00E132DD"/>
    <w:rsid w:val="00E1335D"/>
    <w:rsid w:val="00E133FE"/>
    <w:rsid w:val="00E134C4"/>
    <w:rsid w:val="00E135F3"/>
    <w:rsid w:val="00E13778"/>
    <w:rsid w:val="00E137A2"/>
    <w:rsid w:val="00E1382D"/>
    <w:rsid w:val="00E13883"/>
    <w:rsid w:val="00E138D7"/>
    <w:rsid w:val="00E139FE"/>
    <w:rsid w:val="00E13A44"/>
    <w:rsid w:val="00E13AEC"/>
    <w:rsid w:val="00E13BD8"/>
    <w:rsid w:val="00E13BE0"/>
    <w:rsid w:val="00E13C53"/>
    <w:rsid w:val="00E13CE5"/>
    <w:rsid w:val="00E13DC3"/>
    <w:rsid w:val="00E13F5F"/>
    <w:rsid w:val="00E1404D"/>
    <w:rsid w:val="00E14052"/>
    <w:rsid w:val="00E140EB"/>
    <w:rsid w:val="00E14130"/>
    <w:rsid w:val="00E1417E"/>
    <w:rsid w:val="00E142E8"/>
    <w:rsid w:val="00E142EC"/>
    <w:rsid w:val="00E143E4"/>
    <w:rsid w:val="00E144F7"/>
    <w:rsid w:val="00E14535"/>
    <w:rsid w:val="00E1459B"/>
    <w:rsid w:val="00E14625"/>
    <w:rsid w:val="00E1468A"/>
    <w:rsid w:val="00E1476C"/>
    <w:rsid w:val="00E14815"/>
    <w:rsid w:val="00E148C4"/>
    <w:rsid w:val="00E1495F"/>
    <w:rsid w:val="00E149BC"/>
    <w:rsid w:val="00E149D1"/>
    <w:rsid w:val="00E14A73"/>
    <w:rsid w:val="00E14C53"/>
    <w:rsid w:val="00E14CE0"/>
    <w:rsid w:val="00E14CE9"/>
    <w:rsid w:val="00E14D3E"/>
    <w:rsid w:val="00E14DA0"/>
    <w:rsid w:val="00E14E59"/>
    <w:rsid w:val="00E14E61"/>
    <w:rsid w:val="00E1514B"/>
    <w:rsid w:val="00E151B9"/>
    <w:rsid w:val="00E151C0"/>
    <w:rsid w:val="00E1526F"/>
    <w:rsid w:val="00E1527D"/>
    <w:rsid w:val="00E1533D"/>
    <w:rsid w:val="00E153D1"/>
    <w:rsid w:val="00E15503"/>
    <w:rsid w:val="00E15506"/>
    <w:rsid w:val="00E1550D"/>
    <w:rsid w:val="00E15716"/>
    <w:rsid w:val="00E15779"/>
    <w:rsid w:val="00E157E4"/>
    <w:rsid w:val="00E157F4"/>
    <w:rsid w:val="00E157F6"/>
    <w:rsid w:val="00E15808"/>
    <w:rsid w:val="00E1590B"/>
    <w:rsid w:val="00E1599B"/>
    <w:rsid w:val="00E159AD"/>
    <w:rsid w:val="00E15AAD"/>
    <w:rsid w:val="00E15B38"/>
    <w:rsid w:val="00E15C18"/>
    <w:rsid w:val="00E15C28"/>
    <w:rsid w:val="00E15D26"/>
    <w:rsid w:val="00E15EE2"/>
    <w:rsid w:val="00E15F29"/>
    <w:rsid w:val="00E16143"/>
    <w:rsid w:val="00E161B2"/>
    <w:rsid w:val="00E16255"/>
    <w:rsid w:val="00E1635C"/>
    <w:rsid w:val="00E163E0"/>
    <w:rsid w:val="00E165AA"/>
    <w:rsid w:val="00E165ED"/>
    <w:rsid w:val="00E16719"/>
    <w:rsid w:val="00E16951"/>
    <w:rsid w:val="00E16952"/>
    <w:rsid w:val="00E16A1B"/>
    <w:rsid w:val="00E16B79"/>
    <w:rsid w:val="00E16B8E"/>
    <w:rsid w:val="00E16C0E"/>
    <w:rsid w:val="00E16E22"/>
    <w:rsid w:val="00E16EC8"/>
    <w:rsid w:val="00E16F1F"/>
    <w:rsid w:val="00E16F33"/>
    <w:rsid w:val="00E16FA9"/>
    <w:rsid w:val="00E170B5"/>
    <w:rsid w:val="00E1715D"/>
    <w:rsid w:val="00E171E7"/>
    <w:rsid w:val="00E17377"/>
    <w:rsid w:val="00E1737D"/>
    <w:rsid w:val="00E17381"/>
    <w:rsid w:val="00E17391"/>
    <w:rsid w:val="00E1739E"/>
    <w:rsid w:val="00E175DA"/>
    <w:rsid w:val="00E175DC"/>
    <w:rsid w:val="00E17704"/>
    <w:rsid w:val="00E1786E"/>
    <w:rsid w:val="00E178A9"/>
    <w:rsid w:val="00E179D8"/>
    <w:rsid w:val="00E17A01"/>
    <w:rsid w:val="00E17A63"/>
    <w:rsid w:val="00E17B6E"/>
    <w:rsid w:val="00E17B97"/>
    <w:rsid w:val="00E17C5F"/>
    <w:rsid w:val="00E17C82"/>
    <w:rsid w:val="00E17E39"/>
    <w:rsid w:val="00E17EAC"/>
    <w:rsid w:val="00E17FF2"/>
    <w:rsid w:val="00E20004"/>
    <w:rsid w:val="00E2002B"/>
    <w:rsid w:val="00E200B5"/>
    <w:rsid w:val="00E20155"/>
    <w:rsid w:val="00E201C0"/>
    <w:rsid w:val="00E20200"/>
    <w:rsid w:val="00E20224"/>
    <w:rsid w:val="00E202BC"/>
    <w:rsid w:val="00E202C2"/>
    <w:rsid w:val="00E202DB"/>
    <w:rsid w:val="00E20660"/>
    <w:rsid w:val="00E20673"/>
    <w:rsid w:val="00E206CC"/>
    <w:rsid w:val="00E206D4"/>
    <w:rsid w:val="00E20739"/>
    <w:rsid w:val="00E207E6"/>
    <w:rsid w:val="00E20804"/>
    <w:rsid w:val="00E20AA8"/>
    <w:rsid w:val="00E20B62"/>
    <w:rsid w:val="00E20BA9"/>
    <w:rsid w:val="00E20C4E"/>
    <w:rsid w:val="00E20D75"/>
    <w:rsid w:val="00E20DDB"/>
    <w:rsid w:val="00E20DF6"/>
    <w:rsid w:val="00E20E39"/>
    <w:rsid w:val="00E20E63"/>
    <w:rsid w:val="00E20EA4"/>
    <w:rsid w:val="00E20EC8"/>
    <w:rsid w:val="00E2106B"/>
    <w:rsid w:val="00E2112B"/>
    <w:rsid w:val="00E211DD"/>
    <w:rsid w:val="00E2124F"/>
    <w:rsid w:val="00E2128C"/>
    <w:rsid w:val="00E212E2"/>
    <w:rsid w:val="00E21385"/>
    <w:rsid w:val="00E2144A"/>
    <w:rsid w:val="00E21473"/>
    <w:rsid w:val="00E214B7"/>
    <w:rsid w:val="00E21566"/>
    <w:rsid w:val="00E2173A"/>
    <w:rsid w:val="00E217A0"/>
    <w:rsid w:val="00E21811"/>
    <w:rsid w:val="00E2195E"/>
    <w:rsid w:val="00E21AE8"/>
    <w:rsid w:val="00E21BBE"/>
    <w:rsid w:val="00E21CCB"/>
    <w:rsid w:val="00E21CE6"/>
    <w:rsid w:val="00E21D2F"/>
    <w:rsid w:val="00E21DED"/>
    <w:rsid w:val="00E21E09"/>
    <w:rsid w:val="00E21E8A"/>
    <w:rsid w:val="00E21F72"/>
    <w:rsid w:val="00E21FA4"/>
    <w:rsid w:val="00E22034"/>
    <w:rsid w:val="00E22075"/>
    <w:rsid w:val="00E221E8"/>
    <w:rsid w:val="00E222A5"/>
    <w:rsid w:val="00E222FB"/>
    <w:rsid w:val="00E223B4"/>
    <w:rsid w:val="00E223CF"/>
    <w:rsid w:val="00E22425"/>
    <w:rsid w:val="00E22506"/>
    <w:rsid w:val="00E22544"/>
    <w:rsid w:val="00E2262E"/>
    <w:rsid w:val="00E22868"/>
    <w:rsid w:val="00E22AF1"/>
    <w:rsid w:val="00E22AF4"/>
    <w:rsid w:val="00E22B1A"/>
    <w:rsid w:val="00E22BC8"/>
    <w:rsid w:val="00E22BF3"/>
    <w:rsid w:val="00E22CF5"/>
    <w:rsid w:val="00E22D21"/>
    <w:rsid w:val="00E22D42"/>
    <w:rsid w:val="00E22F08"/>
    <w:rsid w:val="00E23239"/>
    <w:rsid w:val="00E23328"/>
    <w:rsid w:val="00E233BC"/>
    <w:rsid w:val="00E233D5"/>
    <w:rsid w:val="00E23521"/>
    <w:rsid w:val="00E2353D"/>
    <w:rsid w:val="00E235B2"/>
    <w:rsid w:val="00E23650"/>
    <w:rsid w:val="00E23671"/>
    <w:rsid w:val="00E236E4"/>
    <w:rsid w:val="00E23768"/>
    <w:rsid w:val="00E23779"/>
    <w:rsid w:val="00E2379B"/>
    <w:rsid w:val="00E239F9"/>
    <w:rsid w:val="00E23ADC"/>
    <w:rsid w:val="00E23D46"/>
    <w:rsid w:val="00E23DCD"/>
    <w:rsid w:val="00E23DE5"/>
    <w:rsid w:val="00E23F32"/>
    <w:rsid w:val="00E23F64"/>
    <w:rsid w:val="00E23FBF"/>
    <w:rsid w:val="00E23FC8"/>
    <w:rsid w:val="00E24020"/>
    <w:rsid w:val="00E24062"/>
    <w:rsid w:val="00E24081"/>
    <w:rsid w:val="00E2414E"/>
    <w:rsid w:val="00E2419D"/>
    <w:rsid w:val="00E241F5"/>
    <w:rsid w:val="00E243B7"/>
    <w:rsid w:val="00E2445F"/>
    <w:rsid w:val="00E24460"/>
    <w:rsid w:val="00E2454D"/>
    <w:rsid w:val="00E24779"/>
    <w:rsid w:val="00E247F5"/>
    <w:rsid w:val="00E2481C"/>
    <w:rsid w:val="00E2489A"/>
    <w:rsid w:val="00E24AB4"/>
    <w:rsid w:val="00E24B52"/>
    <w:rsid w:val="00E24BF2"/>
    <w:rsid w:val="00E24C3F"/>
    <w:rsid w:val="00E24C44"/>
    <w:rsid w:val="00E24DED"/>
    <w:rsid w:val="00E24E1D"/>
    <w:rsid w:val="00E24FB6"/>
    <w:rsid w:val="00E251F4"/>
    <w:rsid w:val="00E25230"/>
    <w:rsid w:val="00E25310"/>
    <w:rsid w:val="00E2542A"/>
    <w:rsid w:val="00E25453"/>
    <w:rsid w:val="00E25473"/>
    <w:rsid w:val="00E25567"/>
    <w:rsid w:val="00E25573"/>
    <w:rsid w:val="00E25584"/>
    <w:rsid w:val="00E256FE"/>
    <w:rsid w:val="00E257E0"/>
    <w:rsid w:val="00E25836"/>
    <w:rsid w:val="00E25861"/>
    <w:rsid w:val="00E258B2"/>
    <w:rsid w:val="00E258F3"/>
    <w:rsid w:val="00E25919"/>
    <w:rsid w:val="00E259EE"/>
    <w:rsid w:val="00E25A04"/>
    <w:rsid w:val="00E25C73"/>
    <w:rsid w:val="00E25C95"/>
    <w:rsid w:val="00E25CCC"/>
    <w:rsid w:val="00E25CCF"/>
    <w:rsid w:val="00E25CD9"/>
    <w:rsid w:val="00E25CF5"/>
    <w:rsid w:val="00E25D04"/>
    <w:rsid w:val="00E25D2C"/>
    <w:rsid w:val="00E25E64"/>
    <w:rsid w:val="00E25EBC"/>
    <w:rsid w:val="00E25F31"/>
    <w:rsid w:val="00E25F92"/>
    <w:rsid w:val="00E25FB1"/>
    <w:rsid w:val="00E2605E"/>
    <w:rsid w:val="00E26086"/>
    <w:rsid w:val="00E260C3"/>
    <w:rsid w:val="00E26174"/>
    <w:rsid w:val="00E26197"/>
    <w:rsid w:val="00E2619D"/>
    <w:rsid w:val="00E261EE"/>
    <w:rsid w:val="00E262E3"/>
    <w:rsid w:val="00E263EC"/>
    <w:rsid w:val="00E26515"/>
    <w:rsid w:val="00E2652D"/>
    <w:rsid w:val="00E26672"/>
    <w:rsid w:val="00E26698"/>
    <w:rsid w:val="00E2676F"/>
    <w:rsid w:val="00E2690C"/>
    <w:rsid w:val="00E26934"/>
    <w:rsid w:val="00E26AB2"/>
    <w:rsid w:val="00E26AF6"/>
    <w:rsid w:val="00E26B96"/>
    <w:rsid w:val="00E26CE8"/>
    <w:rsid w:val="00E26F2F"/>
    <w:rsid w:val="00E26FA2"/>
    <w:rsid w:val="00E26FDD"/>
    <w:rsid w:val="00E2702B"/>
    <w:rsid w:val="00E270DA"/>
    <w:rsid w:val="00E2711F"/>
    <w:rsid w:val="00E272A8"/>
    <w:rsid w:val="00E272D0"/>
    <w:rsid w:val="00E273A9"/>
    <w:rsid w:val="00E275AE"/>
    <w:rsid w:val="00E275BA"/>
    <w:rsid w:val="00E27632"/>
    <w:rsid w:val="00E27647"/>
    <w:rsid w:val="00E276BA"/>
    <w:rsid w:val="00E27793"/>
    <w:rsid w:val="00E277AB"/>
    <w:rsid w:val="00E2780E"/>
    <w:rsid w:val="00E278BE"/>
    <w:rsid w:val="00E2791A"/>
    <w:rsid w:val="00E2792A"/>
    <w:rsid w:val="00E27B1B"/>
    <w:rsid w:val="00E27C11"/>
    <w:rsid w:val="00E27C46"/>
    <w:rsid w:val="00E27D5B"/>
    <w:rsid w:val="00E27DCE"/>
    <w:rsid w:val="00E27E04"/>
    <w:rsid w:val="00E27E92"/>
    <w:rsid w:val="00E27EBE"/>
    <w:rsid w:val="00E27EEC"/>
    <w:rsid w:val="00E27F4D"/>
    <w:rsid w:val="00E27F62"/>
    <w:rsid w:val="00E300C6"/>
    <w:rsid w:val="00E30183"/>
    <w:rsid w:val="00E301F0"/>
    <w:rsid w:val="00E302C9"/>
    <w:rsid w:val="00E30300"/>
    <w:rsid w:val="00E30306"/>
    <w:rsid w:val="00E30390"/>
    <w:rsid w:val="00E30463"/>
    <w:rsid w:val="00E30668"/>
    <w:rsid w:val="00E3077D"/>
    <w:rsid w:val="00E307F4"/>
    <w:rsid w:val="00E30821"/>
    <w:rsid w:val="00E30840"/>
    <w:rsid w:val="00E30878"/>
    <w:rsid w:val="00E30963"/>
    <w:rsid w:val="00E30A14"/>
    <w:rsid w:val="00E30B1F"/>
    <w:rsid w:val="00E30C58"/>
    <w:rsid w:val="00E30D1F"/>
    <w:rsid w:val="00E30DD7"/>
    <w:rsid w:val="00E30E9B"/>
    <w:rsid w:val="00E30F35"/>
    <w:rsid w:val="00E30FC1"/>
    <w:rsid w:val="00E3103D"/>
    <w:rsid w:val="00E31102"/>
    <w:rsid w:val="00E31123"/>
    <w:rsid w:val="00E31205"/>
    <w:rsid w:val="00E3134F"/>
    <w:rsid w:val="00E313A6"/>
    <w:rsid w:val="00E31434"/>
    <w:rsid w:val="00E3155B"/>
    <w:rsid w:val="00E3166E"/>
    <w:rsid w:val="00E3181A"/>
    <w:rsid w:val="00E31880"/>
    <w:rsid w:val="00E31883"/>
    <w:rsid w:val="00E31902"/>
    <w:rsid w:val="00E31DEB"/>
    <w:rsid w:val="00E31E47"/>
    <w:rsid w:val="00E31E4A"/>
    <w:rsid w:val="00E31F39"/>
    <w:rsid w:val="00E31FBD"/>
    <w:rsid w:val="00E32061"/>
    <w:rsid w:val="00E3208D"/>
    <w:rsid w:val="00E3209E"/>
    <w:rsid w:val="00E320D1"/>
    <w:rsid w:val="00E3212A"/>
    <w:rsid w:val="00E322EF"/>
    <w:rsid w:val="00E3241C"/>
    <w:rsid w:val="00E324A6"/>
    <w:rsid w:val="00E324B8"/>
    <w:rsid w:val="00E3257D"/>
    <w:rsid w:val="00E325FA"/>
    <w:rsid w:val="00E32758"/>
    <w:rsid w:val="00E3289A"/>
    <w:rsid w:val="00E32A42"/>
    <w:rsid w:val="00E32ABA"/>
    <w:rsid w:val="00E32B44"/>
    <w:rsid w:val="00E32B63"/>
    <w:rsid w:val="00E32BAE"/>
    <w:rsid w:val="00E32C7C"/>
    <w:rsid w:val="00E32DD2"/>
    <w:rsid w:val="00E32EA8"/>
    <w:rsid w:val="00E32EED"/>
    <w:rsid w:val="00E32F0C"/>
    <w:rsid w:val="00E32F4D"/>
    <w:rsid w:val="00E3300B"/>
    <w:rsid w:val="00E3301D"/>
    <w:rsid w:val="00E33127"/>
    <w:rsid w:val="00E33352"/>
    <w:rsid w:val="00E336F8"/>
    <w:rsid w:val="00E3376D"/>
    <w:rsid w:val="00E33824"/>
    <w:rsid w:val="00E3399E"/>
    <w:rsid w:val="00E33A49"/>
    <w:rsid w:val="00E33AE7"/>
    <w:rsid w:val="00E33B7B"/>
    <w:rsid w:val="00E33C1A"/>
    <w:rsid w:val="00E33CCE"/>
    <w:rsid w:val="00E33D35"/>
    <w:rsid w:val="00E33DA0"/>
    <w:rsid w:val="00E33DAA"/>
    <w:rsid w:val="00E33E40"/>
    <w:rsid w:val="00E33E8A"/>
    <w:rsid w:val="00E33ECC"/>
    <w:rsid w:val="00E33F37"/>
    <w:rsid w:val="00E3401E"/>
    <w:rsid w:val="00E34264"/>
    <w:rsid w:val="00E34312"/>
    <w:rsid w:val="00E3437E"/>
    <w:rsid w:val="00E34393"/>
    <w:rsid w:val="00E343D5"/>
    <w:rsid w:val="00E34473"/>
    <w:rsid w:val="00E34497"/>
    <w:rsid w:val="00E3489E"/>
    <w:rsid w:val="00E348E0"/>
    <w:rsid w:val="00E3494E"/>
    <w:rsid w:val="00E349BE"/>
    <w:rsid w:val="00E34B0D"/>
    <w:rsid w:val="00E34B83"/>
    <w:rsid w:val="00E34BEE"/>
    <w:rsid w:val="00E34C28"/>
    <w:rsid w:val="00E34C4B"/>
    <w:rsid w:val="00E34CE0"/>
    <w:rsid w:val="00E34DA2"/>
    <w:rsid w:val="00E34DFC"/>
    <w:rsid w:val="00E34F5A"/>
    <w:rsid w:val="00E35017"/>
    <w:rsid w:val="00E3524B"/>
    <w:rsid w:val="00E3535E"/>
    <w:rsid w:val="00E35391"/>
    <w:rsid w:val="00E355C1"/>
    <w:rsid w:val="00E3560A"/>
    <w:rsid w:val="00E35689"/>
    <w:rsid w:val="00E356D3"/>
    <w:rsid w:val="00E35769"/>
    <w:rsid w:val="00E357F2"/>
    <w:rsid w:val="00E35874"/>
    <w:rsid w:val="00E3587D"/>
    <w:rsid w:val="00E35918"/>
    <w:rsid w:val="00E35A1F"/>
    <w:rsid w:val="00E35B57"/>
    <w:rsid w:val="00E35B5D"/>
    <w:rsid w:val="00E35C5A"/>
    <w:rsid w:val="00E35CB4"/>
    <w:rsid w:val="00E35D15"/>
    <w:rsid w:val="00E35D27"/>
    <w:rsid w:val="00E35DFC"/>
    <w:rsid w:val="00E35E04"/>
    <w:rsid w:val="00E35E55"/>
    <w:rsid w:val="00E35EDF"/>
    <w:rsid w:val="00E35F82"/>
    <w:rsid w:val="00E36003"/>
    <w:rsid w:val="00E3610B"/>
    <w:rsid w:val="00E36212"/>
    <w:rsid w:val="00E36282"/>
    <w:rsid w:val="00E3634C"/>
    <w:rsid w:val="00E3638D"/>
    <w:rsid w:val="00E363EC"/>
    <w:rsid w:val="00E365FD"/>
    <w:rsid w:val="00E36640"/>
    <w:rsid w:val="00E36674"/>
    <w:rsid w:val="00E36698"/>
    <w:rsid w:val="00E366E0"/>
    <w:rsid w:val="00E3689E"/>
    <w:rsid w:val="00E368EE"/>
    <w:rsid w:val="00E369FC"/>
    <w:rsid w:val="00E36B81"/>
    <w:rsid w:val="00E36C8E"/>
    <w:rsid w:val="00E36CB0"/>
    <w:rsid w:val="00E36D22"/>
    <w:rsid w:val="00E36D34"/>
    <w:rsid w:val="00E36D93"/>
    <w:rsid w:val="00E36DA1"/>
    <w:rsid w:val="00E36DCD"/>
    <w:rsid w:val="00E36ED0"/>
    <w:rsid w:val="00E36F9E"/>
    <w:rsid w:val="00E371D1"/>
    <w:rsid w:val="00E3721D"/>
    <w:rsid w:val="00E373F3"/>
    <w:rsid w:val="00E37497"/>
    <w:rsid w:val="00E3772B"/>
    <w:rsid w:val="00E37990"/>
    <w:rsid w:val="00E37A2E"/>
    <w:rsid w:val="00E37A64"/>
    <w:rsid w:val="00E37B78"/>
    <w:rsid w:val="00E37C28"/>
    <w:rsid w:val="00E37D2E"/>
    <w:rsid w:val="00E37D73"/>
    <w:rsid w:val="00E37E26"/>
    <w:rsid w:val="00E37E9F"/>
    <w:rsid w:val="00E40001"/>
    <w:rsid w:val="00E40027"/>
    <w:rsid w:val="00E4007C"/>
    <w:rsid w:val="00E40117"/>
    <w:rsid w:val="00E401B6"/>
    <w:rsid w:val="00E40270"/>
    <w:rsid w:val="00E40446"/>
    <w:rsid w:val="00E4044F"/>
    <w:rsid w:val="00E404E4"/>
    <w:rsid w:val="00E40544"/>
    <w:rsid w:val="00E40583"/>
    <w:rsid w:val="00E405BB"/>
    <w:rsid w:val="00E405FC"/>
    <w:rsid w:val="00E40690"/>
    <w:rsid w:val="00E40787"/>
    <w:rsid w:val="00E40837"/>
    <w:rsid w:val="00E40944"/>
    <w:rsid w:val="00E40989"/>
    <w:rsid w:val="00E40A2C"/>
    <w:rsid w:val="00E40BBA"/>
    <w:rsid w:val="00E40CE4"/>
    <w:rsid w:val="00E40CFF"/>
    <w:rsid w:val="00E40DCB"/>
    <w:rsid w:val="00E40FDF"/>
    <w:rsid w:val="00E4100A"/>
    <w:rsid w:val="00E41049"/>
    <w:rsid w:val="00E41072"/>
    <w:rsid w:val="00E4108D"/>
    <w:rsid w:val="00E410C0"/>
    <w:rsid w:val="00E410E1"/>
    <w:rsid w:val="00E41211"/>
    <w:rsid w:val="00E4136D"/>
    <w:rsid w:val="00E413BA"/>
    <w:rsid w:val="00E41477"/>
    <w:rsid w:val="00E414CC"/>
    <w:rsid w:val="00E414EB"/>
    <w:rsid w:val="00E41600"/>
    <w:rsid w:val="00E41700"/>
    <w:rsid w:val="00E4179C"/>
    <w:rsid w:val="00E417B0"/>
    <w:rsid w:val="00E41A66"/>
    <w:rsid w:val="00E41A6D"/>
    <w:rsid w:val="00E41C49"/>
    <w:rsid w:val="00E41D0E"/>
    <w:rsid w:val="00E41F28"/>
    <w:rsid w:val="00E41F9E"/>
    <w:rsid w:val="00E41FFA"/>
    <w:rsid w:val="00E42094"/>
    <w:rsid w:val="00E422D1"/>
    <w:rsid w:val="00E422F9"/>
    <w:rsid w:val="00E42467"/>
    <w:rsid w:val="00E426A8"/>
    <w:rsid w:val="00E4275D"/>
    <w:rsid w:val="00E42781"/>
    <w:rsid w:val="00E427B5"/>
    <w:rsid w:val="00E428DD"/>
    <w:rsid w:val="00E428FF"/>
    <w:rsid w:val="00E42930"/>
    <w:rsid w:val="00E42931"/>
    <w:rsid w:val="00E42A51"/>
    <w:rsid w:val="00E42A5E"/>
    <w:rsid w:val="00E42A96"/>
    <w:rsid w:val="00E42AD7"/>
    <w:rsid w:val="00E42C08"/>
    <w:rsid w:val="00E42D9E"/>
    <w:rsid w:val="00E42E39"/>
    <w:rsid w:val="00E42F14"/>
    <w:rsid w:val="00E42FFB"/>
    <w:rsid w:val="00E430C6"/>
    <w:rsid w:val="00E43147"/>
    <w:rsid w:val="00E431E3"/>
    <w:rsid w:val="00E43391"/>
    <w:rsid w:val="00E433EC"/>
    <w:rsid w:val="00E434D9"/>
    <w:rsid w:val="00E4364B"/>
    <w:rsid w:val="00E4364E"/>
    <w:rsid w:val="00E43668"/>
    <w:rsid w:val="00E4368F"/>
    <w:rsid w:val="00E43709"/>
    <w:rsid w:val="00E43742"/>
    <w:rsid w:val="00E437BD"/>
    <w:rsid w:val="00E43946"/>
    <w:rsid w:val="00E439EA"/>
    <w:rsid w:val="00E43AC3"/>
    <w:rsid w:val="00E43B43"/>
    <w:rsid w:val="00E43BD1"/>
    <w:rsid w:val="00E43C2A"/>
    <w:rsid w:val="00E43C5C"/>
    <w:rsid w:val="00E43CB1"/>
    <w:rsid w:val="00E43CC5"/>
    <w:rsid w:val="00E43DC5"/>
    <w:rsid w:val="00E43F56"/>
    <w:rsid w:val="00E44141"/>
    <w:rsid w:val="00E44168"/>
    <w:rsid w:val="00E443A3"/>
    <w:rsid w:val="00E44420"/>
    <w:rsid w:val="00E4455F"/>
    <w:rsid w:val="00E4459E"/>
    <w:rsid w:val="00E4460E"/>
    <w:rsid w:val="00E44621"/>
    <w:rsid w:val="00E44744"/>
    <w:rsid w:val="00E4476F"/>
    <w:rsid w:val="00E44770"/>
    <w:rsid w:val="00E44867"/>
    <w:rsid w:val="00E44875"/>
    <w:rsid w:val="00E448EE"/>
    <w:rsid w:val="00E44A26"/>
    <w:rsid w:val="00E44A47"/>
    <w:rsid w:val="00E44ADA"/>
    <w:rsid w:val="00E44AEC"/>
    <w:rsid w:val="00E44C1D"/>
    <w:rsid w:val="00E44C93"/>
    <w:rsid w:val="00E44CD5"/>
    <w:rsid w:val="00E44D59"/>
    <w:rsid w:val="00E44D62"/>
    <w:rsid w:val="00E44E8C"/>
    <w:rsid w:val="00E44ED4"/>
    <w:rsid w:val="00E44F4A"/>
    <w:rsid w:val="00E44FB7"/>
    <w:rsid w:val="00E45070"/>
    <w:rsid w:val="00E450F5"/>
    <w:rsid w:val="00E453F5"/>
    <w:rsid w:val="00E454FB"/>
    <w:rsid w:val="00E4563A"/>
    <w:rsid w:val="00E4564D"/>
    <w:rsid w:val="00E4565A"/>
    <w:rsid w:val="00E45707"/>
    <w:rsid w:val="00E4582E"/>
    <w:rsid w:val="00E45836"/>
    <w:rsid w:val="00E45AD8"/>
    <w:rsid w:val="00E45B11"/>
    <w:rsid w:val="00E45C10"/>
    <w:rsid w:val="00E45C70"/>
    <w:rsid w:val="00E45D83"/>
    <w:rsid w:val="00E45DB1"/>
    <w:rsid w:val="00E45EB7"/>
    <w:rsid w:val="00E45EBA"/>
    <w:rsid w:val="00E46049"/>
    <w:rsid w:val="00E4625C"/>
    <w:rsid w:val="00E462AC"/>
    <w:rsid w:val="00E462D3"/>
    <w:rsid w:val="00E46386"/>
    <w:rsid w:val="00E46391"/>
    <w:rsid w:val="00E46444"/>
    <w:rsid w:val="00E465A1"/>
    <w:rsid w:val="00E465D7"/>
    <w:rsid w:val="00E46605"/>
    <w:rsid w:val="00E466E1"/>
    <w:rsid w:val="00E46781"/>
    <w:rsid w:val="00E467AE"/>
    <w:rsid w:val="00E467F3"/>
    <w:rsid w:val="00E4685C"/>
    <w:rsid w:val="00E468D0"/>
    <w:rsid w:val="00E46987"/>
    <w:rsid w:val="00E46A6D"/>
    <w:rsid w:val="00E46B08"/>
    <w:rsid w:val="00E46C86"/>
    <w:rsid w:val="00E46D5F"/>
    <w:rsid w:val="00E46DC0"/>
    <w:rsid w:val="00E46DCD"/>
    <w:rsid w:val="00E46F10"/>
    <w:rsid w:val="00E4700D"/>
    <w:rsid w:val="00E47105"/>
    <w:rsid w:val="00E47121"/>
    <w:rsid w:val="00E4727F"/>
    <w:rsid w:val="00E4732C"/>
    <w:rsid w:val="00E4734B"/>
    <w:rsid w:val="00E47356"/>
    <w:rsid w:val="00E473B4"/>
    <w:rsid w:val="00E47499"/>
    <w:rsid w:val="00E4757D"/>
    <w:rsid w:val="00E47605"/>
    <w:rsid w:val="00E4761C"/>
    <w:rsid w:val="00E47698"/>
    <w:rsid w:val="00E47766"/>
    <w:rsid w:val="00E47812"/>
    <w:rsid w:val="00E47829"/>
    <w:rsid w:val="00E47834"/>
    <w:rsid w:val="00E479BD"/>
    <w:rsid w:val="00E479EA"/>
    <w:rsid w:val="00E47A16"/>
    <w:rsid w:val="00E47B9C"/>
    <w:rsid w:val="00E47CDB"/>
    <w:rsid w:val="00E47E46"/>
    <w:rsid w:val="00E47F65"/>
    <w:rsid w:val="00E47F8E"/>
    <w:rsid w:val="00E47FA0"/>
    <w:rsid w:val="00E50025"/>
    <w:rsid w:val="00E500C4"/>
    <w:rsid w:val="00E50131"/>
    <w:rsid w:val="00E5013F"/>
    <w:rsid w:val="00E5014D"/>
    <w:rsid w:val="00E501BA"/>
    <w:rsid w:val="00E502E0"/>
    <w:rsid w:val="00E50393"/>
    <w:rsid w:val="00E5044A"/>
    <w:rsid w:val="00E50576"/>
    <w:rsid w:val="00E5059E"/>
    <w:rsid w:val="00E5059F"/>
    <w:rsid w:val="00E505A6"/>
    <w:rsid w:val="00E5064A"/>
    <w:rsid w:val="00E5071C"/>
    <w:rsid w:val="00E5071D"/>
    <w:rsid w:val="00E50771"/>
    <w:rsid w:val="00E507F8"/>
    <w:rsid w:val="00E5089F"/>
    <w:rsid w:val="00E5097E"/>
    <w:rsid w:val="00E50A6B"/>
    <w:rsid w:val="00E50AC3"/>
    <w:rsid w:val="00E50B62"/>
    <w:rsid w:val="00E50BA3"/>
    <w:rsid w:val="00E50C09"/>
    <w:rsid w:val="00E50C5D"/>
    <w:rsid w:val="00E50C5E"/>
    <w:rsid w:val="00E50CEA"/>
    <w:rsid w:val="00E50D78"/>
    <w:rsid w:val="00E50DDC"/>
    <w:rsid w:val="00E50EA5"/>
    <w:rsid w:val="00E50EBB"/>
    <w:rsid w:val="00E50EFA"/>
    <w:rsid w:val="00E50F4B"/>
    <w:rsid w:val="00E5112A"/>
    <w:rsid w:val="00E51187"/>
    <w:rsid w:val="00E511E4"/>
    <w:rsid w:val="00E5124F"/>
    <w:rsid w:val="00E5143C"/>
    <w:rsid w:val="00E514FF"/>
    <w:rsid w:val="00E5156C"/>
    <w:rsid w:val="00E5179D"/>
    <w:rsid w:val="00E51890"/>
    <w:rsid w:val="00E51893"/>
    <w:rsid w:val="00E518B1"/>
    <w:rsid w:val="00E51922"/>
    <w:rsid w:val="00E51927"/>
    <w:rsid w:val="00E51941"/>
    <w:rsid w:val="00E51975"/>
    <w:rsid w:val="00E51A1B"/>
    <w:rsid w:val="00E51A52"/>
    <w:rsid w:val="00E51AB2"/>
    <w:rsid w:val="00E51B3C"/>
    <w:rsid w:val="00E51B6E"/>
    <w:rsid w:val="00E51BA7"/>
    <w:rsid w:val="00E51CA4"/>
    <w:rsid w:val="00E51DA7"/>
    <w:rsid w:val="00E51E5D"/>
    <w:rsid w:val="00E51EAA"/>
    <w:rsid w:val="00E51F27"/>
    <w:rsid w:val="00E51F6C"/>
    <w:rsid w:val="00E51FD7"/>
    <w:rsid w:val="00E52001"/>
    <w:rsid w:val="00E521DE"/>
    <w:rsid w:val="00E52389"/>
    <w:rsid w:val="00E523E8"/>
    <w:rsid w:val="00E523E9"/>
    <w:rsid w:val="00E523FC"/>
    <w:rsid w:val="00E523FD"/>
    <w:rsid w:val="00E52486"/>
    <w:rsid w:val="00E52518"/>
    <w:rsid w:val="00E525F4"/>
    <w:rsid w:val="00E52681"/>
    <w:rsid w:val="00E526CA"/>
    <w:rsid w:val="00E527C6"/>
    <w:rsid w:val="00E52805"/>
    <w:rsid w:val="00E52910"/>
    <w:rsid w:val="00E52A7E"/>
    <w:rsid w:val="00E52A85"/>
    <w:rsid w:val="00E52B6B"/>
    <w:rsid w:val="00E52C43"/>
    <w:rsid w:val="00E52C79"/>
    <w:rsid w:val="00E52D7A"/>
    <w:rsid w:val="00E52DC6"/>
    <w:rsid w:val="00E52EE1"/>
    <w:rsid w:val="00E52F22"/>
    <w:rsid w:val="00E52FB2"/>
    <w:rsid w:val="00E53096"/>
    <w:rsid w:val="00E530C9"/>
    <w:rsid w:val="00E531E0"/>
    <w:rsid w:val="00E53237"/>
    <w:rsid w:val="00E53479"/>
    <w:rsid w:val="00E534B8"/>
    <w:rsid w:val="00E53693"/>
    <w:rsid w:val="00E53705"/>
    <w:rsid w:val="00E53736"/>
    <w:rsid w:val="00E53813"/>
    <w:rsid w:val="00E5382A"/>
    <w:rsid w:val="00E538E5"/>
    <w:rsid w:val="00E53919"/>
    <w:rsid w:val="00E5391B"/>
    <w:rsid w:val="00E5396B"/>
    <w:rsid w:val="00E539FA"/>
    <w:rsid w:val="00E53A70"/>
    <w:rsid w:val="00E53AD1"/>
    <w:rsid w:val="00E53E1E"/>
    <w:rsid w:val="00E53E4A"/>
    <w:rsid w:val="00E53EF3"/>
    <w:rsid w:val="00E53F30"/>
    <w:rsid w:val="00E53F75"/>
    <w:rsid w:val="00E53FC3"/>
    <w:rsid w:val="00E54022"/>
    <w:rsid w:val="00E54231"/>
    <w:rsid w:val="00E54284"/>
    <w:rsid w:val="00E5447E"/>
    <w:rsid w:val="00E54631"/>
    <w:rsid w:val="00E54691"/>
    <w:rsid w:val="00E546BB"/>
    <w:rsid w:val="00E5471B"/>
    <w:rsid w:val="00E5472A"/>
    <w:rsid w:val="00E54825"/>
    <w:rsid w:val="00E54AD3"/>
    <w:rsid w:val="00E54B4F"/>
    <w:rsid w:val="00E54C31"/>
    <w:rsid w:val="00E54CC2"/>
    <w:rsid w:val="00E54CF0"/>
    <w:rsid w:val="00E54DA7"/>
    <w:rsid w:val="00E54DD9"/>
    <w:rsid w:val="00E54EA3"/>
    <w:rsid w:val="00E54F45"/>
    <w:rsid w:val="00E54FE5"/>
    <w:rsid w:val="00E55033"/>
    <w:rsid w:val="00E55071"/>
    <w:rsid w:val="00E550EB"/>
    <w:rsid w:val="00E55101"/>
    <w:rsid w:val="00E55175"/>
    <w:rsid w:val="00E551FA"/>
    <w:rsid w:val="00E5525E"/>
    <w:rsid w:val="00E55346"/>
    <w:rsid w:val="00E55434"/>
    <w:rsid w:val="00E5545A"/>
    <w:rsid w:val="00E55477"/>
    <w:rsid w:val="00E55497"/>
    <w:rsid w:val="00E555D7"/>
    <w:rsid w:val="00E5577B"/>
    <w:rsid w:val="00E55799"/>
    <w:rsid w:val="00E55812"/>
    <w:rsid w:val="00E5591C"/>
    <w:rsid w:val="00E5596F"/>
    <w:rsid w:val="00E559A2"/>
    <w:rsid w:val="00E55A85"/>
    <w:rsid w:val="00E55AD9"/>
    <w:rsid w:val="00E55B82"/>
    <w:rsid w:val="00E55BE7"/>
    <w:rsid w:val="00E55D63"/>
    <w:rsid w:val="00E55E1D"/>
    <w:rsid w:val="00E55EF2"/>
    <w:rsid w:val="00E55FB6"/>
    <w:rsid w:val="00E56134"/>
    <w:rsid w:val="00E561F9"/>
    <w:rsid w:val="00E5621F"/>
    <w:rsid w:val="00E563CE"/>
    <w:rsid w:val="00E56455"/>
    <w:rsid w:val="00E56472"/>
    <w:rsid w:val="00E565A9"/>
    <w:rsid w:val="00E565FA"/>
    <w:rsid w:val="00E56632"/>
    <w:rsid w:val="00E566B0"/>
    <w:rsid w:val="00E56788"/>
    <w:rsid w:val="00E5686B"/>
    <w:rsid w:val="00E569CA"/>
    <w:rsid w:val="00E56D14"/>
    <w:rsid w:val="00E56D8D"/>
    <w:rsid w:val="00E56DB8"/>
    <w:rsid w:val="00E56E29"/>
    <w:rsid w:val="00E56E43"/>
    <w:rsid w:val="00E57199"/>
    <w:rsid w:val="00E571B0"/>
    <w:rsid w:val="00E57222"/>
    <w:rsid w:val="00E57223"/>
    <w:rsid w:val="00E572FD"/>
    <w:rsid w:val="00E573AD"/>
    <w:rsid w:val="00E57437"/>
    <w:rsid w:val="00E57506"/>
    <w:rsid w:val="00E575E7"/>
    <w:rsid w:val="00E5760C"/>
    <w:rsid w:val="00E57672"/>
    <w:rsid w:val="00E57676"/>
    <w:rsid w:val="00E57685"/>
    <w:rsid w:val="00E57717"/>
    <w:rsid w:val="00E57845"/>
    <w:rsid w:val="00E578A6"/>
    <w:rsid w:val="00E578A8"/>
    <w:rsid w:val="00E57941"/>
    <w:rsid w:val="00E57B5A"/>
    <w:rsid w:val="00E57CE5"/>
    <w:rsid w:val="00E57D41"/>
    <w:rsid w:val="00E57DA8"/>
    <w:rsid w:val="00E57DC9"/>
    <w:rsid w:val="00E57E7A"/>
    <w:rsid w:val="00E57F18"/>
    <w:rsid w:val="00E57F57"/>
    <w:rsid w:val="00E601AE"/>
    <w:rsid w:val="00E60285"/>
    <w:rsid w:val="00E60299"/>
    <w:rsid w:val="00E60351"/>
    <w:rsid w:val="00E603FD"/>
    <w:rsid w:val="00E605A8"/>
    <w:rsid w:val="00E606CA"/>
    <w:rsid w:val="00E606FB"/>
    <w:rsid w:val="00E60737"/>
    <w:rsid w:val="00E60752"/>
    <w:rsid w:val="00E6077B"/>
    <w:rsid w:val="00E60834"/>
    <w:rsid w:val="00E60878"/>
    <w:rsid w:val="00E609A4"/>
    <w:rsid w:val="00E609A8"/>
    <w:rsid w:val="00E60C02"/>
    <w:rsid w:val="00E60C77"/>
    <w:rsid w:val="00E60C80"/>
    <w:rsid w:val="00E60D78"/>
    <w:rsid w:val="00E60D7A"/>
    <w:rsid w:val="00E60DA9"/>
    <w:rsid w:val="00E60DAF"/>
    <w:rsid w:val="00E60DCA"/>
    <w:rsid w:val="00E60E06"/>
    <w:rsid w:val="00E60FFD"/>
    <w:rsid w:val="00E610D9"/>
    <w:rsid w:val="00E61362"/>
    <w:rsid w:val="00E61409"/>
    <w:rsid w:val="00E61577"/>
    <w:rsid w:val="00E615CC"/>
    <w:rsid w:val="00E615CE"/>
    <w:rsid w:val="00E61613"/>
    <w:rsid w:val="00E616BA"/>
    <w:rsid w:val="00E61799"/>
    <w:rsid w:val="00E617BE"/>
    <w:rsid w:val="00E617E7"/>
    <w:rsid w:val="00E617EC"/>
    <w:rsid w:val="00E61881"/>
    <w:rsid w:val="00E61B62"/>
    <w:rsid w:val="00E61CF9"/>
    <w:rsid w:val="00E61D1D"/>
    <w:rsid w:val="00E61E27"/>
    <w:rsid w:val="00E61EDE"/>
    <w:rsid w:val="00E61F63"/>
    <w:rsid w:val="00E61F7F"/>
    <w:rsid w:val="00E61F8E"/>
    <w:rsid w:val="00E62022"/>
    <w:rsid w:val="00E620B2"/>
    <w:rsid w:val="00E620B3"/>
    <w:rsid w:val="00E620E0"/>
    <w:rsid w:val="00E6217C"/>
    <w:rsid w:val="00E6231D"/>
    <w:rsid w:val="00E6233D"/>
    <w:rsid w:val="00E6237D"/>
    <w:rsid w:val="00E62389"/>
    <w:rsid w:val="00E623B2"/>
    <w:rsid w:val="00E623DA"/>
    <w:rsid w:val="00E6259B"/>
    <w:rsid w:val="00E625D4"/>
    <w:rsid w:val="00E62626"/>
    <w:rsid w:val="00E6277F"/>
    <w:rsid w:val="00E627A6"/>
    <w:rsid w:val="00E629B3"/>
    <w:rsid w:val="00E62B20"/>
    <w:rsid w:val="00E62BF6"/>
    <w:rsid w:val="00E62D4F"/>
    <w:rsid w:val="00E62D6E"/>
    <w:rsid w:val="00E62D7D"/>
    <w:rsid w:val="00E62E60"/>
    <w:rsid w:val="00E62F2C"/>
    <w:rsid w:val="00E63041"/>
    <w:rsid w:val="00E630E3"/>
    <w:rsid w:val="00E63112"/>
    <w:rsid w:val="00E6318E"/>
    <w:rsid w:val="00E631A8"/>
    <w:rsid w:val="00E63219"/>
    <w:rsid w:val="00E63229"/>
    <w:rsid w:val="00E63387"/>
    <w:rsid w:val="00E63565"/>
    <w:rsid w:val="00E638F0"/>
    <w:rsid w:val="00E63905"/>
    <w:rsid w:val="00E63955"/>
    <w:rsid w:val="00E639CC"/>
    <w:rsid w:val="00E63BF2"/>
    <w:rsid w:val="00E63C96"/>
    <w:rsid w:val="00E63D09"/>
    <w:rsid w:val="00E63E91"/>
    <w:rsid w:val="00E63EBD"/>
    <w:rsid w:val="00E63EE5"/>
    <w:rsid w:val="00E63FA5"/>
    <w:rsid w:val="00E64072"/>
    <w:rsid w:val="00E64257"/>
    <w:rsid w:val="00E64440"/>
    <w:rsid w:val="00E644A6"/>
    <w:rsid w:val="00E644E8"/>
    <w:rsid w:val="00E64595"/>
    <w:rsid w:val="00E6459E"/>
    <w:rsid w:val="00E645AB"/>
    <w:rsid w:val="00E647FC"/>
    <w:rsid w:val="00E64897"/>
    <w:rsid w:val="00E648A9"/>
    <w:rsid w:val="00E64A29"/>
    <w:rsid w:val="00E64B2F"/>
    <w:rsid w:val="00E64B51"/>
    <w:rsid w:val="00E64C0E"/>
    <w:rsid w:val="00E64C85"/>
    <w:rsid w:val="00E64E80"/>
    <w:rsid w:val="00E64EB4"/>
    <w:rsid w:val="00E64FE7"/>
    <w:rsid w:val="00E650A0"/>
    <w:rsid w:val="00E650A2"/>
    <w:rsid w:val="00E650ED"/>
    <w:rsid w:val="00E652AA"/>
    <w:rsid w:val="00E65319"/>
    <w:rsid w:val="00E656F8"/>
    <w:rsid w:val="00E65742"/>
    <w:rsid w:val="00E6578F"/>
    <w:rsid w:val="00E657DE"/>
    <w:rsid w:val="00E6583D"/>
    <w:rsid w:val="00E65904"/>
    <w:rsid w:val="00E65974"/>
    <w:rsid w:val="00E65996"/>
    <w:rsid w:val="00E65A77"/>
    <w:rsid w:val="00E65AA7"/>
    <w:rsid w:val="00E65AE6"/>
    <w:rsid w:val="00E65B08"/>
    <w:rsid w:val="00E65B0B"/>
    <w:rsid w:val="00E65B0E"/>
    <w:rsid w:val="00E65C9F"/>
    <w:rsid w:val="00E65CB0"/>
    <w:rsid w:val="00E65D90"/>
    <w:rsid w:val="00E65DDB"/>
    <w:rsid w:val="00E65E61"/>
    <w:rsid w:val="00E65E89"/>
    <w:rsid w:val="00E65EA6"/>
    <w:rsid w:val="00E65FF2"/>
    <w:rsid w:val="00E660C1"/>
    <w:rsid w:val="00E660DD"/>
    <w:rsid w:val="00E66110"/>
    <w:rsid w:val="00E6619E"/>
    <w:rsid w:val="00E6647D"/>
    <w:rsid w:val="00E66535"/>
    <w:rsid w:val="00E6659D"/>
    <w:rsid w:val="00E66955"/>
    <w:rsid w:val="00E66A4A"/>
    <w:rsid w:val="00E66B23"/>
    <w:rsid w:val="00E66B8B"/>
    <w:rsid w:val="00E66C16"/>
    <w:rsid w:val="00E66C35"/>
    <w:rsid w:val="00E66CF7"/>
    <w:rsid w:val="00E66D37"/>
    <w:rsid w:val="00E66E52"/>
    <w:rsid w:val="00E66F59"/>
    <w:rsid w:val="00E670CE"/>
    <w:rsid w:val="00E671C7"/>
    <w:rsid w:val="00E67374"/>
    <w:rsid w:val="00E6739F"/>
    <w:rsid w:val="00E673E1"/>
    <w:rsid w:val="00E673E4"/>
    <w:rsid w:val="00E67436"/>
    <w:rsid w:val="00E67632"/>
    <w:rsid w:val="00E6777E"/>
    <w:rsid w:val="00E67789"/>
    <w:rsid w:val="00E678E2"/>
    <w:rsid w:val="00E6797A"/>
    <w:rsid w:val="00E67A6F"/>
    <w:rsid w:val="00E67AE3"/>
    <w:rsid w:val="00E67AF9"/>
    <w:rsid w:val="00E67C17"/>
    <w:rsid w:val="00E67C2A"/>
    <w:rsid w:val="00E67E95"/>
    <w:rsid w:val="00E67EEE"/>
    <w:rsid w:val="00E67F0B"/>
    <w:rsid w:val="00E7002F"/>
    <w:rsid w:val="00E700B9"/>
    <w:rsid w:val="00E7011D"/>
    <w:rsid w:val="00E70179"/>
    <w:rsid w:val="00E701D8"/>
    <w:rsid w:val="00E70230"/>
    <w:rsid w:val="00E70265"/>
    <w:rsid w:val="00E70268"/>
    <w:rsid w:val="00E7028E"/>
    <w:rsid w:val="00E702A1"/>
    <w:rsid w:val="00E70307"/>
    <w:rsid w:val="00E7037C"/>
    <w:rsid w:val="00E7038A"/>
    <w:rsid w:val="00E703B2"/>
    <w:rsid w:val="00E70471"/>
    <w:rsid w:val="00E706AA"/>
    <w:rsid w:val="00E707DC"/>
    <w:rsid w:val="00E708FD"/>
    <w:rsid w:val="00E70942"/>
    <w:rsid w:val="00E709E4"/>
    <w:rsid w:val="00E70A30"/>
    <w:rsid w:val="00E70A74"/>
    <w:rsid w:val="00E70B2E"/>
    <w:rsid w:val="00E70C18"/>
    <w:rsid w:val="00E70C51"/>
    <w:rsid w:val="00E70CB9"/>
    <w:rsid w:val="00E70CDF"/>
    <w:rsid w:val="00E70D68"/>
    <w:rsid w:val="00E70F2E"/>
    <w:rsid w:val="00E70FB5"/>
    <w:rsid w:val="00E71095"/>
    <w:rsid w:val="00E71151"/>
    <w:rsid w:val="00E71402"/>
    <w:rsid w:val="00E714C3"/>
    <w:rsid w:val="00E71635"/>
    <w:rsid w:val="00E71698"/>
    <w:rsid w:val="00E7179F"/>
    <w:rsid w:val="00E718FB"/>
    <w:rsid w:val="00E719AE"/>
    <w:rsid w:val="00E71A55"/>
    <w:rsid w:val="00E71A83"/>
    <w:rsid w:val="00E71AC1"/>
    <w:rsid w:val="00E71B44"/>
    <w:rsid w:val="00E71BCF"/>
    <w:rsid w:val="00E71C53"/>
    <w:rsid w:val="00E71C8C"/>
    <w:rsid w:val="00E71DAA"/>
    <w:rsid w:val="00E71E46"/>
    <w:rsid w:val="00E71F54"/>
    <w:rsid w:val="00E71F72"/>
    <w:rsid w:val="00E71FE8"/>
    <w:rsid w:val="00E72040"/>
    <w:rsid w:val="00E721F5"/>
    <w:rsid w:val="00E72309"/>
    <w:rsid w:val="00E72326"/>
    <w:rsid w:val="00E723B0"/>
    <w:rsid w:val="00E723E3"/>
    <w:rsid w:val="00E72450"/>
    <w:rsid w:val="00E72463"/>
    <w:rsid w:val="00E72667"/>
    <w:rsid w:val="00E726C3"/>
    <w:rsid w:val="00E7273C"/>
    <w:rsid w:val="00E727E3"/>
    <w:rsid w:val="00E72845"/>
    <w:rsid w:val="00E72857"/>
    <w:rsid w:val="00E728FD"/>
    <w:rsid w:val="00E7291D"/>
    <w:rsid w:val="00E7293C"/>
    <w:rsid w:val="00E729A8"/>
    <w:rsid w:val="00E729E7"/>
    <w:rsid w:val="00E72BAC"/>
    <w:rsid w:val="00E72C45"/>
    <w:rsid w:val="00E72D9C"/>
    <w:rsid w:val="00E72F7E"/>
    <w:rsid w:val="00E72FE9"/>
    <w:rsid w:val="00E73014"/>
    <w:rsid w:val="00E73084"/>
    <w:rsid w:val="00E7308D"/>
    <w:rsid w:val="00E730E4"/>
    <w:rsid w:val="00E730EA"/>
    <w:rsid w:val="00E73184"/>
    <w:rsid w:val="00E731EC"/>
    <w:rsid w:val="00E73279"/>
    <w:rsid w:val="00E73337"/>
    <w:rsid w:val="00E736D9"/>
    <w:rsid w:val="00E73800"/>
    <w:rsid w:val="00E738E7"/>
    <w:rsid w:val="00E7398A"/>
    <w:rsid w:val="00E739A6"/>
    <w:rsid w:val="00E739CC"/>
    <w:rsid w:val="00E73A08"/>
    <w:rsid w:val="00E73AD7"/>
    <w:rsid w:val="00E73B2E"/>
    <w:rsid w:val="00E73CDD"/>
    <w:rsid w:val="00E73D78"/>
    <w:rsid w:val="00E73DA1"/>
    <w:rsid w:val="00E73DE1"/>
    <w:rsid w:val="00E73E2C"/>
    <w:rsid w:val="00E73E59"/>
    <w:rsid w:val="00E73FC7"/>
    <w:rsid w:val="00E7406A"/>
    <w:rsid w:val="00E741B3"/>
    <w:rsid w:val="00E743D5"/>
    <w:rsid w:val="00E7447E"/>
    <w:rsid w:val="00E744A6"/>
    <w:rsid w:val="00E745A3"/>
    <w:rsid w:val="00E74733"/>
    <w:rsid w:val="00E74831"/>
    <w:rsid w:val="00E7488C"/>
    <w:rsid w:val="00E74A77"/>
    <w:rsid w:val="00E74AA2"/>
    <w:rsid w:val="00E74AC3"/>
    <w:rsid w:val="00E74AD2"/>
    <w:rsid w:val="00E74B35"/>
    <w:rsid w:val="00E74B52"/>
    <w:rsid w:val="00E74B69"/>
    <w:rsid w:val="00E74BE9"/>
    <w:rsid w:val="00E74D54"/>
    <w:rsid w:val="00E74DD9"/>
    <w:rsid w:val="00E74E34"/>
    <w:rsid w:val="00E74F10"/>
    <w:rsid w:val="00E74F57"/>
    <w:rsid w:val="00E74FBC"/>
    <w:rsid w:val="00E74FFC"/>
    <w:rsid w:val="00E750A6"/>
    <w:rsid w:val="00E750EF"/>
    <w:rsid w:val="00E75118"/>
    <w:rsid w:val="00E751D6"/>
    <w:rsid w:val="00E751F3"/>
    <w:rsid w:val="00E752E2"/>
    <w:rsid w:val="00E75319"/>
    <w:rsid w:val="00E7537D"/>
    <w:rsid w:val="00E7539C"/>
    <w:rsid w:val="00E75534"/>
    <w:rsid w:val="00E75547"/>
    <w:rsid w:val="00E755CE"/>
    <w:rsid w:val="00E75746"/>
    <w:rsid w:val="00E757F8"/>
    <w:rsid w:val="00E75842"/>
    <w:rsid w:val="00E75875"/>
    <w:rsid w:val="00E75884"/>
    <w:rsid w:val="00E758A4"/>
    <w:rsid w:val="00E759E0"/>
    <w:rsid w:val="00E75AB1"/>
    <w:rsid w:val="00E75ABE"/>
    <w:rsid w:val="00E75BAC"/>
    <w:rsid w:val="00E75C9C"/>
    <w:rsid w:val="00E75CDE"/>
    <w:rsid w:val="00E75E0D"/>
    <w:rsid w:val="00E75EA1"/>
    <w:rsid w:val="00E75F86"/>
    <w:rsid w:val="00E75FC1"/>
    <w:rsid w:val="00E76291"/>
    <w:rsid w:val="00E762FC"/>
    <w:rsid w:val="00E76432"/>
    <w:rsid w:val="00E7646E"/>
    <w:rsid w:val="00E764FF"/>
    <w:rsid w:val="00E76514"/>
    <w:rsid w:val="00E76518"/>
    <w:rsid w:val="00E765F0"/>
    <w:rsid w:val="00E767FD"/>
    <w:rsid w:val="00E76835"/>
    <w:rsid w:val="00E76962"/>
    <w:rsid w:val="00E769EC"/>
    <w:rsid w:val="00E76BC5"/>
    <w:rsid w:val="00E76C02"/>
    <w:rsid w:val="00E76CB0"/>
    <w:rsid w:val="00E76E5A"/>
    <w:rsid w:val="00E76EE7"/>
    <w:rsid w:val="00E76F1A"/>
    <w:rsid w:val="00E76FBF"/>
    <w:rsid w:val="00E76FDF"/>
    <w:rsid w:val="00E77004"/>
    <w:rsid w:val="00E77165"/>
    <w:rsid w:val="00E771C5"/>
    <w:rsid w:val="00E772AF"/>
    <w:rsid w:val="00E772DF"/>
    <w:rsid w:val="00E772F0"/>
    <w:rsid w:val="00E773AB"/>
    <w:rsid w:val="00E77520"/>
    <w:rsid w:val="00E77730"/>
    <w:rsid w:val="00E777EA"/>
    <w:rsid w:val="00E779AC"/>
    <w:rsid w:val="00E77A60"/>
    <w:rsid w:val="00E77D17"/>
    <w:rsid w:val="00E77D4D"/>
    <w:rsid w:val="00E77DDE"/>
    <w:rsid w:val="00E77E65"/>
    <w:rsid w:val="00E77EFD"/>
    <w:rsid w:val="00E77F42"/>
    <w:rsid w:val="00E77FD1"/>
    <w:rsid w:val="00E77FEB"/>
    <w:rsid w:val="00E8007D"/>
    <w:rsid w:val="00E8009F"/>
    <w:rsid w:val="00E800C4"/>
    <w:rsid w:val="00E80109"/>
    <w:rsid w:val="00E80167"/>
    <w:rsid w:val="00E8017F"/>
    <w:rsid w:val="00E801B9"/>
    <w:rsid w:val="00E80252"/>
    <w:rsid w:val="00E8025C"/>
    <w:rsid w:val="00E8037E"/>
    <w:rsid w:val="00E803CD"/>
    <w:rsid w:val="00E80400"/>
    <w:rsid w:val="00E80498"/>
    <w:rsid w:val="00E804CB"/>
    <w:rsid w:val="00E8057C"/>
    <w:rsid w:val="00E80613"/>
    <w:rsid w:val="00E8084D"/>
    <w:rsid w:val="00E808EF"/>
    <w:rsid w:val="00E80B9E"/>
    <w:rsid w:val="00E80D26"/>
    <w:rsid w:val="00E80D38"/>
    <w:rsid w:val="00E80D80"/>
    <w:rsid w:val="00E80E10"/>
    <w:rsid w:val="00E80E15"/>
    <w:rsid w:val="00E80E89"/>
    <w:rsid w:val="00E80F30"/>
    <w:rsid w:val="00E810E7"/>
    <w:rsid w:val="00E81105"/>
    <w:rsid w:val="00E8111F"/>
    <w:rsid w:val="00E8132B"/>
    <w:rsid w:val="00E814BF"/>
    <w:rsid w:val="00E81716"/>
    <w:rsid w:val="00E8172A"/>
    <w:rsid w:val="00E8175E"/>
    <w:rsid w:val="00E818DA"/>
    <w:rsid w:val="00E81960"/>
    <w:rsid w:val="00E81A05"/>
    <w:rsid w:val="00E81A7E"/>
    <w:rsid w:val="00E81C69"/>
    <w:rsid w:val="00E82079"/>
    <w:rsid w:val="00E82086"/>
    <w:rsid w:val="00E820CB"/>
    <w:rsid w:val="00E822B7"/>
    <w:rsid w:val="00E82336"/>
    <w:rsid w:val="00E82349"/>
    <w:rsid w:val="00E8235E"/>
    <w:rsid w:val="00E82510"/>
    <w:rsid w:val="00E827A9"/>
    <w:rsid w:val="00E827B2"/>
    <w:rsid w:val="00E82809"/>
    <w:rsid w:val="00E8282C"/>
    <w:rsid w:val="00E82849"/>
    <w:rsid w:val="00E8289C"/>
    <w:rsid w:val="00E82A2D"/>
    <w:rsid w:val="00E82A84"/>
    <w:rsid w:val="00E82AB2"/>
    <w:rsid w:val="00E82BDB"/>
    <w:rsid w:val="00E82C66"/>
    <w:rsid w:val="00E82D79"/>
    <w:rsid w:val="00E82DE1"/>
    <w:rsid w:val="00E83175"/>
    <w:rsid w:val="00E831B4"/>
    <w:rsid w:val="00E83327"/>
    <w:rsid w:val="00E83413"/>
    <w:rsid w:val="00E835CC"/>
    <w:rsid w:val="00E8366C"/>
    <w:rsid w:val="00E83686"/>
    <w:rsid w:val="00E836DE"/>
    <w:rsid w:val="00E83809"/>
    <w:rsid w:val="00E83938"/>
    <w:rsid w:val="00E839B9"/>
    <w:rsid w:val="00E83A01"/>
    <w:rsid w:val="00E83A22"/>
    <w:rsid w:val="00E83AB2"/>
    <w:rsid w:val="00E83AE3"/>
    <w:rsid w:val="00E83C7C"/>
    <w:rsid w:val="00E83F54"/>
    <w:rsid w:val="00E84130"/>
    <w:rsid w:val="00E84178"/>
    <w:rsid w:val="00E841D6"/>
    <w:rsid w:val="00E8422F"/>
    <w:rsid w:val="00E8431C"/>
    <w:rsid w:val="00E84511"/>
    <w:rsid w:val="00E845DF"/>
    <w:rsid w:val="00E845F5"/>
    <w:rsid w:val="00E84751"/>
    <w:rsid w:val="00E847CC"/>
    <w:rsid w:val="00E84809"/>
    <w:rsid w:val="00E84812"/>
    <w:rsid w:val="00E84816"/>
    <w:rsid w:val="00E848BF"/>
    <w:rsid w:val="00E848F8"/>
    <w:rsid w:val="00E84BFA"/>
    <w:rsid w:val="00E84C09"/>
    <w:rsid w:val="00E84C2F"/>
    <w:rsid w:val="00E84C74"/>
    <w:rsid w:val="00E84D61"/>
    <w:rsid w:val="00E84E4F"/>
    <w:rsid w:val="00E84FB5"/>
    <w:rsid w:val="00E850C1"/>
    <w:rsid w:val="00E850CD"/>
    <w:rsid w:val="00E851F4"/>
    <w:rsid w:val="00E852F3"/>
    <w:rsid w:val="00E8532B"/>
    <w:rsid w:val="00E8539B"/>
    <w:rsid w:val="00E85448"/>
    <w:rsid w:val="00E855A9"/>
    <w:rsid w:val="00E85672"/>
    <w:rsid w:val="00E85938"/>
    <w:rsid w:val="00E859AE"/>
    <w:rsid w:val="00E859DC"/>
    <w:rsid w:val="00E85A49"/>
    <w:rsid w:val="00E85A84"/>
    <w:rsid w:val="00E85B43"/>
    <w:rsid w:val="00E85D4D"/>
    <w:rsid w:val="00E85F00"/>
    <w:rsid w:val="00E85FB4"/>
    <w:rsid w:val="00E863A9"/>
    <w:rsid w:val="00E863D1"/>
    <w:rsid w:val="00E86409"/>
    <w:rsid w:val="00E86472"/>
    <w:rsid w:val="00E8667B"/>
    <w:rsid w:val="00E866B4"/>
    <w:rsid w:val="00E86788"/>
    <w:rsid w:val="00E8679A"/>
    <w:rsid w:val="00E867B8"/>
    <w:rsid w:val="00E86819"/>
    <w:rsid w:val="00E86963"/>
    <w:rsid w:val="00E8696E"/>
    <w:rsid w:val="00E86A4E"/>
    <w:rsid w:val="00E86B0A"/>
    <w:rsid w:val="00E86B71"/>
    <w:rsid w:val="00E86C4B"/>
    <w:rsid w:val="00E86C9A"/>
    <w:rsid w:val="00E86D4F"/>
    <w:rsid w:val="00E86D6A"/>
    <w:rsid w:val="00E86D89"/>
    <w:rsid w:val="00E86DCC"/>
    <w:rsid w:val="00E86DF9"/>
    <w:rsid w:val="00E86E79"/>
    <w:rsid w:val="00E86F00"/>
    <w:rsid w:val="00E87092"/>
    <w:rsid w:val="00E87215"/>
    <w:rsid w:val="00E873EF"/>
    <w:rsid w:val="00E87527"/>
    <w:rsid w:val="00E87556"/>
    <w:rsid w:val="00E876DB"/>
    <w:rsid w:val="00E87780"/>
    <w:rsid w:val="00E87961"/>
    <w:rsid w:val="00E87A0A"/>
    <w:rsid w:val="00E87A37"/>
    <w:rsid w:val="00E87A67"/>
    <w:rsid w:val="00E87B0E"/>
    <w:rsid w:val="00E87BB5"/>
    <w:rsid w:val="00E87C38"/>
    <w:rsid w:val="00E87F4C"/>
    <w:rsid w:val="00E90019"/>
    <w:rsid w:val="00E901C0"/>
    <w:rsid w:val="00E903A0"/>
    <w:rsid w:val="00E903A5"/>
    <w:rsid w:val="00E9044B"/>
    <w:rsid w:val="00E9045E"/>
    <w:rsid w:val="00E9048F"/>
    <w:rsid w:val="00E90765"/>
    <w:rsid w:val="00E907BE"/>
    <w:rsid w:val="00E907F6"/>
    <w:rsid w:val="00E9083A"/>
    <w:rsid w:val="00E909EA"/>
    <w:rsid w:val="00E909FD"/>
    <w:rsid w:val="00E90A0F"/>
    <w:rsid w:val="00E90A90"/>
    <w:rsid w:val="00E90C83"/>
    <w:rsid w:val="00E90F16"/>
    <w:rsid w:val="00E90FFB"/>
    <w:rsid w:val="00E91018"/>
    <w:rsid w:val="00E91066"/>
    <w:rsid w:val="00E911AC"/>
    <w:rsid w:val="00E91283"/>
    <w:rsid w:val="00E912B2"/>
    <w:rsid w:val="00E912F9"/>
    <w:rsid w:val="00E9135F"/>
    <w:rsid w:val="00E913E0"/>
    <w:rsid w:val="00E9147D"/>
    <w:rsid w:val="00E914E1"/>
    <w:rsid w:val="00E91687"/>
    <w:rsid w:val="00E9169F"/>
    <w:rsid w:val="00E916DE"/>
    <w:rsid w:val="00E916E5"/>
    <w:rsid w:val="00E9170D"/>
    <w:rsid w:val="00E9178E"/>
    <w:rsid w:val="00E917CC"/>
    <w:rsid w:val="00E917D5"/>
    <w:rsid w:val="00E91875"/>
    <w:rsid w:val="00E918BA"/>
    <w:rsid w:val="00E918C6"/>
    <w:rsid w:val="00E918E9"/>
    <w:rsid w:val="00E91AD2"/>
    <w:rsid w:val="00E91C09"/>
    <w:rsid w:val="00E91C6F"/>
    <w:rsid w:val="00E91C90"/>
    <w:rsid w:val="00E91D27"/>
    <w:rsid w:val="00E91D5A"/>
    <w:rsid w:val="00E91D7F"/>
    <w:rsid w:val="00E91ED3"/>
    <w:rsid w:val="00E91F3E"/>
    <w:rsid w:val="00E91F72"/>
    <w:rsid w:val="00E92034"/>
    <w:rsid w:val="00E9203E"/>
    <w:rsid w:val="00E920C8"/>
    <w:rsid w:val="00E920EB"/>
    <w:rsid w:val="00E92106"/>
    <w:rsid w:val="00E9219B"/>
    <w:rsid w:val="00E92348"/>
    <w:rsid w:val="00E923D0"/>
    <w:rsid w:val="00E92475"/>
    <w:rsid w:val="00E92547"/>
    <w:rsid w:val="00E92658"/>
    <w:rsid w:val="00E92673"/>
    <w:rsid w:val="00E926A0"/>
    <w:rsid w:val="00E9273B"/>
    <w:rsid w:val="00E927E4"/>
    <w:rsid w:val="00E9296C"/>
    <w:rsid w:val="00E92A4A"/>
    <w:rsid w:val="00E92A6E"/>
    <w:rsid w:val="00E92B23"/>
    <w:rsid w:val="00E92C6B"/>
    <w:rsid w:val="00E92CF2"/>
    <w:rsid w:val="00E92D96"/>
    <w:rsid w:val="00E92DC5"/>
    <w:rsid w:val="00E92E09"/>
    <w:rsid w:val="00E92E32"/>
    <w:rsid w:val="00E92E33"/>
    <w:rsid w:val="00E92EE8"/>
    <w:rsid w:val="00E92F72"/>
    <w:rsid w:val="00E92FFF"/>
    <w:rsid w:val="00E9303B"/>
    <w:rsid w:val="00E934FA"/>
    <w:rsid w:val="00E935AA"/>
    <w:rsid w:val="00E935F1"/>
    <w:rsid w:val="00E93636"/>
    <w:rsid w:val="00E936B8"/>
    <w:rsid w:val="00E9370F"/>
    <w:rsid w:val="00E93722"/>
    <w:rsid w:val="00E93791"/>
    <w:rsid w:val="00E937FE"/>
    <w:rsid w:val="00E93845"/>
    <w:rsid w:val="00E9389D"/>
    <w:rsid w:val="00E93A91"/>
    <w:rsid w:val="00E93BB6"/>
    <w:rsid w:val="00E93C17"/>
    <w:rsid w:val="00E93D16"/>
    <w:rsid w:val="00E9402A"/>
    <w:rsid w:val="00E94187"/>
    <w:rsid w:val="00E941DA"/>
    <w:rsid w:val="00E94256"/>
    <w:rsid w:val="00E942DE"/>
    <w:rsid w:val="00E94315"/>
    <w:rsid w:val="00E9459B"/>
    <w:rsid w:val="00E9461F"/>
    <w:rsid w:val="00E9467F"/>
    <w:rsid w:val="00E94696"/>
    <w:rsid w:val="00E946EE"/>
    <w:rsid w:val="00E948AA"/>
    <w:rsid w:val="00E94941"/>
    <w:rsid w:val="00E94952"/>
    <w:rsid w:val="00E949B4"/>
    <w:rsid w:val="00E949B9"/>
    <w:rsid w:val="00E94AFA"/>
    <w:rsid w:val="00E94B64"/>
    <w:rsid w:val="00E94BCE"/>
    <w:rsid w:val="00E94C07"/>
    <w:rsid w:val="00E94CDF"/>
    <w:rsid w:val="00E94D98"/>
    <w:rsid w:val="00E94EAE"/>
    <w:rsid w:val="00E94F0C"/>
    <w:rsid w:val="00E94F0D"/>
    <w:rsid w:val="00E94F55"/>
    <w:rsid w:val="00E94F5D"/>
    <w:rsid w:val="00E94F65"/>
    <w:rsid w:val="00E94F9E"/>
    <w:rsid w:val="00E94FBF"/>
    <w:rsid w:val="00E950C1"/>
    <w:rsid w:val="00E95194"/>
    <w:rsid w:val="00E953A1"/>
    <w:rsid w:val="00E9557F"/>
    <w:rsid w:val="00E95678"/>
    <w:rsid w:val="00E957AB"/>
    <w:rsid w:val="00E957CB"/>
    <w:rsid w:val="00E957E0"/>
    <w:rsid w:val="00E95A64"/>
    <w:rsid w:val="00E95CF5"/>
    <w:rsid w:val="00E95D89"/>
    <w:rsid w:val="00E95EAD"/>
    <w:rsid w:val="00E96105"/>
    <w:rsid w:val="00E961D0"/>
    <w:rsid w:val="00E96343"/>
    <w:rsid w:val="00E964BD"/>
    <w:rsid w:val="00E96565"/>
    <w:rsid w:val="00E965AB"/>
    <w:rsid w:val="00E9670A"/>
    <w:rsid w:val="00E96759"/>
    <w:rsid w:val="00E9675A"/>
    <w:rsid w:val="00E96799"/>
    <w:rsid w:val="00E967C6"/>
    <w:rsid w:val="00E967E6"/>
    <w:rsid w:val="00E96ADC"/>
    <w:rsid w:val="00E96B66"/>
    <w:rsid w:val="00E96BB6"/>
    <w:rsid w:val="00E96BE1"/>
    <w:rsid w:val="00E96DB4"/>
    <w:rsid w:val="00E96DF1"/>
    <w:rsid w:val="00E9707C"/>
    <w:rsid w:val="00E97107"/>
    <w:rsid w:val="00E97119"/>
    <w:rsid w:val="00E972D8"/>
    <w:rsid w:val="00E974C3"/>
    <w:rsid w:val="00E975B9"/>
    <w:rsid w:val="00E976C3"/>
    <w:rsid w:val="00E976DE"/>
    <w:rsid w:val="00E976EE"/>
    <w:rsid w:val="00E97816"/>
    <w:rsid w:val="00E9781C"/>
    <w:rsid w:val="00E97A14"/>
    <w:rsid w:val="00E97AE8"/>
    <w:rsid w:val="00E97BA4"/>
    <w:rsid w:val="00E97BC4"/>
    <w:rsid w:val="00E97BE3"/>
    <w:rsid w:val="00E97CA8"/>
    <w:rsid w:val="00E97CE8"/>
    <w:rsid w:val="00E97CEC"/>
    <w:rsid w:val="00E97D1E"/>
    <w:rsid w:val="00E97F2D"/>
    <w:rsid w:val="00E97FAD"/>
    <w:rsid w:val="00EA0101"/>
    <w:rsid w:val="00EA0201"/>
    <w:rsid w:val="00EA053D"/>
    <w:rsid w:val="00EA064E"/>
    <w:rsid w:val="00EA076E"/>
    <w:rsid w:val="00EA089E"/>
    <w:rsid w:val="00EA0A93"/>
    <w:rsid w:val="00EA0B26"/>
    <w:rsid w:val="00EA0BB8"/>
    <w:rsid w:val="00EA0C07"/>
    <w:rsid w:val="00EA0C8E"/>
    <w:rsid w:val="00EA0D86"/>
    <w:rsid w:val="00EA0DFE"/>
    <w:rsid w:val="00EA0E12"/>
    <w:rsid w:val="00EA0F64"/>
    <w:rsid w:val="00EA0FA2"/>
    <w:rsid w:val="00EA109D"/>
    <w:rsid w:val="00EA134E"/>
    <w:rsid w:val="00EA14AE"/>
    <w:rsid w:val="00EA1560"/>
    <w:rsid w:val="00EA163E"/>
    <w:rsid w:val="00EA171B"/>
    <w:rsid w:val="00EA179A"/>
    <w:rsid w:val="00EA18DE"/>
    <w:rsid w:val="00EA1B86"/>
    <w:rsid w:val="00EA1D0D"/>
    <w:rsid w:val="00EA1D22"/>
    <w:rsid w:val="00EA1D4D"/>
    <w:rsid w:val="00EA1DAA"/>
    <w:rsid w:val="00EA1DBD"/>
    <w:rsid w:val="00EA1E01"/>
    <w:rsid w:val="00EA1FD8"/>
    <w:rsid w:val="00EA2006"/>
    <w:rsid w:val="00EA203F"/>
    <w:rsid w:val="00EA20D4"/>
    <w:rsid w:val="00EA212B"/>
    <w:rsid w:val="00EA21DD"/>
    <w:rsid w:val="00EA2272"/>
    <w:rsid w:val="00EA23B6"/>
    <w:rsid w:val="00EA24F8"/>
    <w:rsid w:val="00EA252C"/>
    <w:rsid w:val="00EA2551"/>
    <w:rsid w:val="00EA257E"/>
    <w:rsid w:val="00EA25ED"/>
    <w:rsid w:val="00EA2650"/>
    <w:rsid w:val="00EA26E3"/>
    <w:rsid w:val="00EA272E"/>
    <w:rsid w:val="00EA2815"/>
    <w:rsid w:val="00EA2854"/>
    <w:rsid w:val="00EA28E3"/>
    <w:rsid w:val="00EA2979"/>
    <w:rsid w:val="00EA2BEF"/>
    <w:rsid w:val="00EA2D09"/>
    <w:rsid w:val="00EA2D4C"/>
    <w:rsid w:val="00EA2D9D"/>
    <w:rsid w:val="00EA2F8B"/>
    <w:rsid w:val="00EA2FB9"/>
    <w:rsid w:val="00EA2FD8"/>
    <w:rsid w:val="00EA300F"/>
    <w:rsid w:val="00EA30A9"/>
    <w:rsid w:val="00EA3191"/>
    <w:rsid w:val="00EA3198"/>
    <w:rsid w:val="00EA324B"/>
    <w:rsid w:val="00EA332B"/>
    <w:rsid w:val="00EA33F6"/>
    <w:rsid w:val="00EA3452"/>
    <w:rsid w:val="00EA35F2"/>
    <w:rsid w:val="00EA3863"/>
    <w:rsid w:val="00EA39B7"/>
    <w:rsid w:val="00EA39C1"/>
    <w:rsid w:val="00EA3AA9"/>
    <w:rsid w:val="00EA3AC9"/>
    <w:rsid w:val="00EA3AEB"/>
    <w:rsid w:val="00EA3B28"/>
    <w:rsid w:val="00EA3B74"/>
    <w:rsid w:val="00EA3BB3"/>
    <w:rsid w:val="00EA3C56"/>
    <w:rsid w:val="00EA3ED5"/>
    <w:rsid w:val="00EA3F0E"/>
    <w:rsid w:val="00EA3FB1"/>
    <w:rsid w:val="00EA4181"/>
    <w:rsid w:val="00EA42C9"/>
    <w:rsid w:val="00EA42FC"/>
    <w:rsid w:val="00EA442E"/>
    <w:rsid w:val="00EA445D"/>
    <w:rsid w:val="00EA4471"/>
    <w:rsid w:val="00EA4626"/>
    <w:rsid w:val="00EA46C3"/>
    <w:rsid w:val="00EA48F0"/>
    <w:rsid w:val="00EA4966"/>
    <w:rsid w:val="00EA4975"/>
    <w:rsid w:val="00EA4A14"/>
    <w:rsid w:val="00EA4ADE"/>
    <w:rsid w:val="00EA4AF3"/>
    <w:rsid w:val="00EA4AF7"/>
    <w:rsid w:val="00EA4BFB"/>
    <w:rsid w:val="00EA4E5B"/>
    <w:rsid w:val="00EA4EFF"/>
    <w:rsid w:val="00EA4F68"/>
    <w:rsid w:val="00EA4FB8"/>
    <w:rsid w:val="00EA4FCA"/>
    <w:rsid w:val="00EA506A"/>
    <w:rsid w:val="00EA5072"/>
    <w:rsid w:val="00EA50C2"/>
    <w:rsid w:val="00EA50D7"/>
    <w:rsid w:val="00EA531C"/>
    <w:rsid w:val="00EA53AD"/>
    <w:rsid w:val="00EA53B0"/>
    <w:rsid w:val="00EA5441"/>
    <w:rsid w:val="00EA546C"/>
    <w:rsid w:val="00EA5473"/>
    <w:rsid w:val="00EA56CC"/>
    <w:rsid w:val="00EA5792"/>
    <w:rsid w:val="00EA584A"/>
    <w:rsid w:val="00EA5984"/>
    <w:rsid w:val="00EA5992"/>
    <w:rsid w:val="00EA59DA"/>
    <w:rsid w:val="00EA5A4F"/>
    <w:rsid w:val="00EA5A64"/>
    <w:rsid w:val="00EA5A7D"/>
    <w:rsid w:val="00EA5A9E"/>
    <w:rsid w:val="00EA5BB8"/>
    <w:rsid w:val="00EA5D2F"/>
    <w:rsid w:val="00EA5E32"/>
    <w:rsid w:val="00EA5FB8"/>
    <w:rsid w:val="00EA6144"/>
    <w:rsid w:val="00EA61D5"/>
    <w:rsid w:val="00EA6420"/>
    <w:rsid w:val="00EA648B"/>
    <w:rsid w:val="00EA6597"/>
    <w:rsid w:val="00EA6684"/>
    <w:rsid w:val="00EA66FD"/>
    <w:rsid w:val="00EA6703"/>
    <w:rsid w:val="00EA686A"/>
    <w:rsid w:val="00EA691B"/>
    <w:rsid w:val="00EA6997"/>
    <w:rsid w:val="00EA6D4D"/>
    <w:rsid w:val="00EA6D9D"/>
    <w:rsid w:val="00EA6DEC"/>
    <w:rsid w:val="00EA6E7A"/>
    <w:rsid w:val="00EA6F3A"/>
    <w:rsid w:val="00EA701C"/>
    <w:rsid w:val="00EA70AC"/>
    <w:rsid w:val="00EA72F8"/>
    <w:rsid w:val="00EA7339"/>
    <w:rsid w:val="00EA73CC"/>
    <w:rsid w:val="00EA7413"/>
    <w:rsid w:val="00EA74D0"/>
    <w:rsid w:val="00EA74D7"/>
    <w:rsid w:val="00EA76E1"/>
    <w:rsid w:val="00EA76FC"/>
    <w:rsid w:val="00EA791B"/>
    <w:rsid w:val="00EA7990"/>
    <w:rsid w:val="00EA79DD"/>
    <w:rsid w:val="00EA7A43"/>
    <w:rsid w:val="00EA7B3E"/>
    <w:rsid w:val="00EA7BEA"/>
    <w:rsid w:val="00EA7C28"/>
    <w:rsid w:val="00EA7C8F"/>
    <w:rsid w:val="00EA7D99"/>
    <w:rsid w:val="00EA7DC6"/>
    <w:rsid w:val="00EA7F66"/>
    <w:rsid w:val="00EA7FAE"/>
    <w:rsid w:val="00EB0115"/>
    <w:rsid w:val="00EB0165"/>
    <w:rsid w:val="00EB016D"/>
    <w:rsid w:val="00EB034C"/>
    <w:rsid w:val="00EB03E3"/>
    <w:rsid w:val="00EB05F2"/>
    <w:rsid w:val="00EB06CB"/>
    <w:rsid w:val="00EB06F8"/>
    <w:rsid w:val="00EB08A3"/>
    <w:rsid w:val="00EB091E"/>
    <w:rsid w:val="00EB098C"/>
    <w:rsid w:val="00EB0A1D"/>
    <w:rsid w:val="00EB0A73"/>
    <w:rsid w:val="00EB0AC3"/>
    <w:rsid w:val="00EB0ACC"/>
    <w:rsid w:val="00EB0C35"/>
    <w:rsid w:val="00EB0C9F"/>
    <w:rsid w:val="00EB0D7B"/>
    <w:rsid w:val="00EB0E02"/>
    <w:rsid w:val="00EB0E0B"/>
    <w:rsid w:val="00EB0E1E"/>
    <w:rsid w:val="00EB0F90"/>
    <w:rsid w:val="00EB10D3"/>
    <w:rsid w:val="00EB116C"/>
    <w:rsid w:val="00EB11EE"/>
    <w:rsid w:val="00EB1495"/>
    <w:rsid w:val="00EB15B2"/>
    <w:rsid w:val="00EB16B5"/>
    <w:rsid w:val="00EB17F1"/>
    <w:rsid w:val="00EB1896"/>
    <w:rsid w:val="00EB192C"/>
    <w:rsid w:val="00EB1932"/>
    <w:rsid w:val="00EB1987"/>
    <w:rsid w:val="00EB19FC"/>
    <w:rsid w:val="00EB1B63"/>
    <w:rsid w:val="00EB1BDD"/>
    <w:rsid w:val="00EB1F0B"/>
    <w:rsid w:val="00EB1F81"/>
    <w:rsid w:val="00EB2111"/>
    <w:rsid w:val="00EB2127"/>
    <w:rsid w:val="00EB215B"/>
    <w:rsid w:val="00EB21B5"/>
    <w:rsid w:val="00EB2463"/>
    <w:rsid w:val="00EB2484"/>
    <w:rsid w:val="00EB24C8"/>
    <w:rsid w:val="00EB24D4"/>
    <w:rsid w:val="00EB2530"/>
    <w:rsid w:val="00EB25EF"/>
    <w:rsid w:val="00EB26E0"/>
    <w:rsid w:val="00EB287E"/>
    <w:rsid w:val="00EB2AAE"/>
    <w:rsid w:val="00EB2AB7"/>
    <w:rsid w:val="00EB2BEB"/>
    <w:rsid w:val="00EB2BFF"/>
    <w:rsid w:val="00EB2C0A"/>
    <w:rsid w:val="00EB2C28"/>
    <w:rsid w:val="00EB2D1F"/>
    <w:rsid w:val="00EB2D77"/>
    <w:rsid w:val="00EB2DE9"/>
    <w:rsid w:val="00EB2ECB"/>
    <w:rsid w:val="00EB2EDF"/>
    <w:rsid w:val="00EB3093"/>
    <w:rsid w:val="00EB3108"/>
    <w:rsid w:val="00EB31F6"/>
    <w:rsid w:val="00EB3257"/>
    <w:rsid w:val="00EB32DA"/>
    <w:rsid w:val="00EB3328"/>
    <w:rsid w:val="00EB3435"/>
    <w:rsid w:val="00EB3439"/>
    <w:rsid w:val="00EB3559"/>
    <w:rsid w:val="00EB3562"/>
    <w:rsid w:val="00EB357F"/>
    <w:rsid w:val="00EB3614"/>
    <w:rsid w:val="00EB363C"/>
    <w:rsid w:val="00EB3734"/>
    <w:rsid w:val="00EB3818"/>
    <w:rsid w:val="00EB3996"/>
    <w:rsid w:val="00EB39F4"/>
    <w:rsid w:val="00EB3AC1"/>
    <w:rsid w:val="00EB3ACA"/>
    <w:rsid w:val="00EB3BE0"/>
    <w:rsid w:val="00EB3C47"/>
    <w:rsid w:val="00EB3C71"/>
    <w:rsid w:val="00EB3D4C"/>
    <w:rsid w:val="00EB3D69"/>
    <w:rsid w:val="00EB3DBB"/>
    <w:rsid w:val="00EB3DCD"/>
    <w:rsid w:val="00EB3E2E"/>
    <w:rsid w:val="00EB3E37"/>
    <w:rsid w:val="00EB3E82"/>
    <w:rsid w:val="00EB3F15"/>
    <w:rsid w:val="00EB3F95"/>
    <w:rsid w:val="00EB400B"/>
    <w:rsid w:val="00EB4083"/>
    <w:rsid w:val="00EB40D5"/>
    <w:rsid w:val="00EB42EA"/>
    <w:rsid w:val="00EB4435"/>
    <w:rsid w:val="00EB45A2"/>
    <w:rsid w:val="00EB462E"/>
    <w:rsid w:val="00EB46AE"/>
    <w:rsid w:val="00EB4852"/>
    <w:rsid w:val="00EB4876"/>
    <w:rsid w:val="00EB4A06"/>
    <w:rsid w:val="00EB4A4B"/>
    <w:rsid w:val="00EB4A69"/>
    <w:rsid w:val="00EB4AFE"/>
    <w:rsid w:val="00EB4C4E"/>
    <w:rsid w:val="00EB4CA8"/>
    <w:rsid w:val="00EB4CBE"/>
    <w:rsid w:val="00EB4D42"/>
    <w:rsid w:val="00EB4D7B"/>
    <w:rsid w:val="00EB4E26"/>
    <w:rsid w:val="00EB4F78"/>
    <w:rsid w:val="00EB5093"/>
    <w:rsid w:val="00EB50D2"/>
    <w:rsid w:val="00EB5131"/>
    <w:rsid w:val="00EB5391"/>
    <w:rsid w:val="00EB5471"/>
    <w:rsid w:val="00EB5601"/>
    <w:rsid w:val="00EB5622"/>
    <w:rsid w:val="00EB562B"/>
    <w:rsid w:val="00EB5655"/>
    <w:rsid w:val="00EB56AA"/>
    <w:rsid w:val="00EB57A0"/>
    <w:rsid w:val="00EB5888"/>
    <w:rsid w:val="00EB5A4F"/>
    <w:rsid w:val="00EB5ACB"/>
    <w:rsid w:val="00EB5AD1"/>
    <w:rsid w:val="00EB5BD9"/>
    <w:rsid w:val="00EB5CFD"/>
    <w:rsid w:val="00EB5F20"/>
    <w:rsid w:val="00EB6067"/>
    <w:rsid w:val="00EB6139"/>
    <w:rsid w:val="00EB6190"/>
    <w:rsid w:val="00EB6358"/>
    <w:rsid w:val="00EB63E3"/>
    <w:rsid w:val="00EB63EE"/>
    <w:rsid w:val="00EB64C6"/>
    <w:rsid w:val="00EB6530"/>
    <w:rsid w:val="00EB657D"/>
    <w:rsid w:val="00EB6597"/>
    <w:rsid w:val="00EB65C0"/>
    <w:rsid w:val="00EB6633"/>
    <w:rsid w:val="00EB66C5"/>
    <w:rsid w:val="00EB678B"/>
    <w:rsid w:val="00EB68A5"/>
    <w:rsid w:val="00EB68FA"/>
    <w:rsid w:val="00EB6A14"/>
    <w:rsid w:val="00EB6A48"/>
    <w:rsid w:val="00EB6B6A"/>
    <w:rsid w:val="00EB6C6E"/>
    <w:rsid w:val="00EB6CC0"/>
    <w:rsid w:val="00EB6D60"/>
    <w:rsid w:val="00EB6E18"/>
    <w:rsid w:val="00EB6F20"/>
    <w:rsid w:val="00EB6FFD"/>
    <w:rsid w:val="00EB706C"/>
    <w:rsid w:val="00EB707A"/>
    <w:rsid w:val="00EB70A8"/>
    <w:rsid w:val="00EB70E6"/>
    <w:rsid w:val="00EB72CE"/>
    <w:rsid w:val="00EB738C"/>
    <w:rsid w:val="00EB7410"/>
    <w:rsid w:val="00EB7482"/>
    <w:rsid w:val="00EB7489"/>
    <w:rsid w:val="00EB74BB"/>
    <w:rsid w:val="00EB7570"/>
    <w:rsid w:val="00EB75A5"/>
    <w:rsid w:val="00EB7613"/>
    <w:rsid w:val="00EB7631"/>
    <w:rsid w:val="00EB7647"/>
    <w:rsid w:val="00EB76CA"/>
    <w:rsid w:val="00EB7710"/>
    <w:rsid w:val="00EB771A"/>
    <w:rsid w:val="00EB7903"/>
    <w:rsid w:val="00EB791D"/>
    <w:rsid w:val="00EB79C5"/>
    <w:rsid w:val="00EB7A2E"/>
    <w:rsid w:val="00EB7A5F"/>
    <w:rsid w:val="00EB7BDF"/>
    <w:rsid w:val="00EB7CE4"/>
    <w:rsid w:val="00EB7D97"/>
    <w:rsid w:val="00EB7E06"/>
    <w:rsid w:val="00EB7E98"/>
    <w:rsid w:val="00EB7FC5"/>
    <w:rsid w:val="00EB7FE8"/>
    <w:rsid w:val="00EC0085"/>
    <w:rsid w:val="00EC011A"/>
    <w:rsid w:val="00EC018B"/>
    <w:rsid w:val="00EC0268"/>
    <w:rsid w:val="00EC046E"/>
    <w:rsid w:val="00EC056A"/>
    <w:rsid w:val="00EC058E"/>
    <w:rsid w:val="00EC066C"/>
    <w:rsid w:val="00EC07A6"/>
    <w:rsid w:val="00EC093E"/>
    <w:rsid w:val="00EC094E"/>
    <w:rsid w:val="00EC09BF"/>
    <w:rsid w:val="00EC0B63"/>
    <w:rsid w:val="00EC0B8C"/>
    <w:rsid w:val="00EC0B99"/>
    <w:rsid w:val="00EC0C03"/>
    <w:rsid w:val="00EC0D01"/>
    <w:rsid w:val="00EC0D05"/>
    <w:rsid w:val="00EC0DA7"/>
    <w:rsid w:val="00EC0F04"/>
    <w:rsid w:val="00EC0F55"/>
    <w:rsid w:val="00EC0FFE"/>
    <w:rsid w:val="00EC1032"/>
    <w:rsid w:val="00EC112D"/>
    <w:rsid w:val="00EC11AB"/>
    <w:rsid w:val="00EC1244"/>
    <w:rsid w:val="00EC142B"/>
    <w:rsid w:val="00EC1454"/>
    <w:rsid w:val="00EC1461"/>
    <w:rsid w:val="00EC147B"/>
    <w:rsid w:val="00EC14D6"/>
    <w:rsid w:val="00EC152B"/>
    <w:rsid w:val="00EC1543"/>
    <w:rsid w:val="00EC1577"/>
    <w:rsid w:val="00EC160D"/>
    <w:rsid w:val="00EC1634"/>
    <w:rsid w:val="00EC166B"/>
    <w:rsid w:val="00EC1681"/>
    <w:rsid w:val="00EC16DB"/>
    <w:rsid w:val="00EC1770"/>
    <w:rsid w:val="00EC177C"/>
    <w:rsid w:val="00EC17DB"/>
    <w:rsid w:val="00EC17F2"/>
    <w:rsid w:val="00EC17FD"/>
    <w:rsid w:val="00EC189D"/>
    <w:rsid w:val="00EC18A4"/>
    <w:rsid w:val="00EC18F8"/>
    <w:rsid w:val="00EC1A4A"/>
    <w:rsid w:val="00EC1A52"/>
    <w:rsid w:val="00EC1AF5"/>
    <w:rsid w:val="00EC1C5B"/>
    <w:rsid w:val="00EC1C6A"/>
    <w:rsid w:val="00EC1C82"/>
    <w:rsid w:val="00EC1D9C"/>
    <w:rsid w:val="00EC1DAA"/>
    <w:rsid w:val="00EC1E78"/>
    <w:rsid w:val="00EC1E8B"/>
    <w:rsid w:val="00EC1F17"/>
    <w:rsid w:val="00EC1FDE"/>
    <w:rsid w:val="00EC1FF5"/>
    <w:rsid w:val="00EC2203"/>
    <w:rsid w:val="00EC220C"/>
    <w:rsid w:val="00EC22A6"/>
    <w:rsid w:val="00EC233E"/>
    <w:rsid w:val="00EC24A1"/>
    <w:rsid w:val="00EC25EA"/>
    <w:rsid w:val="00EC2720"/>
    <w:rsid w:val="00EC27AB"/>
    <w:rsid w:val="00EC290C"/>
    <w:rsid w:val="00EC2917"/>
    <w:rsid w:val="00EC2A42"/>
    <w:rsid w:val="00EC2A88"/>
    <w:rsid w:val="00EC2B06"/>
    <w:rsid w:val="00EC2B9F"/>
    <w:rsid w:val="00EC2BBD"/>
    <w:rsid w:val="00EC2BEF"/>
    <w:rsid w:val="00EC2CCF"/>
    <w:rsid w:val="00EC2D96"/>
    <w:rsid w:val="00EC2EAF"/>
    <w:rsid w:val="00EC2F1E"/>
    <w:rsid w:val="00EC309C"/>
    <w:rsid w:val="00EC30FE"/>
    <w:rsid w:val="00EC313E"/>
    <w:rsid w:val="00EC3168"/>
    <w:rsid w:val="00EC341C"/>
    <w:rsid w:val="00EC35C6"/>
    <w:rsid w:val="00EC3692"/>
    <w:rsid w:val="00EC3818"/>
    <w:rsid w:val="00EC386E"/>
    <w:rsid w:val="00EC38AB"/>
    <w:rsid w:val="00EC38AF"/>
    <w:rsid w:val="00EC3946"/>
    <w:rsid w:val="00EC3A96"/>
    <w:rsid w:val="00EC3B38"/>
    <w:rsid w:val="00EC3B98"/>
    <w:rsid w:val="00EC3BDC"/>
    <w:rsid w:val="00EC3D93"/>
    <w:rsid w:val="00EC3E04"/>
    <w:rsid w:val="00EC3F58"/>
    <w:rsid w:val="00EC3F8F"/>
    <w:rsid w:val="00EC403F"/>
    <w:rsid w:val="00EC40BC"/>
    <w:rsid w:val="00EC40D4"/>
    <w:rsid w:val="00EC4140"/>
    <w:rsid w:val="00EC4204"/>
    <w:rsid w:val="00EC42D3"/>
    <w:rsid w:val="00EC4418"/>
    <w:rsid w:val="00EC4605"/>
    <w:rsid w:val="00EC4856"/>
    <w:rsid w:val="00EC487F"/>
    <w:rsid w:val="00EC4904"/>
    <w:rsid w:val="00EC4A82"/>
    <w:rsid w:val="00EC4ADC"/>
    <w:rsid w:val="00EC4AED"/>
    <w:rsid w:val="00EC4C79"/>
    <w:rsid w:val="00EC4F8C"/>
    <w:rsid w:val="00EC51CC"/>
    <w:rsid w:val="00EC51E1"/>
    <w:rsid w:val="00EC5223"/>
    <w:rsid w:val="00EC52B0"/>
    <w:rsid w:val="00EC53FE"/>
    <w:rsid w:val="00EC542D"/>
    <w:rsid w:val="00EC5645"/>
    <w:rsid w:val="00EC5794"/>
    <w:rsid w:val="00EC57BE"/>
    <w:rsid w:val="00EC57E3"/>
    <w:rsid w:val="00EC58FC"/>
    <w:rsid w:val="00EC590D"/>
    <w:rsid w:val="00EC59A2"/>
    <w:rsid w:val="00EC5A3E"/>
    <w:rsid w:val="00EC5A97"/>
    <w:rsid w:val="00EC5C20"/>
    <w:rsid w:val="00EC5C65"/>
    <w:rsid w:val="00EC5C9A"/>
    <w:rsid w:val="00EC5DD4"/>
    <w:rsid w:val="00EC5DD9"/>
    <w:rsid w:val="00EC5F2B"/>
    <w:rsid w:val="00EC6097"/>
    <w:rsid w:val="00EC6126"/>
    <w:rsid w:val="00EC62B7"/>
    <w:rsid w:val="00EC62C3"/>
    <w:rsid w:val="00EC6367"/>
    <w:rsid w:val="00EC647F"/>
    <w:rsid w:val="00EC663F"/>
    <w:rsid w:val="00EC6694"/>
    <w:rsid w:val="00EC67A7"/>
    <w:rsid w:val="00EC6804"/>
    <w:rsid w:val="00EC6907"/>
    <w:rsid w:val="00EC6AF6"/>
    <w:rsid w:val="00EC6AF7"/>
    <w:rsid w:val="00EC6B05"/>
    <w:rsid w:val="00EC6CB1"/>
    <w:rsid w:val="00EC6CFA"/>
    <w:rsid w:val="00EC6D0F"/>
    <w:rsid w:val="00EC6D3B"/>
    <w:rsid w:val="00EC6DE1"/>
    <w:rsid w:val="00EC6E1C"/>
    <w:rsid w:val="00EC6E61"/>
    <w:rsid w:val="00EC6E93"/>
    <w:rsid w:val="00EC6FA3"/>
    <w:rsid w:val="00EC71AE"/>
    <w:rsid w:val="00EC722E"/>
    <w:rsid w:val="00EC7278"/>
    <w:rsid w:val="00EC7361"/>
    <w:rsid w:val="00EC7393"/>
    <w:rsid w:val="00EC739B"/>
    <w:rsid w:val="00EC73AB"/>
    <w:rsid w:val="00EC74AB"/>
    <w:rsid w:val="00EC761C"/>
    <w:rsid w:val="00EC7680"/>
    <w:rsid w:val="00EC7730"/>
    <w:rsid w:val="00EC7733"/>
    <w:rsid w:val="00EC7774"/>
    <w:rsid w:val="00EC781E"/>
    <w:rsid w:val="00EC78A2"/>
    <w:rsid w:val="00EC78B0"/>
    <w:rsid w:val="00EC7AA4"/>
    <w:rsid w:val="00EC7BF8"/>
    <w:rsid w:val="00EC7C32"/>
    <w:rsid w:val="00EC7C7F"/>
    <w:rsid w:val="00EC7CA3"/>
    <w:rsid w:val="00ED018C"/>
    <w:rsid w:val="00ED020C"/>
    <w:rsid w:val="00ED0271"/>
    <w:rsid w:val="00ED0369"/>
    <w:rsid w:val="00ED05D5"/>
    <w:rsid w:val="00ED06DB"/>
    <w:rsid w:val="00ED085C"/>
    <w:rsid w:val="00ED0888"/>
    <w:rsid w:val="00ED09EB"/>
    <w:rsid w:val="00ED09F2"/>
    <w:rsid w:val="00ED0A2A"/>
    <w:rsid w:val="00ED0A5A"/>
    <w:rsid w:val="00ED0AFF"/>
    <w:rsid w:val="00ED0B1F"/>
    <w:rsid w:val="00ED0C49"/>
    <w:rsid w:val="00ED0D55"/>
    <w:rsid w:val="00ED0E5A"/>
    <w:rsid w:val="00ED0F68"/>
    <w:rsid w:val="00ED0FFE"/>
    <w:rsid w:val="00ED1092"/>
    <w:rsid w:val="00ED1139"/>
    <w:rsid w:val="00ED120D"/>
    <w:rsid w:val="00ED1382"/>
    <w:rsid w:val="00ED13FD"/>
    <w:rsid w:val="00ED14A6"/>
    <w:rsid w:val="00ED1582"/>
    <w:rsid w:val="00ED16FF"/>
    <w:rsid w:val="00ED174C"/>
    <w:rsid w:val="00ED1766"/>
    <w:rsid w:val="00ED179B"/>
    <w:rsid w:val="00ED17CD"/>
    <w:rsid w:val="00ED1A09"/>
    <w:rsid w:val="00ED1CD7"/>
    <w:rsid w:val="00ED1D43"/>
    <w:rsid w:val="00ED1DD6"/>
    <w:rsid w:val="00ED1F90"/>
    <w:rsid w:val="00ED21B2"/>
    <w:rsid w:val="00ED2281"/>
    <w:rsid w:val="00ED23AE"/>
    <w:rsid w:val="00ED240D"/>
    <w:rsid w:val="00ED2463"/>
    <w:rsid w:val="00ED246B"/>
    <w:rsid w:val="00ED2489"/>
    <w:rsid w:val="00ED24A1"/>
    <w:rsid w:val="00ED27C6"/>
    <w:rsid w:val="00ED27D1"/>
    <w:rsid w:val="00ED280F"/>
    <w:rsid w:val="00ED28A6"/>
    <w:rsid w:val="00ED2918"/>
    <w:rsid w:val="00ED29E6"/>
    <w:rsid w:val="00ED2ABB"/>
    <w:rsid w:val="00ED2B28"/>
    <w:rsid w:val="00ED2D27"/>
    <w:rsid w:val="00ED2DB9"/>
    <w:rsid w:val="00ED2DDA"/>
    <w:rsid w:val="00ED2F25"/>
    <w:rsid w:val="00ED3075"/>
    <w:rsid w:val="00ED309D"/>
    <w:rsid w:val="00ED30A0"/>
    <w:rsid w:val="00ED3176"/>
    <w:rsid w:val="00ED31DA"/>
    <w:rsid w:val="00ED32C9"/>
    <w:rsid w:val="00ED32CE"/>
    <w:rsid w:val="00ED332E"/>
    <w:rsid w:val="00ED33EB"/>
    <w:rsid w:val="00ED355E"/>
    <w:rsid w:val="00ED3576"/>
    <w:rsid w:val="00ED3829"/>
    <w:rsid w:val="00ED389A"/>
    <w:rsid w:val="00ED3925"/>
    <w:rsid w:val="00ED3928"/>
    <w:rsid w:val="00ED395C"/>
    <w:rsid w:val="00ED3A98"/>
    <w:rsid w:val="00ED3AA8"/>
    <w:rsid w:val="00ED3AB9"/>
    <w:rsid w:val="00ED3ABF"/>
    <w:rsid w:val="00ED3AE2"/>
    <w:rsid w:val="00ED3B64"/>
    <w:rsid w:val="00ED3CB9"/>
    <w:rsid w:val="00ED3D29"/>
    <w:rsid w:val="00ED3EDB"/>
    <w:rsid w:val="00ED4107"/>
    <w:rsid w:val="00ED4185"/>
    <w:rsid w:val="00ED4238"/>
    <w:rsid w:val="00ED435C"/>
    <w:rsid w:val="00ED4397"/>
    <w:rsid w:val="00ED43BC"/>
    <w:rsid w:val="00ED46AC"/>
    <w:rsid w:val="00ED4810"/>
    <w:rsid w:val="00ED48E0"/>
    <w:rsid w:val="00ED4A00"/>
    <w:rsid w:val="00ED4AEB"/>
    <w:rsid w:val="00ED4D31"/>
    <w:rsid w:val="00ED4D48"/>
    <w:rsid w:val="00ED5020"/>
    <w:rsid w:val="00ED51C8"/>
    <w:rsid w:val="00ED5242"/>
    <w:rsid w:val="00ED524A"/>
    <w:rsid w:val="00ED54BE"/>
    <w:rsid w:val="00ED55EB"/>
    <w:rsid w:val="00ED5631"/>
    <w:rsid w:val="00ED56DA"/>
    <w:rsid w:val="00ED5718"/>
    <w:rsid w:val="00ED5788"/>
    <w:rsid w:val="00ED580C"/>
    <w:rsid w:val="00ED5943"/>
    <w:rsid w:val="00ED5BA3"/>
    <w:rsid w:val="00ED5C54"/>
    <w:rsid w:val="00ED5D9B"/>
    <w:rsid w:val="00ED5E1A"/>
    <w:rsid w:val="00ED5F3D"/>
    <w:rsid w:val="00ED6015"/>
    <w:rsid w:val="00ED6022"/>
    <w:rsid w:val="00ED61DC"/>
    <w:rsid w:val="00ED61DF"/>
    <w:rsid w:val="00ED61E5"/>
    <w:rsid w:val="00ED6299"/>
    <w:rsid w:val="00ED6378"/>
    <w:rsid w:val="00ED64F5"/>
    <w:rsid w:val="00ED6564"/>
    <w:rsid w:val="00ED6587"/>
    <w:rsid w:val="00ED6614"/>
    <w:rsid w:val="00ED6665"/>
    <w:rsid w:val="00ED669A"/>
    <w:rsid w:val="00ED6943"/>
    <w:rsid w:val="00ED6AC8"/>
    <w:rsid w:val="00ED6B4E"/>
    <w:rsid w:val="00ED6CB2"/>
    <w:rsid w:val="00ED6CC0"/>
    <w:rsid w:val="00ED6CFE"/>
    <w:rsid w:val="00ED6EB9"/>
    <w:rsid w:val="00ED6FE9"/>
    <w:rsid w:val="00ED71C7"/>
    <w:rsid w:val="00ED7360"/>
    <w:rsid w:val="00ED738B"/>
    <w:rsid w:val="00ED73D1"/>
    <w:rsid w:val="00ED73D3"/>
    <w:rsid w:val="00ED745C"/>
    <w:rsid w:val="00ED74F9"/>
    <w:rsid w:val="00ED7570"/>
    <w:rsid w:val="00ED76E7"/>
    <w:rsid w:val="00ED776E"/>
    <w:rsid w:val="00ED779F"/>
    <w:rsid w:val="00ED77D5"/>
    <w:rsid w:val="00ED785C"/>
    <w:rsid w:val="00ED79F3"/>
    <w:rsid w:val="00ED7A87"/>
    <w:rsid w:val="00ED7ACF"/>
    <w:rsid w:val="00ED7B45"/>
    <w:rsid w:val="00ED7BD0"/>
    <w:rsid w:val="00ED7BEA"/>
    <w:rsid w:val="00ED7BFC"/>
    <w:rsid w:val="00ED7C0A"/>
    <w:rsid w:val="00ED7C4F"/>
    <w:rsid w:val="00ED7E4B"/>
    <w:rsid w:val="00ED7EB9"/>
    <w:rsid w:val="00ED7F2D"/>
    <w:rsid w:val="00ED7F83"/>
    <w:rsid w:val="00ED7FB0"/>
    <w:rsid w:val="00ED7FDF"/>
    <w:rsid w:val="00EE02CB"/>
    <w:rsid w:val="00EE02D2"/>
    <w:rsid w:val="00EE02F6"/>
    <w:rsid w:val="00EE0609"/>
    <w:rsid w:val="00EE0649"/>
    <w:rsid w:val="00EE067C"/>
    <w:rsid w:val="00EE06B5"/>
    <w:rsid w:val="00EE07F9"/>
    <w:rsid w:val="00EE0837"/>
    <w:rsid w:val="00EE0878"/>
    <w:rsid w:val="00EE087E"/>
    <w:rsid w:val="00EE08F6"/>
    <w:rsid w:val="00EE09DD"/>
    <w:rsid w:val="00EE09FD"/>
    <w:rsid w:val="00EE0A3F"/>
    <w:rsid w:val="00EE0CC4"/>
    <w:rsid w:val="00EE0D44"/>
    <w:rsid w:val="00EE0D68"/>
    <w:rsid w:val="00EE0DC2"/>
    <w:rsid w:val="00EE0E5E"/>
    <w:rsid w:val="00EE0F29"/>
    <w:rsid w:val="00EE101A"/>
    <w:rsid w:val="00EE1117"/>
    <w:rsid w:val="00EE12EB"/>
    <w:rsid w:val="00EE1355"/>
    <w:rsid w:val="00EE1495"/>
    <w:rsid w:val="00EE14B3"/>
    <w:rsid w:val="00EE14E4"/>
    <w:rsid w:val="00EE17A2"/>
    <w:rsid w:val="00EE17A8"/>
    <w:rsid w:val="00EE18D3"/>
    <w:rsid w:val="00EE1A01"/>
    <w:rsid w:val="00EE1A35"/>
    <w:rsid w:val="00EE1B5D"/>
    <w:rsid w:val="00EE1D9D"/>
    <w:rsid w:val="00EE1DB3"/>
    <w:rsid w:val="00EE1EDC"/>
    <w:rsid w:val="00EE205F"/>
    <w:rsid w:val="00EE21F1"/>
    <w:rsid w:val="00EE223A"/>
    <w:rsid w:val="00EE2252"/>
    <w:rsid w:val="00EE2261"/>
    <w:rsid w:val="00EE23C6"/>
    <w:rsid w:val="00EE24AA"/>
    <w:rsid w:val="00EE26C6"/>
    <w:rsid w:val="00EE2767"/>
    <w:rsid w:val="00EE282D"/>
    <w:rsid w:val="00EE28E3"/>
    <w:rsid w:val="00EE297C"/>
    <w:rsid w:val="00EE2A44"/>
    <w:rsid w:val="00EE2A58"/>
    <w:rsid w:val="00EE2A98"/>
    <w:rsid w:val="00EE2AB7"/>
    <w:rsid w:val="00EE2B03"/>
    <w:rsid w:val="00EE2B05"/>
    <w:rsid w:val="00EE2B6D"/>
    <w:rsid w:val="00EE2B7E"/>
    <w:rsid w:val="00EE2CFF"/>
    <w:rsid w:val="00EE2D23"/>
    <w:rsid w:val="00EE2D9C"/>
    <w:rsid w:val="00EE2E83"/>
    <w:rsid w:val="00EE30CA"/>
    <w:rsid w:val="00EE30D3"/>
    <w:rsid w:val="00EE3105"/>
    <w:rsid w:val="00EE3149"/>
    <w:rsid w:val="00EE3284"/>
    <w:rsid w:val="00EE33C4"/>
    <w:rsid w:val="00EE357B"/>
    <w:rsid w:val="00EE3612"/>
    <w:rsid w:val="00EE3667"/>
    <w:rsid w:val="00EE366B"/>
    <w:rsid w:val="00EE380E"/>
    <w:rsid w:val="00EE3862"/>
    <w:rsid w:val="00EE38B4"/>
    <w:rsid w:val="00EE3917"/>
    <w:rsid w:val="00EE3A42"/>
    <w:rsid w:val="00EE3B03"/>
    <w:rsid w:val="00EE3B8A"/>
    <w:rsid w:val="00EE3D4E"/>
    <w:rsid w:val="00EE3DE9"/>
    <w:rsid w:val="00EE3F8F"/>
    <w:rsid w:val="00EE3FBC"/>
    <w:rsid w:val="00EE40AF"/>
    <w:rsid w:val="00EE418E"/>
    <w:rsid w:val="00EE41BA"/>
    <w:rsid w:val="00EE425C"/>
    <w:rsid w:val="00EE425E"/>
    <w:rsid w:val="00EE42AA"/>
    <w:rsid w:val="00EE42F7"/>
    <w:rsid w:val="00EE4457"/>
    <w:rsid w:val="00EE4464"/>
    <w:rsid w:val="00EE4588"/>
    <w:rsid w:val="00EE45E0"/>
    <w:rsid w:val="00EE4650"/>
    <w:rsid w:val="00EE471A"/>
    <w:rsid w:val="00EE47FC"/>
    <w:rsid w:val="00EE4804"/>
    <w:rsid w:val="00EE489C"/>
    <w:rsid w:val="00EE4A0C"/>
    <w:rsid w:val="00EE4A2E"/>
    <w:rsid w:val="00EE4AF5"/>
    <w:rsid w:val="00EE4B70"/>
    <w:rsid w:val="00EE4B7B"/>
    <w:rsid w:val="00EE4B8A"/>
    <w:rsid w:val="00EE4CAB"/>
    <w:rsid w:val="00EE4CFF"/>
    <w:rsid w:val="00EE4D28"/>
    <w:rsid w:val="00EE4FB5"/>
    <w:rsid w:val="00EE5009"/>
    <w:rsid w:val="00EE5060"/>
    <w:rsid w:val="00EE5094"/>
    <w:rsid w:val="00EE509A"/>
    <w:rsid w:val="00EE5146"/>
    <w:rsid w:val="00EE5215"/>
    <w:rsid w:val="00EE52AC"/>
    <w:rsid w:val="00EE52EB"/>
    <w:rsid w:val="00EE53D0"/>
    <w:rsid w:val="00EE5595"/>
    <w:rsid w:val="00EE5618"/>
    <w:rsid w:val="00EE565F"/>
    <w:rsid w:val="00EE56D8"/>
    <w:rsid w:val="00EE5747"/>
    <w:rsid w:val="00EE577F"/>
    <w:rsid w:val="00EE57C9"/>
    <w:rsid w:val="00EE5866"/>
    <w:rsid w:val="00EE5893"/>
    <w:rsid w:val="00EE5895"/>
    <w:rsid w:val="00EE5A5C"/>
    <w:rsid w:val="00EE5B64"/>
    <w:rsid w:val="00EE5C1D"/>
    <w:rsid w:val="00EE5C50"/>
    <w:rsid w:val="00EE5D53"/>
    <w:rsid w:val="00EE5E32"/>
    <w:rsid w:val="00EE5E59"/>
    <w:rsid w:val="00EE5F5D"/>
    <w:rsid w:val="00EE5F9B"/>
    <w:rsid w:val="00EE607C"/>
    <w:rsid w:val="00EE60C1"/>
    <w:rsid w:val="00EE639D"/>
    <w:rsid w:val="00EE6413"/>
    <w:rsid w:val="00EE6447"/>
    <w:rsid w:val="00EE651E"/>
    <w:rsid w:val="00EE655C"/>
    <w:rsid w:val="00EE66AD"/>
    <w:rsid w:val="00EE6755"/>
    <w:rsid w:val="00EE6896"/>
    <w:rsid w:val="00EE6919"/>
    <w:rsid w:val="00EE696E"/>
    <w:rsid w:val="00EE6AE6"/>
    <w:rsid w:val="00EE6B17"/>
    <w:rsid w:val="00EE6CDB"/>
    <w:rsid w:val="00EE6D02"/>
    <w:rsid w:val="00EE6D54"/>
    <w:rsid w:val="00EE6E54"/>
    <w:rsid w:val="00EE6E55"/>
    <w:rsid w:val="00EE6F1A"/>
    <w:rsid w:val="00EE6F2B"/>
    <w:rsid w:val="00EE71F1"/>
    <w:rsid w:val="00EE720A"/>
    <w:rsid w:val="00EE725C"/>
    <w:rsid w:val="00EE72F8"/>
    <w:rsid w:val="00EE7374"/>
    <w:rsid w:val="00EE7382"/>
    <w:rsid w:val="00EE75BC"/>
    <w:rsid w:val="00EE75BF"/>
    <w:rsid w:val="00EE75DF"/>
    <w:rsid w:val="00EE764C"/>
    <w:rsid w:val="00EE775C"/>
    <w:rsid w:val="00EE7798"/>
    <w:rsid w:val="00EE77CB"/>
    <w:rsid w:val="00EE77E4"/>
    <w:rsid w:val="00EE788D"/>
    <w:rsid w:val="00EE7933"/>
    <w:rsid w:val="00EE7A4D"/>
    <w:rsid w:val="00EE7A7A"/>
    <w:rsid w:val="00EE7CF0"/>
    <w:rsid w:val="00EE7D3A"/>
    <w:rsid w:val="00EE7D6A"/>
    <w:rsid w:val="00EE7DB5"/>
    <w:rsid w:val="00EE7E42"/>
    <w:rsid w:val="00EE7E97"/>
    <w:rsid w:val="00EE7F2A"/>
    <w:rsid w:val="00EE7FC2"/>
    <w:rsid w:val="00EF0077"/>
    <w:rsid w:val="00EF0084"/>
    <w:rsid w:val="00EF011B"/>
    <w:rsid w:val="00EF0138"/>
    <w:rsid w:val="00EF01BA"/>
    <w:rsid w:val="00EF01F8"/>
    <w:rsid w:val="00EF0292"/>
    <w:rsid w:val="00EF063B"/>
    <w:rsid w:val="00EF0679"/>
    <w:rsid w:val="00EF068B"/>
    <w:rsid w:val="00EF06EC"/>
    <w:rsid w:val="00EF078A"/>
    <w:rsid w:val="00EF08A2"/>
    <w:rsid w:val="00EF08DD"/>
    <w:rsid w:val="00EF08EE"/>
    <w:rsid w:val="00EF0AA4"/>
    <w:rsid w:val="00EF0B36"/>
    <w:rsid w:val="00EF0BC7"/>
    <w:rsid w:val="00EF0C50"/>
    <w:rsid w:val="00EF0C9B"/>
    <w:rsid w:val="00EF0DDF"/>
    <w:rsid w:val="00EF0DF1"/>
    <w:rsid w:val="00EF0DFC"/>
    <w:rsid w:val="00EF0E34"/>
    <w:rsid w:val="00EF0F90"/>
    <w:rsid w:val="00EF100D"/>
    <w:rsid w:val="00EF1064"/>
    <w:rsid w:val="00EF107D"/>
    <w:rsid w:val="00EF11D1"/>
    <w:rsid w:val="00EF12A0"/>
    <w:rsid w:val="00EF1321"/>
    <w:rsid w:val="00EF13CD"/>
    <w:rsid w:val="00EF14C0"/>
    <w:rsid w:val="00EF1516"/>
    <w:rsid w:val="00EF153F"/>
    <w:rsid w:val="00EF157A"/>
    <w:rsid w:val="00EF1668"/>
    <w:rsid w:val="00EF16DE"/>
    <w:rsid w:val="00EF16FB"/>
    <w:rsid w:val="00EF1951"/>
    <w:rsid w:val="00EF1A15"/>
    <w:rsid w:val="00EF1C18"/>
    <w:rsid w:val="00EF1C4F"/>
    <w:rsid w:val="00EF1F28"/>
    <w:rsid w:val="00EF1F79"/>
    <w:rsid w:val="00EF2007"/>
    <w:rsid w:val="00EF2083"/>
    <w:rsid w:val="00EF220F"/>
    <w:rsid w:val="00EF225D"/>
    <w:rsid w:val="00EF22EC"/>
    <w:rsid w:val="00EF2476"/>
    <w:rsid w:val="00EF2537"/>
    <w:rsid w:val="00EF263F"/>
    <w:rsid w:val="00EF26CB"/>
    <w:rsid w:val="00EF28B8"/>
    <w:rsid w:val="00EF2950"/>
    <w:rsid w:val="00EF2A78"/>
    <w:rsid w:val="00EF2B7C"/>
    <w:rsid w:val="00EF2C64"/>
    <w:rsid w:val="00EF2C92"/>
    <w:rsid w:val="00EF2EC3"/>
    <w:rsid w:val="00EF2FA0"/>
    <w:rsid w:val="00EF2FFC"/>
    <w:rsid w:val="00EF30CF"/>
    <w:rsid w:val="00EF3217"/>
    <w:rsid w:val="00EF33AB"/>
    <w:rsid w:val="00EF33D3"/>
    <w:rsid w:val="00EF3478"/>
    <w:rsid w:val="00EF349C"/>
    <w:rsid w:val="00EF34EB"/>
    <w:rsid w:val="00EF3536"/>
    <w:rsid w:val="00EF35E8"/>
    <w:rsid w:val="00EF361B"/>
    <w:rsid w:val="00EF362F"/>
    <w:rsid w:val="00EF3648"/>
    <w:rsid w:val="00EF3683"/>
    <w:rsid w:val="00EF3742"/>
    <w:rsid w:val="00EF3A07"/>
    <w:rsid w:val="00EF3A1E"/>
    <w:rsid w:val="00EF3A6D"/>
    <w:rsid w:val="00EF3ADE"/>
    <w:rsid w:val="00EF3BFD"/>
    <w:rsid w:val="00EF3C66"/>
    <w:rsid w:val="00EF3CF9"/>
    <w:rsid w:val="00EF3D42"/>
    <w:rsid w:val="00EF3DF8"/>
    <w:rsid w:val="00EF3E4B"/>
    <w:rsid w:val="00EF3FED"/>
    <w:rsid w:val="00EF4272"/>
    <w:rsid w:val="00EF43A5"/>
    <w:rsid w:val="00EF43AE"/>
    <w:rsid w:val="00EF4402"/>
    <w:rsid w:val="00EF443A"/>
    <w:rsid w:val="00EF44BA"/>
    <w:rsid w:val="00EF44FB"/>
    <w:rsid w:val="00EF455D"/>
    <w:rsid w:val="00EF458A"/>
    <w:rsid w:val="00EF45D2"/>
    <w:rsid w:val="00EF45F1"/>
    <w:rsid w:val="00EF4621"/>
    <w:rsid w:val="00EF490E"/>
    <w:rsid w:val="00EF4943"/>
    <w:rsid w:val="00EF4B01"/>
    <w:rsid w:val="00EF4B2D"/>
    <w:rsid w:val="00EF4C7E"/>
    <w:rsid w:val="00EF4CAD"/>
    <w:rsid w:val="00EF4CF1"/>
    <w:rsid w:val="00EF4DF6"/>
    <w:rsid w:val="00EF4F01"/>
    <w:rsid w:val="00EF4FA7"/>
    <w:rsid w:val="00EF514C"/>
    <w:rsid w:val="00EF5210"/>
    <w:rsid w:val="00EF52C7"/>
    <w:rsid w:val="00EF5327"/>
    <w:rsid w:val="00EF554A"/>
    <w:rsid w:val="00EF5576"/>
    <w:rsid w:val="00EF55DB"/>
    <w:rsid w:val="00EF5689"/>
    <w:rsid w:val="00EF56B7"/>
    <w:rsid w:val="00EF573F"/>
    <w:rsid w:val="00EF57A5"/>
    <w:rsid w:val="00EF57FA"/>
    <w:rsid w:val="00EF583F"/>
    <w:rsid w:val="00EF592F"/>
    <w:rsid w:val="00EF59A2"/>
    <w:rsid w:val="00EF5B60"/>
    <w:rsid w:val="00EF5C24"/>
    <w:rsid w:val="00EF5D62"/>
    <w:rsid w:val="00EF5E26"/>
    <w:rsid w:val="00EF5E8F"/>
    <w:rsid w:val="00EF5F5D"/>
    <w:rsid w:val="00EF5F5F"/>
    <w:rsid w:val="00EF5F62"/>
    <w:rsid w:val="00EF5FB7"/>
    <w:rsid w:val="00EF6031"/>
    <w:rsid w:val="00EF603E"/>
    <w:rsid w:val="00EF6087"/>
    <w:rsid w:val="00EF611C"/>
    <w:rsid w:val="00EF6347"/>
    <w:rsid w:val="00EF634A"/>
    <w:rsid w:val="00EF64AB"/>
    <w:rsid w:val="00EF64D7"/>
    <w:rsid w:val="00EF66CD"/>
    <w:rsid w:val="00EF680E"/>
    <w:rsid w:val="00EF6829"/>
    <w:rsid w:val="00EF6867"/>
    <w:rsid w:val="00EF695F"/>
    <w:rsid w:val="00EF6B8D"/>
    <w:rsid w:val="00EF6D1B"/>
    <w:rsid w:val="00EF6E45"/>
    <w:rsid w:val="00EF6EB2"/>
    <w:rsid w:val="00EF6EDD"/>
    <w:rsid w:val="00EF6F24"/>
    <w:rsid w:val="00EF6F45"/>
    <w:rsid w:val="00EF6FC1"/>
    <w:rsid w:val="00EF6FFE"/>
    <w:rsid w:val="00EF702F"/>
    <w:rsid w:val="00EF706B"/>
    <w:rsid w:val="00EF710B"/>
    <w:rsid w:val="00EF718C"/>
    <w:rsid w:val="00EF71A0"/>
    <w:rsid w:val="00EF7227"/>
    <w:rsid w:val="00EF7263"/>
    <w:rsid w:val="00EF7375"/>
    <w:rsid w:val="00EF73D2"/>
    <w:rsid w:val="00EF73E7"/>
    <w:rsid w:val="00EF74A6"/>
    <w:rsid w:val="00EF760C"/>
    <w:rsid w:val="00EF76CA"/>
    <w:rsid w:val="00EF76D9"/>
    <w:rsid w:val="00EF77D8"/>
    <w:rsid w:val="00EF7876"/>
    <w:rsid w:val="00EF78BF"/>
    <w:rsid w:val="00EF795F"/>
    <w:rsid w:val="00EF7A27"/>
    <w:rsid w:val="00EF7B25"/>
    <w:rsid w:val="00EF7B87"/>
    <w:rsid w:val="00EF7BC7"/>
    <w:rsid w:val="00EF7C84"/>
    <w:rsid w:val="00EF7D1B"/>
    <w:rsid w:val="00EF7DB1"/>
    <w:rsid w:val="00EF7DCD"/>
    <w:rsid w:val="00EF7F75"/>
    <w:rsid w:val="00F00054"/>
    <w:rsid w:val="00F00057"/>
    <w:rsid w:val="00F00072"/>
    <w:rsid w:val="00F0031A"/>
    <w:rsid w:val="00F004DC"/>
    <w:rsid w:val="00F0051A"/>
    <w:rsid w:val="00F006F1"/>
    <w:rsid w:val="00F008AE"/>
    <w:rsid w:val="00F0092F"/>
    <w:rsid w:val="00F00943"/>
    <w:rsid w:val="00F00BE6"/>
    <w:rsid w:val="00F00C3C"/>
    <w:rsid w:val="00F00E73"/>
    <w:rsid w:val="00F00EBF"/>
    <w:rsid w:val="00F00FBF"/>
    <w:rsid w:val="00F00FD4"/>
    <w:rsid w:val="00F0101E"/>
    <w:rsid w:val="00F0101F"/>
    <w:rsid w:val="00F011B2"/>
    <w:rsid w:val="00F01327"/>
    <w:rsid w:val="00F0138F"/>
    <w:rsid w:val="00F0147E"/>
    <w:rsid w:val="00F014AF"/>
    <w:rsid w:val="00F01509"/>
    <w:rsid w:val="00F01515"/>
    <w:rsid w:val="00F016C2"/>
    <w:rsid w:val="00F016DD"/>
    <w:rsid w:val="00F01868"/>
    <w:rsid w:val="00F01A6B"/>
    <w:rsid w:val="00F01AD9"/>
    <w:rsid w:val="00F01B96"/>
    <w:rsid w:val="00F01C15"/>
    <w:rsid w:val="00F01CDB"/>
    <w:rsid w:val="00F01E51"/>
    <w:rsid w:val="00F01F0B"/>
    <w:rsid w:val="00F0209D"/>
    <w:rsid w:val="00F0214A"/>
    <w:rsid w:val="00F02170"/>
    <w:rsid w:val="00F021A3"/>
    <w:rsid w:val="00F021D4"/>
    <w:rsid w:val="00F021D8"/>
    <w:rsid w:val="00F02200"/>
    <w:rsid w:val="00F022F4"/>
    <w:rsid w:val="00F022FF"/>
    <w:rsid w:val="00F0241F"/>
    <w:rsid w:val="00F0247A"/>
    <w:rsid w:val="00F024AC"/>
    <w:rsid w:val="00F02567"/>
    <w:rsid w:val="00F02627"/>
    <w:rsid w:val="00F02703"/>
    <w:rsid w:val="00F0280A"/>
    <w:rsid w:val="00F02817"/>
    <w:rsid w:val="00F029E4"/>
    <w:rsid w:val="00F02A13"/>
    <w:rsid w:val="00F02B55"/>
    <w:rsid w:val="00F02C29"/>
    <w:rsid w:val="00F02D01"/>
    <w:rsid w:val="00F02D61"/>
    <w:rsid w:val="00F02D67"/>
    <w:rsid w:val="00F02EA6"/>
    <w:rsid w:val="00F02EB5"/>
    <w:rsid w:val="00F02F19"/>
    <w:rsid w:val="00F0300A"/>
    <w:rsid w:val="00F03076"/>
    <w:rsid w:val="00F031A8"/>
    <w:rsid w:val="00F031FD"/>
    <w:rsid w:val="00F03255"/>
    <w:rsid w:val="00F03307"/>
    <w:rsid w:val="00F03336"/>
    <w:rsid w:val="00F033F7"/>
    <w:rsid w:val="00F03455"/>
    <w:rsid w:val="00F03534"/>
    <w:rsid w:val="00F035F9"/>
    <w:rsid w:val="00F03610"/>
    <w:rsid w:val="00F03624"/>
    <w:rsid w:val="00F0365E"/>
    <w:rsid w:val="00F03767"/>
    <w:rsid w:val="00F0383A"/>
    <w:rsid w:val="00F03A53"/>
    <w:rsid w:val="00F03A8B"/>
    <w:rsid w:val="00F03AB3"/>
    <w:rsid w:val="00F03C3F"/>
    <w:rsid w:val="00F03C84"/>
    <w:rsid w:val="00F03CA8"/>
    <w:rsid w:val="00F03E61"/>
    <w:rsid w:val="00F03E7D"/>
    <w:rsid w:val="00F03EDF"/>
    <w:rsid w:val="00F03F29"/>
    <w:rsid w:val="00F03F36"/>
    <w:rsid w:val="00F040B6"/>
    <w:rsid w:val="00F0420F"/>
    <w:rsid w:val="00F0421E"/>
    <w:rsid w:val="00F04467"/>
    <w:rsid w:val="00F04476"/>
    <w:rsid w:val="00F0463E"/>
    <w:rsid w:val="00F04669"/>
    <w:rsid w:val="00F046E7"/>
    <w:rsid w:val="00F04736"/>
    <w:rsid w:val="00F048F1"/>
    <w:rsid w:val="00F04954"/>
    <w:rsid w:val="00F04967"/>
    <w:rsid w:val="00F049AA"/>
    <w:rsid w:val="00F049F7"/>
    <w:rsid w:val="00F04A6D"/>
    <w:rsid w:val="00F04B87"/>
    <w:rsid w:val="00F04C22"/>
    <w:rsid w:val="00F04C47"/>
    <w:rsid w:val="00F04EFB"/>
    <w:rsid w:val="00F04F18"/>
    <w:rsid w:val="00F0515E"/>
    <w:rsid w:val="00F0519A"/>
    <w:rsid w:val="00F0523A"/>
    <w:rsid w:val="00F052C3"/>
    <w:rsid w:val="00F0552D"/>
    <w:rsid w:val="00F05668"/>
    <w:rsid w:val="00F0566C"/>
    <w:rsid w:val="00F057AA"/>
    <w:rsid w:val="00F059CB"/>
    <w:rsid w:val="00F05A64"/>
    <w:rsid w:val="00F05BC3"/>
    <w:rsid w:val="00F05C4F"/>
    <w:rsid w:val="00F05C96"/>
    <w:rsid w:val="00F060F2"/>
    <w:rsid w:val="00F061B4"/>
    <w:rsid w:val="00F06284"/>
    <w:rsid w:val="00F0634A"/>
    <w:rsid w:val="00F06410"/>
    <w:rsid w:val="00F064AC"/>
    <w:rsid w:val="00F065A1"/>
    <w:rsid w:val="00F06638"/>
    <w:rsid w:val="00F0665E"/>
    <w:rsid w:val="00F0666B"/>
    <w:rsid w:val="00F066E2"/>
    <w:rsid w:val="00F067F2"/>
    <w:rsid w:val="00F06886"/>
    <w:rsid w:val="00F06904"/>
    <w:rsid w:val="00F069A3"/>
    <w:rsid w:val="00F069AA"/>
    <w:rsid w:val="00F069DC"/>
    <w:rsid w:val="00F06AEB"/>
    <w:rsid w:val="00F06BB3"/>
    <w:rsid w:val="00F06BBE"/>
    <w:rsid w:val="00F06C82"/>
    <w:rsid w:val="00F06E2D"/>
    <w:rsid w:val="00F06EB3"/>
    <w:rsid w:val="00F07160"/>
    <w:rsid w:val="00F07178"/>
    <w:rsid w:val="00F072FF"/>
    <w:rsid w:val="00F0746D"/>
    <w:rsid w:val="00F0764B"/>
    <w:rsid w:val="00F0765E"/>
    <w:rsid w:val="00F07817"/>
    <w:rsid w:val="00F0786D"/>
    <w:rsid w:val="00F0787D"/>
    <w:rsid w:val="00F0792F"/>
    <w:rsid w:val="00F07940"/>
    <w:rsid w:val="00F079FE"/>
    <w:rsid w:val="00F07A52"/>
    <w:rsid w:val="00F07B45"/>
    <w:rsid w:val="00F07C92"/>
    <w:rsid w:val="00F07DB1"/>
    <w:rsid w:val="00F07E73"/>
    <w:rsid w:val="00F07FC5"/>
    <w:rsid w:val="00F101B2"/>
    <w:rsid w:val="00F10287"/>
    <w:rsid w:val="00F102E5"/>
    <w:rsid w:val="00F102FC"/>
    <w:rsid w:val="00F103DB"/>
    <w:rsid w:val="00F105D1"/>
    <w:rsid w:val="00F1075F"/>
    <w:rsid w:val="00F107E0"/>
    <w:rsid w:val="00F10916"/>
    <w:rsid w:val="00F10964"/>
    <w:rsid w:val="00F109B2"/>
    <w:rsid w:val="00F10A1F"/>
    <w:rsid w:val="00F10AB2"/>
    <w:rsid w:val="00F10B95"/>
    <w:rsid w:val="00F10C84"/>
    <w:rsid w:val="00F10E1A"/>
    <w:rsid w:val="00F10E76"/>
    <w:rsid w:val="00F10EBD"/>
    <w:rsid w:val="00F10F25"/>
    <w:rsid w:val="00F11032"/>
    <w:rsid w:val="00F11060"/>
    <w:rsid w:val="00F11086"/>
    <w:rsid w:val="00F110C4"/>
    <w:rsid w:val="00F111B9"/>
    <w:rsid w:val="00F111FB"/>
    <w:rsid w:val="00F11216"/>
    <w:rsid w:val="00F11303"/>
    <w:rsid w:val="00F11410"/>
    <w:rsid w:val="00F1141E"/>
    <w:rsid w:val="00F11427"/>
    <w:rsid w:val="00F114FC"/>
    <w:rsid w:val="00F1153E"/>
    <w:rsid w:val="00F11634"/>
    <w:rsid w:val="00F1169E"/>
    <w:rsid w:val="00F11752"/>
    <w:rsid w:val="00F11810"/>
    <w:rsid w:val="00F11868"/>
    <w:rsid w:val="00F118FC"/>
    <w:rsid w:val="00F119BC"/>
    <w:rsid w:val="00F11A09"/>
    <w:rsid w:val="00F11A22"/>
    <w:rsid w:val="00F11AC8"/>
    <w:rsid w:val="00F11C4F"/>
    <w:rsid w:val="00F11CE4"/>
    <w:rsid w:val="00F11F31"/>
    <w:rsid w:val="00F121A5"/>
    <w:rsid w:val="00F121F4"/>
    <w:rsid w:val="00F12327"/>
    <w:rsid w:val="00F123FD"/>
    <w:rsid w:val="00F124CC"/>
    <w:rsid w:val="00F12519"/>
    <w:rsid w:val="00F126D8"/>
    <w:rsid w:val="00F1270A"/>
    <w:rsid w:val="00F12A08"/>
    <w:rsid w:val="00F12B37"/>
    <w:rsid w:val="00F12C46"/>
    <w:rsid w:val="00F12C4C"/>
    <w:rsid w:val="00F12E15"/>
    <w:rsid w:val="00F12EBD"/>
    <w:rsid w:val="00F12F65"/>
    <w:rsid w:val="00F12FF6"/>
    <w:rsid w:val="00F1308E"/>
    <w:rsid w:val="00F1309D"/>
    <w:rsid w:val="00F130F5"/>
    <w:rsid w:val="00F1323E"/>
    <w:rsid w:val="00F132F4"/>
    <w:rsid w:val="00F1332E"/>
    <w:rsid w:val="00F133BB"/>
    <w:rsid w:val="00F13519"/>
    <w:rsid w:val="00F1352F"/>
    <w:rsid w:val="00F135AC"/>
    <w:rsid w:val="00F13624"/>
    <w:rsid w:val="00F1374F"/>
    <w:rsid w:val="00F1388E"/>
    <w:rsid w:val="00F138B7"/>
    <w:rsid w:val="00F13934"/>
    <w:rsid w:val="00F13941"/>
    <w:rsid w:val="00F1397B"/>
    <w:rsid w:val="00F139CF"/>
    <w:rsid w:val="00F139D2"/>
    <w:rsid w:val="00F139DE"/>
    <w:rsid w:val="00F139EC"/>
    <w:rsid w:val="00F13A1E"/>
    <w:rsid w:val="00F13A95"/>
    <w:rsid w:val="00F13AA8"/>
    <w:rsid w:val="00F13B4B"/>
    <w:rsid w:val="00F13C27"/>
    <w:rsid w:val="00F13D25"/>
    <w:rsid w:val="00F13E3F"/>
    <w:rsid w:val="00F13E69"/>
    <w:rsid w:val="00F13E8E"/>
    <w:rsid w:val="00F13EB0"/>
    <w:rsid w:val="00F13F02"/>
    <w:rsid w:val="00F13F93"/>
    <w:rsid w:val="00F1407B"/>
    <w:rsid w:val="00F140C2"/>
    <w:rsid w:val="00F140FF"/>
    <w:rsid w:val="00F14152"/>
    <w:rsid w:val="00F14189"/>
    <w:rsid w:val="00F141F1"/>
    <w:rsid w:val="00F143F8"/>
    <w:rsid w:val="00F143FE"/>
    <w:rsid w:val="00F14443"/>
    <w:rsid w:val="00F1445D"/>
    <w:rsid w:val="00F14563"/>
    <w:rsid w:val="00F145B8"/>
    <w:rsid w:val="00F1461C"/>
    <w:rsid w:val="00F1463B"/>
    <w:rsid w:val="00F1478D"/>
    <w:rsid w:val="00F148E7"/>
    <w:rsid w:val="00F1495D"/>
    <w:rsid w:val="00F14984"/>
    <w:rsid w:val="00F149BA"/>
    <w:rsid w:val="00F14A37"/>
    <w:rsid w:val="00F14A51"/>
    <w:rsid w:val="00F14A87"/>
    <w:rsid w:val="00F14B28"/>
    <w:rsid w:val="00F14C00"/>
    <w:rsid w:val="00F14C58"/>
    <w:rsid w:val="00F14D91"/>
    <w:rsid w:val="00F14E33"/>
    <w:rsid w:val="00F14EC8"/>
    <w:rsid w:val="00F14F15"/>
    <w:rsid w:val="00F1508C"/>
    <w:rsid w:val="00F150FF"/>
    <w:rsid w:val="00F1514A"/>
    <w:rsid w:val="00F15155"/>
    <w:rsid w:val="00F15265"/>
    <w:rsid w:val="00F152F6"/>
    <w:rsid w:val="00F152FF"/>
    <w:rsid w:val="00F1538F"/>
    <w:rsid w:val="00F15464"/>
    <w:rsid w:val="00F155E8"/>
    <w:rsid w:val="00F155FF"/>
    <w:rsid w:val="00F15654"/>
    <w:rsid w:val="00F1565D"/>
    <w:rsid w:val="00F156EA"/>
    <w:rsid w:val="00F158A0"/>
    <w:rsid w:val="00F158AC"/>
    <w:rsid w:val="00F158BB"/>
    <w:rsid w:val="00F158D6"/>
    <w:rsid w:val="00F159AB"/>
    <w:rsid w:val="00F159E3"/>
    <w:rsid w:val="00F15A23"/>
    <w:rsid w:val="00F15B54"/>
    <w:rsid w:val="00F15C1E"/>
    <w:rsid w:val="00F15CA5"/>
    <w:rsid w:val="00F15E0F"/>
    <w:rsid w:val="00F15E1B"/>
    <w:rsid w:val="00F16037"/>
    <w:rsid w:val="00F16077"/>
    <w:rsid w:val="00F1633B"/>
    <w:rsid w:val="00F16425"/>
    <w:rsid w:val="00F164A7"/>
    <w:rsid w:val="00F165AA"/>
    <w:rsid w:val="00F16682"/>
    <w:rsid w:val="00F16733"/>
    <w:rsid w:val="00F1674C"/>
    <w:rsid w:val="00F16813"/>
    <w:rsid w:val="00F168C8"/>
    <w:rsid w:val="00F1694B"/>
    <w:rsid w:val="00F169B0"/>
    <w:rsid w:val="00F169F5"/>
    <w:rsid w:val="00F16B3D"/>
    <w:rsid w:val="00F16B51"/>
    <w:rsid w:val="00F16B5B"/>
    <w:rsid w:val="00F16BD7"/>
    <w:rsid w:val="00F16CB3"/>
    <w:rsid w:val="00F16CF4"/>
    <w:rsid w:val="00F16DEE"/>
    <w:rsid w:val="00F16F07"/>
    <w:rsid w:val="00F16F67"/>
    <w:rsid w:val="00F1727B"/>
    <w:rsid w:val="00F1733D"/>
    <w:rsid w:val="00F17374"/>
    <w:rsid w:val="00F17378"/>
    <w:rsid w:val="00F173E7"/>
    <w:rsid w:val="00F1744A"/>
    <w:rsid w:val="00F174F9"/>
    <w:rsid w:val="00F1755D"/>
    <w:rsid w:val="00F176FF"/>
    <w:rsid w:val="00F177E7"/>
    <w:rsid w:val="00F17886"/>
    <w:rsid w:val="00F17A10"/>
    <w:rsid w:val="00F17A2F"/>
    <w:rsid w:val="00F17B91"/>
    <w:rsid w:val="00F17C3B"/>
    <w:rsid w:val="00F17D51"/>
    <w:rsid w:val="00F17D5D"/>
    <w:rsid w:val="00F17DB3"/>
    <w:rsid w:val="00F17E16"/>
    <w:rsid w:val="00F17E65"/>
    <w:rsid w:val="00F17EAD"/>
    <w:rsid w:val="00F17ECE"/>
    <w:rsid w:val="00F17F10"/>
    <w:rsid w:val="00F17F2F"/>
    <w:rsid w:val="00F17F59"/>
    <w:rsid w:val="00F2006C"/>
    <w:rsid w:val="00F200C2"/>
    <w:rsid w:val="00F20119"/>
    <w:rsid w:val="00F201AD"/>
    <w:rsid w:val="00F20233"/>
    <w:rsid w:val="00F2032E"/>
    <w:rsid w:val="00F2035E"/>
    <w:rsid w:val="00F2044D"/>
    <w:rsid w:val="00F2047E"/>
    <w:rsid w:val="00F20491"/>
    <w:rsid w:val="00F2057F"/>
    <w:rsid w:val="00F20596"/>
    <w:rsid w:val="00F20606"/>
    <w:rsid w:val="00F206A3"/>
    <w:rsid w:val="00F20727"/>
    <w:rsid w:val="00F20741"/>
    <w:rsid w:val="00F20760"/>
    <w:rsid w:val="00F20768"/>
    <w:rsid w:val="00F20779"/>
    <w:rsid w:val="00F207C8"/>
    <w:rsid w:val="00F20832"/>
    <w:rsid w:val="00F2083F"/>
    <w:rsid w:val="00F20844"/>
    <w:rsid w:val="00F2090B"/>
    <w:rsid w:val="00F20937"/>
    <w:rsid w:val="00F20AEA"/>
    <w:rsid w:val="00F20B46"/>
    <w:rsid w:val="00F20B55"/>
    <w:rsid w:val="00F20CF2"/>
    <w:rsid w:val="00F20D16"/>
    <w:rsid w:val="00F20D8A"/>
    <w:rsid w:val="00F20EB0"/>
    <w:rsid w:val="00F20FEB"/>
    <w:rsid w:val="00F21140"/>
    <w:rsid w:val="00F21263"/>
    <w:rsid w:val="00F21579"/>
    <w:rsid w:val="00F2158F"/>
    <w:rsid w:val="00F2159E"/>
    <w:rsid w:val="00F216A8"/>
    <w:rsid w:val="00F21719"/>
    <w:rsid w:val="00F21744"/>
    <w:rsid w:val="00F2193D"/>
    <w:rsid w:val="00F21A12"/>
    <w:rsid w:val="00F21A33"/>
    <w:rsid w:val="00F21A40"/>
    <w:rsid w:val="00F21AC4"/>
    <w:rsid w:val="00F21AC9"/>
    <w:rsid w:val="00F21B47"/>
    <w:rsid w:val="00F21BB1"/>
    <w:rsid w:val="00F21BCB"/>
    <w:rsid w:val="00F21C31"/>
    <w:rsid w:val="00F21E09"/>
    <w:rsid w:val="00F21F7F"/>
    <w:rsid w:val="00F22013"/>
    <w:rsid w:val="00F22016"/>
    <w:rsid w:val="00F220B2"/>
    <w:rsid w:val="00F220D3"/>
    <w:rsid w:val="00F220FE"/>
    <w:rsid w:val="00F22110"/>
    <w:rsid w:val="00F22194"/>
    <w:rsid w:val="00F222CA"/>
    <w:rsid w:val="00F222E7"/>
    <w:rsid w:val="00F2234A"/>
    <w:rsid w:val="00F223EA"/>
    <w:rsid w:val="00F22441"/>
    <w:rsid w:val="00F22443"/>
    <w:rsid w:val="00F224B9"/>
    <w:rsid w:val="00F2280A"/>
    <w:rsid w:val="00F22898"/>
    <w:rsid w:val="00F2292B"/>
    <w:rsid w:val="00F229EC"/>
    <w:rsid w:val="00F22A0D"/>
    <w:rsid w:val="00F22A3A"/>
    <w:rsid w:val="00F22B9C"/>
    <w:rsid w:val="00F22BF6"/>
    <w:rsid w:val="00F22CFE"/>
    <w:rsid w:val="00F22D64"/>
    <w:rsid w:val="00F22DB7"/>
    <w:rsid w:val="00F22EBA"/>
    <w:rsid w:val="00F22EEE"/>
    <w:rsid w:val="00F22F81"/>
    <w:rsid w:val="00F22FC7"/>
    <w:rsid w:val="00F2314C"/>
    <w:rsid w:val="00F23183"/>
    <w:rsid w:val="00F2318E"/>
    <w:rsid w:val="00F231D0"/>
    <w:rsid w:val="00F2324C"/>
    <w:rsid w:val="00F23315"/>
    <w:rsid w:val="00F2342D"/>
    <w:rsid w:val="00F234AA"/>
    <w:rsid w:val="00F2356D"/>
    <w:rsid w:val="00F235FD"/>
    <w:rsid w:val="00F236B6"/>
    <w:rsid w:val="00F23769"/>
    <w:rsid w:val="00F2379F"/>
    <w:rsid w:val="00F238AA"/>
    <w:rsid w:val="00F238BC"/>
    <w:rsid w:val="00F239F6"/>
    <w:rsid w:val="00F23D27"/>
    <w:rsid w:val="00F23F34"/>
    <w:rsid w:val="00F23F3D"/>
    <w:rsid w:val="00F23F84"/>
    <w:rsid w:val="00F240C8"/>
    <w:rsid w:val="00F24389"/>
    <w:rsid w:val="00F24420"/>
    <w:rsid w:val="00F244B6"/>
    <w:rsid w:val="00F2459B"/>
    <w:rsid w:val="00F2467A"/>
    <w:rsid w:val="00F24780"/>
    <w:rsid w:val="00F247BA"/>
    <w:rsid w:val="00F2484E"/>
    <w:rsid w:val="00F24904"/>
    <w:rsid w:val="00F24A19"/>
    <w:rsid w:val="00F24A8A"/>
    <w:rsid w:val="00F24B0B"/>
    <w:rsid w:val="00F24BB4"/>
    <w:rsid w:val="00F24BC2"/>
    <w:rsid w:val="00F24C77"/>
    <w:rsid w:val="00F24C9C"/>
    <w:rsid w:val="00F24CFF"/>
    <w:rsid w:val="00F24D56"/>
    <w:rsid w:val="00F24E1D"/>
    <w:rsid w:val="00F24EAE"/>
    <w:rsid w:val="00F251E4"/>
    <w:rsid w:val="00F251EE"/>
    <w:rsid w:val="00F25339"/>
    <w:rsid w:val="00F253B4"/>
    <w:rsid w:val="00F2548D"/>
    <w:rsid w:val="00F254DF"/>
    <w:rsid w:val="00F2555F"/>
    <w:rsid w:val="00F255AF"/>
    <w:rsid w:val="00F255D6"/>
    <w:rsid w:val="00F25811"/>
    <w:rsid w:val="00F25864"/>
    <w:rsid w:val="00F2587D"/>
    <w:rsid w:val="00F258CF"/>
    <w:rsid w:val="00F25993"/>
    <w:rsid w:val="00F25A3F"/>
    <w:rsid w:val="00F25B3A"/>
    <w:rsid w:val="00F25D28"/>
    <w:rsid w:val="00F25D6A"/>
    <w:rsid w:val="00F25DAF"/>
    <w:rsid w:val="00F25E01"/>
    <w:rsid w:val="00F25EBE"/>
    <w:rsid w:val="00F26013"/>
    <w:rsid w:val="00F260AA"/>
    <w:rsid w:val="00F260B7"/>
    <w:rsid w:val="00F260C3"/>
    <w:rsid w:val="00F260F4"/>
    <w:rsid w:val="00F26113"/>
    <w:rsid w:val="00F261C0"/>
    <w:rsid w:val="00F261C4"/>
    <w:rsid w:val="00F2643F"/>
    <w:rsid w:val="00F265B3"/>
    <w:rsid w:val="00F266FB"/>
    <w:rsid w:val="00F2680A"/>
    <w:rsid w:val="00F268DB"/>
    <w:rsid w:val="00F268E9"/>
    <w:rsid w:val="00F2691C"/>
    <w:rsid w:val="00F2693B"/>
    <w:rsid w:val="00F26956"/>
    <w:rsid w:val="00F26968"/>
    <w:rsid w:val="00F26A4E"/>
    <w:rsid w:val="00F26C7D"/>
    <w:rsid w:val="00F26C99"/>
    <w:rsid w:val="00F26D87"/>
    <w:rsid w:val="00F26EA1"/>
    <w:rsid w:val="00F26F0A"/>
    <w:rsid w:val="00F270C3"/>
    <w:rsid w:val="00F270D1"/>
    <w:rsid w:val="00F271BA"/>
    <w:rsid w:val="00F273A1"/>
    <w:rsid w:val="00F27495"/>
    <w:rsid w:val="00F276B4"/>
    <w:rsid w:val="00F2772E"/>
    <w:rsid w:val="00F27857"/>
    <w:rsid w:val="00F27A7E"/>
    <w:rsid w:val="00F27AD7"/>
    <w:rsid w:val="00F27BA2"/>
    <w:rsid w:val="00F27BD3"/>
    <w:rsid w:val="00F27BE5"/>
    <w:rsid w:val="00F27CA5"/>
    <w:rsid w:val="00F27D3A"/>
    <w:rsid w:val="00F27EBD"/>
    <w:rsid w:val="00F27EFC"/>
    <w:rsid w:val="00F27F2B"/>
    <w:rsid w:val="00F30089"/>
    <w:rsid w:val="00F303C4"/>
    <w:rsid w:val="00F303F2"/>
    <w:rsid w:val="00F3041B"/>
    <w:rsid w:val="00F304AC"/>
    <w:rsid w:val="00F3055B"/>
    <w:rsid w:val="00F305BB"/>
    <w:rsid w:val="00F30670"/>
    <w:rsid w:val="00F309D0"/>
    <w:rsid w:val="00F30B17"/>
    <w:rsid w:val="00F30C98"/>
    <w:rsid w:val="00F30CE4"/>
    <w:rsid w:val="00F30D1B"/>
    <w:rsid w:val="00F30D63"/>
    <w:rsid w:val="00F30D9F"/>
    <w:rsid w:val="00F30DD5"/>
    <w:rsid w:val="00F30E2C"/>
    <w:rsid w:val="00F30E3C"/>
    <w:rsid w:val="00F30E4A"/>
    <w:rsid w:val="00F30F01"/>
    <w:rsid w:val="00F30F16"/>
    <w:rsid w:val="00F30F59"/>
    <w:rsid w:val="00F3104D"/>
    <w:rsid w:val="00F31112"/>
    <w:rsid w:val="00F31113"/>
    <w:rsid w:val="00F31124"/>
    <w:rsid w:val="00F31193"/>
    <w:rsid w:val="00F311F5"/>
    <w:rsid w:val="00F311F7"/>
    <w:rsid w:val="00F31273"/>
    <w:rsid w:val="00F312CA"/>
    <w:rsid w:val="00F31345"/>
    <w:rsid w:val="00F3137C"/>
    <w:rsid w:val="00F31396"/>
    <w:rsid w:val="00F31451"/>
    <w:rsid w:val="00F3167D"/>
    <w:rsid w:val="00F3185C"/>
    <w:rsid w:val="00F319CE"/>
    <w:rsid w:val="00F31A8A"/>
    <w:rsid w:val="00F31B11"/>
    <w:rsid w:val="00F31BDA"/>
    <w:rsid w:val="00F31D40"/>
    <w:rsid w:val="00F31D6F"/>
    <w:rsid w:val="00F31E65"/>
    <w:rsid w:val="00F31F8E"/>
    <w:rsid w:val="00F32130"/>
    <w:rsid w:val="00F321B2"/>
    <w:rsid w:val="00F32292"/>
    <w:rsid w:val="00F3230C"/>
    <w:rsid w:val="00F3236A"/>
    <w:rsid w:val="00F323EE"/>
    <w:rsid w:val="00F32457"/>
    <w:rsid w:val="00F32496"/>
    <w:rsid w:val="00F324EA"/>
    <w:rsid w:val="00F325E5"/>
    <w:rsid w:val="00F32657"/>
    <w:rsid w:val="00F32678"/>
    <w:rsid w:val="00F3294D"/>
    <w:rsid w:val="00F329A9"/>
    <w:rsid w:val="00F32BDB"/>
    <w:rsid w:val="00F32C2D"/>
    <w:rsid w:val="00F32CC8"/>
    <w:rsid w:val="00F32D9C"/>
    <w:rsid w:val="00F32E10"/>
    <w:rsid w:val="00F32E22"/>
    <w:rsid w:val="00F32E56"/>
    <w:rsid w:val="00F32F22"/>
    <w:rsid w:val="00F32F96"/>
    <w:rsid w:val="00F32FC5"/>
    <w:rsid w:val="00F32FDE"/>
    <w:rsid w:val="00F330FA"/>
    <w:rsid w:val="00F3353D"/>
    <w:rsid w:val="00F3357B"/>
    <w:rsid w:val="00F33584"/>
    <w:rsid w:val="00F33670"/>
    <w:rsid w:val="00F336D5"/>
    <w:rsid w:val="00F337F0"/>
    <w:rsid w:val="00F33871"/>
    <w:rsid w:val="00F33896"/>
    <w:rsid w:val="00F33A34"/>
    <w:rsid w:val="00F33A36"/>
    <w:rsid w:val="00F33A38"/>
    <w:rsid w:val="00F33B26"/>
    <w:rsid w:val="00F33CE7"/>
    <w:rsid w:val="00F33D83"/>
    <w:rsid w:val="00F33E06"/>
    <w:rsid w:val="00F33E3B"/>
    <w:rsid w:val="00F33F06"/>
    <w:rsid w:val="00F3409A"/>
    <w:rsid w:val="00F340AB"/>
    <w:rsid w:val="00F340CE"/>
    <w:rsid w:val="00F34131"/>
    <w:rsid w:val="00F34207"/>
    <w:rsid w:val="00F343AA"/>
    <w:rsid w:val="00F344D4"/>
    <w:rsid w:val="00F345D6"/>
    <w:rsid w:val="00F34629"/>
    <w:rsid w:val="00F346D2"/>
    <w:rsid w:val="00F34705"/>
    <w:rsid w:val="00F34770"/>
    <w:rsid w:val="00F34891"/>
    <w:rsid w:val="00F348FC"/>
    <w:rsid w:val="00F34981"/>
    <w:rsid w:val="00F34A91"/>
    <w:rsid w:val="00F34C62"/>
    <w:rsid w:val="00F34CA2"/>
    <w:rsid w:val="00F34D1F"/>
    <w:rsid w:val="00F34D55"/>
    <w:rsid w:val="00F34DD7"/>
    <w:rsid w:val="00F35114"/>
    <w:rsid w:val="00F351C3"/>
    <w:rsid w:val="00F35204"/>
    <w:rsid w:val="00F352EA"/>
    <w:rsid w:val="00F35329"/>
    <w:rsid w:val="00F3535E"/>
    <w:rsid w:val="00F353B3"/>
    <w:rsid w:val="00F35530"/>
    <w:rsid w:val="00F3556E"/>
    <w:rsid w:val="00F35611"/>
    <w:rsid w:val="00F3573A"/>
    <w:rsid w:val="00F358F8"/>
    <w:rsid w:val="00F35999"/>
    <w:rsid w:val="00F35A8D"/>
    <w:rsid w:val="00F35BCE"/>
    <w:rsid w:val="00F35C8B"/>
    <w:rsid w:val="00F35E46"/>
    <w:rsid w:val="00F35F26"/>
    <w:rsid w:val="00F35FDF"/>
    <w:rsid w:val="00F35FE5"/>
    <w:rsid w:val="00F36050"/>
    <w:rsid w:val="00F360E5"/>
    <w:rsid w:val="00F360FB"/>
    <w:rsid w:val="00F361CE"/>
    <w:rsid w:val="00F36226"/>
    <w:rsid w:val="00F36248"/>
    <w:rsid w:val="00F36258"/>
    <w:rsid w:val="00F3637F"/>
    <w:rsid w:val="00F364A5"/>
    <w:rsid w:val="00F36512"/>
    <w:rsid w:val="00F36626"/>
    <w:rsid w:val="00F366CD"/>
    <w:rsid w:val="00F36800"/>
    <w:rsid w:val="00F36980"/>
    <w:rsid w:val="00F369DE"/>
    <w:rsid w:val="00F36A25"/>
    <w:rsid w:val="00F36A9C"/>
    <w:rsid w:val="00F36B07"/>
    <w:rsid w:val="00F36C80"/>
    <w:rsid w:val="00F36C85"/>
    <w:rsid w:val="00F36DF5"/>
    <w:rsid w:val="00F370AE"/>
    <w:rsid w:val="00F371BB"/>
    <w:rsid w:val="00F371ED"/>
    <w:rsid w:val="00F37248"/>
    <w:rsid w:val="00F37295"/>
    <w:rsid w:val="00F3732D"/>
    <w:rsid w:val="00F3739E"/>
    <w:rsid w:val="00F37518"/>
    <w:rsid w:val="00F3766B"/>
    <w:rsid w:val="00F3777C"/>
    <w:rsid w:val="00F377A9"/>
    <w:rsid w:val="00F378E6"/>
    <w:rsid w:val="00F37924"/>
    <w:rsid w:val="00F3798E"/>
    <w:rsid w:val="00F37A06"/>
    <w:rsid w:val="00F37A24"/>
    <w:rsid w:val="00F37AB1"/>
    <w:rsid w:val="00F37B22"/>
    <w:rsid w:val="00F37BA6"/>
    <w:rsid w:val="00F37C41"/>
    <w:rsid w:val="00F37C6C"/>
    <w:rsid w:val="00F37EF8"/>
    <w:rsid w:val="00F37F28"/>
    <w:rsid w:val="00F37F90"/>
    <w:rsid w:val="00F37FCC"/>
    <w:rsid w:val="00F37FE9"/>
    <w:rsid w:val="00F4002A"/>
    <w:rsid w:val="00F400B7"/>
    <w:rsid w:val="00F40129"/>
    <w:rsid w:val="00F40150"/>
    <w:rsid w:val="00F401DE"/>
    <w:rsid w:val="00F40276"/>
    <w:rsid w:val="00F402E1"/>
    <w:rsid w:val="00F40348"/>
    <w:rsid w:val="00F403D8"/>
    <w:rsid w:val="00F404F7"/>
    <w:rsid w:val="00F405FF"/>
    <w:rsid w:val="00F40803"/>
    <w:rsid w:val="00F408E5"/>
    <w:rsid w:val="00F408FB"/>
    <w:rsid w:val="00F40912"/>
    <w:rsid w:val="00F4091F"/>
    <w:rsid w:val="00F4097C"/>
    <w:rsid w:val="00F40E6B"/>
    <w:rsid w:val="00F40E76"/>
    <w:rsid w:val="00F40E98"/>
    <w:rsid w:val="00F40EE5"/>
    <w:rsid w:val="00F40F7F"/>
    <w:rsid w:val="00F40FB5"/>
    <w:rsid w:val="00F41017"/>
    <w:rsid w:val="00F41058"/>
    <w:rsid w:val="00F410CB"/>
    <w:rsid w:val="00F41260"/>
    <w:rsid w:val="00F412AD"/>
    <w:rsid w:val="00F4157B"/>
    <w:rsid w:val="00F41653"/>
    <w:rsid w:val="00F4166A"/>
    <w:rsid w:val="00F4167A"/>
    <w:rsid w:val="00F41766"/>
    <w:rsid w:val="00F41774"/>
    <w:rsid w:val="00F4182A"/>
    <w:rsid w:val="00F41A54"/>
    <w:rsid w:val="00F41A69"/>
    <w:rsid w:val="00F41B2C"/>
    <w:rsid w:val="00F41B4A"/>
    <w:rsid w:val="00F41CD7"/>
    <w:rsid w:val="00F41E1B"/>
    <w:rsid w:val="00F41E2B"/>
    <w:rsid w:val="00F41E80"/>
    <w:rsid w:val="00F41F4C"/>
    <w:rsid w:val="00F420C8"/>
    <w:rsid w:val="00F42127"/>
    <w:rsid w:val="00F42171"/>
    <w:rsid w:val="00F4217E"/>
    <w:rsid w:val="00F421B6"/>
    <w:rsid w:val="00F42202"/>
    <w:rsid w:val="00F4249D"/>
    <w:rsid w:val="00F425D2"/>
    <w:rsid w:val="00F42678"/>
    <w:rsid w:val="00F428D2"/>
    <w:rsid w:val="00F42989"/>
    <w:rsid w:val="00F42BD2"/>
    <w:rsid w:val="00F42BEA"/>
    <w:rsid w:val="00F42C08"/>
    <w:rsid w:val="00F42C23"/>
    <w:rsid w:val="00F42D05"/>
    <w:rsid w:val="00F42E0C"/>
    <w:rsid w:val="00F42E3D"/>
    <w:rsid w:val="00F42ECD"/>
    <w:rsid w:val="00F42F03"/>
    <w:rsid w:val="00F42FDF"/>
    <w:rsid w:val="00F4304F"/>
    <w:rsid w:val="00F43051"/>
    <w:rsid w:val="00F43123"/>
    <w:rsid w:val="00F43246"/>
    <w:rsid w:val="00F43272"/>
    <w:rsid w:val="00F432B7"/>
    <w:rsid w:val="00F4334B"/>
    <w:rsid w:val="00F4335E"/>
    <w:rsid w:val="00F43374"/>
    <w:rsid w:val="00F433E9"/>
    <w:rsid w:val="00F43424"/>
    <w:rsid w:val="00F43498"/>
    <w:rsid w:val="00F434E4"/>
    <w:rsid w:val="00F4358F"/>
    <w:rsid w:val="00F435BB"/>
    <w:rsid w:val="00F43670"/>
    <w:rsid w:val="00F4367F"/>
    <w:rsid w:val="00F43868"/>
    <w:rsid w:val="00F4386F"/>
    <w:rsid w:val="00F438A9"/>
    <w:rsid w:val="00F438FD"/>
    <w:rsid w:val="00F4393B"/>
    <w:rsid w:val="00F439B6"/>
    <w:rsid w:val="00F43A29"/>
    <w:rsid w:val="00F43B1D"/>
    <w:rsid w:val="00F43B40"/>
    <w:rsid w:val="00F43C31"/>
    <w:rsid w:val="00F43C35"/>
    <w:rsid w:val="00F43CBA"/>
    <w:rsid w:val="00F43DE6"/>
    <w:rsid w:val="00F43F0D"/>
    <w:rsid w:val="00F43F15"/>
    <w:rsid w:val="00F43FA4"/>
    <w:rsid w:val="00F43FB4"/>
    <w:rsid w:val="00F440AC"/>
    <w:rsid w:val="00F44371"/>
    <w:rsid w:val="00F444BB"/>
    <w:rsid w:val="00F44533"/>
    <w:rsid w:val="00F44561"/>
    <w:rsid w:val="00F4461F"/>
    <w:rsid w:val="00F446C0"/>
    <w:rsid w:val="00F446DD"/>
    <w:rsid w:val="00F4472A"/>
    <w:rsid w:val="00F4476C"/>
    <w:rsid w:val="00F4478A"/>
    <w:rsid w:val="00F447A4"/>
    <w:rsid w:val="00F447B1"/>
    <w:rsid w:val="00F4480A"/>
    <w:rsid w:val="00F44813"/>
    <w:rsid w:val="00F44952"/>
    <w:rsid w:val="00F4495B"/>
    <w:rsid w:val="00F44962"/>
    <w:rsid w:val="00F44A9C"/>
    <w:rsid w:val="00F44AA0"/>
    <w:rsid w:val="00F44B4E"/>
    <w:rsid w:val="00F44BD1"/>
    <w:rsid w:val="00F44BE7"/>
    <w:rsid w:val="00F44C7C"/>
    <w:rsid w:val="00F44E70"/>
    <w:rsid w:val="00F44EE1"/>
    <w:rsid w:val="00F44EEB"/>
    <w:rsid w:val="00F44F24"/>
    <w:rsid w:val="00F44F3F"/>
    <w:rsid w:val="00F45039"/>
    <w:rsid w:val="00F450FE"/>
    <w:rsid w:val="00F453A2"/>
    <w:rsid w:val="00F453DC"/>
    <w:rsid w:val="00F4548F"/>
    <w:rsid w:val="00F45560"/>
    <w:rsid w:val="00F45625"/>
    <w:rsid w:val="00F45957"/>
    <w:rsid w:val="00F45958"/>
    <w:rsid w:val="00F45A01"/>
    <w:rsid w:val="00F45A3E"/>
    <w:rsid w:val="00F45BFD"/>
    <w:rsid w:val="00F45C09"/>
    <w:rsid w:val="00F45E35"/>
    <w:rsid w:val="00F45ECA"/>
    <w:rsid w:val="00F45F21"/>
    <w:rsid w:val="00F45F77"/>
    <w:rsid w:val="00F45F9A"/>
    <w:rsid w:val="00F460CB"/>
    <w:rsid w:val="00F461E0"/>
    <w:rsid w:val="00F463D2"/>
    <w:rsid w:val="00F4652A"/>
    <w:rsid w:val="00F46543"/>
    <w:rsid w:val="00F4658B"/>
    <w:rsid w:val="00F4661F"/>
    <w:rsid w:val="00F46761"/>
    <w:rsid w:val="00F46766"/>
    <w:rsid w:val="00F467DE"/>
    <w:rsid w:val="00F469EB"/>
    <w:rsid w:val="00F46B0A"/>
    <w:rsid w:val="00F46BAB"/>
    <w:rsid w:val="00F46C36"/>
    <w:rsid w:val="00F46D77"/>
    <w:rsid w:val="00F46DB0"/>
    <w:rsid w:val="00F46DE8"/>
    <w:rsid w:val="00F46EBC"/>
    <w:rsid w:val="00F47113"/>
    <w:rsid w:val="00F471DE"/>
    <w:rsid w:val="00F47205"/>
    <w:rsid w:val="00F4728A"/>
    <w:rsid w:val="00F472E2"/>
    <w:rsid w:val="00F47371"/>
    <w:rsid w:val="00F473C0"/>
    <w:rsid w:val="00F47437"/>
    <w:rsid w:val="00F47445"/>
    <w:rsid w:val="00F47508"/>
    <w:rsid w:val="00F47565"/>
    <w:rsid w:val="00F47664"/>
    <w:rsid w:val="00F476D6"/>
    <w:rsid w:val="00F477ED"/>
    <w:rsid w:val="00F4785C"/>
    <w:rsid w:val="00F47907"/>
    <w:rsid w:val="00F479C4"/>
    <w:rsid w:val="00F47A4B"/>
    <w:rsid w:val="00F47A55"/>
    <w:rsid w:val="00F47BA7"/>
    <w:rsid w:val="00F47BB7"/>
    <w:rsid w:val="00F47C33"/>
    <w:rsid w:val="00F47D59"/>
    <w:rsid w:val="00F47E96"/>
    <w:rsid w:val="00F47F00"/>
    <w:rsid w:val="00F47F30"/>
    <w:rsid w:val="00F5013F"/>
    <w:rsid w:val="00F50249"/>
    <w:rsid w:val="00F50295"/>
    <w:rsid w:val="00F50355"/>
    <w:rsid w:val="00F50378"/>
    <w:rsid w:val="00F503EE"/>
    <w:rsid w:val="00F50603"/>
    <w:rsid w:val="00F5063E"/>
    <w:rsid w:val="00F5064D"/>
    <w:rsid w:val="00F506C1"/>
    <w:rsid w:val="00F5088C"/>
    <w:rsid w:val="00F508C1"/>
    <w:rsid w:val="00F50906"/>
    <w:rsid w:val="00F50B52"/>
    <w:rsid w:val="00F50F93"/>
    <w:rsid w:val="00F50F95"/>
    <w:rsid w:val="00F50FC5"/>
    <w:rsid w:val="00F50FE8"/>
    <w:rsid w:val="00F511EB"/>
    <w:rsid w:val="00F51272"/>
    <w:rsid w:val="00F513EB"/>
    <w:rsid w:val="00F51494"/>
    <w:rsid w:val="00F514B9"/>
    <w:rsid w:val="00F515CE"/>
    <w:rsid w:val="00F51730"/>
    <w:rsid w:val="00F5173E"/>
    <w:rsid w:val="00F51790"/>
    <w:rsid w:val="00F51A06"/>
    <w:rsid w:val="00F51A56"/>
    <w:rsid w:val="00F51B44"/>
    <w:rsid w:val="00F51B83"/>
    <w:rsid w:val="00F51C19"/>
    <w:rsid w:val="00F51C68"/>
    <w:rsid w:val="00F51CD4"/>
    <w:rsid w:val="00F51DFF"/>
    <w:rsid w:val="00F51E22"/>
    <w:rsid w:val="00F51F03"/>
    <w:rsid w:val="00F5223E"/>
    <w:rsid w:val="00F52255"/>
    <w:rsid w:val="00F522C2"/>
    <w:rsid w:val="00F5235F"/>
    <w:rsid w:val="00F523DC"/>
    <w:rsid w:val="00F52453"/>
    <w:rsid w:val="00F52490"/>
    <w:rsid w:val="00F52553"/>
    <w:rsid w:val="00F52644"/>
    <w:rsid w:val="00F52655"/>
    <w:rsid w:val="00F52731"/>
    <w:rsid w:val="00F527A9"/>
    <w:rsid w:val="00F527FE"/>
    <w:rsid w:val="00F52810"/>
    <w:rsid w:val="00F528A3"/>
    <w:rsid w:val="00F529A3"/>
    <w:rsid w:val="00F52A70"/>
    <w:rsid w:val="00F52B2D"/>
    <w:rsid w:val="00F52CD0"/>
    <w:rsid w:val="00F52D29"/>
    <w:rsid w:val="00F52DDA"/>
    <w:rsid w:val="00F52F1B"/>
    <w:rsid w:val="00F53053"/>
    <w:rsid w:val="00F53076"/>
    <w:rsid w:val="00F5308F"/>
    <w:rsid w:val="00F530CB"/>
    <w:rsid w:val="00F530E2"/>
    <w:rsid w:val="00F531DF"/>
    <w:rsid w:val="00F53217"/>
    <w:rsid w:val="00F5321C"/>
    <w:rsid w:val="00F532E3"/>
    <w:rsid w:val="00F53346"/>
    <w:rsid w:val="00F53378"/>
    <w:rsid w:val="00F535C1"/>
    <w:rsid w:val="00F537F8"/>
    <w:rsid w:val="00F53837"/>
    <w:rsid w:val="00F53890"/>
    <w:rsid w:val="00F53A4B"/>
    <w:rsid w:val="00F53AC7"/>
    <w:rsid w:val="00F53BB5"/>
    <w:rsid w:val="00F53C9B"/>
    <w:rsid w:val="00F53D38"/>
    <w:rsid w:val="00F53E39"/>
    <w:rsid w:val="00F53E6D"/>
    <w:rsid w:val="00F53F26"/>
    <w:rsid w:val="00F53FB6"/>
    <w:rsid w:val="00F54050"/>
    <w:rsid w:val="00F54083"/>
    <w:rsid w:val="00F540F1"/>
    <w:rsid w:val="00F5412C"/>
    <w:rsid w:val="00F541AA"/>
    <w:rsid w:val="00F541B4"/>
    <w:rsid w:val="00F541D6"/>
    <w:rsid w:val="00F5423F"/>
    <w:rsid w:val="00F5426A"/>
    <w:rsid w:val="00F5426F"/>
    <w:rsid w:val="00F542EE"/>
    <w:rsid w:val="00F543B3"/>
    <w:rsid w:val="00F54558"/>
    <w:rsid w:val="00F545BB"/>
    <w:rsid w:val="00F546B0"/>
    <w:rsid w:val="00F54868"/>
    <w:rsid w:val="00F548F8"/>
    <w:rsid w:val="00F549B0"/>
    <w:rsid w:val="00F54A36"/>
    <w:rsid w:val="00F54A64"/>
    <w:rsid w:val="00F54AC3"/>
    <w:rsid w:val="00F54B34"/>
    <w:rsid w:val="00F54B3F"/>
    <w:rsid w:val="00F54B63"/>
    <w:rsid w:val="00F54B70"/>
    <w:rsid w:val="00F54C2E"/>
    <w:rsid w:val="00F54CBD"/>
    <w:rsid w:val="00F54CE6"/>
    <w:rsid w:val="00F54D70"/>
    <w:rsid w:val="00F54DBB"/>
    <w:rsid w:val="00F54E09"/>
    <w:rsid w:val="00F54E2F"/>
    <w:rsid w:val="00F54FEA"/>
    <w:rsid w:val="00F54FF8"/>
    <w:rsid w:val="00F5506E"/>
    <w:rsid w:val="00F551D8"/>
    <w:rsid w:val="00F5521B"/>
    <w:rsid w:val="00F5524C"/>
    <w:rsid w:val="00F5535B"/>
    <w:rsid w:val="00F553CD"/>
    <w:rsid w:val="00F553F4"/>
    <w:rsid w:val="00F55449"/>
    <w:rsid w:val="00F55535"/>
    <w:rsid w:val="00F55668"/>
    <w:rsid w:val="00F55681"/>
    <w:rsid w:val="00F55750"/>
    <w:rsid w:val="00F557A9"/>
    <w:rsid w:val="00F557FC"/>
    <w:rsid w:val="00F5581D"/>
    <w:rsid w:val="00F55824"/>
    <w:rsid w:val="00F55872"/>
    <w:rsid w:val="00F5590D"/>
    <w:rsid w:val="00F55AE0"/>
    <w:rsid w:val="00F55AFE"/>
    <w:rsid w:val="00F55CFA"/>
    <w:rsid w:val="00F55D15"/>
    <w:rsid w:val="00F55D1F"/>
    <w:rsid w:val="00F55D5C"/>
    <w:rsid w:val="00F55E5A"/>
    <w:rsid w:val="00F5602B"/>
    <w:rsid w:val="00F560DE"/>
    <w:rsid w:val="00F56138"/>
    <w:rsid w:val="00F56250"/>
    <w:rsid w:val="00F56285"/>
    <w:rsid w:val="00F563B5"/>
    <w:rsid w:val="00F56408"/>
    <w:rsid w:val="00F56422"/>
    <w:rsid w:val="00F56423"/>
    <w:rsid w:val="00F564F2"/>
    <w:rsid w:val="00F56647"/>
    <w:rsid w:val="00F56839"/>
    <w:rsid w:val="00F56969"/>
    <w:rsid w:val="00F569EC"/>
    <w:rsid w:val="00F56BA5"/>
    <w:rsid w:val="00F56C0E"/>
    <w:rsid w:val="00F56C16"/>
    <w:rsid w:val="00F56DB9"/>
    <w:rsid w:val="00F56DD0"/>
    <w:rsid w:val="00F56E92"/>
    <w:rsid w:val="00F56F2A"/>
    <w:rsid w:val="00F56FA4"/>
    <w:rsid w:val="00F57160"/>
    <w:rsid w:val="00F573B2"/>
    <w:rsid w:val="00F574B6"/>
    <w:rsid w:val="00F5774C"/>
    <w:rsid w:val="00F57763"/>
    <w:rsid w:val="00F57874"/>
    <w:rsid w:val="00F57930"/>
    <w:rsid w:val="00F57942"/>
    <w:rsid w:val="00F57B30"/>
    <w:rsid w:val="00F57B7B"/>
    <w:rsid w:val="00F57C3D"/>
    <w:rsid w:val="00F57C78"/>
    <w:rsid w:val="00F57C8A"/>
    <w:rsid w:val="00F57EED"/>
    <w:rsid w:val="00F60063"/>
    <w:rsid w:val="00F60066"/>
    <w:rsid w:val="00F6029A"/>
    <w:rsid w:val="00F602A7"/>
    <w:rsid w:val="00F603FA"/>
    <w:rsid w:val="00F60428"/>
    <w:rsid w:val="00F60452"/>
    <w:rsid w:val="00F60585"/>
    <w:rsid w:val="00F605C3"/>
    <w:rsid w:val="00F60607"/>
    <w:rsid w:val="00F60640"/>
    <w:rsid w:val="00F6068B"/>
    <w:rsid w:val="00F606B1"/>
    <w:rsid w:val="00F606F6"/>
    <w:rsid w:val="00F607B6"/>
    <w:rsid w:val="00F607C2"/>
    <w:rsid w:val="00F6085D"/>
    <w:rsid w:val="00F608A2"/>
    <w:rsid w:val="00F6093A"/>
    <w:rsid w:val="00F60B79"/>
    <w:rsid w:val="00F60BC8"/>
    <w:rsid w:val="00F60C4E"/>
    <w:rsid w:val="00F60EA4"/>
    <w:rsid w:val="00F60F5D"/>
    <w:rsid w:val="00F6100F"/>
    <w:rsid w:val="00F61099"/>
    <w:rsid w:val="00F610BE"/>
    <w:rsid w:val="00F6111D"/>
    <w:rsid w:val="00F6114A"/>
    <w:rsid w:val="00F6116E"/>
    <w:rsid w:val="00F61181"/>
    <w:rsid w:val="00F612ED"/>
    <w:rsid w:val="00F6135F"/>
    <w:rsid w:val="00F61379"/>
    <w:rsid w:val="00F6137C"/>
    <w:rsid w:val="00F61415"/>
    <w:rsid w:val="00F61454"/>
    <w:rsid w:val="00F6147B"/>
    <w:rsid w:val="00F614B1"/>
    <w:rsid w:val="00F6156C"/>
    <w:rsid w:val="00F616FB"/>
    <w:rsid w:val="00F618FE"/>
    <w:rsid w:val="00F619DE"/>
    <w:rsid w:val="00F619F2"/>
    <w:rsid w:val="00F61A37"/>
    <w:rsid w:val="00F61ADE"/>
    <w:rsid w:val="00F61AE8"/>
    <w:rsid w:val="00F61B1C"/>
    <w:rsid w:val="00F61B4F"/>
    <w:rsid w:val="00F61BA5"/>
    <w:rsid w:val="00F61BB1"/>
    <w:rsid w:val="00F61BF1"/>
    <w:rsid w:val="00F61BF3"/>
    <w:rsid w:val="00F61DFF"/>
    <w:rsid w:val="00F61E21"/>
    <w:rsid w:val="00F61E32"/>
    <w:rsid w:val="00F620FE"/>
    <w:rsid w:val="00F62100"/>
    <w:rsid w:val="00F621E8"/>
    <w:rsid w:val="00F622E7"/>
    <w:rsid w:val="00F62448"/>
    <w:rsid w:val="00F624A3"/>
    <w:rsid w:val="00F62561"/>
    <w:rsid w:val="00F6262C"/>
    <w:rsid w:val="00F6281F"/>
    <w:rsid w:val="00F62828"/>
    <w:rsid w:val="00F6286C"/>
    <w:rsid w:val="00F62881"/>
    <w:rsid w:val="00F628B1"/>
    <w:rsid w:val="00F6298F"/>
    <w:rsid w:val="00F629D0"/>
    <w:rsid w:val="00F62A68"/>
    <w:rsid w:val="00F62B11"/>
    <w:rsid w:val="00F62B44"/>
    <w:rsid w:val="00F62C12"/>
    <w:rsid w:val="00F62D44"/>
    <w:rsid w:val="00F62E29"/>
    <w:rsid w:val="00F62E7C"/>
    <w:rsid w:val="00F62E83"/>
    <w:rsid w:val="00F62E96"/>
    <w:rsid w:val="00F6320E"/>
    <w:rsid w:val="00F6332B"/>
    <w:rsid w:val="00F6334B"/>
    <w:rsid w:val="00F6334E"/>
    <w:rsid w:val="00F63426"/>
    <w:rsid w:val="00F634B5"/>
    <w:rsid w:val="00F63593"/>
    <w:rsid w:val="00F635AD"/>
    <w:rsid w:val="00F63624"/>
    <w:rsid w:val="00F636BD"/>
    <w:rsid w:val="00F63749"/>
    <w:rsid w:val="00F63858"/>
    <w:rsid w:val="00F6391D"/>
    <w:rsid w:val="00F6399F"/>
    <w:rsid w:val="00F639B4"/>
    <w:rsid w:val="00F639E8"/>
    <w:rsid w:val="00F63AC8"/>
    <w:rsid w:val="00F63B87"/>
    <w:rsid w:val="00F63C3E"/>
    <w:rsid w:val="00F63CDD"/>
    <w:rsid w:val="00F63D7E"/>
    <w:rsid w:val="00F64051"/>
    <w:rsid w:val="00F6417C"/>
    <w:rsid w:val="00F6418F"/>
    <w:rsid w:val="00F641D3"/>
    <w:rsid w:val="00F64301"/>
    <w:rsid w:val="00F6431F"/>
    <w:rsid w:val="00F643B1"/>
    <w:rsid w:val="00F6443D"/>
    <w:rsid w:val="00F6447C"/>
    <w:rsid w:val="00F6449C"/>
    <w:rsid w:val="00F644C0"/>
    <w:rsid w:val="00F645E8"/>
    <w:rsid w:val="00F64845"/>
    <w:rsid w:val="00F64858"/>
    <w:rsid w:val="00F648E2"/>
    <w:rsid w:val="00F64981"/>
    <w:rsid w:val="00F64A8F"/>
    <w:rsid w:val="00F64B26"/>
    <w:rsid w:val="00F64D9C"/>
    <w:rsid w:val="00F64E3D"/>
    <w:rsid w:val="00F64EC7"/>
    <w:rsid w:val="00F64F73"/>
    <w:rsid w:val="00F64F9C"/>
    <w:rsid w:val="00F65274"/>
    <w:rsid w:val="00F65308"/>
    <w:rsid w:val="00F6555A"/>
    <w:rsid w:val="00F655D5"/>
    <w:rsid w:val="00F65723"/>
    <w:rsid w:val="00F65740"/>
    <w:rsid w:val="00F65781"/>
    <w:rsid w:val="00F657D2"/>
    <w:rsid w:val="00F65885"/>
    <w:rsid w:val="00F65908"/>
    <w:rsid w:val="00F659A0"/>
    <w:rsid w:val="00F659B9"/>
    <w:rsid w:val="00F659C8"/>
    <w:rsid w:val="00F65AB0"/>
    <w:rsid w:val="00F65AB3"/>
    <w:rsid w:val="00F65C56"/>
    <w:rsid w:val="00F65E94"/>
    <w:rsid w:val="00F65F3A"/>
    <w:rsid w:val="00F65F80"/>
    <w:rsid w:val="00F65FB8"/>
    <w:rsid w:val="00F6608E"/>
    <w:rsid w:val="00F660F7"/>
    <w:rsid w:val="00F66102"/>
    <w:rsid w:val="00F662B4"/>
    <w:rsid w:val="00F66393"/>
    <w:rsid w:val="00F665E6"/>
    <w:rsid w:val="00F665F5"/>
    <w:rsid w:val="00F66668"/>
    <w:rsid w:val="00F66689"/>
    <w:rsid w:val="00F666EB"/>
    <w:rsid w:val="00F6672E"/>
    <w:rsid w:val="00F6697B"/>
    <w:rsid w:val="00F669F7"/>
    <w:rsid w:val="00F66A3A"/>
    <w:rsid w:val="00F66B98"/>
    <w:rsid w:val="00F66C80"/>
    <w:rsid w:val="00F66DCA"/>
    <w:rsid w:val="00F66E90"/>
    <w:rsid w:val="00F66ED4"/>
    <w:rsid w:val="00F66F2B"/>
    <w:rsid w:val="00F66FA6"/>
    <w:rsid w:val="00F66FAB"/>
    <w:rsid w:val="00F66FDC"/>
    <w:rsid w:val="00F67047"/>
    <w:rsid w:val="00F6704A"/>
    <w:rsid w:val="00F6717F"/>
    <w:rsid w:val="00F67233"/>
    <w:rsid w:val="00F67264"/>
    <w:rsid w:val="00F672CF"/>
    <w:rsid w:val="00F67406"/>
    <w:rsid w:val="00F675D9"/>
    <w:rsid w:val="00F675F4"/>
    <w:rsid w:val="00F67667"/>
    <w:rsid w:val="00F6771D"/>
    <w:rsid w:val="00F6776E"/>
    <w:rsid w:val="00F67894"/>
    <w:rsid w:val="00F678C5"/>
    <w:rsid w:val="00F678E5"/>
    <w:rsid w:val="00F67918"/>
    <w:rsid w:val="00F67BD4"/>
    <w:rsid w:val="00F67CD0"/>
    <w:rsid w:val="00F67D58"/>
    <w:rsid w:val="00F67E66"/>
    <w:rsid w:val="00F67F75"/>
    <w:rsid w:val="00F67F80"/>
    <w:rsid w:val="00F7002A"/>
    <w:rsid w:val="00F70053"/>
    <w:rsid w:val="00F700A8"/>
    <w:rsid w:val="00F700BB"/>
    <w:rsid w:val="00F70115"/>
    <w:rsid w:val="00F7014D"/>
    <w:rsid w:val="00F70208"/>
    <w:rsid w:val="00F70223"/>
    <w:rsid w:val="00F70402"/>
    <w:rsid w:val="00F705C3"/>
    <w:rsid w:val="00F705CB"/>
    <w:rsid w:val="00F705E4"/>
    <w:rsid w:val="00F70688"/>
    <w:rsid w:val="00F7075D"/>
    <w:rsid w:val="00F70894"/>
    <w:rsid w:val="00F709F1"/>
    <w:rsid w:val="00F709FD"/>
    <w:rsid w:val="00F70B56"/>
    <w:rsid w:val="00F70BD2"/>
    <w:rsid w:val="00F70D90"/>
    <w:rsid w:val="00F70E27"/>
    <w:rsid w:val="00F70EDA"/>
    <w:rsid w:val="00F70EE9"/>
    <w:rsid w:val="00F70F30"/>
    <w:rsid w:val="00F71072"/>
    <w:rsid w:val="00F71145"/>
    <w:rsid w:val="00F712CB"/>
    <w:rsid w:val="00F712D1"/>
    <w:rsid w:val="00F71457"/>
    <w:rsid w:val="00F714BB"/>
    <w:rsid w:val="00F7151F"/>
    <w:rsid w:val="00F715E0"/>
    <w:rsid w:val="00F7160F"/>
    <w:rsid w:val="00F71644"/>
    <w:rsid w:val="00F716F0"/>
    <w:rsid w:val="00F717EB"/>
    <w:rsid w:val="00F7184B"/>
    <w:rsid w:val="00F71A2C"/>
    <w:rsid w:val="00F71A8A"/>
    <w:rsid w:val="00F71B17"/>
    <w:rsid w:val="00F71B49"/>
    <w:rsid w:val="00F71B54"/>
    <w:rsid w:val="00F71C7D"/>
    <w:rsid w:val="00F71D3E"/>
    <w:rsid w:val="00F71E3A"/>
    <w:rsid w:val="00F71EC5"/>
    <w:rsid w:val="00F71F55"/>
    <w:rsid w:val="00F7214E"/>
    <w:rsid w:val="00F72178"/>
    <w:rsid w:val="00F7219D"/>
    <w:rsid w:val="00F721E5"/>
    <w:rsid w:val="00F72283"/>
    <w:rsid w:val="00F722E7"/>
    <w:rsid w:val="00F72386"/>
    <w:rsid w:val="00F7242B"/>
    <w:rsid w:val="00F724DA"/>
    <w:rsid w:val="00F72581"/>
    <w:rsid w:val="00F72635"/>
    <w:rsid w:val="00F72760"/>
    <w:rsid w:val="00F72832"/>
    <w:rsid w:val="00F7283A"/>
    <w:rsid w:val="00F72842"/>
    <w:rsid w:val="00F729A6"/>
    <w:rsid w:val="00F72A27"/>
    <w:rsid w:val="00F72A8A"/>
    <w:rsid w:val="00F72AE7"/>
    <w:rsid w:val="00F72B02"/>
    <w:rsid w:val="00F72BDC"/>
    <w:rsid w:val="00F72C0D"/>
    <w:rsid w:val="00F72C12"/>
    <w:rsid w:val="00F72C3A"/>
    <w:rsid w:val="00F72D01"/>
    <w:rsid w:val="00F72E5F"/>
    <w:rsid w:val="00F72F73"/>
    <w:rsid w:val="00F72FAC"/>
    <w:rsid w:val="00F72FB7"/>
    <w:rsid w:val="00F73043"/>
    <w:rsid w:val="00F73078"/>
    <w:rsid w:val="00F731D6"/>
    <w:rsid w:val="00F731E8"/>
    <w:rsid w:val="00F7324B"/>
    <w:rsid w:val="00F73388"/>
    <w:rsid w:val="00F7339B"/>
    <w:rsid w:val="00F733EA"/>
    <w:rsid w:val="00F73443"/>
    <w:rsid w:val="00F734D0"/>
    <w:rsid w:val="00F7350E"/>
    <w:rsid w:val="00F73713"/>
    <w:rsid w:val="00F737D7"/>
    <w:rsid w:val="00F739AE"/>
    <w:rsid w:val="00F73A60"/>
    <w:rsid w:val="00F73AB0"/>
    <w:rsid w:val="00F73ABF"/>
    <w:rsid w:val="00F73C37"/>
    <w:rsid w:val="00F73D1F"/>
    <w:rsid w:val="00F73DE6"/>
    <w:rsid w:val="00F73E46"/>
    <w:rsid w:val="00F74055"/>
    <w:rsid w:val="00F740B9"/>
    <w:rsid w:val="00F74259"/>
    <w:rsid w:val="00F742D1"/>
    <w:rsid w:val="00F74366"/>
    <w:rsid w:val="00F74381"/>
    <w:rsid w:val="00F743C8"/>
    <w:rsid w:val="00F74598"/>
    <w:rsid w:val="00F74645"/>
    <w:rsid w:val="00F74666"/>
    <w:rsid w:val="00F749AD"/>
    <w:rsid w:val="00F74ABF"/>
    <w:rsid w:val="00F74B22"/>
    <w:rsid w:val="00F74B4B"/>
    <w:rsid w:val="00F74B67"/>
    <w:rsid w:val="00F74C25"/>
    <w:rsid w:val="00F74CA7"/>
    <w:rsid w:val="00F74DD5"/>
    <w:rsid w:val="00F74DDA"/>
    <w:rsid w:val="00F75089"/>
    <w:rsid w:val="00F750AA"/>
    <w:rsid w:val="00F75193"/>
    <w:rsid w:val="00F75258"/>
    <w:rsid w:val="00F75269"/>
    <w:rsid w:val="00F752F5"/>
    <w:rsid w:val="00F753B5"/>
    <w:rsid w:val="00F7551B"/>
    <w:rsid w:val="00F75552"/>
    <w:rsid w:val="00F75588"/>
    <w:rsid w:val="00F75626"/>
    <w:rsid w:val="00F7568D"/>
    <w:rsid w:val="00F756AD"/>
    <w:rsid w:val="00F756AE"/>
    <w:rsid w:val="00F7570C"/>
    <w:rsid w:val="00F75882"/>
    <w:rsid w:val="00F75945"/>
    <w:rsid w:val="00F75A3A"/>
    <w:rsid w:val="00F75C3F"/>
    <w:rsid w:val="00F75DFF"/>
    <w:rsid w:val="00F75ED2"/>
    <w:rsid w:val="00F75EE7"/>
    <w:rsid w:val="00F75F08"/>
    <w:rsid w:val="00F7604C"/>
    <w:rsid w:val="00F76078"/>
    <w:rsid w:val="00F760DF"/>
    <w:rsid w:val="00F761A8"/>
    <w:rsid w:val="00F76414"/>
    <w:rsid w:val="00F76510"/>
    <w:rsid w:val="00F76525"/>
    <w:rsid w:val="00F7659C"/>
    <w:rsid w:val="00F767A1"/>
    <w:rsid w:val="00F76894"/>
    <w:rsid w:val="00F76B7C"/>
    <w:rsid w:val="00F76BC6"/>
    <w:rsid w:val="00F76BDA"/>
    <w:rsid w:val="00F76BDD"/>
    <w:rsid w:val="00F76C4C"/>
    <w:rsid w:val="00F76D7F"/>
    <w:rsid w:val="00F76DDD"/>
    <w:rsid w:val="00F76E02"/>
    <w:rsid w:val="00F76EE0"/>
    <w:rsid w:val="00F76F60"/>
    <w:rsid w:val="00F76F98"/>
    <w:rsid w:val="00F77059"/>
    <w:rsid w:val="00F7705C"/>
    <w:rsid w:val="00F772E0"/>
    <w:rsid w:val="00F7730E"/>
    <w:rsid w:val="00F774B0"/>
    <w:rsid w:val="00F774FC"/>
    <w:rsid w:val="00F7752B"/>
    <w:rsid w:val="00F77585"/>
    <w:rsid w:val="00F77588"/>
    <w:rsid w:val="00F775C1"/>
    <w:rsid w:val="00F77634"/>
    <w:rsid w:val="00F77786"/>
    <w:rsid w:val="00F77824"/>
    <w:rsid w:val="00F778DB"/>
    <w:rsid w:val="00F77921"/>
    <w:rsid w:val="00F77CD4"/>
    <w:rsid w:val="00F77D51"/>
    <w:rsid w:val="00F77E0B"/>
    <w:rsid w:val="00F77ECA"/>
    <w:rsid w:val="00F77FAC"/>
    <w:rsid w:val="00F80063"/>
    <w:rsid w:val="00F8007B"/>
    <w:rsid w:val="00F80336"/>
    <w:rsid w:val="00F80730"/>
    <w:rsid w:val="00F80863"/>
    <w:rsid w:val="00F8099A"/>
    <w:rsid w:val="00F80A13"/>
    <w:rsid w:val="00F80A21"/>
    <w:rsid w:val="00F80AF7"/>
    <w:rsid w:val="00F80BD9"/>
    <w:rsid w:val="00F80E19"/>
    <w:rsid w:val="00F80E21"/>
    <w:rsid w:val="00F80EE7"/>
    <w:rsid w:val="00F80FF3"/>
    <w:rsid w:val="00F810DB"/>
    <w:rsid w:val="00F811B9"/>
    <w:rsid w:val="00F81207"/>
    <w:rsid w:val="00F81303"/>
    <w:rsid w:val="00F81341"/>
    <w:rsid w:val="00F81366"/>
    <w:rsid w:val="00F81575"/>
    <w:rsid w:val="00F816AF"/>
    <w:rsid w:val="00F816C4"/>
    <w:rsid w:val="00F81707"/>
    <w:rsid w:val="00F81774"/>
    <w:rsid w:val="00F81813"/>
    <w:rsid w:val="00F81847"/>
    <w:rsid w:val="00F818B8"/>
    <w:rsid w:val="00F81AAF"/>
    <w:rsid w:val="00F81AF3"/>
    <w:rsid w:val="00F81C2C"/>
    <w:rsid w:val="00F81D25"/>
    <w:rsid w:val="00F81DA9"/>
    <w:rsid w:val="00F81E28"/>
    <w:rsid w:val="00F81EBC"/>
    <w:rsid w:val="00F81FB3"/>
    <w:rsid w:val="00F820EF"/>
    <w:rsid w:val="00F82129"/>
    <w:rsid w:val="00F8212B"/>
    <w:rsid w:val="00F82336"/>
    <w:rsid w:val="00F82420"/>
    <w:rsid w:val="00F8261B"/>
    <w:rsid w:val="00F8266E"/>
    <w:rsid w:val="00F827FD"/>
    <w:rsid w:val="00F82893"/>
    <w:rsid w:val="00F8296D"/>
    <w:rsid w:val="00F82981"/>
    <w:rsid w:val="00F829A1"/>
    <w:rsid w:val="00F82B09"/>
    <w:rsid w:val="00F82D1D"/>
    <w:rsid w:val="00F82E7C"/>
    <w:rsid w:val="00F82EE6"/>
    <w:rsid w:val="00F82F93"/>
    <w:rsid w:val="00F831DA"/>
    <w:rsid w:val="00F832BE"/>
    <w:rsid w:val="00F833FF"/>
    <w:rsid w:val="00F834FE"/>
    <w:rsid w:val="00F83850"/>
    <w:rsid w:val="00F83ABA"/>
    <w:rsid w:val="00F83C74"/>
    <w:rsid w:val="00F83E2A"/>
    <w:rsid w:val="00F83E4D"/>
    <w:rsid w:val="00F83E5F"/>
    <w:rsid w:val="00F83F2E"/>
    <w:rsid w:val="00F83FC4"/>
    <w:rsid w:val="00F84047"/>
    <w:rsid w:val="00F840E5"/>
    <w:rsid w:val="00F84197"/>
    <w:rsid w:val="00F841B7"/>
    <w:rsid w:val="00F84202"/>
    <w:rsid w:val="00F84271"/>
    <w:rsid w:val="00F842E0"/>
    <w:rsid w:val="00F8451C"/>
    <w:rsid w:val="00F845BF"/>
    <w:rsid w:val="00F845E1"/>
    <w:rsid w:val="00F8460D"/>
    <w:rsid w:val="00F84620"/>
    <w:rsid w:val="00F84705"/>
    <w:rsid w:val="00F84838"/>
    <w:rsid w:val="00F84913"/>
    <w:rsid w:val="00F84937"/>
    <w:rsid w:val="00F84A65"/>
    <w:rsid w:val="00F84CFA"/>
    <w:rsid w:val="00F84D63"/>
    <w:rsid w:val="00F84DE1"/>
    <w:rsid w:val="00F84E20"/>
    <w:rsid w:val="00F84F29"/>
    <w:rsid w:val="00F84F46"/>
    <w:rsid w:val="00F84FFC"/>
    <w:rsid w:val="00F8500C"/>
    <w:rsid w:val="00F850A6"/>
    <w:rsid w:val="00F850AF"/>
    <w:rsid w:val="00F850B6"/>
    <w:rsid w:val="00F8513B"/>
    <w:rsid w:val="00F851C5"/>
    <w:rsid w:val="00F85204"/>
    <w:rsid w:val="00F8530F"/>
    <w:rsid w:val="00F85322"/>
    <w:rsid w:val="00F85519"/>
    <w:rsid w:val="00F8552A"/>
    <w:rsid w:val="00F85535"/>
    <w:rsid w:val="00F8553B"/>
    <w:rsid w:val="00F8573E"/>
    <w:rsid w:val="00F857A5"/>
    <w:rsid w:val="00F858A1"/>
    <w:rsid w:val="00F85A4D"/>
    <w:rsid w:val="00F85ACD"/>
    <w:rsid w:val="00F85B1A"/>
    <w:rsid w:val="00F85E9C"/>
    <w:rsid w:val="00F85F1D"/>
    <w:rsid w:val="00F85F38"/>
    <w:rsid w:val="00F85FF7"/>
    <w:rsid w:val="00F8622F"/>
    <w:rsid w:val="00F862A2"/>
    <w:rsid w:val="00F86400"/>
    <w:rsid w:val="00F864C6"/>
    <w:rsid w:val="00F86503"/>
    <w:rsid w:val="00F86572"/>
    <w:rsid w:val="00F8657D"/>
    <w:rsid w:val="00F865BD"/>
    <w:rsid w:val="00F86607"/>
    <w:rsid w:val="00F8681F"/>
    <w:rsid w:val="00F86872"/>
    <w:rsid w:val="00F86908"/>
    <w:rsid w:val="00F86A75"/>
    <w:rsid w:val="00F86B9C"/>
    <w:rsid w:val="00F86C22"/>
    <w:rsid w:val="00F86C26"/>
    <w:rsid w:val="00F86D70"/>
    <w:rsid w:val="00F86D95"/>
    <w:rsid w:val="00F86DB8"/>
    <w:rsid w:val="00F86DD8"/>
    <w:rsid w:val="00F86E71"/>
    <w:rsid w:val="00F86EAA"/>
    <w:rsid w:val="00F86F5F"/>
    <w:rsid w:val="00F86F71"/>
    <w:rsid w:val="00F87170"/>
    <w:rsid w:val="00F8717E"/>
    <w:rsid w:val="00F87318"/>
    <w:rsid w:val="00F87355"/>
    <w:rsid w:val="00F87387"/>
    <w:rsid w:val="00F875A6"/>
    <w:rsid w:val="00F875B7"/>
    <w:rsid w:val="00F87619"/>
    <w:rsid w:val="00F87731"/>
    <w:rsid w:val="00F8780D"/>
    <w:rsid w:val="00F87817"/>
    <w:rsid w:val="00F87857"/>
    <w:rsid w:val="00F878E9"/>
    <w:rsid w:val="00F87902"/>
    <w:rsid w:val="00F879EF"/>
    <w:rsid w:val="00F87BAB"/>
    <w:rsid w:val="00F87C02"/>
    <w:rsid w:val="00F87E45"/>
    <w:rsid w:val="00F87F07"/>
    <w:rsid w:val="00F87F18"/>
    <w:rsid w:val="00F9004D"/>
    <w:rsid w:val="00F901C4"/>
    <w:rsid w:val="00F9033E"/>
    <w:rsid w:val="00F90347"/>
    <w:rsid w:val="00F903D9"/>
    <w:rsid w:val="00F90496"/>
    <w:rsid w:val="00F904ED"/>
    <w:rsid w:val="00F905EC"/>
    <w:rsid w:val="00F9060E"/>
    <w:rsid w:val="00F90648"/>
    <w:rsid w:val="00F90794"/>
    <w:rsid w:val="00F9083A"/>
    <w:rsid w:val="00F9088D"/>
    <w:rsid w:val="00F9089D"/>
    <w:rsid w:val="00F90928"/>
    <w:rsid w:val="00F9095C"/>
    <w:rsid w:val="00F90BB7"/>
    <w:rsid w:val="00F90CF1"/>
    <w:rsid w:val="00F90F3E"/>
    <w:rsid w:val="00F90FC8"/>
    <w:rsid w:val="00F910B5"/>
    <w:rsid w:val="00F910B9"/>
    <w:rsid w:val="00F9137E"/>
    <w:rsid w:val="00F91384"/>
    <w:rsid w:val="00F914F3"/>
    <w:rsid w:val="00F915E7"/>
    <w:rsid w:val="00F916BB"/>
    <w:rsid w:val="00F916CD"/>
    <w:rsid w:val="00F91711"/>
    <w:rsid w:val="00F91757"/>
    <w:rsid w:val="00F9193C"/>
    <w:rsid w:val="00F91AC3"/>
    <w:rsid w:val="00F91B4C"/>
    <w:rsid w:val="00F91C03"/>
    <w:rsid w:val="00F91C7D"/>
    <w:rsid w:val="00F91D34"/>
    <w:rsid w:val="00F91D61"/>
    <w:rsid w:val="00F92106"/>
    <w:rsid w:val="00F9212C"/>
    <w:rsid w:val="00F9215D"/>
    <w:rsid w:val="00F921AB"/>
    <w:rsid w:val="00F92237"/>
    <w:rsid w:val="00F92257"/>
    <w:rsid w:val="00F92341"/>
    <w:rsid w:val="00F92396"/>
    <w:rsid w:val="00F9239F"/>
    <w:rsid w:val="00F92524"/>
    <w:rsid w:val="00F9259E"/>
    <w:rsid w:val="00F9279E"/>
    <w:rsid w:val="00F928B7"/>
    <w:rsid w:val="00F928BF"/>
    <w:rsid w:val="00F929C3"/>
    <w:rsid w:val="00F929F5"/>
    <w:rsid w:val="00F92B13"/>
    <w:rsid w:val="00F92BB5"/>
    <w:rsid w:val="00F92BCF"/>
    <w:rsid w:val="00F92BDE"/>
    <w:rsid w:val="00F92E40"/>
    <w:rsid w:val="00F92F52"/>
    <w:rsid w:val="00F92FF1"/>
    <w:rsid w:val="00F930E5"/>
    <w:rsid w:val="00F9315A"/>
    <w:rsid w:val="00F93225"/>
    <w:rsid w:val="00F932CD"/>
    <w:rsid w:val="00F932EE"/>
    <w:rsid w:val="00F9337E"/>
    <w:rsid w:val="00F93441"/>
    <w:rsid w:val="00F93482"/>
    <w:rsid w:val="00F9398A"/>
    <w:rsid w:val="00F93A32"/>
    <w:rsid w:val="00F93AC3"/>
    <w:rsid w:val="00F93BA0"/>
    <w:rsid w:val="00F93C3A"/>
    <w:rsid w:val="00F93C42"/>
    <w:rsid w:val="00F93CE6"/>
    <w:rsid w:val="00F93D28"/>
    <w:rsid w:val="00F93DF2"/>
    <w:rsid w:val="00F93E16"/>
    <w:rsid w:val="00F93E3C"/>
    <w:rsid w:val="00F93EE9"/>
    <w:rsid w:val="00F93F3E"/>
    <w:rsid w:val="00F93F7B"/>
    <w:rsid w:val="00F93FB3"/>
    <w:rsid w:val="00F93FFB"/>
    <w:rsid w:val="00F9405A"/>
    <w:rsid w:val="00F94083"/>
    <w:rsid w:val="00F94085"/>
    <w:rsid w:val="00F940FF"/>
    <w:rsid w:val="00F9413F"/>
    <w:rsid w:val="00F941A5"/>
    <w:rsid w:val="00F941AD"/>
    <w:rsid w:val="00F94359"/>
    <w:rsid w:val="00F943F1"/>
    <w:rsid w:val="00F94638"/>
    <w:rsid w:val="00F94904"/>
    <w:rsid w:val="00F94962"/>
    <w:rsid w:val="00F94A46"/>
    <w:rsid w:val="00F94A6B"/>
    <w:rsid w:val="00F94B96"/>
    <w:rsid w:val="00F94BCF"/>
    <w:rsid w:val="00F94C21"/>
    <w:rsid w:val="00F94C58"/>
    <w:rsid w:val="00F94EBD"/>
    <w:rsid w:val="00F94FB3"/>
    <w:rsid w:val="00F94FE5"/>
    <w:rsid w:val="00F95004"/>
    <w:rsid w:val="00F95141"/>
    <w:rsid w:val="00F9527E"/>
    <w:rsid w:val="00F95337"/>
    <w:rsid w:val="00F95369"/>
    <w:rsid w:val="00F953E2"/>
    <w:rsid w:val="00F95579"/>
    <w:rsid w:val="00F955E5"/>
    <w:rsid w:val="00F95603"/>
    <w:rsid w:val="00F9566A"/>
    <w:rsid w:val="00F95674"/>
    <w:rsid w:val="00F95863"/>
    <w:rsid w:val="00F958BB"/>
    <w:rsid w:val="00F958C0"/>
    <w:rsid w:val="00F958C7"/>
    <w:rsid w:val="00F958FA"/>
    <w:rsid w:val="00F95903"/>
    <w:rsid w:val="00F95977"/>
    <w:rsid w:val="00F959D9"/>
    <w:rsid w:val="00F95B31"/>
    <w:rsid w:val="00F95B50"/>
    <w:rsid w:val="00F95B5A"/>
    <w:rsid w:val="00F95BD2"/>
    <w:rsid w:val="00F95D59"/>
    <w:rsid w:val="00F95D60"/>
    <w:rsid w:val="00F95DA5"/>
    <w:rsid w:val="00F95E38"/>
    <w:rsid w:val="00F95E97"/>
    <w:rsid w:val="00F95F04"/>
    <w:rsid w:val="00F95F1D"/>
    <w:rsid w:val="00F960BC"/>
    <w:rsid w:val="00F96125"/>
    <w:rsid w:val="00F961D4"/>
    <w:rsid w:val="00F96267"/>
    <w:rsid w:val="00F9626E"/>
    <w:rsid w:val="00F962B4"/>
    <w:rsid w:val="00F96323"/>
    <w:rsid w:val="00F96369"/>
    <w:rsid w:val="00F9641A"/>
    <w:rsid w:val="00F964BB"/>
    <w:rsid w:val="00F96533"/>
    <w:rsid w:val="00F965AB"/>
    <w:rsid w:val="00F96731"/>
    <w:rsid w:val="00F96B81"/>
    <w:rsid w:val="00F96C73"/>
    <w:rsid w:val="00F96D98"/>
    <w:rsid w:val="00F96DA5"/>
    <w:rsid w:val="00F96ECB"/>
    <w:rsid w:val="00F96F7E"/>
    <w:rsid w:val="00F971CE"/>
    <w:rsid w:val="00F9729D"/>
    <w:rsid w:val="00F972CB"/>
    <w:rsid w:val="00F972CE"/>
    <w:rsid w:val="00F97426"/>
    <w:rsid w:val="00F97479"/>
    <w:rsid w:val="00F974DD"/>
    <w:rsid w:val="00F975BF"/>
    <w:rsid w:val="00F977EA"/>
    <w:rsid w:val="00F9786D"/>
    <w:rsid w:val="00F97AAE"/>
    <w:rsid w:val="00F97B98"/>
    <w:rsid w:val="00F97CB6"/>
    <w:rsid w:val="00F97CE3"/>
    <w:rsid w:val="00F97CEF"/>
    <w:rsid w:val="00F97D27"/>
    <w:rsid w:val="00F97D33"/>
    <w:rsid w:val="00F97F3D"/>
    <w:rsid w:val="00FA001D"/>
    <w:rsid w:val="00FA019B"/>
    <w:rsid w:val="00FA01FB"/>
    <w:rsid w:val="00FA0267"/>
    <w:rsid w:val="00FA033D"/>
    <w:rsid w:val="00FA03AA"/>
    <w:rsid w:val="00FA03D4"/>
    <w:rsid w:val="00FA0626"/>
    <w:rsid w:val="00FA0640"/>
    <w:rsid w:val="00FA0753"/>
    <w:rsid w:val="00FA077C"/>
    <w:rsid w:val="00FA07E3"/>
    <w:rsid w:val="00FA09E1"/>
    <w:rsid w:val="00FA09F6"/>
    <w:rsid w:val="00FA0C1A"/>
    <w:rsid w:val="00FA0D0A"/>
    <w:rsid w:val="00FA0E08"/>
    <w:rsid w:val="00FA0EA9"/>
    <w:rsid w:val="00FA0F1C"/>
    <w:rsid w:val="00FA107F"/>
    <w:rsid w:val="00FA10AD"/>
    <w:rsid w:val="00FA1148"/>
    <w:rsid w:val="00FA11A0"/>
    <w:rsid w:val="00FA1353"/>
    <w:rsid w:val="00FA1471"/>
    <w:rsid w:val="00FA1486"/>
    <w:rsid w:val="00FA14C1"/>
    <w:rsid w:val="00FA150C"/>
    <w:rsid w:val="00FA160C"/>
    <w:rsid w:val="00FA1685"/>
    <w:rsid w:val="00FA16F4"/>
    <w:rsid w:val="00FA1722"/>
    <w:rsid w:val="00FA1951"/>
    <w:rsid w:val="00FA19B4"/>
    <w:rsid w:val="00FA19FA"/>
    <w:rsid w:val="00FA1A54"/>
    <w:rsid w:val="00FA1BA2"/>
    <w:rsid w:val="00FA1C32"/>
    <w:rsid w:val="00FA1C34"/>
    <w:rsid w:val="00FA1C8C"/>
    <w:rsid w:val="00FA1DDF"/>
    <w:rsid w:val="00FA1F65"/>
    <w:rsid w:val="00FA1FFB"/>
    <w:rsid w:val="00FA217E"/>
    <w:rsid w:val="00FA219D"/>
    <w:rsid w:val="00FA2233"/>
    <w:rsid w:val="00FA2292"/>
    <w:rsid w:val="00FA22F4"/>
    <w:rsid w:val="00FA2308"/>
    <w:rsid w:val="00FA230C"/>
    <w:rsid w:val="00FA23A3"/>
    <w:rsid w:val="00FA24CB"/>
    <w:rsid w:val="00FA24DF"/>
    <w:rsid w:val="00FA25ED"/>
    <w:rsid w:val="00FA2662"/>
    <w:rsid w:val="00FA26C1"/>
    <w:rsid w:val="00FA2761"/>
    <w:rsid w:val="00FA2785"/>
    <w:rsid w:val="00FA29BA"/>
    <w:rsid w:val="00FA2A2A"/>
    <w:rsid w:val="00FA2A53"/>
    <w:rsid w:val="00FA2AF7"/>
    <w:rsid w:val="00FA2B00"/>
    <w:rsid w:val="00FA2B83"/>
    <w:rsid w:val="00FA2CE3"/>
    <w:rsid w:val="00FA2D2D"/>
    <w:rsid w:val="00FA2EAB"/>
    <w:rsid w:val="00FA2F48"/>
    <w:rsid w:val="00FA2F94"/>
    <w:rsid w:val="00FA310D"/>
    <w:rsid w:val="00FA3141"/>
    <w:rsid w:val="00FA3232"/>
    <w:rsid w:val="00FA327C"/>
    <w:rsid w:val="00FA3365"/>
    <w:rsid w:val="00FA337C"/>
    <w:rsid w:val="00FA33F6"/>
    <w:rsid w:val="00FA33F9"/>
    <w:rsid w:val="00FA34E5"/>
    <w:rsid w:val="00FA35A9"/>
    <w:rsid w:val="00FA363C"/>
    <w:rsid w:val="00FA3695"/>
    <w:rsid w:val="00FA369B"/>
    <w:rsid w:val="00FA3732"/>
    <w:rsid w:val="00FA37D9"/>
    <w:rsid w:val="00FA3C09"/>
    <w:rsid w:val="00FA3FBD"/>
    <w:rsid w:val="00FA404F"/>
    <w:rsid w:val="00FA4095"/>
    <w:rsid w:val="00FA41E1"/>
    <w:rsid w:val="00FA41EE"/>
    <w:rsid w:val="00FA42C8"/>
    <w:rsid w:val="00FA42D4"/>
    <w:rsid w:val="00FA42FA"/>
    <w:rsid w:val="00FA42FD"/>
    <w:rsid w:val="00FA43C2"/>
    <w:rsid w:val="00FA447D"/>
    <w:rsid w:val="00FA4496"/>
    <w:rsid w:val="00FA45D5"/>
    <w:rsid w:val="00FA46E4"/>
    <w:rsid w:val="00FA4727"/>
    <w:rsid w:val="00FA475E"/>
    <w:rsid w:val="00FA486A"/>
    <w:rsid w:val="00FA4A5D"/>
    <w:rsid w:val="00FA4C2D"/>
    <w:rsid w:val="00FA4D97"/>
    <w:rsid w:val="00FA4F17"/>
    <w:rsid w:val="00FA4F98"/>
    <w:rsid w:val="00FA4FA1"/>
    <w:rsid w:val="00FA5056"/>
    <w:rsid w:val="00FA50F2"/>
    <w:rsid w:val="00FA525A"/>
    <w:rsid w:val="00FA52C2"/>
    <w:rsid w:val="00FA52F9"/>
    <w:rsid w:val="00FA5435"/>
    <w:rsid w:val="00FA5597"/>
    <w:rsid w:val="00FA56BC"/>
    <w:rsid w:val="00FA57DF"/>
    <w:rsid w:val="00FA588F"/>
    <w:rsid w:val="00FA58B1"/>
    <w:rsid w:val="00FA5914"/>
    <w:rsid w:val="00FA5AE2"/>
    <w:rsid w:val="00FA5AFB"/>
    <w:rsid w:val="00FA5B01"/>
    <w:rsid w:val="00FA5BAE"/>
    <w:rsid w:val="00FA5D74"/>
    <w:rsid w:val="00FA5F10"/>
    <w:rsid w:val="00FA5F3A"/>
    <w:rsid w:val="00FA5F3E"/>
    <w:rsid w:val="00FA5F81"/>
    <w:rsid w:val="00FA6009"/>
    <w:rsid w:val="00FA60C5"/>
    <w:rsid w:val="00FA6251"/>
    <w:rsid w:val="00FA63D7"/>
    <w:rsid w:val="00FA64CF"/>
    <w:rsid w:val="00FA6574"/>
    <w:rsid w:val="00FA663D"/>
    <w:rsid w:val="00FA6735"/>
    <w:rsid w:val="00FA6745"/>
    <w:rsid w:val="00FA6784"/>
    <w:rsid w:val="00FA683F"/>
    <w:rsid w:val="00FA6867"/>
    <w:rsid w:val="00FA68D3"/>
    <w:rsid w:val="00FA6901"/>
    <w:rsid w:val="00FA6A2C"/>
    <w:rsid w:val="00FA6A8B"/>
    <w:rsid w:val="00FA6AC6"/>
    <w:rsid w:val="00FA6AEB"/>
    <w:rsid w:val="00FA6B03"/>
    <w:rsid w:val="00FA6BC7"/>
    <w:rsid w:val="00FA6BE4"/>
    <w:rsid w:val="00FA6D1E"/>
    <w:rsid w:val="00FA6D45"/>
    <w:rsid w:val="00FA6DE8"/>
    <w:rsid w:val="00FA6E4C"/>
    <w:rsid w:val="00FA6E85"/>
    <w:rsid w:val="00FA6EE8"/>
    <w:rsid w:val="00FA6FC9"/>
    <w:rsid w:val="00FA7084"/>
    <w:rsid w:val="00FA70BE"/>
    <w:rsid w:val="00FA7255"/>
    <w:rsid w:val="00FA746E"/>
    <w:rsid w:val="00FA749B"/>
    <w:rsid w:val="00FA7612"/>
    <w:rsid w:val="00FA762A"/>
    <w:rsid w:val="00FA7772"/>
    <w:rsid w:val="00FA779E"/>
    <w:rsid w:val="00FA77FD"/>
    <w:rsid w:val="00FA781F"/>
    <w:rsid w:val="00FA783E"/>
    <w:rsid w:val="00FA78E7"/>
    <w:rsid w:val="00FA7A8D"/>
    <w:rsid w:val="00FA7B17"/>
    <w:rsid w:val="00FA7BB9"/>
    <w:rsid w:val="00FA7BC0"/>
    <w:rsid w:val="00FA7D11"/>
    <w:rsid w:val="00FA7D5A"/>
    <w:rsid w:val="00FA7F0B"/>
    <w:rsid w:val="00FB020A"/>
    <w:rsid w:val="00FB0251"/>
    <w:rsid w:val="00FB0507"/>
    <w:rsid w:val="00FB0514"/>
    <w:rsid w:val="00FB0522"/>
    <w:rsid w:val="00FB0556"/>
    <w:rsid w:val="00FB05E4"/>
    <w:rsid w:val="00FB069C"/>
    <w:rsid w:val="00FB06F3"/>
    <w:rsid w:val="00FB0746"/>
    <w:rsid w:val="00FB07FB"/>
    <w:rsid w:val="00FB080D"/>
    <w:rsid w:val="00FB09BC"/>
    <w:rsid w:val="00FB0A35"/>
    <w:rsid w:val="00FB0A36"/>
    <w:rsid w:val="00FB0A3A"/>
    <w:rsid w:val="00FB0A5A"/>
    <w:rsid w:val="00FB0C36"/>
    <w:rsid w:val="00FB0C5D"/>
    <w:rsid w:val="00FB0C61"/>
    <w:rsid w:val="00FB0C88"/>
    <w:rsid w:val="00FB0CA9"/>
    <w:rsid w:val="00FB0CE2"/>
    <w:rsid w:val="00FB0E55"/>
    <w:rsid w:val="00FB0E58"/>
    <w:rsid w:val="00FB0EB6"/>
    <w:rsid w:val="00FB0F2E"/>
    <w:rsid w:val="00FB1163"/>
    <w:rsid w:val="00FB135E"/>
    <w:rsid w:val="00FB1434"/>
    <w:rsid w:val="00FB14C1"/>
    <w:rsid w:val="00FB14E7"/>
    <w:rsid w:val="00FB159B"/>
    <w:rsid w:val="00FB1664"/>
    <w:rsid w:val="00FB1680"/>
    <w:rsid w:val="00FB1908"/>
    <w:rsid w:val="00FB1940"/>
    <w:rsid w:val="00FB19D6"/>
    <w:rsid w:val="00FB1A8B"/>
    <w:rsid w:val="00FB1BAC"/>
    <w:rsid w:val="00FB1C47"/>
    <w:rsid w:val="00FB1D39"/>
    <w:rsid w:val="00FB1D87"/>
    <w:rsid w:val="00FB1DD3"/>
    <w:rsid w:val="00FB1DD8"/>
    <w:rsid w:val="00FB1FB9"/>
    <w:rsid w:val="00FB2135"/>
    <w:rsid w:val="00FB21A9"/>
    <w:rsid w:val="00FB21AD"/>
    <w:rsid w:val="00FB2208"/>
    <w:rsid w:val="00FB229A"/>
    <w:rsid w:val="00FB24A3"/>
    <w:rsid w:val="00FB2699"/>
    <w:rsid w:val="00FB289C"/>
    <w:rsid w:val="00FB28D9"/>
    <w:rsid w:val="00FB28F9"/>
    <w:rsid w:val="00FB296F"/>
    <w:rsid w:val="00FB2974"/>
    <w:rsid w:val="00FB29BB"/>
    <w:rsid w:val="00FB29E9"/>
    <w:rsid w:val="00FB2C22"/>
    <w:rsid w:val="00FB2D6E"/>
    <w:rsid w:val="00FB2E94"/>
    <w:rsid w:val="00FB2E9D"/>
    <w:rsid w:val="00FB305A"/>
    <w:rsid w:val="00FB3079"/>
    <w:rsid w:val="00FB30EC"/>
    <w:rsid w:val="00FB3127"/>
    <w:rsid w:val="00FB31B7"/>
    <w:rsid w:val="00FB3234"/>
    <w:rsid w:val="00FB335A"/>
    <w:rsid w:val="00FB340D"/>
    <w:rsid w:val="00FB3420"/>
    <w:rsid w:val="00FB3457"/>
    <w:rsid w:val="00FB3512"/>
    <w:rsid w:val="00FB358D"/>
    <w:rsid w:val="00FB3641"/>
    <w:rsid w:val="00FB36F3"/>
    <w:rsid w:val="00FB379C"/>
    <w:rsid w:val="00FB3860"/>
    <w:rsid w:val="00FB387A"/>
    <w:rsid w:val="00FB38A2"/>
    <w:rsid w:val="00FB39C9"/>
    <w:rsid w:val="00FB3C39"/>
    <w:rsid w:val="00FB3DC3"/>
    <w:rsid w:val="00FB3DEB"/>
    <w:rsid w:val="00FB3EDF"/>
    <w:rsid w:val="00FB40DA"/>
    <w:rsid w:val="00FB4366"/>
    <w:rsid w:val="00FB43DB"/>
    <w:rsid w:val="00FB43E0"/>
    <w:rsid w:val="00FB43E7"/>
    <w:rsid w:val="00FB4443"/>
    <w:rsid w:val="00FB4455"/>
    <w:rsid w:val="00FB4567"/>
    <w:rsid w:val="00FB459F"/>
    <w:rsid w:val="00FB45BA"/>
    <w:rsid w:val="00FB45BC"/>
    <w:rsid w:val="00FB46A7"/>
    <w:rsid w:val="00FB4757"/>
    <w:rsid w:val="00FB4815"/>
    <w:rsid w:val="00FB489F"/>
    <w:rsid w:val="00FB49A4"/>
    <w:rsid w:val="00FB4B29"/>
    <w:rsid w:val="00FB4B7D"/>
    <w:rsid w:val="00FB4C0C"/>
    <w:rsid w:val="00FB4D96"/>
    <w:rsid w:val="00FB4DE3"/>
    <w:rsid w:val="00FB4E5D"/>
    <w:rsid w:val="00FB4E60"/>
    <w:rsid w:val="00FB5000"/>
    <w:rsid w:val="00FB50D6"/>
    <w:rsid w:val="00FB510A"/>
    <w:rsid w:val="00FB5332"/>
    <w:rsid w:val="00FB5353"/>
    <w:rsid w:val="00FB54B3"/>
    <w:rsid w:val="00FB54CA"/>
    <w:rsid w:val="00FB55C2"/>
    <w:rsid w:val="00FB5623"/>
    <w:rsid w:val="00FB5719"/>
    <w:rsid w:val="00FB5754"/>
    <w:rsid w:val="00FB577D"/>
    <w:rsid w:val="00FB57FF"/>
    <w:rsid w:val="00FB5852"/>
    <w:rsid w:val="00FB58E3"/>
    <w:rsid w:val="00FB58F1"/>
    <w:rsid w:val="00FB59BE"/>
    <w:rsid w:val="00FB5A4D"/>
    <w:rsid w:val="00FB5A82"/>
    <w:rsid w:val="00FB5AD7"/>
    <w:rsid w:val="00FB5B1D"/>
    <w:rsid w:val="00FB5BE7"/>
    <w:rsid w:val="00FB5D1C"/>
    <w:rsid w:val="00FB5E00"/>
    <w:rsid w:val="00FB5F54"/>
    <w:rsid w:val="00FB5FD6"/>
    <w:rsid w:val="00FB608E"/>
    <w:rsid w:val="00FB6091"/>
    <w:rsid w:val="00FB60A3"/>
    <w:rsid w:val="00FB60EF"/>
    <w:rsid w:val="00FB610B"/>
    <w:rsid w:val="00FB6178"/>
    <w:rsid w:val="00FB6201"/>
    <w:rsid w:val="00FB625A"/>
    <w:rsid w:val="00FB6264"/>
    <w:rsid w:val="00FB62A2"/>
    <w:rsid w:val="00FB64CD"/>
    <w:rsid w:val="00FB6518"/>
    <w:rsid w:val="00FB6531"/>
    <w:rsid w:val="00FB660B"/>
    <w:rsid w:val="00FB6690"/>
    <w:rsid w:val="00FB66B4"/>
    <w:rsid w:val="00FB66BC"/>
    <w:rsid w:val="00FB67DD"/>
    <w:rsid w:val="00FB67E4"/>
    <w:rsid w:val="00FB682C"/>
    <w:rsid w:val="00FB699F"/>
    <w:rsid w:val="00FB6C00"/>
    <w:rsid w:val="00FB6CD2"/>
    <w:rsid w:val="00FB6E22"/>
    <w:rsid w:val="00FB6EC5"/>
    <w:rsid w:val="00FB6F76"/>
    <w:rsid w:val="00FB7024"/>
    <w:rsid w:val="00FB7030"/>
    <w:rsid w:val="00FB7060"/>
    <w:rsid w:val="00FB7169"/>
    <w:rsid w:val="00FB7175"/>
    <w:rsid w:val="00FB7259"/>
    <w:rsid w:val="00FB7263"/>
    <w:rsid w:val="00FB73AD"/>
    <w:rsid w:val="00FB73D6"/>
    <w:rsid w:val="00FB74B9"/>
    <w:rsid w:val="00FB7554"/>
    <w:rsid w:val="00FB75A2"/>
    <w:rsid w:val="00FB766C"/>
    <w:rsid w:val="00FB772E"/>
    <w:rsid w:val="00FB77D5"/>
    <w:rsid w:val="00FB79D6"/>
    <w:rsid w:val="00FB7A76"/>
    <w:rsid w:val="00FB7B4E"/>
    <w:rsid w:val="00FB7B6F"/>
    <w:rsid w:val="00FB7C08"/>
    <w:rsid w:val="00FB7C92"/>
    <w:rsid w:val="00FB7DEE"/>
    <w:rsid w:val="00FB7DF4"/>
    <w:rsid w:val="00FB7E01"/>
    <w:rsid w:val="00FC00FE"/>
    <w:rsid w:val="00FC0132"/>
    <w:rsid w:val="00FC01BF"/>
    <w:rsid w:val="00FC021F"/>
    <w:rsid w:val="00FC0673"/>
    <w:rsid w:val="00FC06E9"/>
    <w:rsid w:val="00FC07DE"/>
    <w:rsid w:val="00FC082E"/>
    <w:rsid w:val="00FC0979"/>
    <w:rsid w:val="00FC0CA7"/>
    <w:rsid w:val="00FC0DA2"/>
    <w:rsid w:val="00FC0DA5"/>
    <w:rsid w:val="00FC0DBF"/>
    <w:rsid w:val="00FC0E1C"/>
    <w:rsid w:val="00FC0E61"/>
    <w:rsid w:val="00FC102C"/>
    <w:rsid w:val="00FC10B0"/>
    <w:rsid w:val="00FC1416"/>
    <w:rsid w:val="00FC15B0"/>
    <w:rsid w:val="00FC15ED"/>
    <w:rsid w:val="00FC16B8"/>
    <w:rsid w:val="00FC16E0"/>
    <w:rsid w:val="00FC19C8"/>
    <w:rsid w:val="00FC1AE0"/>
    <w:rsid w:val="00FC1AE6"/>
    <w:rsid w:val="00FC1C21"/>
    <w:rsid w:val="00FC1D3A"/>
    <w:rsid w:val="00FC1DB4"/>
    <w:rsid w:val="00FC1DBD"/>
    <w:rsid w:val="00FC1E9C"/>
    <w:rsid w:val="00FC1EC8"/>
    <w:rsid w:val="00FC1EE9"/>
    <w:rsid w:val="00FC2032"/>
    <w:rsid w:val="00FC2184"/>
    <w:rsid w:val="00FC21D7"/>
    <w:rsid w:val="00FC234F"/>
    <w:rsid w:val="00FC2360"/>
    <w:rsid w:val="00FC2395"/>
    <w:rsid w:val="00FC2459"/>
    <w:rsid w:val="00FC2720"/>
    <w:rsid w:val="00FC27C8"/>
    <w:rsid w:val="00FC2876"/>
    <w:rsid w:val="00FC28E2"/>
    <w:rsid w:val="00FC292A"/>
    <w:rsid w:val="00FC29AB"/>
    <w:rsid w:val="00FC29CA"/>
    <w:rsid w:val="00FC2A53"/>
    <w:rsid w:val="00FC2AE0"/>
    <w:rsid w:val="00FC2C95"/>
    <w:rsid w:val="00FC2C9E"/>
    <w:rsid w:val="00FC2DA1"/>
    <w:rsid w:val="00FC2E09"/>
    <w:rsid w:val="00FC2F40"/>
    <w:rsid w:val="00FC2FE6"/>
    <w:rsid w:val="00FC306B"/>
    <w:rsid w:val="00FC310B"/>
    <w:rsid w:val="00FC33AF"/>
    <w:rsid w:val="00FC33C0"/>
    <w:rsid w:val="00FC3439"/>
    <w:rsid w:val="00FC34AB"/>
    <w:rsid w:val="00FC353D"/>
    <w:rsid w:val="00FC370D"/>
    <w:rsid w:val="00FC388D"/>
    <w:rsid w:val="00FC38FE"/>
    <w:rsid w:val="00FC39E0"/>
    <w:rsid w:val="00FC39F3"/>
    <w:rsid w:val="00FC3AB0"/>
    <w:rsid w:val="00FC3B05"/>
    <w:rsid w:val="00FC3BCF"/>
    <w:rsid w:val="00FC3E1F"/>
    <w:rsid w:val="00FC409A"/>
    <w:rsid w:val="00FC4119"/>
    <w:rsid w:val="00FC41F8"/>
    <w:rsid w:val="00FC4353"/>
    <w:rsid w:val="00FC435C"/>
    <w:rsid w:val="00FC44CD"/>
    <w:rsid w:val="00FC4545"/>
    <w:rsid w:val="00FC46A7"/>
    <w:rsid w:val="00FC46D5"/>
    <w:rsid w:val="00FC46E6"/>
    <w:rsid w:val="00FC47DA"/>
    <w:rsid w:val="00FC489A"/>
    <w:rsid w:val="00FC48CB"/>
    <w:rsid w:val="00FC48FE"/>
    <w:rsid w:val="00FC497B"/>
    <w:rsid w:val="00FC49F4"/>
    <w:rsid w:val="00FC4A82"/>
    <w:rsid w:val="00FC4A9E"/>
    <w:rsid w:val="00FC4AA6"/>
    <w:rsid w:val="00FC4CE8"/>
    <w:rsid w:val="00FC4D7A"/>
    <w:rsid w:val="00FC4DF9"/>
    <w:rsid w:val="00FC4E5F"/>
    <w:rsid w:val="00FC4E6F"/>
    <w:rsid w:val="00FC4F25"/>
    <w:rsid w:val="00FC4FB7"/>
    <w:rsid w:val="00FC4FB8"/>
    <w:rsid w:val="00FC5003"/>
    <w:rsid w:val="00FC51FC"/>
    <w:rsid w:val="00FC5295"/>
    <w:rsid w:val="00FC53BB"/>
    <w:rsid w:val="00FC5442"/>
    <w:rsid w:val="00FC550C"/>
    <w:rsid w:val="00FC5725"/>
    <w:rsid w:val="00FC57CB"/>
    <w:rsid w:val="00FC5894"/>
    <w:rsid w:val="00FC5937"/>
    <w:rsid w:val="00FC5B70"/>
    <w:rsid w:val="00FC5D75"/>
    <w:rsid w:val="00FC5F71"/>
    <w:rsid w:val="00FC6264"/>
    <w:rsid w:val="00FC62CA"/>
    <w:rsid w:val="00FC6335"/>
    <w:rsid w:val="00FC655A"/>
    <w:rsid w:val="00FC65C9"/>
    <w:rsid w:val="00FC66FC"/>
    <w:rsid w:val="00FC6713"/>
    <w:rsid w:val="00FC671F"/>
    <w:rsid w:val="00FC672B"/>
    <w:rsid w:val="00FC67F9"/>
    <w:rsid w:val="00FC67FB"/>
    <w:rsid w:val="00FC68DA"/>
    <w:rsid w:val="00FC696D"/>
    <w:rsid w:val="00FC6987"/>
    <w:rsid w:val="00FC6A83"/>
    <w:rsid w:val="00FC6A8C"/>
    <w:rsid w:val="00FC6C24"/>
    <w:rsid w:val="00FC6C3E"/>
    <w:rsid w:val="00FC6C5A"/>
    <w:rsid w:val="00FC6D19"/>
    <w:rsid w:val="00FC6D53"/>
    <w:rsid w:val="00FC6DB2"/>
    <w:rsid w:val="00FC6DCF"/>
    <w:rsid w:val="00FC6DED"/>
    <w:rsid w:val="00FC6E5B"/>
    <w:rsid w:val="00FC6E9A"/>
    <w:rsid w:val="00FC6EF5"/>
    <w:rsid w:val="00FC7065"/>
    <w:rsid w:val="00FC707A"/>
    <w:rsid w:val="00FC70BE"/>
    <w:rsid w:val="00FC7132"/>
    <w:rsid w:val="00FC7450"/>
    <w:rsid w:val="00FC74DE"/>
    <w:rsid w:val="00FC755D"/>
    <w:rsid w:val="00FC7599"/>
    <w:rsid w:val="00FC75E3"/>
    <w:rsid w:val="00FC7614"/>
    <w:rsid w:val="00FC7643"/>
    <w:rsid w:val="00FC767E"/>
    <w:rsid w:val="00FC76B4"/>
    <w:rsid w:val="00FC7786"/>
    <w:rsid w:val="00FC77EE"/>
    <w:rsid w:val="00FC7851"/>
    <w:rsid w:val="00FC7911"/>
    <w:rsid w:val="00FC7A44"/>
    <w:rsid w:val="00FC7A57"/>
    <w:rsid w:val="00FC7AB7"/>
    <w:rsid w:val="00FC7B16"/>
    <w:rsid w:val="00FC7CA1"/>
    <w:rsid w:val="00FC7D3D"/>
    <w:rsid w:val="00FC7D5A"/>
    <w:rsid w:val="00FC7DF4"/>
    <w:rsid w:val="00FC7E66"/>
    <w:rsid w:val="00FC7ED4"/>
    <w:rsid w:val="00FC7F23"/>
    <w:rsid w:val="00FC7F79"/>
    <w:rsid w:val="00FD003E"/>
    <w:rsid w:val="00FD0093"/>
    <w:rsid w:val="00FD022A"/>
    <w:rsid w:val="00FD02C2"/>
    <w:rsid w:val="00FD041D"/>
    <w:rsid w:val="00FD04BB"/>
    <w:rsid w:val="00FD0849"/>
    <w:rsid w:val="00FD0A03"/>
    <w:rsid w:val="00FD0A44"/>
    <w:rsid w:val="00FD0A73"/>
    <w:rsid w:val="00FD0BDD"/>
    <w:rsid w:val="00FD0C91"/>
    <w:rsid w:val="00FD0D8D"/>
    <w:rsid w:val="00FD0E5A"/>
    <w:rsid w:val="00FD0E7F"/>
    <w:rsid w:val="00FD0F02"/>
    <w:rsid w:val="00FD0F10"/>
    <w:rsid w:val="00FD0F25"/>
    <w:rsid w:val="00FD0F77"/>
    <w:rsid w:val="00FD1008"/>
    <w:rsid w:val="00FD104F"/>
    <w:rsid w:val="00FD10B9"/>
    <w:rsid w:val="00FD1156"/>
    <w:rsid w:val="00FD1216"/>
    <w:rsid w:val="00FD12EE"/>
    <w:rsid w:val="00FD13A8"/>
    <w:rsid w:val="00FD13FF"/>
    <w:rsid w:val="00FD1411"/>
    <w:rsid w:val="00FD14A5"/>
    <w:rsid w:val="00FD14B4"/>
    <w:rsid w:val="00FD14B9"/>
    <w:rsid w:val="00FD14D3"/>
    <w:rsid w:val="00FD1509"/>
    <w:rsid w:val="00FD159D"/>
    <w:rsid w:val="00FD15EA"/>
    <w:rsid w:val="00FD15F6"/>
    <w:rsid w:val="00FD16C1"/>
    <w:rsid w:val="00FD173E"/>
    <w:rsid w:val="00FD174F"/>
    <w:rsid w:val="00FD18F7"/>
    <w:rsid w:val="00FD1B80"/>
    <w:rsid w:val="00FD1C05"/>
    <w:rsid w:val="00FD1C0E"/>
    <w:rsid w:val="00FD1E85"/>
    <w:rsid w:val="00FD1F35"/>
    <w:rsid w:val="00FD1F45"/>
    <w:rsid w:val="00FD208A"/>
    <w:rsid w:val="00FD2106"/>
    <w:rsid w:val="00FD214A"/>
    <w:rsid w:val="00FD215A"/>
    <w:rsid w:val="00FD218A"/>
    <w:rsid w:val="00FD222A"/>
    <w:rsid w:val="00FD22A5"/>
    <w:rsid w:val="00FD23B5"/>
    <w:rsid w:val="00FD23EE"/>
    <w:rsid w:val="00FD245B"/>
    <w:rsid w:val="00FD2466"/>
    <w:rsid w:val="00FD2791"/>
    <w:rsid w:val="00FD2924"/>
    <w:rsid w:val="00FD2932"/>
    <w:rsid w:val="00FD2B59"/>
    <w:rsid w:val="00FD2B7A"/>
    <w:rsid w:val="00FD2BEA"/>
    <w:rsid w:val="00FD2C23"/>
    <w:rsid w:val="00FD2D26"/>
    <w:rsid w:val="00FD2D29"/>
    <w:rsid w:val="00FD2D54"/>
    <w:rsid w:val="00FD2EF1"/>
    <w:rsid w:val="00FD309D"/>
    <w:rsid w:val="00FD30B1"/>
    <w:rsid w:val="00FD3203"/>
    <w:rsid w:val="00FD321D"/>
    <w:rsid w:val="00FD3249"/>
    <w:rsid w:val="00FD325D"/>
    <w:rsid w:val="00FD3335"/>
    <w:rsid w:val="00FD33CC"/>
    <w:rsid w:val="00FD3423"/>
    <w:rsid w:val="00FD3441"/>
    <w:rsid w:val="00FD3442"/>
    <w:rsid w:val="00FD3773"/>
    <w:rsid w:val="00FD3949"/>
    <w:rsid w:val="00FD39F9"/>
    <w:rsid w:val="00FD3A10"/>
    <w:rsid w:val="00FD3A55"/>
    <w:rsid w:val="00FD3C23"/>
    <w:rsid w:val="00FD3DAA"/>
    <w:rsid w:val="00FD3DCC"/>
    <w:rsid w:val="00FD3DE2"/>
    <w:rsid w:val="00FD3E20"/>
    <w:rsid w:val="00FD3F17"/>
    <w:rsid w:val="00FD400E"/>
    <w:rsid w:val="00FD4160"/>
    <w:rsid w:val="00FD4259"/>
    <w:rsid w:val="00FD4284"/>
    <w:rsid w:val="00FD430A"/>
    <w:rsid w:val="00FD436E"/>
    <w:rsid w:val="00FD43B9"/>
    <w:rsid w:val="00FD4456"/>
    <w:rsid w:val="00FD4545"/>
    <w:rsid w:val="00FD454E"/>
    <w:rsid w:val="00FD4615"/>
    <w:rsid w:val="00FD4624"/>
    <w:rsid w:val="00FD4649"/>
    <w:rsid w:val="00FD4669"/>
    <w:rsid w:val="00FD47DA"/>
    <w:rsid w:val="00FD483C"/>
    <w:rsid w:val="00FD4B11"/>
    <w:rsid w:val="00FD4C22"/>
    <w:rsid w:val="00FD4C3E"/>
    <w:rsid w:val="00FD4C67"/>
    <w:rsid w:val="00FD4C79"/>
    <w:rsid w:val="00FD4CA6"/>
    <w:rsid w:val="00FD4D3A"/>
    <w:rsid w:val="00FD4D87"/>
    <w:rsid w:val="00FD4E38"/>
    <w:rsid w:val="00FD4F4F"/>
    <w:rsid w:val="00FD4F8D"/>
    <w:rsid w:val="00FD5074"/>
    <w:rsid w:val="00FD5116"/>
    <w:rsid w:val="00FD5173"/>
    <w:rsid w:val="00FD51C4"/>
    <w:rsid w:val="00FD51D1"/>
    <w:rsid w:val="00FD5295"/>
    <w:rsid w:val="00FD53CB"/>
    <w:rsid w:val="00FD5726"/>
    <w:rsid w:val="00FD5783"/>
    <w:rsid w:val="00FD57CF"/>
    <w:rsid w:val="00FD587F"/>
    <w:rsid w:val="00FD59B0"/>
    <w:rsid w:val="00FD5A4C"/>
    <w:rsid w:val="00FD5A7B"/>
    <w:rsid w:val="00FD5D54"/>
    <w:rsid w:val="00FD5E6D"/>
    <w:rsid w:val="00FD5FCD"/>
    <w:rsid w:val="00FD605B"/>
    <w:rsid w:val="00FD6173"/>
    <w:rsid w:val="00FD6175"/>
    <w:rsid w:val="00FD64AF"/>
    <w:rsid w:val="00FD64E1"/>
    <w:rsid w:val="00FD650E"/>
    <w:rsid w:val="00FD66F6"/>
    <w:rsid w:val="00FD67F3"/>
    <w:rsid w:val="00FD6836"/>
    <w:rsid w:val="00FD69B1"/>
    <w:rsid w:val="00FD69EC"/>
    <w:rsid w:val="00FD6AE4"/>
    <w:rsid w:val="00FD6AF5"/>
    <w:rsid w:val="00FD6B98"/>
    <w:rsid w:val="00FD6C02"/>
    <w:rsid w:val="00FD6C29"/>
    <w:rsid w:val="00FD6C9E"/>
    <w:rsid w:val="00FD6D14"/>
    <w:rsid w:val="00FD6DAD"/>
    <w:rsid w:val="00FD6EFB"/>
    <w:rsid w:val="00FD7047"/>
    <w:rsid w:val="00FD71B7"/>
    <w:rsid w:val="00FD71E0"/>
    <w:rsid w:val="00FD7243"/>
    <w:rsid w:val="00FD7373"/>
    <w:rsid w:val="00FD73CB"/>
    <w:rsid w:val="00FD742D"/>
    <w:rsid w:val="00FD74A5"/>
    <w:rsid w:val="00FD757E"/>
    <w:rsid w:val="00FD75F0"/>
    <w:rsid w:val="00FD7612"/>
    <w:rsid w:val="00FD7670"/>
    <w:rsid w:val="00FD77A8"/>
    <w:rsid w:val="00FD77BE"/>
    <w:rsid w:val="00FD77E4"/>
    <w:rsid w:val="00FD7803"/>
    <w:rsid w:val="00FD7898"/>
    <w:rsid w:val="00FD7934"/>
    <w:rsid w:val="00FD7944"/>
    <w:rsid w:val="00FD7AF8"/>
    <w:rsid w:val="00FD7C41"/>
    <w:rsid w:val="00FD7EBA"/>
    <w:rsid w:val="00FD7EC9"/>
    <w:rsid w:val="00FD7FE8"/>
    <w:rsid w:val="00FE0154"/>
    <w:rsid w:val="00FE0197"/>
    <w:rsid w:val="00FE019E"/>
    <w:rsid w:val="00FE0206"/>
    <w:rsid w:val="00FE035D"/>
    <w:rsid w:val="00FE050C"/>
    <w:rsid w:val="00FE08AA"/>
    <w:rsid w:val="00FE0951"/>
    <w:rsid w:val="00FE0956"/>
    <w:rsid w:val="00FE09E5"/>
    <w:rsid w:val="00FE0A25"/>
    <w:rsid w:val="00FE0A8E"/>
    <w:rsid w:val="00FE0A9F"/>
    <w:rsid w:val="00FE0B88"/>
    <w:rsid w:val="00FE0BDB"/>
    <w:rsid w:val="00FE0C50"/>
    <w:rsid w:val="00FE0D0A"/>
    <w:rsid w:val="00FE0D75"/>
    <w:rsid w:val="00FE0F98"/>
    <w:rsid w:val="00FE0FE5"/>
    <w:rsid w:val="00FE110D"/>
    <w:rsid w:val="00FE1238"/>
    <w:rsid w:val="00FE12EE"/>
    <w:rsid w:val="00FE1307"/>
    <w:rsid w:val="00FE138F"/>
    <w:rsid w:val="00FE139C"/>
    <w:rsid w:val="00FE1446"/>
    <w:rsid w:val="00FE1478"/>
    <w:rsid w:val="00FE1512"/>
    <w:rsid w:val="00FE15A1"/>
    <w:rsid w:val="00FE160E"/>
    <w:rsid w:val="00FE16A6"/>
    <w:rsid w:val="00FE175D"/>
    <w:rsid w:val="00FE1838"/>
    <w:rsid w:val="00FE1860"/>
    <w:rsid w:val="00FE18C3"/>
    <w:rsid w:val="00FE18F6"/>
    <w:rsid w:val="00FE1908"/>
    <w:rsid w:val="00FE19A6"/>
    <w:rsid w:val="00FE19A9"/>
    <w:rsid w:val="00FE19B5"/>
    <w:rsid w:val="00FE1B41"/>
    <w:rsid w:val="00FE1D05"/>
    <w:rsid w:val="00FE1D8D"/>
    <w:rsid w:val="00FE1EFF"/>
    <w:rsid w:val="00FE1FC8"/>
    <w:rsid w:val="00FE2174"/>
    <w:rsid w:val="00FE2177"/>
    <w:rsid w:val="00FE218A"/>
    <w:rsid w:val="00FE219F"/>
    <w:rsid w:val="00FE22FA"/>
    <w:rsid w:val="00FE239B"/>
    <w:rsid w:val="00FE23C4"/>
    <w:rsid w:val="00FE23CA"/>
    <w:rsid w:val="00FE249A"/>
    <w:rsid w:val="00FE24BD"/>
    <w:rsid w:val="00FE257C"/>
    <w:rsid w:val="00FE2617"/>
    <w:rsid w:val="00FE267C"/>
    <w:rsid w:val="00FE2779"/>
    <w:rsid w:val="00FE2785"/>
    <w:rsid w:val="00FE29C9"/>
    <w:rsid w:val="00FE2A20"/>
    <w:rsid w:val="00FE2AA7"/>
    <w:rsid w:val="00FE2AF9"/>
    <w:rsid w:val="00FE2C4A"/>
    <w:rsid w:val="00FE2CCE"/>
    <w:rsid w:val="00FE2D29"/>
    <w:rsid w:val="00FE2D5D"/>
    <w:rsid w:val="00FE2E40"/>
    <w:rsid w:val="00FE2E87"/>
    <w:rsid w:val="00FE307E"/>
    <w:rsid w:val="00FE329C"/>
    <w:rsid w:val="00FE3326"/>
    <w:rsid w:val="00FE34E7"/>
    <w:rsid w:val="00FE36BC"/>
    <w:rsid w:val="00FE37AA"/>
    <w:rsid w:val="00FE37B0"/>
    <w:rsid w:val="00FE37F8"/>
    <w:rsid w:val="00FE383E"/>
    <w:rsid w:val="00FE3951"/>
    <w:rsid w:val="00FE39DF"/>
    <w:rsid w:val="00FE3BAF"/>
    <w:rsid w:val="00FE3BC8"/>
    <w:rsid w:val="00FE3C19"/>
    <w:rsid w:val="00FE3C28"/>
    <w:rsid w:val="00FE3CA0"/>
    <w:rsid w:val="00FE3D69"/>
    <w:rsid w:val="00FE3DA0"/>
    <w:rsid w:val="00FE3DEA"/>
    <w:rsid w:val="00FE3DF7"/>
    <w:rsid w:val="00FE3F43"/>
    <w:rsid w:val="00FE3FB0"/>
    <w:rsid w:val="00FE412A"/>
    <w:rsid w:val="00FE413E"/>
    <w:rsid w:val="00FE41CD"/>
    <w:rsid w:val="00FE41D9"/>
    <w:rsid w:val="00FE43BB"/>
    <w:rsid w:val="00FE4493"/>
    <w:rsid w:val="00FE4655"/>
    <w:rsid w:val="00FE4802"/>
    <w:rsid w:val="00FE489E"/>
    <w:rsid w:val="00FE48A6"/>
    <w:rsid w:val="00FE4AF5"/>
    <w:rsid w:val="00FE4B40"/>
    <w:rsid w:val="00FE4BB0"/>
    <w:rsid w:val="00FE4C91"/>
    <w:rsid w:val="00FE4D1F"/>
    <w:rsid w:val="00FE4F63"/>
    <w:rsid w:val="00FE4FE7"/>
    <w:rsid w:val="00FE4FEC"/>
    <w:rsid w:val="00FE50A8"/>
    <w:rsid w:val="00FE51E0"/>
    <w:rsid w:val="00FE52DA"/>
    <w:rsid w:val="00FE533D"/>
    <w:rsid w:val="00FE535B"/>
    <w:rsid w:val="00FE53B0"/>
    <w:rsid w:val="00FE54C7"/>
    <w:rsid w:val="00FE54F9"/>
    <w:rsid w:val="00FE5519"/>
    <w:rsid w:val="00FE56EF"/>
    <w:rsid w:val="00FE5730"/>
    <w:rsid w:val="00FE5858"/>
    <w:rsid w:val="00FE5981"/>
    <w:rsid w:val="00FE5AAD"/>
    <w:rsid w:val="00FE5AB2"/>
    <w:rsid w:val="00FE5C7B"/>
    <w:rsid w:val="00FE5C87"/>
    <w:rsid w:val="00FE5CF9"/>
    <w:rsid w:val="00FE5EAD"/>
    <w:rsid w:val="00FE5EBA"/>
    <w:rsid w:val="00FE6017"/>
    <w:rsid w:val="00FE63BD"/>
    <w:rsid w:val="00FE63C2"/>
    <w:rsid w:val="00FE6437"/>
    <w:rsid w:val="00FE6477"/>
    <w:rsid w:val="00FE64FE"/>
    <w:rsid w:val="00FE6751"/>
    <w:rsid w:val="00FE693B"/>
    <w:rsid w:val="00FE698B"/>
    <w:rsid w:val="00FE6AAA"/>
    <w:rsid w:val="00FE6AEE"/>
    <w:rsid w:val="00FE6B5D"/>
    <w:rsid w:val="00FE6B74"/>
    <w:rsid w:val="00FE6CCF"/>
    <w:rsid w:val="00FE6D18"/>
    <w:rsid w:val="00FE6E2D"/>
    <w:rsid w:val="00FE6E94"/>
    <w:rsid w:val="00FE6ED8"/>
    <w:rsid w:val="00FE6F8E"/>
    <w:rsid w:val="00FE70BF"/>
    <w:rsid w:val="00FE71A2"/>
    <w:rsid w:val="00FE725F"/>
    <w:rsid w:val="00FE7272"/>
    <w:rsid w:val="00FE72F3"/>
    <w:rsid w:val="00FE73CF"/>
    <w:rsid w:val="00FE73EF"/>
    <w:rsid w:val="00FE741A"/>
    <w:rsid w:val="00FE7459"/>
    <w:rsid w:val="00FE7587"/>
    <w:rsid w:val="00FE7705"/>
    <w:rsid w:val="00FE773C"/>
    <w:rsid w:val="00FE776E"/>
    <w:rsid w:val="00FE77C2"/>
    <w:rsid w:val="00FE7805"/>
    <w:rsid w:val="00FE797B"/>
    <w:rsid w:val="00FE79CD"/>
    <w:rsid w:val="00FE7A03"/>
    <w:rsid w:val="00FE7A37"/>
    <w:rsid w:val="00FE7A6C"/>
    <w:rsid w:val="00FE7A6E"/>
    <w:rsid w:val="00FE7C2D"/>
    <w:rsid w:val="00FE7DE7"/>
    <w:rsid w:val="00FE7EDD"/>
    <w:rsid w:val="00FE7F50"/>
    <w:rsid w:val="00FF0035"/>
    <w:rsid w:val="00FF0085"/>
    <w:rsid w:val="00FF016A"/>
    <w:rsid w:val="00FF0200"/>
    <w:rsid w:val="00FF0223"/>
    <w:rsid w:val="00FF03CB"/>
    <w:rsid w:val="00FF04E6"/>
    <w:rsid w:val="00FF04EF"/>
    <w:rsid w:val="00FF05AE"/>
    <w:rsid w:val="00FF07A4"/>
    <w:rsid w:val="00FF0832"/>
    <w:rsid w:val="00FF0870"/>
    <w:rsid w:val="00FF08BC"/>
    <w:rsid w:val="00FF095C"/>
    <w:rsid w:val="00FF0966"/>
    <w:rsid w:val="00FF0984"/>
    <w:rsid w:val="00FF0A1B"/>
    <w:rsid w:val="00FF0A33"/>
    <w:rsid w:val="00FF0AB4"/>
    <w:rsid w:val="00FF0B3A"/>
    <w:rsid w:val="00FF0C0B"/>
    <w:rsid w:val="00FF0CD6"/>
    <w:rsid w:val="00FF0D5F"/>
    <w:rsid w:val="00FF0E4A"/>
    <w:rsid w:val="00FF0E4C"/>
    <w:rsid w:val="00FF0ED3"/>
    <w:rsid w:val="00FF0EF8"/>
    <w:rsid w:val="00FF0F06"/>
    <w:rsid w:val="00FF0F16"/>
    <w:rsid w:val="00FF0F54"/>
    <w:rsid w:val="00FF1003"/>
    <w:rsid w:val="00FF12C4"/>
    <w:rsid w:val="00FF135E"/>
    <w:rsid w:val="00FF136C"/>
    <w:rsid w:val="00FF1495"/>
    <w:rsid w:val="00FF15F7"/>
    <w:rsid w:val="00FF1671"/>
    <w:rsid w:val="00FF16E0"/>
    <w:rsid w:val="00FF18B8"/>
    <w:rsid w:val="00FF18C7"/>
    <w:rsid w:val="00FF1A79"/>
    <w:rsid w:val="00FF1AC5"/>
    <w:rsid w:val="00FF1AD5"/>
    <w:rsid w:val="00FF1C1D"/>
    <w:rsid w:val="00FF1D24"/>
    <w:rsid w:val="00FF1D30"/>
    <w:rsid w:val="00FF1DB1"/>
    <w:rsid w:val="00FF1F83"/>
    <w:rsid w:val="00FF210A"/>
    <w:rsid w:val="00FF21B9"/>
    <w:rsid w:val="00FF2259"/>
    <w:rsid w:val="00FF230E"/>
    <w:rsid w:val="00FF2338"/>
    <w:rsid w:val="00FF23D9"/>
    <w:rsid w:val="00FF240B"/>
    <w:rsid w:val="00FF2528"/>
    <w:rsid w:val="00FF256E"/>
    <w:rsid w:val="00FF259E"/>
    <w:rsid w:val="00FF25BD"/>
    <w:rsid w:val="00FF2721"/>
    <w:rsid w:val="00FF27DF"/>
    <w:rsid w:val="00FF2818"/>
    <w:rsid w:val="00FF2836"/>
    <w:rsid w:val="00FF284E"/>
    <w:rsid w:val="00FF2886"/>
    <w:rsid w:val="00FF28E1"/>
    <w:rsid w:val="00FF2913"/>
    <w:rsid w:val="00FF2B06"/>
    <w:rsid w:val="00FF2BB6"/>
    <w:rsid w:val="00FF2CD0"/>
    <w:rsid w:val="00FF2CE7"/>
    <w:rsid w:val="00FF2D5A"/>
    <w:rsid w:val="00FF2EA6"/>
    <w:rsid w:val="00FF30D6"/>
    <w:rsid w:val="00FF3252"/>
    <w:rsid w:val="00FF32F9"/>
    <w:rsid w:val="00FF3319"/>
    <w:rsid w:val="00FF3326"/>
    <w:rsid w:val="00FF342A"/>
    <w:rsid w:val="00FF3550"/>
    <w:rsid w:val="00FF3719"/>
    <w:rsid w:val="00FF371C"/>
    <w:rsid w:val="00FF3883"/>
    <w:rsid w:val="00FF38BD"/>
    <w:rsid w:val="00FF391A"/>
    <w:rsid w:val="00FF398D"/>
    <w:rsid w:val="00FF39F1"/>
    <w:rsid w:val="00FF3A20"/>
    <w:rsid w:val="00FF3A2C"/>
    <w:rsid w:val="00FF3A7F"/>
    <w:rsid w:val="00FF3A97"/>
    <w:rsid w:val="00FF3C1D"/>
    <w:rsid w:val="00FF3C28"/>
    <w:rsid w:val="00FF3C90"/>
    <w:rsid w:val="00FF3CCF"/>
    <w:rsid w:val="00FF3D42"/>
    <w:rsid w:val="00FF3E13"/>
    <w:rsid w:val="00FF3FBD"/>
    <w:rsid w:val="00FF40DE"/>
    <w:rsid w:val="00FF41C7"/>
    <w:rsid w:val="00FF4212"/>
    <w:rsid w:val="00FF4229"/>
    <w:rsid w:val="00FF429E"/>
    <w:rsid w:val="00FF4400"/>
    <w:rsid w:val="00FF4635"/>
    <w:rsid w:val="00FF465A"/>
    <w:rsid w:val="00FF46C9"/>
    <w:rsid w:val="00FF489F"/>
    <w:rsid w:val="00FF4A9E"/>
    <w:rsid w:val="00FF4AAF"/>
    <w:rsid w:val="00FF4B76"/>
    <w:rsid w:val="00FF4BC3"/>
    <w:rsid w:val="00FF4C4D"/>
    <w:rsid w:val="00FF4CDC"/>
    <w:rsid w:val="00FF4D27"/>
    <w:rsid w:val="00FF4DD2"/>
    <w:rsid w:val="00FF4E81"/>
    <w:rsid w:val="00FF4EB3"/>
    <w:rsid w:val="00FF504A"/>
    <w:rsid w:val="00FF5065"/>
    <w:rsid w:val="00FF5140"/>
    <w:rsid w:val="00FF527A"/>
    <w:rsid w:val="00FF52C8"/>
    <w:rsid w:val="00FF52FE"/>
    <w:rsid w:val="00FF5392"/>
    <w:rsid w:val="00FF541A"/>
    <w:rsid w:val="00FF545B"/>
    <w:rsid w:val="00FF54FE"/>
    <w:rsid w:val="00FF5578"/>
    <w:rsid w:val="00FF5669"/>
    <w:rsid w:val="00FF5725"/>
    <w:rsid w:val="00FF57EE"/>
    <w:rsid w:val="00FF5808"/>
    <w:rsid w:val="00FF594E"/>
    <w:rsid w:val="00FF5AF0"/>
    <w:rsid w:val="00FF5B1A"/>
    <w:rsid w:val="00FF5B83"/>
    <w:rsid w:val="00FF5CE9"/>
    <w:rsid w:val="00FF5D1C"/>
    <w:rsid w:val="00FF5D52"/>
    <w:rsid w:val="00FF5D86"/>
    <w:rsid w:val="00FF5DC2"/>
    <w:rsid w:val="00FF5DE1"/>
    <w:rsid w:val="00FF5E2B"/>
    <w:rsid w:val="00FF5EA9"/>
    <w:rsid w:val="00FF602B"/>
    <w:rsid w:val="00FF6138"/>
    <w:rsid w:val="00FF6170"/>
    <w:rsid w:val="00FF617F"/>
    <w:rsid w:val="00FF61D9"/>
    <w:rsid w:val="00FF6271"/>
    <w:rsid w:val="00FF62BA"/>
    <w:rsid w:val="00FF62BC"/>
    <w:rsid w:val="00FF643F"/>
    <w:rsid w:val="00FF65AB"/>
    <w:rsid w:val="00FF65FD"/>
    <w:rsid w:val="00FF6627"/>
    <w:rsid w:val="00FF6628"/>
    <w:rsid w:val="00FF6649"/>
    <w:rsid w:val="00FF6A66"/>
    <w:rsid w:val="00FF6AC6"/>
    <w:rsid w:val="00FF6BD6"/>
    <w:rsid w:val="00FF6C54"/>
    <w:rsid w:val="00FF6D0B"/>
    <w:rsid w:val="00FF6D67"/>
    <w:rsid w:val="00FF6DD2"/>
    <w:rsid w:val="00FF6EE7"/>
    <w:rsid w:val="00FF6FC9"/>
    <w:rsid w:val="00FF70E9"/>
    <w:rsid w:val="00FF70F5"/>
    <w:rsid w:val="00FF716E"/>
    <w:rsid w:val="00FF7205"/>
    <w:rsid w:val="00FF72EF"/>
    <w:rsid w:val="00FF7491"/>
    <w:rsid w:val="00FF74AE"/>
    <w:rsid w:val="00FF74F5"/>
    <w:rsid w:val="00FF75F9"/>
    <w:rsid w:val="00FF76F0"/>
    <w:rsid w:val="00FF777F"/>
    <w:rsid w:val="00FF78B1"/>
    <w:rsid w:val="00FF79C6"/>
    <w:rsid w:val="00FF7AF2"/>
    <w:rsid w:val="00FF7CCC"/>
    <w:rsid w:val="00FF7D4E"/>
    <w:rsid w:val="0105CC9C"/>
    <w:rsid w:val="019C5411"/>
    <w:rsid w:val="04C48D9B"/>
    <w:rsid w:val="04E87C8A"/>
    <w:rsid w:val="055D640B"/>
    <w:rsid w:val="06695CD8"/>
    <w:rsid w:val="0766C476"/>
    <w:rsid w:val="07D5A8C5"/>
    <w:rsid w:val="080E959B"/>
    <w:rsid w:val="093B97F1"/>
    <w:rsid w:val="09EAC733"/>
    <w:rsid w:val="0C267A2C"/>
    <w:rsid w:val="0D022091"/>
    <w:rsid w:val="0F3EE74A"/>
    <w:rsid w:val="0F669177"/>
    <w:rsid w:val="0FB2CCA8"/>
    <w:rsid w:val="103D0C64"/>
    <w:rsid w:val="1229D1C1"/>
    <w:rsid w:val="12977558"/>
    <w:rsid w:val="136A89DF"/>
    <w:rsid w:val="13B7ED11"/>
    <w:rsid w:val="15319A13"/>
    <w:rsid w:val="157A7237"/>
    <w:rsid w:val="15FEFE7F"/>
    <w:rsid w:val="1611FB05"/>
    <w:rsid w:val="19CD9BD2"/>
    <w:rsid w:val="1A63F4C5"/>
    <w:rsid w:val="1B401E46"/>
    <w:rsid w:val="1B5E9D08"/>
    <w:rsid w:val="1C52DC63"/>
    <w:rsid w:val="1C9971B9"/>
    <w:rsid w:val="1D3ECE1C"/>
    <w:rsid w:val="2040C9B6"/>
    <w:rsid w:val="21166A2B"/>
    <w:rsid w:val="21C6D888"/>
    <w:rsid w:val="22ABAA6A"/>
    <w:rsid w:val="2310E80D"/>
    <w:rsid w:val="255BF12B"/>
    <w:rsid w:val="259F9298"/>
    <w:rsid w:val="261EEAAD"/>
    <w:rsid w:val="26A41816"/>
    <w:rsid w:val="26A69D76"/>
    <w:rsid w:val="275A3AC0"/>
    <w:rsid w:val="2A7914CF"/>
    <w:rsid w:val="2BCBAAE3"/>
    <w:rsid w:val="2C8B4111"/>
    <w:rsid w:val="2CAFBBB5"/>
    <w:rsid w:val="2D5EF940"/>
    <w:rsid w:val="312FDD11"/>
    <w:rsid w:val="3143F8D7"/>
    <w:rsid w:val="3144361B"/>
    <w:rsid w:val="326B7046"/>
    <w:rsid w:val="33037BD6"/>
    <w:rsid w:val="346D2216"/>
    <w:rsid w:val="348A5D6B"/>
    <w:rsid w:val="34935D90"/>
    <w:rsid w:val="35946891"/>
    <w:rsid w:val="36FBB777"/>
    <w:rsid w:val="396C8070"/>
    <w:rsid w:val="3B0D1CA0"/>
    <w:rsid w:val="3B28B596"/>
    <w:rsid w:val="3B83E4FB"/>
    <w:rsid w:val="3C10BFA2"/>
    <w:rsid w:val="3C7EB41C"/>
    <w:rsid w:val="3D8DAA53"/>
    <w:rsid w:val="3DA08275"/>
    <w:rsid w:val="3E3829F9"/>
    <w:rsid w:val="3EDED8B3"/>
    <w:rsid w:val="3F4D1FB7"/>
    <w:rsid w:val="3F5C7794"/>
    <w:rsid w:val="3F732AEF"/>
    <w:rsid w:val="3FBA77A8"/>
    <w:rsid w:val="3FD0E8AE"/>
    <w:rsid w:val="4150414C"/>
    <w:rsid w:val="4162A4FC"/>
    <w:rsid w:val="41F1C734"/>
    <w:rsid w:val="43CD8B14"/>
    <w:rsid w:val="44A4CEBF"/>
    <w:rsid w:val="4C6EB494"/>
    <w:rsid w:val="4D8D1860"/>
    <w:rsid w:val="4E9976CC"/>
    <w:rsid w:val="4EA88DD7"/>
    <w:rsid w:val="4FA46319"/>
    <w:rsid w:val="501EE72A"/>
    <w:rsid w:val="526311A0"/>
    <w:rsid w:val="55AD0B48"/>
    <w:rsid w:val="55CA9821"/>
    <w:rsid w:val="563FE720"/>
    <w:rsid w:val="569A7DCA"/>
    <w:rsid w:val="58598037"/>
    <w:rsid w:val="587BE9D5"/>
    <w:rsid w:val="5888C917"/>
    <w:rsid w:val="5889403A"/>
    <w:rsid w:val="58D08FA1"/>
    <w:rsid w:val="5A8BB988"/>
    <w:rsid w:val="5ADEC6BD"/>
    <w:rsid w:val="5B15C744"/>
    <w:rsid w:val="5BF88D40"/>
    <w:rsid w:val="5C1E0E90"/>
    <w:rsid w:val="5E385CB1"/>
    <w:rsid w:val="5EC9FBCF"/>
    <w:rsid w:val="5ECBE9F0"/>
    <w:rsid w:val="632DB50A"/>
    <w:rsid w:val="639E5401"/>
    <w:rsid w:val="64C6B0E9"/>
    <w:rsid w:val="66DA8D4D"/>
    <w:rsid w:val="67722C56"/>
    <w:rsid w:val="68C273C7"/>
    <w:rsid w:val="6A2EE78D"/>
    <w:rsid w:val="6AE953A3"/>
    <w:rsid w:val="6B23541A"/>
    <w:rsid w:val="6C137EE6"/>
    <w:rsid w:val="6F7ECB36"/>
    <w:rsid w:val="6FB5ABDD"/>
    <w:rsid w:val="70F965FF"/>
    <w:rsid w:val="7225EC97"/>
    <w:rsid w:val="722D0189"/>
    <w:rsid w:val="72972DFA"/>
    <w:rsid w:val="742EF046"/>
    <w:rsid w:val="747AF822"/>
    <w:rsid w:val="74CA3065"/>
    <w:rsid w:val="78664C1B"/>
    <w:rsid w:val="78A517F0"/>
    <w:rsid w:val="78AB9491"/>
    <w:rsid w:val="79FF22D8"/>
    <w:rsid w:val="7B02C9B0"/>
    <w:rsid w:val="7BC5EDEB"/>
    <w:rsid w:val="7CDE5365"/>
    <w:rsid w:val="7D4FC8BE"/>
    <w:rsid w:val="7DF767EE"/>
    <w:rsid w:val="7E3551F4"/>
    <w:rsid w:val="7E91BBBD"/>
    <w:rsid w:val="7EE9054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4218C"/>
  <w15:chartTrackingRefBased/>
  <w15:docId w15:val="{9580DD70-5CB5-410D-B90E-764A1752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6926"/>
    <w:pPr>
      <w:spacing w:after="220" w:line="240" w:lineRule="auto"/>
      <w:jc w:val="both"/>
    </w:pPr>
    <w:rPr>
      <w:rFonts w:ascii="Times New Roman" w:hAnsi="Times New Roman"/>
      <w:szCs w:val="24"/>
    </w:rPr>
  </w:style>
  <w:style w:type="paragraph" w:styleId="Heading1">
    <w:name w:val="heading 1"/>
    <w:basedOn w:val="Normal"/>
    <w:next w:val="Normal"/>
    <w:link w:val="Heading1Char"/>
    <w:uiPriority w:val="9"/>
    <w:qFormat/>
    <w:rsid w:val="00A433F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qFormat/>
    <w:rsid w:val="00A433FC"/>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A433FC"/>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A433FC"/>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33FC"/>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A433FC"/>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A433FC"/>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A433F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33F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3F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A433FC"/>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A433FC"/>
    <w:rPr>
      <w:rFonts w:asciiTheme="majorHAnsi" w:eastAsiaTheme="majorEastAsia" w:hAnsiTheme="majorHAnsi" w:cstheme="majorBidi"/>
      <w:color w:val="0A2F40" w:themeColor="accent1" w:themeShade="7F"/>
      <w:szCs w:val="24"/>
    </w:rPr>
  </w:style>
  <w:style w:type="character" w:customStyle="1" w:styleId="Heading4Char">
    <w:name w:val="Heading 4 Char"/>
    <w:basedOn w:val="DefaultParagraphFont"/>
    <w:link w:val="Heading4"/>
    <w:uiPriority w:val="9"/>
    <w:semiHidden/>
    <w:rsid w:val="00A433FC"/>
    <w:rPr>
      <w:rFonts w:asciiTheme="majorHAnsi" w:eastAsiaTheme="majorEastAsia" w:hAnsiTheme="majorHAnsi" w:cstheme="majorBidi"/>
      <w:i/>
      <w:iCs/>
      <w:color w:val="0F4761" w:themeColor="accent1" w:themeShade="BF"/>
      <w:szCs w:val="24"/>
    </w:rPr>
  </w:style>
  <w:style w:type="character" w:customStyle="1" w:styleId="Heading5Char">
    <w:name w:val="Heading 5 Char"/>
    <w:basedOn w:val="DefaultParagraphFont"/>
    <w:link w:val="Heading5"/>
    <w:uiPriority w:val="9"/>
    <w:semiHidden/>
    <w:rsid w:val="00A433FC"/>
    <w:rPr>
      <w:rFonts w:asciiTheme="majorHAnsi" w:eastAsiaTheme="majorEastAsia" w:hAnsiTheme="majorHAnsi" w:cstheme="majorBidi"/>
      <w:color w:val="0F4761" w:themeColor="accent1" w:themeShade="BF"/>
      <w:szCs w:val="24"/>
    </w:rPr>
  </w:style>
  <w:style w:type="character" w:customStyle="1" w:styleId="Heading6Char">
    <w:name w:val="Heading 6 Char"/>
    <w:basedOn w:val="DefaultParagraphFont"/>
    <w:link w:val="Heading6"/>
    <w:uiPriority w:val="9"/>
    <w:semiHidden/>
    <w:rsid w:val="00A433FC"/>
    <w:rPr>
      <w:rFonts w:asciiTheme="majorHAnsi" w:eastAsiaTheme="majorEastAsia" w:hAnsiTheme="majorHAnsi" w:cstheme="majorBidi"/>
      <w:color w:val="0A2F40" w:themeColor="accent1" w:themeShade="7F"/>
      <w:szCs w:val="24"/>
    </w:rPr>
  </w:style>
  <w:style w:type="character" w:customStyle="1" w:styleId="Heading7Char">
    <w:name w:val="Heading 7 Char"/>
    <w:basedOn w:val="DefaultParagraphFont"/>
    <w:link w:val="Heading7"/>
    <w:uiPriority w:val="9"/>
    <w:semiHidden/>
    <w:rsid w:val="00A433FC"/>
    <w:rPr>
      <w:rFonts w:asciiTheme="majorHAnsi" w:eastAsiaTheme="majorEastAsia" w:hAnsiTheme="majorHAnsi" w:cstheme="majorBidi"/>
      <w:i/>
      <w:iCs/>
      <w:color w:val="0A2F40" w:themeColor="accent1" w:themeShade="7F"/>
      <w:szCs w:val="24"/>
    </w:rPr>
  </w:style>
  <w:style w:type="character" w:customStyle="1" w:styleId="Heading8Char">
    <w:name w:val="Heading 8 Char"/>
    <w:basedOn w:val="DefaultParagraphFont"/>
    <w:link w:val="Heading8"/>
    <w:uiPriority w:val="9"/>
    <w:semiHidden/>
    <w:rsid w:val="00A433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433FC"/>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A433F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3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3FC"/>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A433FC"/>
    <w:rPr>
      <w:rFonts w:eastAsiaTheme="minorEastAsia"/>
      <w:color w:val="5A5A5A" w:themeColor="text1" w:themeTint="A5"/>
      <w:spacing w:val="15"/>
    </w:rPr>
  </w:style>
  <w:style w:type="paragraph" w:styleId="Quote">
    <w:name w:val="Quote"/>
    <w:basedOn w:val="Normal"/>
    <w:next w:val="Normal"/>
    <w:link w:val="QuoteChar"/>
    <w:uiPriority w:val="29"/>
    <w:qFormat/>
    <w:rsid w:val="00A433FC"/>
    <w:rPr>
      <w:i/>
      <w:iCs/>
      <w:color w:val="000000" w:themeColor="text1"/>
    </w:rPr>
  </w:style>
  <w:style w:type="character" w:customStyle="1" w:styleId="QuoteChar">
    <w:name w:val="Quote Char"/>
    <w:basedOn w:val="DefaultParagraphFont"/>
    <w:link w:val="Quote"/>
    <w:uiPriority w:val="29"/>
    <w:rsid w:val="00A433FC"/>
    <w:rPr>
      <w:rFonts w:ascii="Times New Roman" w:hAnsi="Times New Roman"/>
      <w:i/>
      <w:iCs/>
      <w:color w:val="000000" w:themeColor="text1"/>
      <w:szCs w:val="24"/>
    </w:rPr>
  </w:style>
  <w:style w:type="paragraph" w:styleId="ListParagraph">
    <w:name w:val="List Paragraph"/>
    <w:basedOn w:val="Normal"/>
    <w:uiPriority w:val="34"/>
    <w:qFormat/>
    <w:rsid w:val="00A433FC"/>
    <w:pPr>
      <w:ind w:left="720"/>
      <w:contextualSpacing/>
    </w:pPr>
  </w:style>
  <w:style w:type="character" w:styleId="IntenseEmphasis">
    <w:name w:val="Intense Emphasis"/>
    <w:basedOn w:val="DefaultParagraphFont"/>
    <w:uiPriority w:val="21"/>
    <w:qFormat/>
    <w:rsid w:val="00A433FC"/>
    <w:rPr>
      <w:i/>
      <w:iCs/>
      <w:color w:val="156082" w:themeColor="accent1"/>
    </w:rPr>
  </w:style>
  <w:style w:type="paragraph" w:styleId="IntenseQuote">
    <w:name w:val="Intense Quote"/>
    <w:basedOn w:val="Normal"/>
    <w:next w:val="Normal"/>
    <w:link w:val="IntenseQuoteChar"/>
    <w:uiPriority w:val="30"/>
    <w:qFormat/>
    <w:rsid w:val="00A433F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A433FC"/>
    <w:rPr>
      <w:rFonts w:ascii="Times New Roman" w:hAnsi="Times New Roman"/>
      <w:i/>
      <w:iCs/>
      <w:color w:val="156082" w:themeColor="accent1"/>
      <w:szCs w:val="24"/>
    </w:rPr>
  </w:style>
  <w:style w:type="character" w:styleId="IntenseReference">
    <w:name w:val="Intense Reference"/>
    <w:basedOn w:val="DefaultParagraphFont"/>
    <w:uiPriority w:val="32"/>
    <w:qFormat/>
    <w:rsid w:val="00A433FC"/>
    <w:rPr>
      <w:b/>
      <w:bCs/>
      <w:smallCaps/>
      <w:color w:val="156082" w:themeColor="accent1"/>
      <w:spacing w:val="5"/>
    </w:rPr>
  </w:style>
  <w:style w:type="paragraph" w:customStyle="1" w:styleId="DotPointTLRI">
    <w:name w:val="Dot Point TLRI"/>
    <w:basedOn w:val="ListParagraph"/>
    <w:qFormat/>
    <w:rsid w:val="00A433FC"/>
    <w:pPr>
      <w:numPr>
        <w:numId w:val="1"/>
      </w:numPr>
      <w:spacing w:after="120"/>
      <w:contextualSpacing w:val="0"/>
    </w:pPr>
    <w:rPr>
      <w:rFonts w:eastAsia="Times New Roman" w:cs="Times New Roman"/>
    </w:rPr>
  </w:style>
  <w:style w:type="paragraph" w:customStyle="1" w:styleId="PartNoTLRI">
    <w:name w:val="Part No TLRI"/>
    <w:basedOn w:val="Normal"/>
    <w:link w:val="PartNoTLRIChar"/>
    <w:qFormat/>
    <w:rsid w:val="00A433FC"/>
    <w:pPr>
      <w:numPr>
        <w:numId w:val="2"/>
      </w:numPr>
      <w:jc w:val="center"/>
    </w:pPr>
    <w:rPr>
      <w:rFonts w:eastAsia="Times" w:cs="Times New Roman"/>
      <w:b/>
      <w:sz w:val="36"/>
      <w:szCs w:val="20"/>
    </w:rPr>
  </w:style>
  <w:style w:type="character" w:customStyle="1" w:styleId="PartNoTLRIChar">
    <w:name w:val="Part No TLRI Char"/>
    <w:basedOn w:val="DefaultParagraphFont"/>
    <w:link w:val="PartNoTLRI"/>
    <w:rsid w:val="00A433FC"/>
    <w:rPr>
      <w:rFonts w:ascii="Times New Roman" w:eastAsia="Times" w:hAnsi="Times New Roman" w:cs="Times New Roman"/>
      <w:b/>
      <w:sz w:val="36"/>
      <w:szCs w:val="20"/>
    </w:rPr>
  </w:style>
  <w:style w:type="paragraph" w:customStyle="1" w:styleId="PartHeadingTLRI">
    <w:name w:val="Part Heading TLRI"/>
    <w:basedOn w:val="Normal"/>
    <w:link w:val="PartHeadingTLRIChar"/>
    <w:qFormat/>
    <w:rsid w:val="00A433FC"/>
    <w:pPr>
      <w:tabs>
        <w:tab w:val="num" w:pos="0"/>
      </w:tabs>
      <w:spacing w:before="480" w:after="640"/>
      <w:jc w:val="center"/>
    </w:pPr>
    <w:rPr>
      <w:rFonts w:eastAsia="Times" w:cs="Times New Roman"/>
      <w:b/>
      <w:sz w:val="52"/>
      <w:szCs w:val="20"/>
    </w:rPr>
  </w:style>
  <w:style w:type="character" w:customStyle="1" w:styleId="PartHeadingTLRIChar">
    <w:name w:val="Part Heading TLRI Char"/>
    <w:basedOn w:val="DefaultParagraphFont"/>
    <w:link w:val="PartHeadingTLRI"/>
    <w:rsid w:val="00A433FC"/>
    <w:rPr>
      <w:rFonts w:ascii="Times New Roman" w:eastAsia="Times" w:hAnsi="Times New Roman" w:cs="Times New Roman"/>
      <w:b/>
      <w:sz w:val="52"/>
      <w:szCs w:val="20"/>
    </w:rPr>
  </w:style>
  <w:style w:type="paragraph" w:customStyle="1" w:styleId="NormalNumberedTextTLRI">
    <w:name w:val="Normal Numbered Text TLRI"/>
    <w:basedOn w:val="Normal"/>
    <w:link w:val="NormalNumberedTextTLRIChar"/>
    <w:qFormat/>
    <w:rsid w:val="00A433FC"/>
    <w:pPr>
      <w:numPr>
        <w:ilvl w:val="2"/>
        <w:numId w:val="2"/>
      </w:numPr>
      <w:tabs>
        <w:tab w:val="left" w:pos="851"/>
      </w:tabs>
      <w:spacing w:before="220"/>
    </w:pPr>
    <w:rPr>
      <w:rFonts w:eastAsia="Times" w:cs="Times New Roman"/>
      <w:szCs w:val="20"/>
    </w:rPr>
  </w:style>
  <w:style w:type="character" w:customStyle="1" w:styleId="NormalNumberedTextTLRIChar">
    <w:name w:val="Normal Numbered Text TLRI Char"/>
    <w:basedOn w:val="DefaultParagraphFont"/>
    <w:link w:val="NormalNumberedTextTLRI"/>
    <w:rsid w:val="00A433FC"/>
    <w:rPr>
      <w:rFonts w:ascii="Times New Roman" w:eastAsia="Times" w:hAnsi="Times New Roman" w:cs="Times New Roman"/>
      <w:szCs w:val="20"/>
    </w:rPr>
  </w:style>
  <w:style w:type="paragraph" w:customStyle="1" w:styleId="NumberedHeadingTLRI">
    <w:name w:val="Numbered Heading TLRI"/>
    <w:basedOn w:val="Normal"/>
    <w:next w:val="NormalNumberedTextTLRI"/>
    <w:link w:val="NumberedHeadingTLRIChar"/>
    <w:autoRedefine/>
    <w:qFormat/>
    <w:rsid w:val="00744D17"/>
    <w:pPr>
      <w:numPr>
        <w:ilvl w:val="1"/>
        <w:numId w:val="2"/>
      </w:numPr>
      <w:spacing w:before="640"/>
    </w:pPr>
    <w:rPr>
      <w:rFonts w:eastAsia="Times" w:cs="Times New Roman"/>
      <w:b/>
      <w:sz w:val="32"/>
      <w:szCs w:val="20"/>
    </w:rPr>
  </w:style>
  <w:style w:type="character" w:customStyle="1" w:styleId="NumberedHeadingTLRIChar">
    <w:name w:val="Numbered Heading TLRI Char"/>
    <w:basedOn w:val="DefaultParagraphFont"/>
    <w:link w:val="NumberedHeadingTLRI"/>
    <w:rsid w:val="00744D17"/>
    <w:rPr>
      <w:rFonts w:ascii="Times New Roman" w:eastAsia="Times" w:hAnsi="Times New Roman" w:cs="Times New Roman"/>
      <w:b/>
      <w:sz w:val="32"/>
      <w:szCs w:val="20"/>
    </w:rPr>
  </w:style>
  <w:style w:type="paragraph" w:customStyle="1" w:styleId="Sub-HeadingTLRI">
    <w:name w:val="Sub-Heading TLRI"/>
    <w:basedOn w:val="Normal"/>
    <w:link w:val="Sub-HeadingTLRIChar"/>
    <w:qFormat/>
    <w:rsid w:val="00A433FC"/>
    <w:pPr>
      <w:spacing w:before="480"/>
    </w:pPr>
    <w:rPr>
      <w:rFonts w:eastAsia="Times" w:cs="Times New Roman"/>
      <w:b/>
      <w:i/>
      <w:szCs w:val="20"/>
    </w:rPr>
  </w:style>
  <w:style w:type="character" w:customStyle="1" w:styleId="Sub-HeadingTLRIChar">
    <w:name w:val="Sub-Heading TLRI Char"/>
    <w:basedOn w:val="DefaultParagraphFont"/>
    <w:link w:val="Sub-HeadingTLRI"/>
    <w:rsid w:val="00A433FC"/>
    <w:rPr>
      <w:rFonts w:ascii="Times New Roman" w:eastAsia="Times" w:hAnsi="Times New Roman" w:cs="Times New Roman"/>
      <w:b/>
      <w:i/>
      <w:szCs w:val="20"/>
    </w:rPr>
  </w:style>
  <w:style w:type="paragraph" w:customStyle="1" w:styleId="FootnoteTextTLRI">
    <w:name w:val="Footnote Text TLRI"/>
    <w:basedOn w:val="FootnoteText"/>
    <w:link w:val="FootnoteTextTLRIChar"/>
    <w:qFormat/>
    <w:rsid w:val="00A433FC"/>
    <w:pPr>
      <w:ind w:left="284" w:hanging="284"/>
    </w:pPr>
    <w:rPr>
      <w:rFonts w:eastAsia="Times New Roman" w:cs="Times New Roman"/>
      <w:sz w:val="18"/>
      <w:szCs w:val="24"/>
      <w:lang w:val="en-US"/>
    </w:rPr>
  </w:style>
  <w:style w:type="character" w:customStyle="1" w:styleId="FootnoteTextTLRIChar">
    <w:name w:val="Footnote Text TLRI Char"/>
    <w:basedOn w:val="FootnoteTextChar"/>
    <w:link w:val="FootnoteTextTLRI"/>
    <w:rsid w:val="00A433FC"/>
    <w:rPr>
      <w:rFonts w:ascii="Times New Roman" w:eastAsia="Times New Roman" w:hAnsi="Times New Roman" w:cs="Times New Roman"/>
      <w:sz w:val="18"/>
      <w:szCs w:val="24"/>
      <w:lang w:val="en-US"/>
    </w:rPr>
  </w:style>
  <w:style w:type="paragraph" w:styleId="FootnoteText">
    <w:name w:val="footnote text"/>
    <w:basedOn w:val="Normal"/>
    <w:link w:val="FootnoteTextChar"/>
    <w:uiPriority w:val="99"/>
    <w:unhideWhenUsed/>
    <w:rsid w:val="00A433FC"/>
    <w:pPr>
      <w:spacing w:after="0"/>
    </w:pPr>
    <w:rPr>
      <w:sz w:val="20"/>
      <w:szCs w:val="20"/>
    </w:rPr>
  </w:style>
  <w:style w:type="character" w:customStyle="1" w:styleId="FootnoteTextChar">
    <w:name w:val="Footnote Text Char"/>
    <w:basedOn w:val="DefaultParagraphFont"/>
    <w:link w:val="FootnoteText"/>
    <w:uiPriority w:val="99"/>
    <w:rsid w:val="00A433FC"/>
    <w:rPr>
      <w:sz w:val="20"/>
      <w:szCs w:val="20"/>
    </w:rPr>
  </w:style>
  <w:style w:type="paragraph" w:customStyle="1" w:styleId="Indentedquote">
    <w:name w:val="Indented quote"/>
    <w:basedOn w:val="Normal"/>
    <w:link w:val="IndentedquoteChar"/>
    <w:uiPriority w:val="1"/>
    <w:qFormat/>
    <w:rsid w:val="00A433FC"/>
    <w:pPr>
      <w:spacing w:before="220"/>
      <w:ind w:left="720" w:right="720"/>
    </w:pPr>
  </w:style>
  <w:style w:type="character" w:customStyle="1" w:styleId="IndentedquoteChar">
    <w:name w:val="Indented quote Char"/>
    <w:basedOn w:val="DefaultParagraphFont"/>
    <w:link w:val="Indentedquote"/>
    <w:uiPriority w:val="1"/>
    <w:rsid w:val="00A433FC"/>
    <w:rPr>
      <w:rFonts w:ascii="Times New Roman" w:hAnsi="Times New Roman"/>
      <w:szCs w:val="24"/>
    </w:rPr>
  </w:style>
  <w:style w:type="paragraph" w:customStyle="1" w:styleId="Headingunnumbered">
    <w:name w:val="Heading unnumbered"/>
    <w:basedOn w:val="Normal"/>
    <w:next w:val="Normal"/>
    <w:link w:val="HeadingunnumberedChar"/>
    <w:uiPriority w:val="1"/>
    <w:qFormat/>
    <w:rsid w:val="00A433FC"/>
    <w:rPr>
      <w:b/>
      <w:bCs/>
      <w:sz w:val="32"/>
      <w:szCs w:val="36"/>
    </w:rPr>
  </w:style>
  <w:style w:type="character" w:customStyle="1" w:styleId="HeadingunnumberedChar">
    <w:name w:val="Heading unnumbered Char"/>
    <w:basedOn w:val="DefaultParagraphFont"/>
    <w:link w:val="Headingunnumbered"/>
    <w:uiPriority w:val="1"/>
    <w:rsid w:val="00A433FC"/>
    <w:rPr>
      <w:rFonts w:ascii="Times New Roman" w:hAnsi="Times New Roman"/>
      <w:b/>
      <w:bCs/>
      <w:sz w:val="32"/>
      <w:szCs w:val="36"/>
    </w:rPr>
  </w:style>
  <w:style w:type="paragraph" w:customStyle="1" w:styleId="Recommendation">
    <w:name w:val="Recommendation"/>
    <w:basedOn w:val="Headingunnumbered"/>
    <w:next w:val="Normal"/>
    <w:link w:val="RecommendationChar"/>
    <w:uiPriority w:val="1"/>
    <w:qFormat/>
    <w:rsid w:val="00A433FC"/>
  </w:style>
  <w:style w:type="character" w:customStyle="1" w:styleId="RecommendationChar">
    <w:name w:val="Recommendation Char"/>
    <w:basedOn w:val="HeadingunnumberedChar"/>
    <w:link w:val="Recommendation"/>
    <w:uiPriority w:val="1"/>
    <w:rsid w:val="00A433FC"/>
    <w:rPr>
      <w:rFonts w:ascii="Times New Roman" w:hAnsi="Times New Roman"/>
      <w:b/>
      <w:bCs/>
      <w:sz w:val="32"/>
      <w:szCs w:val="36"/>
    </w:rPr>
  </w:style>
  <w:style w:type="character" w:styleId="PlaceholderText">
    <w:name w:val="Placeholder Text"/>
    <w:basedOn w:val="DefaultParagraphFont"/>
    <w:uiPriority w:val="99"/>
    <w:semiHidden/>
    <w:rsid w:val="000A3EC4"/>
    <w:rPr>
      <w:color w:val="666666"/>
    </w:rPr>
  </w:style>
  <w:style w:type="paragraph" w:styleId="BodyText">
    <w:name w:val="Body Text"/>
    <w:basedOn w:val="Normal"/>
    <w:link w:val="BodyTextChar"/>
    <w:uiPriority w:val="1"/>
    <w:qFormat/>
    <w:rsid w:val="00986965"/>
    <w:pPr>
      <w:spacing w:before="120" w:after="120" w:line="259" w:lineRule="auto"/>
    </w:pPr>
    <w:rPr>
      <w:rFonts w:asciiTheme="minorHAnsi" w:hAnsiTheme="minorHAnsi"/>
      <w:b/>
      <w:sz w:val="28"/>
      <w:szCs w:val="20"/>
      <w:lang w:val="x-none"/>
    </w:rPr>
  </w:style>
  <w:style w:type="character" w:customStyle="1" w:styleId="BodyTextChar">
    <w:name w:val="Body Text Char"/>
    <w:basedOn w:val="DefaultParagraphFont"/>
    <w:link w:val="BodyText"/>
    <w:uiPriority w:val="1"/>
    <w:rsid w:val="00986965"/>
    <w:rPr>
      <w:b/>
      <w:sz w:val="28"/>
      <w:szCs w:val="20"/>
      <w:lang w:val="x-none"/>
    </w:rPr>
  </w:style>
  <w:style w:type="paragraph" w:styleId="TOC9">
    <w:name w:val="toc 9"/>
    <w:basedOn w:val="Normal"/>
    <w:next w:val="Normal"/>
    <w:autoRedefine/>
    <w:uiPriority w:val="39"/>
    <w:unhideWhenUsed/>
    <w:rsid w:val="002D0656"/>
    <w:pPr>
      <w:spacing w:after="100"/>
      <w:ind w:left="1760"/>
    </w:pPr>
  </w:style>
  <w:style w:type="paragraph" w:styleId="TOC1">
    <w:name w:val="toc 1"/>
    <w:basedOn w:val="Normal"/>
    <w:next w:val="Normal"/>
    <w:autoRedefine/>
    <w:uiPriority w:val="39"/>
    <w:unhideWhenUsed/>
    <w:rsid w:val="005B282A"/>
    <w:pPr>
      <w:tabs>
        <w:tab w:val="left" w:pos="720"/>
        <w:tab w:val="right" w:leader="dot" w:pos="9016"/>
      </w:tabs>
      <w:spacing w:after="100"/>
    </w:pPr>
  </w:style>
  <w:style w:type="paragraph" w:styleId="TOC3">
    <w:name w:val="toc 3"/>
    <w:basedOn w:val="Normal"/>
    <w:next w:val="Normal"/>
    <w:autoRedefine/>
    <w:uiPriority w:val="39"/>
    <w:unhideWhenUsed/>
    <w:rsid w:val="00D8729E"/>
    <w:pPr>
      <w:spacing w:after="100"/>
    </w:pPr>
    <w:rPr>
      <w:i/>
    </w:rPr>
  </w:style>
  <w:style w:type="paragraph" w:styleId="Footer">
    <w:name w:val="footer"/>
    <w:basedOn w:val="Normal"/>
    <w:link w:val="FooterChar"/>
    <w:uiPriority w:val="99"/>
    <w:unhideWhenUsed/>
    <w:rsid w:val="005B282A"/>
    <w:pPr>
      <w:tabs>
        <w:tab w:val="center" w:pos="4513"/>
        <w:tab w:val="right" w:pos="9026"/>
      </w:tabs>
      <w:spacing w:after="0"/>
      <w:jc w:val="left"/>
    </w:pPr>
    <w:rPr>
      <w:rFonts w:asciiTheme="minorHAnsi" w:eastAsiaTheme="minorEastAsia" w:hAnsiTheme="minorHAnsi"/>
      <w:szCs w:val="22"/>
    </w:rPr>
  </w:style>
  <w:style w:type="character" w:customStyle="1" w:styleId="FooterChar">
    <w:name w:val="Footer Char"/>
    <w:basedOn w:val="DefaultParagraphFont"/>
    <w:link w:val="Footer"/>
    <w:uiPriority w:val="99"/>
    <w:rsid w:val="005B282A"/>
    <w:rPr>
      <w:rFonts w:eastAsiaTheme="minorEastAsia"/>
    </w:rPr>
  </w:style>
  <w:style w:type="character" w:styleId="PageNumber">
    <w:name w:val="page number"/>
    <w:basedOn w:val="DefaultParagraphFont"/>
    <w:uiPriority w:val="99"/>
    <w:semiHidden/>
    <w:unhideWhenUsed/>
    <w:rsid w:val="005B282A"/>
  </w:style>
  <w:style w:type="paragraph" w:styleId="Header">
    <w:name w:val="header"/>
    <w:basedOn w:val="Normal"/>
    <w:link w:val="HeaderChar"/>
    <w:uiPriority w:val="99"/>
    <w:unhideWhenUsed/>
    <w:rsid w:val="00D8729E"/>
    <w:pPr>
      <w:tabs>
        <w:tab w:val="center" w:pos="4513"/>
        <w:tab w:val="right" w:pos="9026"/>
      </w:tabs>
      <w:spacing w:after="0"/>
    </w:pPr>
  </w:style>
  <w:style w:type="character" w:customStyle="1" w:styleId="HeaderChar">
    <w:name w:val="Header Char"/>
    <w:basedOn w:val="DefaultParagraphFont"/>
    <w:link w:val="Header"/>
    <w:uiPriority w:val="99"/>
    <w:rsid w:val="00D8729E"/>
    <w:rPr>
      <w:rFonts w:ascii="Times New Roman" w:hAnsi="Times New Roman"/>
      <w:szCs w:val="24"/>
    </w:rPr>
  </w:style>
  <w:style w:type="character" w:styleId="FootnoteReference">
    <w:name w:val="footnote reference"/>
    <w:basedOn w:val="DefaultParagraphFont"/>
    <w:uiPriority w:val="99"/>
    <w:semiHidden/>
    <w:unhideWhenUsed/>
    <w:rsid w:val="006E6531"/>
    <w:rPr>
      <w:vertAlign w:val="superscript"/>
    </w:rPr>
  </w:style>
  <w:style w:type="character" w:styleId="CommentReference">
    <w:name w:val="annotation reference"/>
    <w:basedOn w:val="DefaultParagraphFont"/>
    <w:uiPriority w:val="99"/>
    <w:semiHidden/>
    <w:unhideWhenUsed/>
    <w:rsid w:val="003165F8"/>
    <w:rPr>
      <w:sz w:val="16"/>
      <w:szCs w:val="16"/>
    </w:rPr>
  </w:style>
  <w:style w:type="paragraph" w:styleId="CommentText">
    <w:name w:val="annotation text"/>
    <w:basedOn w:val="Normal"/>
    <w:link w:val="CommentTextChar"/>
    <w:uiPriority w:val="99"/>
    <w:unhideWhenUsed/>
    <w:rsid w:val="003165F8"/>
    <w:rPr>
      <w:sz w:val="20"/>
      <w:szCs w:val="20"/>
    </w:rPr>
  </w:style>
  <w:style w:type="character" w:customStyle="1" w:styleId="CommentTextChar">
    <w:name w:val="Comment Text Char"/>
    <w:basedOn w:val="DefaultParagraphFont"/>
    <w:link w:val="CommentText"/>
    <w:uiPriority w:val="99"/>
    <w:rsid w:val="003165F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165F8"/>
    <w:rPr>
      <w:b/>
      <w:bCs/>
    </w:rPr>
  </w:style>
  <w:style w:type="character" w:customStyle="1" w:styleId="CommentSubjectChar">
    <w:name w:val="Comment Subject Char"/>
    <w:basedOn w:val="CommentTextChar"/>
    <w:link w:val="CommentSubject"/>
    <w:uiPriority w:val="99"/>
    <w:semiHidden/>
    <w:rsid w:val="003165F8"/>
    <w:rPr>
      <w:rFonts w:ascii="Times New Roman" w:hAnsi="Times New Roman"/>
      <w:b/>
      <w:bCs/>
      <w:sz w:val="20"/>
      <w:szCs w:val="20"/>
    </w:rPr>
  </w:style>
  <w:style w:type="paragraph" w:customStyle="1" w:styleId="NumberlessNormalText">
    <w:name w:val="Numberless Normal Text"/>
    <w:rsid w:val="00FF1AC5"/>
    <w:pPr>
      <w:tabs>
        <w:tab w:val="left" w:pos="851"/>
      </w:tabs>
      <w:spacing w:before="120" w:after="120" w:line="271" w:lineRule="auto"/>
      <w:jc w:val="both"/>
    </w:pPr>
    <w:rPr>
      <w:rFonts w:ascii="Times New Roman" w:eastAsia="Times" w:hAnsi="Times New Roman" w:cs="Times New Roman"/>
    </w:rPr>
  </w:style>
  <w:style w:type="character" w:styleId="Hyperlink">
    <w:name w:val="Hyperlink"/>
    <w:basedOn w:val="DefaultParagraphFont"/>
    <w:uiPriority w:val="99"/>
    <w:unhideWhenUsed/>
    <w:rsid w:val="0098292F"/>
    <w:rPr>
      <w:color w:val="467886" w:themeColor="hyperlink"/>
      <w:u w:val="single"/>
    </w:rPr>
  </w:style>
  <w:style w:type="character" w:styleId="UnresolvedMention">
    <w:name w:val="Unresolved Mention"/>
    <w:basedOn w:val="DefaultParagraphFont"/>
    <w:uiPriority w:val="99"/>
    <w:semiHidden/>
    <w:unhideWhenUsed/>
    <w:rsid w:val="0098292F"/>
    <w:rPr>
      <w:color w:val="605E5C"/>
      <w:shd w:val="clear" w:color="auto" w:fill="E1DFDD"/>
    </w:rPr>
  </w:style>
  <w:style w:type="table" w:styleId="TableGrid">
    <w:name w:val="Table Grid"/>
    <w:basedOn w:val="TableNormal"/>
    <w:uiPriority w:val="39"/>
    <w:rsid w:val="0097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2FA3"/>
    <w:pPr>
      <w:spacing w:after="0" w:line="240" w:lineRule="auto"/>
    </w:pPr>
    <w:rPr>
      <w:rFonts w:ascii="Times New Roman" w:hAnsi="Times New Roman"/>
      <w:szCs w:val="24"/>
    </w:rPr>
  </w:style>
  <w:style w:type="paragraph" w:customStyle="1" w:styleId="EndNoteBibliographyTitle">
    <w:name w:val="EndNote Bibliography Title"/>
    <w:basedOn w:val="Normal"/>
    <w:link w:val="EndNoteBibliographyTitleChar"/>
    <w:rsid w:val="00813B20"/>
    <w:pPr>
      <w:spacing w:after="0"/>
      <w:jc w:val="center"/>
    </w:pPr>
    <w:rPr>
      <w:rFonts w:cs="Times New Roman"/>
      <w:noProof/>
      <w:lang w:val="en-US"/>
    </w:rPr>
  </w:style>
  <w:style w:type="character" w:customStyle="1" w:styleId="EndNoteBibliographyTitleChar">
    <w:name w:val="EndNote Bibliography Title Char"/>
    <w:basedOn w:val="FootnoteTextChar"/>
    <w:link w:val="EndNoteBibliographyTitle"/>
    <w:rsid w:val="00813B20"/>
    <w:rPr>
      <w:rFonts w:ascii="Times New Roman" w:hAnsi="Times New Roman" w:cs="Times New Roman"/>
      <w:noProof/>
      <w:sz w:val="20"/>
      <w:szCs w:val="24"/>
      <w:lang w:val="en-US"/>
    </w:rPr>
  </w:style>
  <w:style w:type="paragraph" w:customStyle="1" w:styleId="EndNoteBibliography">
    <w:name w:val="EndNote Bibliography"/>
    <w:basedOn w:val="Normal"/>
    <w:link w:val="EndNoteBibliographyChar"/>
    <w:rsid w:val="00813B20"/>
    <w:rPr>
      <w:rFonts w:cs="Times New Roman"/>
      <w:noProof/>
      <w:lang w:val="en-US"/>
    </w:rPr>
  </w:style>
  <w:style w:type="character" w:customStyle="1" w:styleId="EndNoteBibliographyChar">
    <w:name w:val="EndNote Bibliography Char"/>
    <w:basedOn w:val="FootnoteTextChar"/>
    <w:link w:val="EndNoteBibliography"/>
    <w:rsid w:val="00813B20"/>
    <w:rPr>
      <w:rFonts w:ascii="Times New Roman" w:hAnsi="Times New Roman" w:cs="Times New Roman"/>
      <w:noProof/>
      <w:sz w:val="20"/>
      <w:szCs w:val="24"/>
      <w:lang w:val="en-US"/>
    </w:rPr>
  </w:style>
  <w:style w:type="character" w:styleId="FollowedHyperlink">
    <w:name w:val="FollowedHyperlink"/>
    <w:basedOn w:val="DefaultParagraphFont"/>
    <w:uiPriority w:val="99"/>
    <w:semiHidden/>
    <w:unhideWhenUsed/>
    <w:rsid w:val="00DD2856"/>
    <w:rPr>
      <w:color w:val="96607D" w:themeColor="followedHyperlink"/>
      <w:u w:val="single"/>
    </w:rPr>
  </w:style>
  <w:style w:type="character" w:styleId="Mention">
    <w:name w:val="Mention"/>
    <w:basedOn w:val="DefaultParagraphFont"/>
    <w:uiPriority w:val="99"/>
    <w:unhideWhenUsed/>
    <w:rsid w:val="00EF5C24"/>
    <w:rPr>
      <w:color w:val="2B579A"/>
      <w:shd w:val="clear" w:color="auto" w:fill="E1DFDD"/>
    </w:rPr>
  </w:style>
  <w:style w:type="paragraph" w:customStyle="1" w:styleId="RecommendationBoxTextBullet">
    <w:name w:val="Recommendation Box Text Bullet"/>
    <w:basedOn w:val="BodyText"/>
    <w:uiPriority w:val="1"/>
    <w:qFormat/>
    <w:rsid w:val="00A5757A"/>
    <w:pPr>
      <w:widowControl w:val="0"/>
      <w:numPr>
        <w:numId w:val="11"/>
      </w:numPr>
      <w:autoSpaceDE w:val="0"/>
      <w:autoSpaceDN w:val="0"/>
      <w:spacing w:before="237" w:after="0" w:line="242" w:lineRule="auto"/>
      <w:ind w:left="432" w:right="221" w:hanging="432"/>
    </w:pPr>
    <w:rPr>
      <w:rFonts w:ascii="Times New Roman" w:eastAsia="Times New Roman" w:hAnsi="Times New Roman" w:cs="Times New Roman"/>
      <w:b w:val="0"/>
      <w:color w:val="000000"/>
      <w:sz w:val="22"/>
      <w:szCs w:val="22"/>
      <w:lang w:val="en-US"/>
    </w:rPr>
  </w:style>
  <w:style w:type="paragraph" w:customStyle="1" w:styleId="RecommendationBoxHeading">
    <w:name w:val="Recommendation Box Heading"/>
    <w:basedOn w:val="Normal"/>
    <w:uiPriority w:val="1"/>
    <w:qFormat/>
    <w:rsid w:val="000D4D62"/>
    <w:pPr>
      <w:widowControl w:val="0"/>
      <w:autoSpaceDE w:val="0"/>
      <w:autoSpaceDN w:val="0"/>
      <w:spacing w:before="219" w:after="0"/>
      <w:ind w:left="108"/>
    </w:pPr>
    <w:rPr>
      <w:rFonts w:eastAsia="Times New Roman" w:cs="Times New Roman"/>
      <w:b/>
      <w:color w:val="000000"/>
      <w:sz w:val="23"/>
      <w:szCs w:val="22"/>
      <w:lang w:val="en-US"/>
    </w:rPr>
  </w:style>
  <w:style w:type="paragraph" w:customStyle="1" w:styleId="RecommendationBoxText">
    <w:name w:val="Recommendation Box Text"/>
    <w:basedOn w:val="BodyText"/>
    <w:uiPriority w:val="1"/>
    <w:qFormat/>
    <w:rsid w:val="00AD1F3F"/>
    <w:pPr>
      <w:widowControl w:val="0"/>
      <w:autoSpaceDE w:val="0"/>
      <w:autoSpaceDN w:val="0"/>
      <w:spacing w:before="237" w:after="0" w:line="242" w:lineRule="auto"/>
      <w:ind w:left="108" w:right="221"/>
    </w:pPr>
    <w:rPr>
      <w:rFonts w:ascii="Times New Roman" w:eastAsia="Times New Roman" w:hAnsi="Times New Roman" w:cs="Times New Roman"/>
      <w:b w:val="0"/>
      <w:color w:val="000000"/>
      <w:sz w:val="22"/>
      <w:szCs w:val="22"/>
      <w:lang w:val="en-US"/>
    </w:rPr>
  </w:style>
  <w:style w:type="paragraph" w:styleId="NormalWeb">
    <w:name w:val="Normal (Web)"/>
    <w:basedOn w:val="Normal"/>
    <w:uiPriority w:val="99"/>
    <w:semiHidden/>
    <w:unhideWhenUsed/>
    <w:rsid w:val="007611C6"/>
    <w:rPr>
      <w:rFonts w:cs="Times New Roman"/>
      <w:sz w:val="24"/>
    </w:rPr>
  </w:style>
  <w:style w:type="paragraph" w:styleId="TOC2">
    <w:name w:val="toc 2"/>
    <w:basedOn w:val="Normal"/>
    <w:next w:val="Normal"/>
    <w:autoRedefine/>
    <w:uiPriority w:val="39"/>
    <w:unhideWhenUsed/>
    <w:rsid w:val="008F4490"/>
    <w:pPr>
      <w:spacing w:after="100" w:line="278" w:lineRule="auto"/>
      <w:ind w:left="240"/>
      <w:jc w:val="left"/>
    </w:pPr>
    <w:rPr>
      <w:rFonts w:asciiTheme="minorHAnsi" w:eastAsiaTheme="minorEastAsia" w:hAnsiTheme="minorHAnsi"/>
      <w:kern w:val="2"/>
      <w:sz w:val="24"/>
      <w:lang w:eastAsia="en-AU"/>
      <w14:ligatures w14:val="standardContextual"/>
    </w:rPr>
  </w:style>
  <w:style w:type="paragraph" w:styleId="TOC4">
    <w:name w:val="toc 4"/>
    <w:basedOn w:val="Normal"/>
    <w:next w:val="Normal"/>
    <w:autoRedefine/>
    <w:uiPriority w:val="39"/>
    <w:unhideWhenUsed/>
    <w:rsid w:val="008F4490"/>
    <w:pPr>
      <w:spacing w:after="100" w:line="278" w:lineRule="auto"/>
      <w:ind w:left="720"/>
      <w:jc w:val="left"/>
    </w:pPr>
    <w:rPr>
      <w:rFonts w:asciiTheme="minorHAnsi" w:eastAsiaTheme="minorEastAsia" w:hAnsiTheme="minorHAnsi"/>
      <w:kern w:val="2"/>
      <w:sz w:val="24"/>
      <w:lang w:eastAsia="en-AU"/>
      <w14:ligatures w14:val="standardContextual"/>
    </w:rPr>
  </w:style>
  <w:style w:type="paragraph" w:styleId="TOC5">
    <w:name w:val="toc 5"/>
    <w:basedOn w:val="Normal"/>
    <w:next w:val="Normal"/>
    <w:autoRedefine/>
    <w:uiPriority w:val="39"/>
    <w:unhideWhenUsed/>
    <w:rsid w:val="008F4490"/>
    <w:pPr>
      <w:spacing w:after="100" w:line="278" w:lineRule="auto"/>
      <w:ind w:left="960"/>
      <w:jc w:val="left"/>
    </w:pPr>
    <w:rPr>
      <w:rFonts w:asciiTheme="minorHAnsi" w:eastAsiaTheme="minorEastAsia" w:hAnsiTheme="minorHAnsi"/>
      <w:kern w:val="2"/>
      <w:sz w:val="24"/>
      <w:lang w:eastAsia="en-AU"/>
      <w14:ligatures w14:val="standardContextual"/>
    </w:rPr>
  </w:style>
  <w:style w:type="paragraph" w:styleId="TOC6">
    <w:name w:val="toc 6"/>
    <w:basedOn w:val="Normal"/>
    <w:next w:val="Normal"/>
    <w:autoRedefine/>
    <w:uiPriority w:val="39"/>
    <w:unhideWhenUsed/>
    <w:rsid w:val="008F4490"/>
    <w:pPr>
      <w:spacing w:after="100" w:line="278" w:lineRule="auto"/>
      <w:ind w:left="1200"/>
      <w:jc w:val="left"/>
    </w:pPr>
    <w:rPr>
      <w:rFonts w:asciiTheme="minorHAnsi" w:eastAsiaTheme="minorEastAsia" w:hAnsiTheme="minorHAnsi"/>
      <w:kern w:val="2"/>
      <w:sz w:val="24"/>
      <w:lang w:eastAsia="en-AU"/>
      <w14:ligatures w14:val="standardContextual"/>
    </w:rPr>
  </w:style>
  <w:style w:type="paragraph" w:styleId="TOC7">
    <w:name w:val="toc 7"/>
    <w:basedOn w:val="Normal"/>
    <w:next w:val="Normal"/>
    <w:autoRedefine/>
    <w:uiPriority w:val="39"/>
    <w:unhideWhenUsed/>
    <w:rsid w:val="008F4490"/>
    <w:pPr>
      <w:spacing w:after="100" w:line="278" w:lineRule="auto"/>
      <w:ind w:left="1440"/>
      <w:jc w:val="left"/>
    </w:pPr>
    <w:rPr>
      <w:rFonts w:asciiTheme="minorHAnsi" w:eastAsiaTheme="minorEastAsia" w:hAnsiTheme="minorHAnsi"/>
      <w:kern w:val="2"/>
      <w:sz w:val="24"/>
      <w:lang w:eastAsia="en-AU"/>
      <w14:ligatures w14:val="standardContextual"/>
    </w:rPr>
  </w:style>
  <w:style w:type="paragraph" w:styleId="TOC8">
    <w:name w:val="toc 8"/>
    <w:basedOn w:val="Normal"/>
    <w:next w:val="Normal"/>
    <w:autoRedefine/>
    <w:uiPriority w:val="39"/>
    <w:unhideWhenUsed/>
    <w:rsid w:val="008F4490"/>
    <w:pPr>
      <w:spacing w:after="100" w:line="278" w:lineRule="auto"/>
      <w:ind w:left="1680"/>
      <w:jc w:val="left"/>
    </w:pPr>
    <w:rPr>
      <w:rFonts w:asciiTheme="minorHAnsi" w:eastAsiaTheme="minorEastAsia" w:hAnsiTheme="minorHAnsi"/>
      <w:kern w:val="2"/>
      <w:sz w:val="24"/>
      <w:lang w:eastAsia="en-AU"/>
      <w14:ligatures w14:val="standardContextual"/>
    </w:rPr>
  </w:style>
  <w:style w:type="character" w:customStyle="1" w:styleId="Hyperlink1">
    <w:name w:val="Hyperlink1"/>
    <w:basedOn w:val="DefaultParagraphFont"/>
    <w:uiPriority w:val="99"/>
    <w:unhideWhenUsed/>
    <w:rsid w:val="00F541B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20067">
      <w:bodyDiv w:val="1"/>
      <w:marLeft w:val="0"/>
      <w:marRight w:val="0"/>
      <w:marTop w:val="0"/>
      <w:marBottom w:val="0"/>
      <w:divBdr>
        <w:top w:val="none" w:sz="0" w:space="0" w:color="auto"/>
        <w:left w:val="none" w:sz="0" w:space="0" w:color="auto"/>
        <w:bottom w:val="none" w:sz="0" w:space="0" w:color="auto"/>
        <w:right w:val="none" w:sz="0" w:space="0" w:color="auto"/>
      </w:divBdr>
    </w:div>
    <w:div w:id="1553299544">
      <w:bodyDiv w:val="1"/>
      <w:marLeft w:val="0"/>
      <w:marRight w:val="0"/>
      <w:marTop w:val="0"/>
      <w:marBottom w:val="0"/>
      <w:divBdr>
        <w:top w:val="none" w:sz="0" w:space="0" w:color="auto"/>
        <w:left w:val="none" w:sz="0" w:space="0" w:color="auto"/>
        <w:bottom w:val="none" w:sz="0" w:space="0" w:color="auto"/>
        <w:right w:val="none" w:sz="0" w:space="0" w:color="auto"/>
      </w:divBdr>
    </w:div>
    <w:div w:id="1650674453">
      <w:bodyDiv w:val="1"/>
      <w:marLeft w:val="0"/>
      <w:marRight w:val="0"/>
      <w:marTop w:val="0"/>
      <w:marBottom w:val="0"/>
      <w:divBdr>
        <w:top w:val="none" w:sz="0" w:space="0" w:color="auto"/>
        <w:left w:val="none" w:sz="0" w:space="0" w:color="auto"/>
        <w:bottom w:val="none" w:sz="0" w:space="0" w:color="auto"/>
        <w:right w:val="none" w:sz="0" w:space="0" w:color="auto"/>
      </w:divBdr>
    </w:div>
    <w:div w:id="201637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header" Target="header1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chart" Target="charts/chart5.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17" Type="http://schemas.openxmlformats.org/officeDocument/2006/relationships/hyperlink" Target="https://www.safeathome.tas.gov.au/about-us" TargetMode="External"/><Relationship Id="rId21" Type="http://schemas.openxmlformats.org/officeDocument/2006/relationships/hyperlink" Target="https://eapon.ca/wp-content/uploads/2021/09/toronto_declaration_en.pdf" TargetMode="External"/><Relationship Id="rId42" Type="http://schemas.openxmlformats.org/officeDocument/2006/relationships/hyperlink" Target="https://www.compass.info/elder-abuse/understanding/common-risk-factors-for-experiencing-abuse-neglect-or-mistreatment/" TargetMode="External"/><Relationship Id="rId63" Type="http://schemas.openxmlformats.org/officeDocument/2006/relationships/hyperlink" Target="https://www.premier.tas.gov.au/latest-news/2024/november/applications-open-for-tasmanias-first-disability-commissioner" TargetMode="External"/><Relationship Id="rId84" Type="http://schemas.openxmlformats.org/officeDocument/2006/relationships/hyperlink" Target="https://cotatas.org.au/ourwork-2/elder-abuse-prevention/ageingmyway/" TargetMode="External"/><Relationship Id="rId138" Type="http://schemas.openxmlformats.org/officeDocument/2006/relationships/hyperlink" Target="https://www.justice.tas.gov.au/carcru/witness-intermediary-scheme" TargetMode="External"/><Relationship Id="rId107" Type="http://schemas.openxmlformats.org/officeDocument/2006/relationships/hyperlink" Target="https://ageingdisabilitycommission.nsw.gov.au/tools-and-resources/dashboard-data.html" TargetMode="External"/><Relationship Id="rId11" Type="http://schemas.openxmlformats.org/officeDocument/2006/relationships/hyperlink" Target="https://www.aihw.gov.au/family-domestic-and-sexual-violence/population-groups/older-people" TargetMode="External"/><Relationship Id="rId32" Type="http://schemas.openxmlformats.org/officeDocument/2006/relationships/hyperlink" Target="https://ageing-equal.org/ageism-and-abuse/" TargetMode="External"/><Relationship Id="rId53" Type="http://schemas.openxmlformats.org/officeDocument/2006/relationships/hyperlink" Target="https://www.safeathome.tas.gov.au/about-us" TargetMode="External"/><Relationship Id="rId74" Type="http://schemas.openxmlformats.org/officeDocument/2006/relationships/hyperlink" Target="https://beconnected.esafety.gov.au/" TargetMode="External"/><Relationship Id="rId128" Type="http://schemas.openxmlformats.org/officeDocument/2006/relationships/hyperlink" Target="https://www.ag.gov.au/About/CommitteesandCouncils/Council-of-Attorneys-General/Documents/Council-of-Attorneys-General-communique-June-2018.pdf" TargetMode="External"/><Relationship Id="rId5" Type="http://schemas.openxmlformats.org/officeDocument/2006/relationships/hyperlink" Target="https://humanrights.gov.au/financial-elder-abuse-project" TargetMode="External"/><Relationship Id="rId90" Type="http://schemas.openxmlformats.org/officeDocument/2006/relationships/hyperlink" Target="https://advocacytasmania.org.au/what-we-do/changing-the-system/" TargetMode="External"/><Relationship Id="rId95" Type="http://schemas.openxmlformats.org/officeDocument/2006/relationships/hyperlink" Target="http://www.karadi.org.au/programs/" TargetMode="External"/><Relationship Id="rId22" Type="http://schemas.openxmlformats.org/officeDocument/2006/relationships/hyperlink" Target="https://www.aihw.gov.au/family-domestic-and-sexual-violence/population-groups/lgbtiqa-people" TargetMode="External"/><Relationship Id="rId27" Type="http://schemas.openxmlformats.org/officeDocument/2006/relationships/hyperlink" Target="https://www.abs.gov.au/statistics/people/crime-and-justice/recorded-crime-victims/2023" TargetMode="External"/><Relationship Id="rId43" Type="http://schemas.openxmlformats.org/officeDocument/2006/relationships/hyperlink" Target="https://www.compass.info/elder-abuse/responding/barriers-to-seeking-help-for-elder-abuse/" TargetMode="External"/><Relationship Id="rId48" Type="http://schemas.openxmlformats.org/officeDocument/2006/relationships/hyperlink" Target="https://dhs.sa.gov.au/__data/assets/pdf_file/0008/179945/SA-Charter-of-the-Rights-and-Freedoms-of-Vulnerable-Adults.pdf" TargetMode="External"/><Relationship Id="rId64" Type="http://schemas.openxmlformats.org/officeDocument/2006/relationships/hyperlink" Target="https://www.dpac.tas.gov.au/divisions/cpp/community-and-disability-services/tasmanian-disability-services-act-2011/tasmanian-disability-services-act-2011-review/how-we-will-consult" TargetMode="External"/><Relationship Id="rId69" Type="http://schemas.openxmlformats.org/officeDocument/2006/relationships/hyperlink" Target="https://www.antidiscrimination.tas.gov.au/news_and_events" TargetMode="External"/><Relationship Id="rId113" Type="http://schemas.openxmlformats.org/officeDocument/2006/relationships/hyperlink" Target="https://oir.tas.gov.au/" TargetMode="External"/><Relationship Id="rId118" Type="http://schemas.openxmlformats.org/officeDocument/2006/relationships/hyperlink" Target="https://www.safeathome.tas.gov.au/about-us" TargetMode="External"/><Relationship Id="rId134" Type="http://schemas.openxmlformats.org/officeDocument/2006/relationships/hyperlink" Target="https://www.crimestatistics.vic.gov.au/family-violence-data/family-violence-dashboard" TargetMode="External"/><Relationship Id="rId139" Type="http://schemas.openxmlformats.org/officeDocument/2006/relationships/hyperlink" Target="https://eaaa.org.au/about-us/" TargetMode="External"/><Relationship Id="rId80" Type="http://schemas.openxmlformats.org/officeDocument/2006/relationships/hyperlink" Target="https://www.aph.gov.au/Parliamentary_Business/Committees/Joint/Human_Rights/HumanRightsFramework" TargetMode="External"/><Relationship Id="rId85" Type="http://schemas.openxmlformats.org/officeDocument/2006/relationships/hyperlink" Target="https://cotatas.org.au/ourwork-2/elder-abuse-prevention/elder-abuse-helpline/" TargetMode="External"/><Relationship Id="rId12" Type="http://schemas.openxmlformats.org/officeDocument/2006/relationships/hyperlink" Target="https://www.abs.gov.au/statistics/people/population/national-state-and-territory-population/mar-2024" TargetMode="External"/><Relationship Id="rId17" Type="http://schemas.openxmlformats.org/officeDocument/2006/relationships/hyperlink" Target="https://www.austlii.edu.au/cgi-bin/viewdb/au/cases/tas/TASCAT/" TargetMode="External"/><Relationship Id="rId33" Type="http://schemas.openxmlformats.org/officeDocument/2006/relationships/hyperlink" Target="https://www.who.int/health-topics/ageism" TargetMode="External"/><Relationship Id="rId38" Type="http://schemas.openxmlformats.org/officeDocument/2006/relationships/hyperlink" Target="https://advocacytasmania.org.au/news-updates/publications/" TargetMode="External"/><Relationship Id="rId59" Type="http://schemas.openxmlformats.org/officeDocument/2006/relationships/hyperlink" Target="https://advocacytasmania.org.au/news-updates/publications/" TargetMode="External"/><Relationship Id="rId103" Type="http://schemas.openxmlformats.org/officeDocument/2006/relationships/hyperlink" Target="https://advocare.org.au/wp-content/uploads/2025/03/ST18246-AdvocareElderAbuseProtocol_Reprint_WEB.pdf" TargetMode="External"/><Relationship Id="rId108" Type="http://schemas.openxmlformats.org/officeDocument/2006/relationships/hyperlink" Target="https://ageingdisabilitycommission.nsw.gov.au/tools-and-resources/dashboard-data.html" TargetMode="External"/><Relationship Id="rId124" Type="http://schemas.openxmlformats.org/officeDocument/2006/relationships/hyperlink" Target="https://ageingdisabilitycommission.nsw.gov.au/reports-and-submissions/annual-reports.html" TargetMode="External"/><Relationship Id="rId129" Type="http://schemas.openxmlformats.org/officeDocument/2006/relationships/hyperlink" Target="https://www.ag.gov.au/About/CommitteesandCouncils/Council-of-Attorneys-General/Documents/Council-of-Attorneys-General-communique-December-2017.pdf" TargetMode="External"/><Relationship Id="rId54" Type="http://schemas.openxmlformats.org/officeDocument/2006/relationships/hyperlink" Target="https://www.safefromviolence.tas.gov.au/our-plan/safe-homes,-families,-communities-governance" TargetMode="External"/><Relationship Id="rId70" Type="http://schemas.openxmlformats.org/officeDocument/2006/relationships/hyperlink" Target="https://www.agedcarequality.gov.au/" TargetMode="External"/><Relationship Id="rId75" Type="http://schemas.openxmlformats.org/officeDocument/2006/relationships/hyperlink" Target="https://www.who.int/teams/social-determinants-of-health/demographic-change-and-healthy-ageing" TargetMode="External"/><Relationship Id="rId91" Type="http://schemas.openxmlformats.org/officeDocument/2006/relationships/hyperlink" Target="https://mrctas.org.au/publications/" TargetMode="External"/><Relationship Id="rId96" Type="http://schemas.openxmlformats.org/officeDocument/2006/relationships/hyperlink" Target="https://www.workingitout.org.au/about-us/" TargetMode="External"/><Relationship Id="rId140" Type="http://schemas.openxmlformats.org/officeDocument/2006/relationships/hyperlink" Target="https://www.compass.info/about/" TargetMode="External"/><Relationship Id="rId145" Type="http://schemas.openxmlformats.org/officeDocument/2006/relationships/hyperlink" Target="https://www.wa.gov.au/government/publications/wa-strategy-respond-the-abuse-of-older-people-elder-abuse-2019-2029" TargetMode="External"/><Relationship Id="rId1" Type="http://schemas.openxmlformats.org/officeDocument/2006/relationships/hyperlink" Target="https://www.ag.gov.au/rights-and-protections/publications/national-plan-respond-abuse-older-australians-elder-abuse-2019-2023" TargetMode="External"/><Relationship Id="rId6" Type="http://schemas.openxmlformats.org/officeDocument/2006/relationships/hyperlink" Target="https://www.salvationarmy.org.au/the-red-shield-report-2025/cost-of-living/" TargetMode="External"/><Relationship Id="rId23" Type="http://schemas.openxmlformats.org/officeDocument/2006/relationships/hyperlink" Target="https://www.ag.gov.au/families-and-marriage/publications/national-principles-address-coercive-control-family-and-domestic-violence" TargetMode="External"/><Relationship Id="rId28" Type="http://schemas.openxmlformats.org/officeDocument/2006/relationships/hyperlink" Target="https://www.aic.gov.au/publications/sr/sr46" TargetMode="External"/><Relationship Id="rId49" Type="http://schemas.openxmlformats.org/officeDocument/2006/relationships/hyperlink" Target="https://aifs.gov.au/resources/collections/evaluation-national-plan-respond-abuse-older-australians" TargetMode="External"/><Relationship Id="rId114" Type="http://schemas.openxmlformats.org/officeDocument/2006/relationships/hyperlink" Target="https://www.hrc.act.gov.au/advocacy" TargetMode="External"/><Relationship Id="rId119" Type="http://schemas.openxmlformats.org/officeDocument/2006/relationships/hyperlink" Target="https://www.parliament.nsw.gov.au/committees/inquiries/Pages/inquiry-details.aspx?pk=2387" TargetMode="External"/><Relationship Id="rId44" Type="http://schemas.openxmlformats.org/officeDocument/2006/relationships/hyperlink" Target="https://www.abc.net.au/news/2025-03-20/blake-brinklow-jailed-after-stealing-from-elderly-parents/105073720" TargetMode="External"/><Relationship Id="rId60" Type="http://schemas.openxmlformats.org/officeDocument/2006/relationships/hyperlink" Target="https://www.justice.tas.gov.au/about-us/news/articles/tasmanias-guardianship-and-administration-system-is-changing" TargetMode="External"/><Relationship Id="rId65" Type="http://schemas.openxmlformats.org/officeDocument/2006/relationships/hyperlink" Target="https://www.dpac.tas.gov.au/divisions/cpp/community-and-disability-services/tasmanian-disability-services-act-2011/tasmanian-disability-services-act-2011-review/consultation-outcomes" TargetMode="External"/><Relationship Id="rId81" Type="http://schemas.openxmlformats.org/officeDocument/2006/relationships/hyperlink" Target="https://tas.relationships.org.au/elder-relationships-services/" TargetMode="External"/><Relationship Id="rId86" Type="http://schemas.openxmlformats.org/officeDocument/2006/relationships/hyperlink" Target="https://cotatas.org.au/ourwork-2/elder-abuse-prevention/older-voices-for-change/" TargetMode="External"/><Relationship Id="rId130" Type="http://schemas.openxmlformats.org/officeDocument/2006/relationships/hyperlink" Target="https://ageingdisabilitycommission.nsw.gov.au/about-us/reporting/voluntary-assisted-dying.html" TargetMode="External"/><Relationship Id="rId135" Type="http://schemas.openxmlformats.org/officeDocument/2006/relationships/hyperlink" Target="https://www.thesenior.com.au/story/8813553/victoria-police-tackle-elder-abuse-with-new-aged-care-initiative/" TargetMode="External"/><Relationship Id="rId13" Type="http://schemas.openxmlformats.org/officeDocument/2006/relationships/hyperlink" Target="https://www.abs.gov.au/statistics/health/disability/disability-ageing-and-carers-australia-summary-findings/2018" TargetMode="External"/><Relationship Id="rId18" Type="http://schemas.openxmlformats.org/officeDocument/2006/relationships/hyperlink" Target="https://www.sentencingcouncil.tas.gov.au/statistics/magistratescourt" TargetMode="External"/><Relationship Id="rId39" Type="http://schemas.openxmlformats.org/officeDocument/2006/relationships/hyperlink" Target="https://advocacytasmania.org.au/news-updates/publications/" TargetMode="External"/><Relationship Id="rId109" Type="http://schemas.openxmlformats.org/officeDocument/2006/relationships/hyperlink" Target="https://ageingdisabilitycommission.nsw.gov.au/documents/reports-and-submissions/ADC_Five_Year_Summary_Report_Card_Older_People_2019_-2024.pdf" TargetMode="External"/><Relationship Id="rId34" Type="http://schemas.openxmlformats.org/officeDocument/2006/relationships/hyperlink" Target="https://www.aihw.gov.au/family-domestic-and-sexual-violence/population-groups/cald" TargetMode="External"/><Relationship Id="rId50" Type="http://schemas.openxmlformats.org/officeDocument/2006/relationships/hyperlink" Target="https://humanrights.gov.au/about/news/new-project-tackle-financial-elder-abuse" TargetMode="External"/><Relationship Id="rId55" Type="http://schemas.openxmlformats.org/officeDocument/2006/relationships/hyperlink" Target="https://www.safefromviolence.tas.gov.au/our-plan/safe-homes,-families,-communities-governance" TargetMode="External"/><Relationship Id="rId76" Type="http://schemas.openxmlformats.org/officeDocument/2006/relationships/hyperlink" Target="https://www.who.int/publications/i/item/9789240052550" TargetMode="External"/><Relationship Id="rId97" Type="http://schemas.openxmlformats.org/officeDocument/2006/relationships/hyperlink" Target="https://www.elderabuse.tas.gov.au/home" TargetMode="External"/><Relationship Id="rId104" Type="http://schemas.openxmlformats.org/officeDocument/2006/relationships/hyperlink" Target="https://dhs.sa.gov.au/how-we-help/ageing-well/support-for-adult-safety-and-wellbeing/about-the-adult-safeguarding-unit" TargetMode="External"/><Relationship Id="rId120" Type="http://schemas.openxmlformats.org/officeDocument/2006/relationships/hyperlink" Target="https://yoursayconversations.act.gov.au/review-laws-protect-vulnerable-canberrans" TargetMode="External"/><Relationship Id="rId125" Type="http://schemas.openxmlformats.org/officeDocument/2006/relationships/hyperlink" Target="https://consultations.ag.gov.au/families-and-marriage/epoa/" TargetMode="External"/><Relationship Id="rId141" Type="http://schemas.openxmlformats.org/officeDocument/2006/relationships/hyperlink" Target="https://humanrights.gov.au/about/news/robert-fitzgerald-commences-age-discrimination-commissioner" TargetMode="External"/><Relationship Id="rId7" Type="http://schemas.openxmlformats.org/officeDocument/2006/relationships/hyperlink" Target="https://www.niaa.gov.au/resource-centre/commonwealth-closing-gap-2024-annual-report-and-2025-implementation-plan" TargetMode="External"/><Relationship Id="rId71" Type="http://schemas.openxmlformats.org/officeDocument/2006/relationships/hyperlink" Target="https://www.health.gov.au/our-work/aged-care-act/about" TargetMode="External"/><Relationship Id="rId92" Type="http://schemas.openxmlformats.org/officeDocument/2006/relationships/hyperlink" Target="https://www.legalaid.tas.gov.au/senior-assist/" TargetMode="External"/><Relationship Id="rId2" Type="http://schemas.openxmlformats.org/officeDocument/2006/relationships/hyperlink" Target="https://docs.un.org/en/A/HRC/48/53" TargetMode="External"/><Relationship Id="rId29" Type="http://schemas.openxmlformats.org/officeDocument/2006/relationships/hyperlink" Target="https://www.femicidecensus.org/wp-content/uploads/2025/03/2000-Women-full-report.pdf" TargetMode="External"/><Relationship Id="rId24" Type="http://schemas.openxmlformats.org/officeDocument/2006/relationships/hyperlink" Target="https://www.agedcarequality.gov.au/sites/default/files/media/sirs-insight-report-may-2021-updated-30-september-2021.pdf" TargetMode="External"/><Relationship Id="rId40" Type="http://schemas.openxmlformats.org/officeDocument/2006/relationships/hyperlink" Target="https://advocacytasmania.org.au/news-updates/publications/" TargetMode="External"/><Relationship Id="rId45" Type="http://schemas.openxmlformats.org/officeDocument/2006/relationships/hyperlink" Target="https://www.elderabuse.tas.gov.au/information-for-service-providers" TargetMode="External"/><Relationship Id="rId66" Type="http://schemas.openxmlformats.org/officeDocument/2006/relationships/hyperlink" Target="https://www.healthcomplaints.tas.gov.au/publications/tasmanian-charter-of-health-rights-and-responsibilities/charter-introduction/rights-1-to-6-of-the-charter" TargetMode="External"/><Relationship Id="rId87" Type="http://schemas.openxmlformats.org/officeDocument/2006/relationships/hyperlink" Target="https://www.thesenior.com.au/story/8698038/coercive-control-family-abuse-older-victim-survivors-speak-out/" TargetMode="External"/><Relationship Id="rId110" Type="http://schemas.openxmlformats.org/officeDocument/2006/relationships/hyperlink" Target="https://ageingdisabilitycommission.nsw.gov.au/tools-and-resources/dashboard-data.html" TargetMode="External"/><Relationship Id="rId115" Type="http://schemas.openxmlformats.org/officeDocument/2006/relationships/hyperlink" Target="https://www.aihw.gov.au/family-domestic-and-sexual-violence/types-of-violence/family-domestic-violence" TargetMode="External"/><Relationship Id="rId131" Type="http://schemas.openxmlformats.org/officeDocument/2006/relationships/hyperlink" Target="https://www.compass.info/resources/resource/nsw-police-aged-crime-prevention-officers-factsheet/" TargetMode="External"/><Relationship Id="rId136" Type="http://schemas.openxmlformats.org/officeDocument/2006/relationships/hyperlink" Target="https://www.justice.tas.gov.au/carcru/tasmanian-response-to-the-royal-commission/news/news-items/witness-intermediary-scheme-pilot-12-month-evaluation-report-released" TargetMode="External"/><Relationship Id="rId61" Type="http://schemas.openxmlformats.org/officeDocument/2006/relationships/hyperlink" Target="https://www.disabilitycommissioner.tas.gov.au/about-us/about-disability-commissioner-tasmania" TargetMode="External"/><Relationship Id="rId82" Type="http://schemas.openxmlformats.org/officeDocument/2006/relationships/hyperlink" Target="https://cotatas.org.au/about-us/" TargetMode="External"/><Relationship Id="rId19" Type="http://schemas.openxmlformats.org/officeDocument/2006/relationships/hyperlink" Target="https://www.sentencingcouncil.tas.gov.au/statistics/supremecourt" TargetMode="External"/><Relationship Id="rId14" Type="http://schemas.openxmlformats.org/officeDocument/2006/relationships/hyperlink" Target="https://www.ndda.gov.au/about-national-disability-data-asset" TargetMode="External"/><Relationship Id="rId30" Type="http://schemas.openxmlformats.org/officeDocument/2006/relationships/hyperlink" Target="https://www.agedcarequality.gov.au/providers/serious-incident-response-scheme/reportable-incidents/about-reportable-incidents" TargetMode="External"/><Relationship Id="rId35" Type="http://schemas.openxmlformats.org/officeDocument/2006/relationships/hyperlink" Target="https://www.abs.gov.au/statistics/people/population/national-state-and-territory-population/mar-2024" TargetMode="External"/><Relationship Id="rId56" Type="http://schemas.openxmlformats.org/officeDocument/2006/relationships/hyperlink" Target="https://www.safefromviolence.tas.gov.au/our-plan/safe-homes,-families,-communities-governance" TargetMode="External"/><Relationship Id="rId77" Type="http://schemas.openxmlformats.org/officeDocument/2006/relationships/hyperlink" Target="https://www.ohchr.org/en/instruments-mechanisms/instruments/united-nations-principles-older-persons" TargetMode="External"/><Relationship Id="rId100" Type="http://schemas.openxmlformats.org/officeDocument/2006/relationships/hyperlink" Target="https://caringforoldertasmanians.care2serve.com.au/" TargetMode="External"/><Relationship Id="rId105" Type="http://schemas.openxmlformats.org/officeDocument/2006/relationships/hyperlink" Target="https://dhs.sa.gov.au/how-we-help/ageing-well/support-for-adult-safety-and-wellbeing/information-about-adult-safeguarding" TargetMode="External"/><Relationship Id="rId126" Type="http://schemas.openxmlformats.org/officeDocument/2006/relationships/hyperlink" Target="https://www.ag.gov.au/About/CommitteesandCouncils/Council-of-Attorneys-General/Documents/Council-of-Attorneys-General-communique-June-2018.pdf" TargetMode="External"/><Relationship Id="rId8" Type="http://schemas.openxmlformats.org/officeDocument/2006/relationships/hyperlink" Target="https://womensagenda.com.au/latest/its-time-we-recognised-the-domestic-violence-crisis-facing-women-over-55/" TargetMode="External"/><Relationship Id="rId51" Type="http://schemas.openxmlformats.org/officeDocument/2006/relationships/hyperlink" Target="https://www.magistratescourt.tas.gov.au/coronerscourt/about" TargetMode="External"/><Relationship Id="rId72" Type="http://schemas.openxmlformats.org/officeDocument/2006/relationships/hyperlink" Target="https://www.aph.gov.au/Parliamentary_Business/Bills_Legislation/Bills_Search_Results/Result?bId=r7275" TargetMode="External"/><Relationship Id="rId93" Type="http://schemas.openxmlformats.org/officeDocument/2006/relationships/hyperlink" Target="https://www.legalaid.tas.gov.au/senior-assist/" TargetMode="External"/><Relationship Id="rId98" Type="http://schemas.openxmlformats.org/officeDocument/2006/relationships/hyperlink" Target="https://www.utas.edu.au/wicking" TargetMode="External"/><Relationship Id="rId121" Type="http://schemas.openxmlformats.org/officeDocument/2006/relationships/hyperlink" Target="https://www.qlrc.qld.gov.au/reviews/non-fatal-strangulation" TargetMode="External"/><Relationship Id="rId142" Type="http://schemas.openxmlformats.org/officeDocument/2006/relationships/hyperlink" Target="https://aifs.gov.au/research_programs/elder-abuse-research/LBGTIQA" TargetMode="External"/><Relationship Id="rId3" Type="http://schemas.openxmlformats.org/officeDocument/2006/relationships/hyperlink" Target="https://www.aihw.gov.au/reports/older-people/older-australians/contents/summary" TargetMode="External"/><Relationship Id="rId25" Type="http://schemas.openxmlformats.org/officeDocument/2006/relationships/hyperlink" Target="https://www.justice.qld.gov.au/public-advocate/our-advocacy/justice-and-human-rights/adult-safeguarding-in-queensland2" TargetMode="External"/><Relationship Id="rId46" Type="http://schemas.openxmlformats.org/officeDocument/2006/relationships/hyperlink" Target="https://dhs.sa.gov.au/__data/assets/pdf_file/0018/180135/Statement-on-the-Rights-and-Freedoms-of-Older-South-Australians.pdf" TargetMode="External"/><Relationship Id="rId67" Type="http://schemas.openxmlformats.org/officeDocument/2006/relationships/hyperlink" Target="https://www.safetyandquality.gov.au/publications-and-resources/resource-library/australian-charter-healthcare-rights-second-edition-a4-accessible" TargetMode="External"/><Relationship Id="rId116" Type="http://schemas.openxmlformats.org/officeDocument/2006/relationships/hyperlink" Target="https://www.aph.gov.au/Parliamentary_Business/Committees/House/Social_Policy_and_Legal_Affairs/Familyviolenceorders/Inquiry_into_family_violence_orders/Chapter_2_-_Better_protecting_victim-survivors_with_family_violence_orders" TargetMode="External"/><Relationship Id="rId137" Type="http://schemas.openxmlformats.org/officeDocument/2006/relationships/hyperlink" Target="https://www.justice.tas.gov.au/carcru/tasmanian-response-to-the-royal-commission/news/news-items/witness-intermediary-scheme-pilot-12-month-evaluation-report-released" TargetMode="External"/><Relationship Id="rId20" Type="http://schemas.openxmlformats.org/officeDocument/2006/relationships/hyperlink" Target="https://www.supremecourt.tas.gov.au/publications/decisions-of-the-court/" TargetMode="External"/><Relationship Id="rId41" Type="http://schemas.openxmlformats.org/officeDocument/2006/relationships/hyperlink" Target="https://advocacytasmania.org.au/news-updates/publications/" TargetMode="External"/><Relationship Id="rId62" Type="http://schemas.openxmlformats.org/officeDocument/2006/relationships/hyperlink" Target="https://www.disabilitycommissioner.tas.gov.au/about-us/meet-our-team/team-bios/catherine-whitington" TargetMode="External"/><Relationship Id="rId83" Type="http://schemas.openxmlformats.org/officeDocument/2006/relationships/hyperlink" Target="https://cotatas.org.au/information/resources/publication/finding-out-information-needs-of-older-tasmanians/" TargetMode="External"/><Relationship Id="rId88" Type="http://schemas.openxmlformats.org/officeDocument/2006/relationships/hyperlink" Target="https://advocacytasmania.org.au/what-we-do/about-us/" TargetMode="External"/><Relationship Id="rId111" Type="http://schemas.openxmlformats.org/officeDocument/2006/relationships/hyperlink" Target="https://ageingdisabilitycommission.nsw.gov.au/tools-and-resources/for-professionals/collaborative-hub/nsw-interagency-policy-for-preventing-abuse-of-older-people.html" TargetMode="External"/><Relationship Id="rId132" Type="http://schemas.openxmlformats.org/officeDocument/2006/relationships/hyperlink" Target="https://www.police.nsw.gov.au/safety_and_prevention/your_community/disability_and_disability_issues" TargetMode="External"/><Relationship Id="rId15" Type="http://schemas.openxmlformats.org/officeDocument/2006/relationships/hyperlink" Target="https://www.magistratescourt.tas.gov.au/coronerscourt/findings" TargetMode="External"/><Relationship Id="rId36" Type="http://schemas.openxmlformats.org/officeDocument/2006/relationships/hyperlink" Target="https://storymaps.arcgis.com/stories/e2f8d8beec4e4ebea179d8771f72f010" TargetMode="External"/><Relationship Id="rId57" Type="http://schemas.openxmlformats.org/officeDocument/2006/relationships/hyperlink" Target="https://www.dss.gov.au/national-plan-end-gender-based-violence/resource/national-plan-end-violence-against-women-and-children-2022-2032" TargetMode="External"/><Relationship Id="rId106" Type="http://schemas.openxmlformats.org/officeDocument/2006/relationships/hyperlink" Target="https://ageingdisabilitycommission.nsw.gov.au/about-us/policies/request-a-review-of-a-decision.html" TargetMode="External"/><Relationship Id="rId127" Type="http://schemas.openxmlformats.org/officeDocument/2006/relationships/hyperlink" Target="https://www.ag.gov.au/About/CommitteesandCouncils/Council-of-Attorneys-General/Documents/Council-of-Attorneys-General-communique-December-2017.pdf" TargetMode="External"/><Relationship Id="rId10" Type="http://schemas.openxmlformats.org/officeDocument/2006/relationships/hyperlink" Target="https://eaaa.org.au/wp-content/uploads/2025/02/Media-release-women-homelessness-Guardian-article-12022055.pdf" TargetMode="External"/><Relationship Id="rId31" Type="http://schemas.openxmlformats.org/officeDocument/2006/relationships/hyperlink" Target="https://www.abs.gov.au/statistics/health/disability/disability-ageing-and-carers-australia-summary-findings/latest-release" TargetMode="External"/><Relationship Id="rId52" Type="http://schemas.openxmlformats.org/officeDocument/2006/relationships/hyperlink" Target="https://www.safeathome.tas.gov.au/about-us" TargetMode="External"/><Relationship Id="rId73" Type="http://schemas.openxmlformats.org/officeDocument/2006/relationships/hyperlink" Target="https://www.commbank.com.au/support/preventing-financial-abuse-of-seniors/download-guide.html?ei=CTA-GuideSafeSavvy" TargetMode="External"/><Relationship Id="rId78" Type="http://schemas.openxmlformats.org/officeDocument/2006/relationships/hyperlink" Target="https://npm.tas.gov.au/" TargetMode="External"/><Relationship Id="rId94" Type="http://schemas.openxmlformats.org/officeDocument/2006/relationships/hyperlink" Target="https://cotatas.org.au/information/getting-help/free-legal-advice-for-older-tasmanians/" TargetMode="External"/><Relationship Id="rId99" Type="http://schemas.openxmlformats.org/officeDocument/2006/relationships/hyperlink" Target="https://www.carergateway.gov.au/help-and-support/caring-me/available-support-carers/tailored-support-packages" TargetMode="External"/><Relationship Id="rId101" Type="http://schemas.openxmlformats.org/officeDocument/2006/relationships/hyperlink" Target="https://www.justice.qld.gov.au/public-advocate/our-advocacy/justice-and-human-rights/adult-safeguarding-in-queensland2" TargetMode="External"/><Relationship Id="rId122" Type="http://schemas.openxmlformats.org/officeDocument/2006/relationships/hyperlink" Target="https://humanrights.gov.au/our-work/age-discrimination/publications/empowering-futures-report-enduring-powers-attorney-2024" TargetMode="External"/><Relationship Id="rId143" Type="http://schemas.openxmlformats.org/officeDocument/2006/relationships/hyperlink" Target="https://www.elderabuse.tas.gov.au/" TargetMode="External"/><Relationship Id="rId4" Type="http://schemas.openxmlformats.org/officeDocument/2006/relationships/hyperlink" Target="https://www.scie.org.uk/safeguarding/adults/introduction/what-is/" TargetMode="External"/><Relationship Id="rId9" Type="http://schemas.openxmlformats.org/officeDocument/2006/relationships/hyperlink" Target="https://www.theguardian.com/global/2025/jan/27/older-women-killed-by-family-members-a-silent-crisis-no-one-is-talking-about-experts-say-ntwnfb" TargetMode="External"/><Relationship Id="rId26" Type="http://schemas.openxmlformats.org/officeDocument/2006/relationships/hyperlink" Target="https://www.abs.gov.au/statistics/people/crime-and-justice/recorded-crime-victims/latest-release" TargetMode="External"/><Relationship Id="rId47" Type="http://schemas.openxmlformats.org/officeDocument/2006/relationships/hyperlink" Target="https://dhs.sa.gov.au/__data/assets/pdf_file/0003/179481/Know-your-rights-A-guide-to-the-rights-of-older-South-Australians.pdf" TargetMode="External"/><Relationship Id="rId68" Type="http://schemas.openxmlformats.org/officeDocument/2006/relationships/hyperlink" Target="https://www.ombudsman.tas.gov.au/about-us" TargetMode="External"/><Relationship Id="rId89" Type="http://schemas.openxmlformats.org/officeDocument/2006/relationships/hyperlink" Target="https://opan.org.au/" TargetMode="External"/><Relationship Id="rId112" Type="http://schemas.openxmlformats.org/officeDocument/2006/relationships/hyperlink" Target="https://www.commissionofinquiry.tas.gov.au/report" TargetMode="External"/><Relationship Id="rId133" Type="http://schemas.openxmlformats.org/officeDocument/2006/relationships/hyperlink" Target="https://www.compass.info/featured-articles/victorian-police-and-elder-abuse" TargetMode="External"/><Relationship Id="rId16" Type="http://schemas.openxmlformats.org/officeDocument/2006/relationships/hyperlink" Target="https://www.magistratescourt.tas.gov.au/about_us/publications/annual-report-2021-to-2022/annual-reports" TargetMode="External"/><Relationship Id="rId37" Type="http://schemas.openxmlformats.org/officeDocument/2006/relationships/hyperlink" Target="https://advocacytasmania.org.au/news-updates/publications/" TargetMode="External"/><Relationship Id="rId58" Type="http://schemas.openxmlformats.org/officeDocument/2006/relationships/hyperlink" Target="https://www.cpaaustralia.com.au/public-practice/public-practice-research/financial-abuse-of-older-people" TargetMode="External"/><Relationship Id="rId79" Type="http://schemas.openxmlformats.org/officeDocument/2006/relationships/hyperlink" Target="https://npm.tas.gov.au/about" TargetMode="External"/><Relationship Id="rId102" Type="http://schemas.openxmlformats.org/officeDocument/2006/relationships/hyperlink" Target="https://www.parliament.qld.gov.au/Work-of-Committees/Inquiries/Inquiry-Details?id=4455" TargetMode="External"/><Relationship Id="rId123" Type="http://schemas.openxmlformats.org/officeDocument/2006/relationships/hyperlink" Target="https://humanrights.gov.au/about/news/media-releases/new-report-recommends-australia-urgently-creates-nationally-consistent" TargetMode="External"/><Relationship Id="rId144" Type="http://schemas.openxmlformats.org/officeDocument/2006/relationships/hyperlink" Target="https://www.vic.gov.au/our-equal-state-victorias-gender-equality-strategy-and-action-plan-2023-2027/older-age/ending-gendered-violence-elder-abus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universitytasmania.sharepoint.com/sites/TLRI/Shared%20Documents/General/1.%20PROJECTS/Elder%20Abuse/Joy%20&amp;%20Don%20McBurnie%20Postdoctoral%20Fellowship/Rights%20interests%20abuse%20of%20older%20Tasmanians/Data/TLRI-analysis-Helpline-Senior-Assist.xls"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Pt>
            <c:idx val="0"/>
            <c:invertIfNegative val="0"/>
            <c:bubble3D val="0"/>
            <c:spPr>
              <a:solidFill>
                <a:schemeClr val="tx1">
                  <a:lumMod val="65000"/>
                  <a:lumOff val="35000"/>
                </a:schemeClr>
              </a:solidFill>
              <a:ln>
                <a:solidFill>
                  <a:schemeClr val="tx1">
                    <a:lumMod val="65000"/>
                    <a:lumOff val="35000"/>
                  </a:schemeClr>
                </a:solidFill>
              </a:ln>
              <a:effectLst/>
            </c:spPr>
            <c:extLst>
              <c:ext xmlns:c16="http://schemas.microsoft.com/office/drawing/2014/chart" uri="{C3380CC4-5D6E-409C-BE32-E72D297353CC}">
                <c16:uniqueId val="{00000000-6FD5-4286-B81F-8118DAD361F6}"/>
              </c:ext>
            </c:extLst>
          </c:dPt>
          <c:dLbls>
            <c:dLbl>
              <c:idx val="5"/>
              <c:delete val="1"/>
              <c:extLst>
                <c:ext xmlns:c15="http://schemas.microsoft.com/office/drawing/2012/chart" uri="{CE6537A1-D6FC-4f65-9D91-7224C49458BB}"/>
                <c:ext xmlns:c16="http://schemas.microsoft.com/office/drawing/2014/chart" uri="{C3380CC4-5D6E-409C-BE32-E72D297353CC}">
                  <c16:uniqueId val="{00000000-C275-4891-B3A2-72F6855FD4C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23'!$A$32:$A$37</c:f>
              <c:strCache>
                <c:ptCount val="6"/>
                <c:pt idx="0">
                  <c:v>Emotional</c:v>
                </c:pt>
                <c:pt idx="1">
                  <c:v>Financial</c:v>
                </c:pt>
                <c:pt idx="2">
                  <c:v>Social </c:v>
                </c:pt>
                <c:pt idx="3">
                  <c:v>Neglect</c:v>
                </c:pt>
                <c:pt idx="4">
                  <c:v>Physical </c:v>
                </c:pt>
                <c:pt idx="5">
                  <c:v>Sexual (n = 1)</c:v>
                </c:pt>
              </c:strCache>
            </c:strRef>
          </c:cat>
          <c:val>
            <c:numRef>
              <c:f>'[TLRI-analysis-Helpline-Senior-Assist.xlsx]Helpline 1 July 22 - 30 June 23'!$B$32:$B$37</c:f>
              <c:numCache>
                <c:formatCode>General</c:formatCode>
                <c:ptCount val="6"/>
                <c:pt idx="0">
                  <c:v>61.97</c:v>
                </c:pt>
                <c:pt idx="1">
                  <c:v>53.52</c:v>
                </c:pt>
                <c:pt idx="2">
                  <c:v>15.77</c:v>
                </c:pt>
                <c:pt idx="3">
                  <c:v>15.49</c:v>
                </c:pt>
                <c:pt idx="4">
                  <c:v>13.23</c:v>
                </c:pt>
                <c:pt idx="5">
                  <c:v>0.28000000000000003</c:v>
                </c:pt>
              </c:numCache>
            </c:numRef>
          </c:val>
          <c:extLst>
            <c:ext xmlns:c16="http://schemas.microsoft.com/office/drawing/2014/chart" uri="{C3380CC4-5D6E-409C-BE32-E72D297353CC}">
              <c16:uniqueId val="{00000001-C275-4891-B3A2-72F6855FD4C6}"/>
            </c:ext>
          </c:extLst>
        </c:ser>
        <c:dLbls>
          <c:showLegendKey val="0"/>
          <c:showVal val="0"/>
          <c:showCatName val="0"/>
          <c:showSerName val="0"/>
          <c:showPercent val="0"/>
          <c:showBubbleSize val="0"/>
        </c:dLbls>
        <c:gapWidth val="219"/>
        <c:overlap val="-27"/>
        <c:axId val="480522672"/>
        <c:axId val="480523152"/>
      </c:barChart>
      <c:catAx>
        <c:axId val="48052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80523152"/>
        <c:crosses val="autoZero"/>
        <c:auto val="1"/>
        <c:lblAlgn val="ctr"/>
        <c:lblOffset val="100"/>
        <c:noMultiLvlLbl val="0"/>
      </c:catAx>
      <c:valAx>
        <c:axId val="48052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48052267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23'!$A$56:$A$61</c:f>
              <c:strCache>
                <c:ptCount val="6"/>
                <c:pt idx="0">
                  <c:v>35-39</c:v>
                </c:pt>
                <c:pt idx="1">
                  <c:v>40-44</c:v>
                </c:pt>
                <c:pt idx="2">
                  <c:v>45-49</c:v>
                </c:pt>
                <c:pt idx="3">
                  <c:v>50-54</c:v>
                </c:pt>
                <c:pt idx="4">
                  <c:v>55-59</c:v>
                </c:pt>
                <c:pt idx="5">
                  <c:v>60-64</c:v>
                </c:pt>
              </c:strCache>
            </c:strRef>
          </c:cat>
          <c:val>
            <c:numRef>
              <c:f>'[TLRI-analysis-Helpline-Senior-Assist.xlsx]Helpline 1 July 22 - 30 June 23'!$B$56:$B$61</c:f>
              <c:numCache>
                <c:formatCode>General</c:formatCode>
                <c:ptCount val="6"/>
                <c:pt idx="0">
                  <c:v>9.7899999999999991</c:v>
                </c:pt>
                <c:pt idx="1">
                  <c:v>18.18</c:v>
                </c:pt>
                <c:pt idx="2">
                  <c:v>9.7899999999999991</c:v>
                </c:pt>
                <c:pt idx="3">
                  <c:v>18.88</c:v>
                </c:pt>
                <c:pt idx="4">
                  <c:v>26.57</c:v>
                </c:pt>
                <c:pt idx="5">
                  <c:v>16.78</c:v>
                </c:pt>
              </c:numCache>
            </c:numRef>
          </c:val>
          <c:extLst>
            <c:ext xmlns:c16="http://schemas.microsoft.com/office/drawing/2014/chart" uri="{C3380CC4-5D6E-409C-BE32-E72D297353CC}">
              <c16:uniqueId val="{00000000-0803-4A93-A9AD-664C1FB656F5}"/>
            </c:ext>
          </c:extLst>
        </c:ser>
        <c:dLbls>
          <c:showLegendKey val="0"/>
          <c:showVal val="0"/>
          <c:showCatName val="0"/>
          <c:showSerName val="0"/>
          <c:showPercent val="0"/>
          <c:showBubbleSize val="0"/>
        </c:dLbls>
        <c:gapWidth val="219"/>
        <c:overlap val="-27"/>
        <c:axId val="1004348735"/>
        <c:axId val="1004349695"/>
      </c:barChart>
      <c:catAx>
        <c:axId val="1004348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4349695"/>
        <c:crosses val="autoZero"/>
        <c:auto val="1"/>
        <c:lblAlgn val="ctr"/>
        <c:lblOffset val="100"/>
        <c:noMultiLvlLbl val="0"/>
      </c:catAx>
      <c:valAx>
        <c:axId val="100434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43487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69816272965873E-2"/>
          <c:y val="0.12058419243986254"/>
          <c:w val="0.90297462817147855"/>
          <c:h val="0.7553494601834565"/>
        </c:manualLayout>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23'!$A$65:$A$70</c:f>
              <c:strCache>
                <c:ptCount val="6"/>
                <c:pt idx="0">
                  <c:v>Son</c:v>
                </c:pt>
                <c:pt idx="1">
                  <c:v>Daughter</c:v>
                </c:pt>
                <c:pt idx="2">
                  <c:v>Friend</c:v>
                </c:pt>
                <c:pt idx="3">
                  <c:v>Neighbour or acquaintance </c:v>
                </c:pt>
                <c:pt idx="4">
                  <c:v>Partner male</c:v>
                </c:pt>
                <c:pt idx="5">
                  <c:v>Partner female </c:v>
                </c:pt>
              </c:strCache>
            </c:strRef>
          </c:cat>
          <c:val>
            <c:numRef>
              <c:f>'[TLRI-analysis-Helpline-Senior-Assist.xlsx]Helpline 1 July 22 - 30 June 23'!$B$65:$B$70</c:f>
              <c:numCache>
                <c:formatCode>General</c:formatCode>
                <c:ptCount val="6"/>
                <c:pt idx="0">
                  <c:v>28.41</c:v>
                </c:pt>
                <c:pt idx="1">
                  <c:v>23.48</c:v>
                </c:pt>
                <c:pt idx="2">
                  <c:v>7.95</c:v>
                </c:pt>
                <c:pt idx="3">
                  <c:v>7.95</c:v>
                </c:pt>
                <c:pt idx="4">
                  <c:v>7.58</c:v>
                </c:pt>
                <c:pt idx="5">
                  <c:v>6.44</c:v>
                </c:pt>
              </c:numCache>
            </c:numRef>
          </c:val>
          <c:extLst>
            <c:ext xmlns:c16="http://schemas.microsoft.com/office/drawing/2014/chart" uri="{C3380CC4-5D6E-409C-BE32-E72D297353CC}">
              <c16:uniqueId val="{00000000-A119-4325-BB01-3008C89F4897}"/>
            </c:ext>
          </c:extLst>
        </c:ser>
        <c:dLbls>
          <c:showLegendKey val="0"/>
          <c:showVal val="0"/>
          <c:showCatName val="0"/>
          <c:showSerName val="0"/>
          <c:showPercent val="0"/>
          <c:showBubbleSize val="0"/>
        </c:dLbls>
        <c:gapWidth val="219"/>
        <c:overlap val="-27"/>
        <c:axId val="1016154927"/>
        <c:axId val="1016153487"/>
      </c:barChart>
      <c:catAx>
        <c:axId val="1016154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16153487"/>
        <c:crosses val="autoZero"/>
        <c:auto val="1"/>
        <c:lblAlgn val="ctr"/>
        <c:lblOffset val="100"/>
        <c:noMultiLvlLbl val="0"/>
      </c:catAx>
      <c:valAx>
        <c:axId val="1016153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161549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833989501312337E-2"/>
          <c:y val="7.407407407407407E-2"/>
          <c:w val="0.90297462817147855"/>
          <c:h val="0.53617016622922131"/>
        </c:manualLayout>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'[TLRI-analysis-Helpline-Senior-Assist.xlsx]SeniorAssist 1 July - 31 Dec 23'!$A$106:$A$112</c:f>
              <c:strCache>
                <c:ptCount val="7"/>
                <c:pt idx="0">
                  <c:v>Psychological </c:v>
                </c:pt>
                <c:pt idx="1">
                  <c:v>Financial</c:v>
                </c:pt>
                <c:pt idx="2">
                  <c:v>Physical </c:v>
                </c:pt>
                <c:pt idx="3">
                  <c:v>Sexual </c:v>
                </c:pt>
                <c:pt idx="4">
                  <c:v>Neglect</c:v>
                </c:pt>
                <c:pt idx="5">
                  <c:v>Psychological and financial</c:v>
                </c:pt>
                <c:pt idx="6">
                  <c:v>Psychological and physical </c:v>
                </c:pt>
              </c:strCache>
            </c:strRef>
          </c:cat>
          <c:val>
            <c:numRef>
              <c:f>'[TLRI-analysis-Helpline-Senior-Assist.xlsx]SeniorAssist 1 July - 31 Dec 23'!$B$106:$B$112</c:f>
              <c:numCache>
                <c:formatCode>0.00</c:formatCode>
                <c:ptCount val="7"/>
                <c:pt idx="0">
                  <c:v>42.11</c:v>
                </c:pt>
                <c:pt idx="1">
                  <c:v>40.35</c:v>
                </c:pt>
                <c:pt idx="2">
                  <c:v>14.91</c:v>
                </c:pt>
                <c:pt idx="3">
                  <c:v>0.88</c:v>
                </c:pt>
                <c:pt idx="4">
                  <c:v>1.75</c:v>
                </c:pt>
                <c:pt idx="5">
                  <c:v>29.47</c:v>
                </c:pt>
                <c:pt idx="6">
                  <c:v>14.73</c:v>
                </c:pt>
              </c:numCache>
            </c:numRef>
          </c:val>
          <c:extLst>
            <c:ext xmlns:c16="http://schemas.microsoft.com/office/drawing/2014/chart" uri="{C3380CC4-5D6E-409C-BE32-E72D297353CC}">
              <c16:uniqueId val="{00000000-FB46-4402-9CC9-CCB640DAB8BA}"/>
            </c:ext>
          </c:extLst>
        </c:ser>
        <c:dLbls>
          <c:showLegendKey val="0"/>
          <c:showVal val="0"/>
          <c:showCatName val="0"/>
          <c:showSerName val="0"/>
          <c:showPercent val="0"/>
          <c:showBubbleSize val="0"/>
        </c:dLbls>
        <c:gapWidth val="219"/>
        <c:overlap val="-27"/>
        <c:axId val="144990367"/>
        <c:axId val="144998047"/>
      </c:barChart>
      <c:catAx>
        <c:axId val="14499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4998047"/>
        <c:crosses val="autoZero"/>
        <c:auto val="1"/>
        <c:lblAlgn val="ctr"/>
        <c:lblOffset val="100"/>
        <c:noMultiLvlLbl val="0"/>
      </c:catAx>
      <c:valAx>
        <c:axId val="1449980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49903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'[TLRI-analysis-Helpline-Senior-Assist.xlsx]SeniorAssist 1 July - 31 Dec 23'!$E$89:$E$97</c:f>
              <c:strCache>
                <c:ptCount val="9"/>
                <c:pt idx="0">
                  <c:v>Child</c:v>
                </c:pt>
                <c:pt idx="1">
                  <c:v>Spouse</c:v>
                </c:pt>
                <c:pt idx="2">
                  <c:v>Other family members</c:v>
                </c:pt>
                <c:pt idx="3">
                  <c:v>Carer</c:v>
                </c:pt>
                <c:pt idx="4">
                  <c:v>Retirement village</c:v>
                </c:pt>
                <c:pt idx="5">
                  <c:v>Ex-wife</c:v>
                </c:pt>
                <c:pt idx="6">
                  <c:v>Public trustee/guardian</c:v>
                </c:pt>
                <c:pt idx="7">
                  <c:v>Others </c:v>
                </c:pt>
                <c:pt idx="8">
                  <c:v>Data not collected/provided </c:v>
                </c:pt>
              </c:strCache>
            </c:strRef>
          </c:cat>
          <c:val>
            <c:numRef>
              <c:f>'[TLRI-analysis-Helpline-Senior-Assist.xlsx]SeniorAssist 1 July - 31 Dec 23'!$F$89:$F$97</c:f>
              <c:numCache>
                <c:formatCode>0.00</c:formatCode>
                <c:ptCount val="9"/>
                <c:pt idx="0">
                  <c:v>42.11</c:v>
                </c:pt>
                <c:pt idx="1">
                  <c:v>15.79</c:v>
                </c:pt>
                <c:pt idx="2">
                  <c:v>6.32</c:v>
                </c:pt>
                <c:pt idx="3">
                  <c:v>1.05</c:v>
                </c:pt>
                <c:pt idx="4">
                  <c:v>1.05</c:v>
                </c:pt>
                <c:pt idx="5">
                  <c:v>1.05</c:v>
                </c:pt>
                <c:pt idx="6">
                  <c:v>1.05</c:v>
                </c:pt>
                <c:pt idx="7">
                  <c:v>5.26</c:v>
                </c:pt>
                <c:pt idx="8">
                  <c:v>26.32</c:v>
                </c:pt>
              </c:numCache>
            </c:numRef>
          </c:val>
          <c:extLst>
            <c:ext xmlns:c16="http://schemas.microsoft.com/office/drawing/2014/chart" uri="{C3380CC4-5D6E-409C-BE32-E72D297353CC}">
              <c16:uniqueId val="{00000000-B424-48DE-8613-D1B1EE483F77}"/>
            </c:ext>
          </c:extLst>
        </c:ser>
        <c:dLbls>
          <c:showLegendKey val="0"/>
          <c:showVal val="0"/>
          <c:showCatName val="0"/>
          <c:showSerName val="0"/>
          <c:showPercent val="0"/>
          <c:showBubbleSize val="0"/>
        </c:dLbls>
        <c:gapWidth val="219"/>
        <c:overlap val="-27"/>
        <c:axId val="534805583"/>
        <c:axId val="534810383"/>
      </c:barChart>
      <c:catAx>
        <c:axId val="534805583"/>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534810383"/>
        <c:crosses val="autoZero"/>
        <c:auto val="1"/>
        <c:lblAlgn val="ctr"/>
        <c:lblOffset val="100"/>
        <c:noMultiLvlLbl val="0"/>
      </c:catAx>
      <c:valAx>
        <c:axId val="5348103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5348055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23'!$A$23:$A$28</c:f>
              <c:strCache>
                <c:ptCount val="6"/>
                <c:pt idx="0">
                  <c:v>65-69</c:v>
                </c:pt>
                <c:pt idx="1">
                  <c:v>70-74</c:v>
                </c:pt>
                <c:pt idx="2">
                  <c:v>75-79</c:v>
                </c:pt>
                <c:pt idx="3">
                  <c:v>80-84</c:v>
                </c:pt>
                <c:pt idx="4">
                  <c:v>85-90</c:v>
                </c:pt>
                <c:pt idx="5">
                  <c:v>90+</c:v>
                </c:pt>
              </c:strCache>
            </c:strRef>
          </c:cat>
          <c:val>
            <c:numRef>
              <c:f>'[TLRI-analysis-Helpline-Senior-Assist.xlsx]Helpline 1 July 22 - 30 June 23'!$B$23:$B$28</c:f>
              <c:numCache>
                <c:formatCode>General</c:formatCode>
                <c:ptCount val="6"/>
                <c:pt idx="0">
                  <c:v>8.9600000000000009</c:v>
                </c:pt>
                <c:pt idx="1">
                  <c:v>24.48</c:v>
                </c:pt>
                <c:pt idx="2">
                  <c:v>14.03</c:v>
                </c:pt>
                <c:pt idx="3">
                  <c:v>22.99</c:v>
                </c:pt>
                <c:pt idx="4">
                  <c:v>14.33</c:v>
                </c:pt>
                <c:pt idx="5">
                  <c:v>7.76</c:v>
                </c:pt>
              </c:numCache>
            </c:numRef>
          </c:val>
          <c:extLst>
            <c:ext xmlns:c16="http://schemas.microsoft.com/office/drawing/2014/chart" uri="{C3380CC4-5D6E-409C-BE32-E72D297353CC}">
              <c16:uniqueId val="{00000000-3F5C-4355-BF6C-3EC4BB393B03}"/>
            </c:ext>
          </c:extLst>
        </c:ser>
        <c:dLbls>
          <c:showLegendKey val="0"/>
          <c:showVal val="0"/>
          <c:showCatName val="0"/>
          <c:showSerName val="0"/>
          <c:showPercent val="0"/>
          <c:showBubbleSize val="0"/>
        </c:dLbls>
        <c:gapWidth val="219"/>
        <c:overlap val="-27"/>
        <c:axId val="1074055583"/>
        <c:axId val="1074056063"/>
      </c:barChart>
      <c:catAx>
        <c:axId val="1074055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74056063"/>
        <c:crosses val="autoZero"/>
        <c:auto val="1"/>
        <c:lblAlgn val="ctr"/>
        <c:lblOffset val="100"/>
        <c:noMultiLvlLbl val="0"/>
      </c:catAx>
      <c:valAx>
        <c:axId val="107405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740555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23'!$A$41:$A$48</c:f>
              <c:strCache>
                <c:ptCount val="8"/>
                <c:pt idx="0">
                  <c:v>Family conflict</c:v>
                </c:pt>
                <c:pt idx="1">
                  <c:v>Financial stress </c:v>
                </c:pt>
                <c:pt idx="2">
                  <c:v>Isolation</c:v>
                </c:pt>
                <c:pt idx="3">
                  <c:v>Care giving stress </c:v>
                </c:pt>
                <c:pt idx="4">
                  <c:v>Social isolation</c:v>
                </c:pt>
                <c:pt idx="5">
                  <c:v>Fear/intimidation</c:v>
                </c:pt>
                <c:pt idx="6">
                  <c:v>Mental illness/cognitive impairment</c:v>
                </c:pt>
                <c:pt idx="7">
                  <c:v>Physical dependence</c:v>
                </c:pt>
              </c:strCache>
            </c:strRef>
          </c:cat>
          <c:val>
            <c:numRef>
              <c:f>'[TLRI-analysis-Helpline-Senior-Assist.xlsx]Helpline 1 July 22 - 30 June 23'!$B$41:$B$48</c:f>
              <c:numCache>
                <c:formatCode>General</c:formatCode>
                <c:ptCount val="8"/>
                <c:pt idx="0">
                  <c:v>29.85</c:v>
                </c:pt>
                <c:pt idx="1">
                  <c:v>13.87</c:v>
                </c:pt>
                <c:pt idx="2">
                  <c:v>13.98</c:v>
                </c:pt>
                <c:pt idx="3">
                  <c:v>1.97</c:v>
                </c:pt>
                <c:pt idx="4">
                  <c:v>1.97</c:v>
                </c:pt>
                <c:pt idx="5">
                  <c:v>1.97</c:v>
                </c:pt>
                <c:pt idx="6">
                  <c:v>1.69</c:v>
                </c:pt>
                <c:pt idx="7">
                  <c:v>1.4</c:v>
                </c:pt>
              </c:numCache>
            </c:numRef>
          </c:val>
          <c:extLst>
            <c:ext xmlns:c16="http://schemas.microsoft.com/office/drawing/2014/chart" uri="{C3380CC4-5D6E-409C-BE32-E72D297353CC}">
              <c16:uniqueId val="{00000000-22AD-479C-9E33-545CA5EF13F7}"/>
            </c:ext>
          </c:extLst>
        </c:ser>
        <c:dLbls>
          <c:showLegendKey val="0"/>
          <c:showVal val="0"/>
          <c:showCatName val="0"/>
          <c:showSerName val="0"/>
          <c:showPercent val="0"/>
          <c:showBubbleSize val="0"/>
        </c:dLbls>
        <c:gapWidth val="219"/>
        <c:overlap val="-27"/>
        <c:axId val="1004114175"/>
        <c:axId val="1004115615"/>
      </c:barChart>
      <c:catAx>
        <c:axId val="1004114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4115615"/>
        <c:crosses val="autoZero"/>
        <c:auto val="1"/>
        <c:lblAlgn val="ctr"/>
        <c:lblOffset val="100"/>
        <c:noMultiLvlLbl val="0"/>
      </c:catAx>
      <c:valAx>
        <c:axId val="1004115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411417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'[TLRI-analysis-Helpline-Senior-Assist.xlsx]Helpline 1 July 22 - 30 June 23'!$B$4</c:f>
              <c:strCache>
                <c:ptCount val="1"/>
                <c:pt idx="0">
                  <c:v>%</c:v>
                </c:pt>
              </c:strCache>
            </c:strRef>
          </c:tx>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'[TLRI-analysis-Helpline-Senior-Assist.xlsx]Helpline 1 July 22 - 30 June 23'!$A$6:$A$10</c:f>
              <c:strCache>
                <c:ptCount val="5"/>
                <c:pt idx="0">
                  <c:v>Family member</c:v>
                </c:pt>
                <c:pt idx="1">
                  <c:v>Alleged victim (older person)</c:v>
                </c:pt>
                <c:pt idx="2">
                  <c:v>Friend</c:v>
                </c:pt>
                <c:pt idx="3">
                  <c:v>Service Provider</c:v>
                </c:pt>
                <c:pt idx="4">
                  <c:v>Medical Professional</c:v>
                </c:pt>
              </c:strCache>
            </c:strRef>
          </c:cat>
          <c:val>
            <c:numRef>
              <c:f>'[TLRI-analysis-Helpline-Senior-Assist.xlsx]Helpline 1 July 22 - 30 June 23'!$B$6:$B$10</c:f>
              <c:numCache>
                <c:formatCode>General</c:formatCode>
                <c:ptCount val="5"/>
                <c:pt idx="0">
                  <c:v>40.71</c:v>
                </c:pt>
                <c:pt idx="1">
                  <c:v>30.38</c:v>
                </c:pt>
                <c:pt idx="2">
                  <c:v>14.45</c:v>
                </c:pt>
                <c:pt idx="3">
                  <c:v>10.32</c:v>
                </c:pt>
                <c:pt idx="4">
                  <c:v>3.83</c:v>
                </c:pt>
              </c:numCache>
            </c:numRef>
          </c:val>
          <c:extLst>
            <c:ext xmlns:c16="http://schemas.microsoft.com/office/drawing/2014/chart" uri="{C3380CC4-5D6E-409C-BE32-E72D297353CC}">
              <c16:uniqueId val="{00000000-BA1F-4E7D-9EF7-79D5E7455D89}"/>
            </c:ext>
          </c:extLst>
        </c:ser>
        <c:dLbls>
          <c:showLegendKey val="0"/>
          <c:showVal val="0"/>
          <c:showCatName val="0"/>
          <c:showSerName val="0"/>
          <c:showPercent val="0"/>
          <c:showBubbleSize val="0"/>
        </c:dLbls>
        <c:gapWidth val="219"/>
        <c:overlap val="-27"/>
        <c:axId val="1127880927"/>
        <c:axId val="1127879007"/>
      </c:barChart>
      <c:catAx>
        <c:axId val="1127880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127879007"/>
        <c:crosses val="autoZero"/>
        <c:auto val="1"/>
        <c:lblAlgn val="ctr"/>
        <c:lblOffset val="100"/>
        <c:noMultiLvlLbl val="0"/>
      </c:catAx>
      <c:valAx>
        <c:axId val="1127879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12788092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solidFill>
                <a:schemeClr val="tx1">
                  <a:lumMod val="65000"/>
                  <a:lumOff val="3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'[TLRI-analysis-Helpline-Senior-Assist.xlsx]SeniorAssist 1 July - 31 Dec 23'!$E$28:$E$36</c:f>
              <c:strCache>
                <c:ptCount val="9"/>
                <c:pt idx="0">
                  <c:v>55-59</c:v>
                </c:pt>
                <c:pt idx="1">
                  <c:v>60-64</c:v>
                </c:pt>
                <c:pt idx="2">
                  <c:v>65-69</c:v>
                </c:pt>
                <c:pt idx="3">
                  <c:v>70-74</c:v>
                </c:pt>
                <c:pt idx="4">
                  <c:v>75-79</c:v>
                </c:pt>
                <c:pt idx="5">
                  <c:v>80-84</c:v>
                </c:pt>
                <c:pt idx="6">
                  <c:v>85-90</c:v>
                </c:pt>
                <c:pt idx="7">
                  <c:v>90-94</c:v>
                </c:pt>
                <c:pt idx="8">
                  <c:v>95-99</c:v>
                </c:pt>
              </c:strCache>
            </c:strRef>
          </c:cat>
          <c:val>
            <c:numRef>
              <c:f>'[TLRI-analysis-Helpline-Senior-Assist.xlsx]SeniorAssist 1 July - 31 Dec 23'!$F$28:$F$36</c:f>
              <c:numCache>
                <c:formatCode>0.00</c:formatCode>
                <c:ptCount val="9"/>
                <c:pt idx="0">
                  <c:v>1.0416666666666665</c:v>
                </c:pt>
                <c:pt idx="1">
                  <c:v>1.0416666666666665</c:v>
                </c:pt>
                <c:pt idx="2">
                  <c:v>17.708333333333336</c:v>
                </c:pt>
                <c:pt idx="3">
                  <c:v>28.125</c:v>
                </c:pt>
                <c:pt idx="4">
                  <c:v>23.958333333333336</c:v>
                </c:pt>
                <c:pt idx="5">
                  <c:v>12.5</c:v>
                </c:pt>
                <c:pt idx="6">
                  <c:v>11.458333333333332</c:v>
                </c:pt>
                <c:pt idx="7">
                  <c:v>2.083333333333333</c:v>
                </c:pt>
                <c:pt idx="8">
                  <c:v>2.083333333333333</c:v>
                </c:pt>
              </c:numCache>
            </c:numRef>
          </c:val>
          <c:extLst>
            <c:ext xmlns:c16="http://schemas.microsoft.com/office/drawing/2014/chart" uri="{C3380CC4-5D6E-409C-BE32-E72D297353CC}">
              <c16:uniqueId val="{00000000-B6B6-4CE3-9F2B-6088B11EA358}"/>
            </c:ext>
          </c:extLst>
        </c:ser>
        <c:dLbls>
          <c:showLegendKey val="0"/>
          <c:showVal val="0"/>
          <c:showCatName val="0"/>
          <c:showSerName val="0"/>
          <c:showPercent val="0"/>
          <c:showBubbleSize val="0"/>
        </c:dLbls>
        <c:gapWidth val="219"/>
        <c:overlap val="-27"/>
        <c:axId val="1480291839"/>
        <c:axId val="1480287999"/>
      </c:barChart>
      <c:catAx>
        <c:axId val="1480291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80287999"/>
        <c:crosses val="autoZero"/>
        <c:auto val="1"/>
        <c:lblAlgn val="ctr"/>
        <c:lblOffset val="100"/>
        <c:noMultiLvlLbl val="0"/>
      </c:catAx>
      <c:valAx>
        <c:axId val="14802879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48029183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268b07-6a93-4430-b1e4-2f0a09f56242">
      <Terms xmlns="http://schemas.microsoft.com/office/infopath/2007/PartnerControls"/>
    </lcf76f155ced4ddcb4097134ff3c332f>
    <TaxCatchAll xmlns="2d221494-178b-4357-bea6-3a87c5967e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8" ma:contentTypeDescription="Create a new document." ma:contentTypeScope="" ma:versionID="de4907247de424bc20017513f59d58e5">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5fc7203e0bbc7efe430395092fd63c8"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64ADD-9751-4C06-9FCC-B941486EF300}">
  <ds:schemaRefs>
    <ds:schemaRef ds:uri="http://schemas.microsoft.com/sharepoint/v3/contenttype/forms"/>
  </ds:schemaRefs>
</ds:datastoreItem>
</file>

<file path=customXml/itemProps2.xml><?xml version="1.0" encoding="utf-8"?>
<ds:datastoreItem xmlns:ds="http://schemas.openxmlformats.org/officeDocument/2006/customXml" ds:itemID="{76D3D768-427A-4707-91DC-923CCDADF451}">
  <ds:schemaRefs>
    <ds:schemaRef ds:uri="http://schemas.microsoft.com/office/2006/metadata/properties"/>
    <ds:schemaRef ds:uri="http://schemas.microsoft.com/office/infopath/2007/PartnerControls"/>
    <ds:schemaRef ds:uri="ff268b07-6a93-4430-b1e4-2f0a09f56242"/>
    <ds:schemaRef ds:uri="2d221494-178b-4357-bea6-3a87c5967eb4"/>
  </ds:schemaRefs>
</ds:datastoreItem>
</file>

<file path=customXml/itemProps3.xml><?xml version="1.0" encoding="utf-8"?>
<ds:datastoreItem xmlns:ds="http://schemas.openxmlformats.org/officeDocument/2006/customXml" ds:itemID="{9BB91670-E715-491F-B398-4E6C7D6A4AA8}">
  <ds:schemaRefs>
    <ds:schemaRef ds:uri="http://schemas.openxmlformats.org/officeDocument/2006/bibliography"/>
  </ds:schemaRefs>
</ds:datastoreItem>
</file>

<file path=customXml/itemProps4.xml><?xml version="1.0" encoding="utf-8"?>
<ds:datastoreItem xmlns:ds="http://schemas.openxmlformats.org/officeDocument/2006/customXml" ds:itemID="{DAF33EC9-3D41-42F0-B80C-0DCCEA14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234</Pages>
  <Words>84611</Words>
  <Characters>468748</Characters>
  <Application>Microsoft Office Word</Application>
  <DocSecurity>8</DocSecurity>
  <Lines>9374</Lines>
  <Paragraphs>3313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550046</CharactersWithSpaces>
  <SharedDoc>false</SharedDoc>
  <HLinks>
    <vt:vector size="852" baseType="variant">
      <vt:variant>
        <vt:i4>1048643</vt:i4>
      </vt:variant>
      <vt:variant>
        <vt:i4>423</vt:i4>
      </vt:variant>
      <vt:variant>
        <vt:i4>0</vt:i4>
      </vt:variant>
      <vt:variant>
        <vt:i4>5</vt:i4>
      </vt:variant>
      <vt:variant>
        <vt:lpwstr>https://www.wa.gov.au/government/publications/wa-strategy-respond-the-abuse-of-older-people-elder-abuse-2019-2029</vt:lpwstr>
      </vt:variant>
      <vt:variant>
        <vt:lpwstr/>
      </vt:variant>
      <vt:variant>
        <vt:i4>2097259</vt:i4>
      </vt:variant>
      <vt:variant>
        <vt:i4>420</vt:i4>
      </vt:variant>
      <vt:variant>
        <vt:i4>0</vt:i4>
      </vt:variant>
      <vt:variant>
        <vt:i4>5</vt:i4>
      </vt:variant>
      <vt:variant>
        <vt:lpwstr>https://www.vic.gov.au/our-equal-state-victorias-gender-equality-strategy-and-action-plan-2023-2027/older-age/ending-gendered-violence-elder-abuse</vt:lpwstr>
      </vt:variant>
      <vt:variant>
        <vt:lpwstr/>
      </vt:variant>
      <vt:variant>
        <vt:i4>6815863</vt:i4>
      </vt:variant>
      <vt:variant>
        <vt:i4>417</vt:i4>
      </vt:variant>
      <vt:variant>
        <vt:i4>0</vt:i4>
      </vt:variant>
      <vt:variant>
        <vt:i4>5</vt:i4>
      </vt:variant>
      <vt:variant>
        <vt:lpwstr>https://www.elderabuse.tas.gov.au/</vt:lpwstr>
      </vt:variant>
      <vt:variant>
        <vt:lpwstr/>
      </vt:variant>
      <vt:variant>
        <vt:i4>6291535</vt:i4>
      </vt:variant>
      <vt:variant>
        <vt:i4>414</vt:i4>
      </vt:variant>
      <vt:variant>
        <vt:i4>0</vt:i4>
      </vt:variant>
      <vt:variant>
        <vt:i4>5</vt:i4>
      </vt:variant>
      <vt:variant>
        <vt:lpwstr>https://aifs.gov.au/research_programs/elder-abuse-research/LBGTIQA</vt:lpwstr>
      </vt:variant>
      <vt:variant>
        <vt:lpwstr/>
      </vt:variant>
      <vt:variant>
        <vt:i4>1441869</vt:i4>
      </vt:variant>
      <vt:variant>
        <vt:i4>411</vt:i4>
      </vt:variant>
      <vt:variant>
        <vt:i4>0</vt:i4>
      </vt:variant>
      <vt:variant>
        <vt:i4>5</vt:i4>
      </vt:variant>
      <vt:variant>
        <vt:lpwstr>https://humanrights.gov.au/about/news/robert-fitzgerald-commences-age-discrimination-commissioner</vt:lpwstr>
      </vt:variant>
      <vt:variant>
        <vt:lpwstr/>
      </vt:variant>
      <vt:variant>
        <vt:i4>3080312</vt:i4>
      </vt:variant>
      <vt:variant>
        <vt:i4>408</vt:i4>
      </vt:variant>
      <vt:variant>
        <vt:i4>0</vt:i4>
      </vt:variant>
      <vt:variant>
        <vt:i4>5</vt:i4>
      </vt:variant>
      <vt:variant>
        <vt:lpwstr>https://www.compass.info/about/</vt:lpwstr>
      </vt:variant>
      <vt:variant>
        <vt:lpwstr>section-our-mission </vt:lpwstr>
      </vt:variant>
      <vt:variant>
        <vt:i4>1966156</vt:i4>
      </vt:variant>
      <vt:variant>
        <vt:i4>405</vt:i4>
      </vt:variant>
      <vt:variant>
        <vt:i4>0</vt:i4>
      </vt:variant>
      <vt:variant>
        <vt:i4>5</vt:i4>
      </vt:variant>
      <vt:variant>
        <vt:lpwstr>https://eaaa.org.au/about-us/</vt:lpwstr>
      </vt:variant>
      <vt:variant>
        <vt:lpwstr/>
      </vt:variant>
      <vt:variant>
        <vt:i4>393301</vt:i4>
      </vt:variant>
      <vt:variant>
        <vt:i4>402</vt:i4>
      </vt:variant>
      <vt:variant>
        <vt:i4>0</vt:i4>
      </vt:variant>
      <vt:variant>
        <vt:i4>5</vt:i4>
      </vt:variant>
      <vt:variant>
        <vt:lpwstr>https://www.justice.tas.gov.au/carcru/witness-intermediary-scheme</vt:lpwstr>
      </vt:variant>
      <vt:variant>
        <vt:lpwstr/>
      </vt:variant>
      <vt:variant>
        <vt:i4>2818107</vt:i4>
      </vt:variant>
      <vt:variant>
        <vt:i4>399</vt:i4>
      </vt:variant>
      <vt:variant>
        <vt:i4>0</vt:i4>
      </vt:variant>
      <vt:variant>
        <vt:i4>5</vt:i4>
      </vt:variant>
      <vt:variant>
        <vt:lpwstr>https://www.justice.tas.gov.au/carcru/tasmanian-response-to-the-royal-commission/news/news-items/witness-intermediary-scheme-pilot-12-month-evaluation-report-released</vt:lpwstr>
      </vt:variant>
      <vt:variant>
        <vt:lpwstr/>
      </vt:variant>
      <vt:variant>
        <vt:i4>2818107</vt:i4>
      </vt:variant>
      <vt:variant>
        <vt:i4>396</vt:i4>
      </vt:variant>
      <vt:variant>
        <vt:i4>0</vt:i4>
      </vt:variant>
      <vt:variant>
        <vt:i4>5</vt:i4>
      </vt:variant>
      <vt:variant>
        <vt:lpwstr>https://www.justice.tas.gov.au/carcru/tasmanian-response-to-the-royal-commission/news/news-items/witness-intermediary-scheme-pilot-12-month-evaluation-report-released</vt:lpwstr>
      </vt:variant>
      <vt:variant>
        <vt:lpwstr/>
      </vt:variant>
      <vt:variant>
        <vt:i4>4194376</vt:i4>
      </vt:variant>
      <vt:variant>
        <vt:i4>393</vt:i4>
      </vt:variant>
      <vt:variant>
        <vt:i4>0</vt:i4>
      </vt:variant>
      <vt:variant>
        <vt:i4>5</vt:i4>
      </vt:variant>
      <vt:variant>
        <vt:lpwstr>https://www.thesenior.com.au/story/8813553/victoria-police-tackle-elder-abuse-with-new-aged-care-initiative/</vt:lpwstr>
      </vt:variant>
      <vt:variant>
        <vt:lpwstr/>
      </vt:variant>
      <vt:variant>
        <vt:i4>1769552</vt:i4>
      </vt:variant>
      <vt:variant>
        <vt:i4>390</vt:i4>
      </vt:variant>
      <vt:variant>
        <vt:i4>0</vt:i4>
      </vt:variant>
      <vt:variant>
        <vt:i4>5</vt:i4>
      </vt:variant>
      <vt:variant>
        <vt:lpwstr>https://www.compass.info/featured-articles/victorian-police-and-elder-abuse</vt:lpwstr>
      </vt:variant>
      <vt:variant>
        <vt:lpwstr>victoria-police-act-against-elder-abuse</vt:lpwstr>
      </vt:variant>
      <vt:variant>
        <vt:i4>2752574</vt:i4>
      </vt:variant>
      <vt:variant>
        <vt:i4>387</vt:i4>
      </vt:variant>
      <vt:variant>
        <vt:i4>0</vt:i4>
      </vt:variant>
      <vt:variant>
        <vt:i4>5</vt:i4>
      </vt:variant>
      <vt:variant>
        <vt:lpwstr>https://www.police.nsw.gov.au/safety_and_prevention/your_community/disability_and_disability_issues</vt:lpwstr>
      </vt:variant>
      <vt:variant>
        <vt:lpwstr/>
      </vt:variant>
      <vt:variant>
        <vt:i4>1966156</vt:i4>
      </vt:variant>
      <vt:variant>
        <vt:i4>384</vt:i4>
      </vt:variant>
      <vt:variant>
        <vt:i4>0</vt:i4>
      </vt:variant>
      <vt:variant>
        <vt:i4>5</vt:i4>
      </vt:variant>
      <vt:variant>
        <vt:lpwstr>https://www.compass.info/resources/resource/nsw-police-aged-crime-prevention-officers-factsheet/</vt:lpwstr>
      </vt:variant>
      <vt:variant>
        <vt:lpwstr/>
      </vt:variant>
      <vt:variant>
        <vt:i4>6946864</vt:i4>
      </vt:variant>
      <vt:variant>
        <vt:i4>381</vt:i4>
      </vt:variant>
      <vt:variant>
        <vt:i4>0</vt:i4>
      </vt:variant>
      <vt:variant>
        <vt:i4>5</vt:i4>
      </vt:variant>
      <vt:variant>
        <vt:lpwstr>https://ageingdisabilitycommission.nsw.gov.au/about-us/reporting/voluntary-assisted-dying.html</vt:lpwstr>
      </vt:variant>
      <vt:variant>
        <vt:lpwstr/>
      </vt:variant>
      <vt:variant>
        <vt:i4>4128879</vt:i4>
      </vt:variant>
      <vt:variant>
        <vt:i4>378</vt:i4>
      </vt:variant>
      <vt:variant>
        <vt:i4>0</vt:i4>
      </vt:variant>
      <vt:variant>
        <vt:i4>5</vt:i4>
      </vt:variant>
      <vt:variant>
        <vt:lpwstr>https://www.ag.gov.au/About/CommitteesandCouncils/Council-of-Attorneys-General/Documents/Council-of-Attorneys-General-communique-December-2017.pdf</vt:lpwstr>
      </vt:variant>
      <vt:variant>
        <vt:lpwstr/>
      </vt:variant>
      <vt:variant>
        <vt:i4>3866735</vt:i4>
      </vt:variant>
      <vt:variant>
        <vt:i4>375</vt:i4>
      </vt:variant>
      <vt:variant>
        <vt:i4>0</vt:i4>
      </vt:variant>
      <vt:variant>
        <vt:i4>5</vt:i4>
      </vt:variant>
      <vt:variant>
        <vt:lpwstr>https://www.ag.gov.au/About/CommitteesandCouncils/Council-of-Attorneys-General/Documents/Council-of-Attorneys-General-communique-June-2018.pdf</vt:lpwstr>
      </vt:variant>
      <vt:variant>
        <vt:lpwstr/>
      </vt:variant>
      <vt:variant>
        <vt:i4>4128879</vt:i4>
      </vt:variant>
      <vt:variant>
        <vt:i4>372</vt:i4>
      </vt:variant>
      <vt:variant>
        <vt:i4>0</vt:i4>
      </vt:variant>
      <vt:variant>
        <vt:i4>5</vt:i4>
      </vt:variant>
      <vt:variant>
        <vt:lpwstr>https://www.ag.gov.au/About/CommitteesandCouncils/Council-of-Attorneys-General/Documents/Council-of-Attorneys-General-communique-December-2017.pdf</vt:lpwstr>
      </vt:variant>
      <vt:variant>
        <vt:lpwstr/>
      </vt:variant>
      <vt:variant>
        <vt:i4>3866735</vt:i4>
      </vt:variant>
      <vt:variant>
        <vt:i4>369</vt:i4>
      </vt:variant>
      <vt:variant>
        <vt:i4>0</vt:i4>
      </vt:variant>
      <vt:variant>
        <vt:i4>5</vt:i4>
      </vt:variant>
      <vt:variant>
        <vt:lpwstr>https://www.ag.gov.au/About/CommitteesandCouncils/Council-of-Attorneys-General/Documents/Council-of-Attorneys-General-communique-June-2018.pdf</vt:lpwstr>
      </vt:variant>
      <vt:variant>
        <vt:lpwstr/>
      </vt:variant>
      <vt:variant>
        <vt:i4>2687022</vt:i4>
      </vt:variant>
      <vt:variant>
        <vt:i4>366</vt:i4>
      </vt:variant>
      <vt:variant>
        <vt:i4>0</vt:i4>
      </vt:variant>
      <vt:variant>
        <vt:i4>5</vt:i4>
      </vt:variant>
      <vt:variant>
        <vt:lpwstr>https://consultations.ag.gov.au/families-and-marriage/epoa/</vt:lpwstr>
      </vt:variant>
      <vt:variant>
        <vt:lpwstr/>
      </vt:variant>
      <vt:variant>
        <vt:i4>1769485</vt:i4>
      </vt:variant>
      <vt:variant>
        <vt:i4>363</vt:i4>
      </vt:variant>
      <vt:variant>
        <vt:i4>0</vt:i4>
      </vt:variant>
      <vt:variant>
        <vt:i4>5</vt:i4>
      </vt:variant>
      <vt:variant>
        <vt:lpwstr>https://ageingdisabilitycommission.nsw.gov.au/reports-and-submissions/annual-reports.html</vt:lpwstr>
      </vt:variant>
      <vt:variant>
        <vt:lpwstr/>
      </vt:variant>
      <vt:variant>
        <vt:i4>2818163</vt:i4>
      </vt:variant>
      <vt:variant>
        <vt:i4>360</vt:i4>
      </vt:variant>
      <vt:variant>
        <vt:i4>0</vt:i4>
      </vt:variant>
      <vt:variant>
        <vt:i4>5</vt:i4>
      </vt:variant>
      <vt:variant>
        <vt:lpwstr>https://humanrights.gov.au/about/news/media-releases/new-report-recommends-australia-urgently-creates-nationally-consistent</vt:lpwstr>
      </vt:variant>
      <vt:variant>
        <vt:lpwstr/>
      </vt:variant>
      <vt:variant>
        <vt:i4>3866669</vt:i4>
      </vt:variant>
      <vt:variant>
        <vt:i4>357</vt:i4>
      </vt:variant>
      <vt:variant>
        <vt:i4>0</vt:i4>
      </vt:variant>
      <vt:variant>
        <vt:i4>5</vt:i4>
      </vt:variant>
      <vt:variant>
        <vt:lpwstr>https://humanrights.gov.au/our-work/age-discrimination/publications/empowering-futures-report-enduring-powers-attorney-2024</vt:lpwstr>
      </vt:variant>
      <vt:variant>
        <vt:lpwstr/>
      </vt:variant>
      <vt:variant>
        <vt:i4>3342437</vt:i4>
      </vt:variant>
      <vt:variant>
        <vt:i4>354</vt:i4>
      </vt:variant>
      <vt:variant>
        <vt:i4>0</vt:i4>
      </vt:variant>
      <vt:variant>
        <vt:i4>5</vt:i4>
      </vt:variant>
      <vt:variant>
        <vt:lpwstr>https://www.qlrc.qld.gov.au/reviews/non-fatal-strangulation</vt:lpwstr>
      </vt:variant>
      <vt:variant>
        <vt:lpwstr/>
      </vt:variant>
      <vt:variant>
        <vt:i4>4915203</vt:i4>
      </vt:variant>
      <vt:variant>
        <vt:i4>351</vt:i4>
      </vt:variant>
      <vt:variant>
        <vt:i4>0</vt:i4>
      </vt:variant>
      <vt:variant>
        <vt:i4>5</vt:i4>
      </vt:variant>
      <vt:variant>
        <vt:lpwstr>https://yoursayconversations.act.gov.au/review-laws-protect-vulnerable-canberrans</vt:lpwstr>
      </vt:variant>
      <vt:variant>
        <vt:lpwstr/>
      </vt:variant>
      <vt:variant>
        <vt:i4>852047</vt:i4>
      </vt:variant>
      <vt:variant>
        <vt:i4>348</vt:i4>
      </vt:variant>
      <vt:variant>
        <vt:i4>0</vt:i4>
      </vt:variant>
      <vt:variant>
        <vt:i4>5</vt:i4>
      </vt:variant>
      <vt:variant>
        <vt:lpwstr>https://www.parliament.nsw.gov.au/committees/inquiries/Pages/inquiry-details.aspx?pk=2387</vt:lpwstr>
      </vt:variant>
      <vt:variant>
        <vt:lpwstr>tab-reportsandgovernmentresponses</vt:lpwstr>
      </vt:variant>
      <vt:variant>
        <vt:i4>6619169</vt:i4>
      </vt:variant>
      <vt:variant>
        <vt:i4>345</vt:i4>
      </vt:variant>
      <vt:variant>
        <vt:i4>0</vt:i4>
      </vt:variant>
      <vt:variant>
        <vt:i4>5</vt:i4>
      </vt:variant>
      <vt:variant>
        <vt:lpwstr>https://www.safeathome.tas.gov.au/about-us</vt:lpwstr>
      </vt:variant>
      <vt:variant>
        <vt:lpwstr>Integrated-Case-Coordination</vt:lpwstr>
      </vt:variant>
      <vt:variant>
        <vt:i4>4259842</vt:i4>
      </vt:variant>
      <vt:variant>
        <vt:i4>342</vt:i4>
      </vt:variant>
      <vt:variant>
        <vt:i4>0</vt:i4>
      </vt:variant>
      <vt:variant>
        <vt:i4>5</vt:i4>
      </vt:variant>
      <vt:variant>
        <vt:lpwstr>https://www.safeathome.tas.gov.au/about-us</vt:lpwstr>
      </vt:variant>
      <vt:variant>
        <vt:lpwstr>Safety-Planning-and-Risk-Assessment</vt:lpwstr>
      </vt:variant>
      <vt:variant>
        <vt:i4>5046339</vt:i4>
      </vt:variant>
      <vt:variant>
        <vt:i4>339</vt:i4>
      </vt:variant>
      <vt:variant>
        <vt:i4>0</vt:i4>
      </vt:variant>
      <vt:variant>
        <vt:i4>5</vt:i4>
      </vt:variant>
      <vt:variant>
        <vt:lpwstr>https://www.aph.gov.au/Parliamentary_Business/Committees/House/Social_Policy_and_Legal_Affairs/Familyviolenceorders/Inquiry_into_family_violence_orders/Chapter_2_-_Better_protecting_victim-survivors_with_family_violence_orders</vt:lpwstr>
      </vt:variant>
      <vt:variant>
        <vt:lpwstr/>
      </vt:variant>
      <vt:variant>
        <vt:i4>7274555</vt:i4>
      </vt:variant>
      <vt:variant>
        <vt:i4>336</vt:i4>
      </vt:variant>
      <vt:variant>
        <vt:i4>0</vt:i4>
      </vt:variant>
      <vt:variant>
        <vt:i4>5</vt:i4>
      </vt:variant>
      <vt:variant>
        <vt:lpwstr>https://www.aihw.gov.au/family-domestic-and-sexual-violence/types-of-violence/family-domestic-violence</vt:lpwstr>
      </vt:variant>
      <vt:variant>
        <vt:lpwstr/>
      </vt:variant>
      <vt:variant>
        <vt:i4>7995499</vt:i4>
      </vt:variant>
      <vt:variant>
        <vt:i4>333</vt:i4>
      </vt:variant>
      <vt:variant>
        <vt:i4>0</vt:i4>
      </vt:variant>
      <vt:variant>
        <vt:i4>5</vt:i4>
      </vt:variant>
      <vt:variant>
        <vt:lpwstr>https://www.hrc.act.gov.au/advocacy</vt:lpwstr>
      </vt:variant>
      <vt:variant>
        <vt:lpwstr/>
      </vt:variant>
      <vt:variant>
        <vt:i4>2949162</vt:i4>
      </vt:variant>
      <vt:variant>
        <vt:i4>330</vt:i4>
      </vt:variant>
      <vt:variant>
        <vt:i4>0</vt:i4>
      </vt:variant>
      <vt:variant>
        <vt:i4>5</vt:i4>
      </vt:variant>
      <vt:variant>
        <vt:lpwstr>https://oir.tas.gov.au/</vt:lpwstr>
      </vt:variant>
      <vt:variant>
        <vt:lpwstr/>
      </vt:variant>
      <vt:variant>
        <vt:i4>1310734</vt:i4>
      </vt:variant>
      <vt:variant>
        <vt:i4>327</vt:i4>
      </vt:variant>
      <vt:variant>
        <vt:i4>0</vt:i4>
      </vt:variant>
      <vt:variant>
        <vt:i4>5</vt:i4>
      </vt:variant>
      <vt:variant>
        <vt:lpwstr>https://www.commissionofinquiry.tas.gov.au/report</vt:lpwstr>
      </vt:variant>
      <vt:variant>
        <vt:lpwstr/>
      </vt:variant>
      <vt:variant>
        <vt:i4>3407972</vt:i4>
      </vt:variant>
      <vt:variant>
        <vt:i4>324</vt:i4>
      </vt:variant>
      <vt:variant>
        <vt:i4>0</vt:i4>
      </vt:variant>
      <vt:variant>
        <vt:i4>5</vt:i4>
      </vt:variant>
      <vt:variant>
        <vt:lpwstr>https://ageingdisabilitycommission.nsw.gov.au/tools-and-resources/for-professionals/collaborative-hub/nsw-interagency-policy-for-preventing-abuse-of-older-people.html</vt:lpwstr>
      </vt:variant>
      <vt:variant>
        <vt:lpwstr/>
      </vt:variant>
      <vt:variant>
        <vt:i4>5898312</vt:i4>
      </vt:variant>
      <vt:variant>
        <vt:i4>321</vt:i4>
      </vt:variant>
      <vt:variant>
        <vt:i4>0</vt:i4>
      </vt:variant>
      <vt:variant>
        <vt:i4>5</vt:i4>
      </vt:variant>
      <vt:variant>
        <vt:lpwstr>https://ageingdisabilitycommission.nsw.gov.au/tools-and-resources/dashboard-data.html</vt:lpwstr>
      </vt:variant>
      <vt:variant>
        <vt:lpwstr/>
      </vt:variant>
      <vt:variant>
        <vt:i4>721006</vt:i4>
      </vt:variant>
      <vt:variant>
        <vt:i4>318</vt:i4>
      </vt:variant>
      <vt:variant>
        <vt:i4>0</vt:i4>
      </vt:variant>
      <vt:variant>
        <vt:i4>5</vt:i4>
      </vt:variant>
      <vt:variant>
        <vt:lpwstr>https://ageingdisabilitycommission.nsw.gov.au/documents/reports-and-submissions/ADC_Five_Year_Summary_Report_Card_Older_People_2019_-2024.pdf</vt:lpwstr>
      </vt:variant>
      <vt:variant>
        <vt:lpwstr/>
      </vt:variant>
      <vt:variant>
        <vt:i4>5898312</vt:i4>
      </vt:variant>
      <vt:variant>
        <vt:i4>315</vt:i4>
      </vt:variant>
      <vt:variant>
        <vt:i4>0</vt:i4>
      </vt:variant>
      <vt:variant>
        <vt:i4>5</vt:i4>
      </vt:variant>
      <vt:variant>
        <vt:lpwstr>https://ageingdisabilitycommission.nsw.gov.au/tools-and-resources/dashboard-data.html</vt:lpwstr>
      </vt:variant>
      <vt:variant>
        <vt:lpwstr/>
      </vt:variant>
      <vt:variant>
        <vt:i4>5898312</vt:i4>
      </vt:variant>
      <vt:variant>
        <vt:i4>312</vt:i4>
      </vt:variant>
      <vt:variant>
        <vt:i4>0</vt:i4>
      </vt:variant>
      <vt:variant>
        <vt:i4>5</vt:i4>
      </vt:variant>
      <vt:variant>
        <vt:lpwstr>https://ageingdisabilitycommission.nsw.gov.au/tools-and-resources/dashboard-data.html</vt:lpwstr>
      </vt:variant>
      <vt:variant>
        <vt:lpwstr/>
      </vt:variant>
      <vt:variant>
        <vt:i4>3932222</vt:i4>
      </vt:variant>
      <vt:variant>
        <vt:i4>309</vt:i4>
      </vt:variant>
      <vt:variant>
        <vt:i4>0</vt:i4>
      </vt:variant>
      <vt:variant>
        <vt:i4>5</vt:i4>
      </vt:variant>
      <vt:variant>
        <vt:lpwstr>https://ageingdisabilitycommission.nsw.gov.au/about-us/policies/request-a-review-of-a-decision.html</vt:lpwstr>
      </vt:variant>
      <vt:variant>
        <vt:lpwstr/>
      </vt:variant>
      <vt:variant>
        <vt:i4>1179713</vt:i4>
      </vt:variant>
      <vt:variant>
        <vt:i4>306</vt:i4>
      </vt:variant>
      <vt:variant>
        <vt:i4>0</vt:i4>
      </vt:variant>
      <vt:variant>
        <vt:i4>5</vt:i4>
      </vt:variant>
      <vt:variant>
        <vt:lpwstr>https://dhs.sa.gov.au/how-we-help/ageing-well/support-for-adult-safety-and-wellbeing/information-about-adult-safeguarding</vt:lpwstr>
      </vt:variant>
      <vt:variant>
        <vt:lpwstr/>
      </vt:variant>
      <vt:variant>
        <vt:i4>3080229</vt:i4>
      </vt:variant>
      <vt:variant>
        <vt:i4>303</vt:i4>
      </vt:variant>
      <vt:variant>
        <vt:i4>0</vt:i4>
      </vt:variant>
      <vt:variant>
        <vt:i4>5</vt:i4>
      </vt:variant>
      <vt:variant>
        <vt:lpwstr>https://dhs.sa.gov.au/how-we-help/ageing-well/support-for-adult-safety-and-wellbeing/about-the-adult-safeguarding-unit</vt:lpwstr>
      </vt:variant>
      <vt:variant>
        <vt:lpwstr/>
      </vt:variant>
      <vt:variant>
        <vt:i4>4718686</vt:i4>
      </vt:variant>
      <vt:variant>
        <vt:i4>300</vt:i4>
      </vt:variant>
      <vt:variant>
        <vt:i4>0</vt:i4>
      </vt:variant>
      <vt:variant>
        <vt:i4>5</vt:i4>
      </vt:variant>
      <vt:variant>
        <vt:lpwstr>https://advocare.org.au/wp-content/uploads/2025/03/ST18246-AdvocareElderAbuseProtocol_Reprint_WEB.pdf</vt:lpwstr>
      </vt:variant>
      <vt:variant>
        <vt:lpwstr/>
      </vt:variant>
      <vt:variant>
        <vt:i4>6619186</vt:i4>
      </vt:variant>
      <vt:variant>
        <vt:i4>297</vt:i4>
      </vt:variant>
      <vt:variant>
        <vt:i4>0</vt:i4>
      </vt:variant>
      <vt:variant>
        <vt:i4>5</vt:i4>
      </vt:variant>
      <vt:variant>
        <vt:lpwstr>https://www.parliament.qld.gov.au/Work-of-Committees/Inquiries/Inquiry-Details?id=4455</vt:lpwstr>
      </vt:variant>
      <vt:variant>
        <vt:lpwstr/>
      </vt:variant>
      <vt:variant>
        <vt:i4>3735614</vt:i4>
      </vt:variant>
      <vt:variant>
        <vt:i4>294</vt:i4>
      </vt:variant>
      <vt:variant>
        <vt:i4>0</vt:i4>
      </vt:variant>
      <vt:variant>
        <vt:i4>5</vt:i4>
      </vt:variant>
      <vt:variant>
        <vt:lpwstr>https://www.justice.qld.gov.au/public-advocate/our-advocacy/justice-and-human-rights/adult-safeguarding-in-queensland2</vt:lpwstr>
      </vt:variant>
      <vt:variant>
        <vt:lpwstr/>
      </vt:variant>
      <vt:variant>
        <vt:i4>3276898</vt:i4>
      </vt:variant>
      <vt:variant>
        <vt:i4>291</vt:i4>
      </vt:variant>
      <vt:variant>
        <vt:i4>0</vt:i4>
      </vt:variant>
      <vt:variant>
        <vt:i4>5</vt:i4>
      </vt:variant>
      <vt:variant>
        <vt:lpwstr>https://caringforoldertasmanians.care2serve.com.au/</vt:lpwstr>
      </vt:variant>
      <vt:variant>
        <vt:lpwstr/>
      </vt:variant>
      <vt:variant>
        <vt:i4>1704028</vt:i4>
      </vt:variant>
      <vt:variant>
        <vt:i4>288</vt:i4>
      </vt:variant>
      <vt:variant>
        <vt:i4>0</vt:i4>
      </vt:variant>
      <vt:variant>
        <vt:i4>5</vt:i4>
      </vt:variant>
      <vt:variant>
        <vt:lpwstr>https://www.carergateway.gov.au/help-and-support/caring-me/available-support-carers/tailored-support-packages</vt:lpwstr>
      </vt:variant>
      <vt:variant>
        <vt:lpwstr/>
      </vt:variant>
      <vt:variant>
        <vt:i4>8192056</vt:i4>
      </vt:variant>
      <vt:variant>
        <vt:i4>285</vt:i4>
      </vt:variant>
      <vt:variant>
        <vt:i4>0</vt:i4>
      </vt:variant>
      <vt:variant>
        <vt:i4>5</vt:i4>
      </vt:variant>
      <vt:variant>
        <vt:lpwstr>https://www.utas.edu.au/wicking</vt:lpwstr>
      </vt:variant>
      <vt:variant>
        <vt:lpwstr/>
      </vt:variant>
      <vt:variant>
        <vt:i4>6422642</vt:i4>
      </vt:variant>
      <vt:variant>
        <vt:i4>282</vt:i4>
      </vt:variant>
      <vt:variant>
        <vt:i4>0</vt:i4>
      </vt:variant>
      <vt:variant>
        <vt:i4>5</vt:i4>
      </vt:variant>
      <vt:variant>
        <vt:lpwstr>https://www.elderabuse.tas.gov.au/home</vt:lpwstr>
      </vt:variant>
      <vt:variant>
        <vt:lpwstr/>
      </vt:variant>
      <vt:variant>
        <vt:i4>6225986</vt:i4>
      </vt:variant>
      <vt:variant>
        <vt:i4>279</vt:i4>
      </vt:variant>
      <vt:variant>
        <vt:i4>0</vt:i4>
      </vt:variant>
      <vt:variant>
        <vt:i4>5</vt:i4>
      </vt:variant>
      <vt:variant>
        <vt:lpwstr>https://www.workingitout.org.au/about-us/</vt:lpwstr>
      </vt:variant>
      <vt:variant>
        <vt:lpwstr/>
      </vt:variant>
      <vt:variant>
        <vt:i4>8257656</vt:i4>
      </vt:variant>
      <vt:variant>
        <vt:i4>276</vt:i4>
      </vt:variant>
      <vt:variant>
        <vt:i4>0</vt:i4>
      </vt:variant>
      <vt:variant>
        <vt:i4>5</vt:i4>
      </vt:variant>
      <vt:variant>
        <vt:lpwstr>http://www.karadi.org.au/programs/</vt:lpwstr>
      </vt:variant>
      <vt:variant>
        <vt:lpwstr/>
      </vt:variant>
      <vt:variant>
        <vt:i4>7012458</vt:i4>
      </vt:variant>
      <vt:variant>
        <vt:i4>273</vt:i4>
      </vt:variant>
      <vt:variant>
        <vt:i4>0</vt:i4>
      </vt:variant>
      <vt:variant>
        <vt:i4>5</vt:i4>
      </vt:variant>
      <vt:variant>
        <vt:lpwstr>https://cotatas.org.au/information/getting-help/free-legal-advice-for-older-tasmanians/</vt:lpwstr>
      </vt:variant>
      <vt:variant>
        <vt:lpwstr/>
      </vt:variant>
      <vt:variant>
        <vt:i4>2162730</vt:i4>
      </vt:variant>
      <vt:variant>
        <vt:i4>270</vt:i4>
      </vt:variant>
      <vt:variant>
        <vt:i4>0</vt:i4>
      </vt:variant>
      <vt:variant>
        <vt:i4>5</vt:i4>
      </vt:variant>
      <vt:variant>
        <vt:lpwstr>https://www.legalaid.tas.gov.au/senior-assist/</vt:lpwstr>
      </vt:variant>
      <vt:variant>
        <vt:lpwstr/>
      </vt:variant>
      <vt:variant>
        <vt:i4>2162730</vt:i4>
      </vt:variant>
      <vt:variant>
        <vt:i4>267</vt:i4>
      </vt:variant>
      <vt:variant>
        <vt:i4>0</vt:i4>
      </vt:variant>
      <vt:variant>
        <vt:i4>5</vt:i4>
      </vt:variant>
      <vt:variant>
        <vt:lpwstr>https://www.legalaid.tas.gov.au/senior-assist/</vt:lpwstr>
      </vt:variant>
      <vt:variant>
        <vt:lpwstr/>
      </vt:variant>
      <vt:variant>
        <vt:i4>4653147</vt:i4>
      </vt:variant>
      <vt:variant>
        <vt:i4>264</vt:i4>
      </vt:variant>
      <vt:variant>
        <vt:i4>0</vt:i4>
      </vt:variant>
      <vt:variant>
        <vt:i4>5</vt:i4>
      </vt:variant>
      <vt:variant>
        <vt:lpwstr>https://mrctas.org.au/publications/</vt:lpwstr>
      </vt:variant>
      <vt:variant>
        <vt:lpwstr>annual</vt:lpwstr>
      </vt:variant>
      <vt:variant>
        <vt:i4>7143478</vt:i4>
      </vt:variant>
      <vt:variant>
        <vt:i4>261</vt:i4>
      </vt:variant>
      <vt:variant>
        <vt:i4>0</vt:i4>
      </vt:variant>
      <vt:variant>
        <vt:i4>5</vt:i4>
      </vt:variant>
      <vt:variant>
        <vt:lpwstr>https://advocacytasmania.org.au/what-we-do/changing-the-system/</vt:lpwstr>
      </vt:variant>
      <vt:variant>
        <vt:lpwstr/>
      </vt:variant>
      <vt:variant>
        <vt:i4>4784201</vt:i4>
      </vt:variant>
      <vt:variant>
        <vt:i4>258</vt:i4>
      </vt:variant>
      <vt:variant>
        <vt:i4>0</vt:i4>
      </vt:variant>
      <vt:variant>
        <vt:i4>5</vt:i4>
      </vt:variant>
      <vt:variant>
        <vt:lpwstr>https://opan.org.au/</vt:lpwstr>
      </vt:variant>
      <vt:variant>
        <vt:lpwstr/>
      </vt:variant>
      <vt:variant>
        <vt:i4>5111811</vt:i4>
      </vt:variant>
      <vt:variant>
        <vt:i4>255</vt:i4>
      </vt:variant>
      <vt:variant>
        <vt:i4>0</vt:i4>
      </vt:variant>
      <vt:variant>
        <vt:i4>5</vt:i4>
      </vt:variant>
      <vt:variant>
        <vt:lpwstr>https://advocacytasmania.org.au/what-we-do/about-us/</vt:lpwstr>
      </vt:variant>
      <vt:variant>
        <vt:lpwstr/>
      </vt:variant>
      <vt:variant>
        <vt:i4>2556006</vt:i4>
      </vt:variant>
      <vt:variant>
        <vt:i4>252</vt:i4>
      </vt:variant>
      <vt:variant>
        <vt:i4>0</vt:i4>
      </vt:variant>
      <vt:variant>
        <vt:i4>5</vt:i4>
      </vt:variant>
      <vt:variant>
        <vt:lpwstr>https://www.thesenior.com.au/story/8698038/coercive-control-family-abuse-older-victim-survivors-speak-out/</vt:lpwstr>
      </vt:variant>
      <vt:variant>
        <vt:lpwstr/>
      </vt:variant>
      <vt:variant>
        <vt:i4>1114142</vt:i4>
      </vt:variant>
      <vt:variant>
        <vt:i4>249</vt:i4>
      </vt:variant>
      <vt:variant>
        <vt:i4>0</vt:i4>
      </vt:variant>
      <vt:variant>
        <vt:i4>5</vt:i4>
      </vt:variant>
      <vt:variant>
        <vt:lpwstr>https://cotatas.org.au/ourwork-2/elder-abuse-prevention/older-voices-for-change/</vt:lpwstr>
      </vt:variant>
      <vt:variant>
        <vt:lpwstr/>
      </vt:variant>
      <vt:variant>
        <vt:i4>4849688</vt:i4>
      </vt:variant>
      <vt:variant>
        <vt:i4>246</vt:i4>
      </vt:variant>
      <vt:variant>
        <vt:i4>0</vt:i4>
      </vt:variant>
      <vt:variant>
        <vt:i4>5</vt:i4>
      </vt:variant>
      <vt:variant>
        <vt:lpwstr>https://cotatas.org.au/ourwork-2/elder-abuse-prevention/ageingmyway/</vt:lpwstr>
      </vt:variant>
      <vt:variant>
        <vt:lpwstr/>
      </vt:variant>
      <vt:variant>
        <vt:i4>7536684</vt:i4>
      </vt:variant>
      <vt:variant>
        <vt:i4>243</vt:i4>
      </vt:variant>
      <vt:variant>
        <vt:i4>0</vt:i4>
      </vt:variant>
      <vt:variant>
        <vt:i4>5</vt:i4>
      </vt:variant>
      <vt:variant>
        <vt:lpwstr>https://cotatas.org.au/information/resources/publication/finding-out-information-needs-of-older-tasmanians/</vt:lpwstr>
      </vt:variant>
      <vt:variant>
        <vt:lpwstr/>
      </vt:variant>
      <vt:variant>
        <vt:i4>5832799</vt:i4>
      </vt:variant>
      <vt:variant>
        <vt:i4>240</vt:i4>
      </vt:variant>
      <vt:variant>
        <vt:i4>0</vt:i4>
      </vt:variant>
      <vt:variant>
        <vt:i4>5</vt:i4>
      </vt:variant>
      <vt:variant>
        <vt:lpwstr>https://cotatas.org.au/about-us/</vt:lpwstr>
      </vt:variant>
      <vt:variant>
        <vt:lpwstr/>
      </vt:variant>
      <vt:variant>
        <vt:i4>8323196</vt:i4>
      </vt:variant>
      <vt:variant>
        <vt:i4>237</vt:i4>
      </vt:variant>
      <vt:variant>
        <vt:i4>0</vt:i4>
      </vt:variant>
      <vt:variant>
        <vt:i4>5</vt:i4>
      </vt:variant>
      <vt:variant>
        <vt:lpwstr>https://tas.relationships.org.au/elder-relationships-services/</vt:lpwstr>
      </vt:variant>
      <vt:variant>
        <vt:lpwstr/>
      </vt:variant>
      <vt:variant>
        <vt:i4>5242881</vt:i4>
      </vt:variant>
      <vt:variant>
        <vt:i4>234</vt:i4>
      </vt:variant>
      <vt:variant>
        <vt:i4>0</vt:i4>
      </vt:variant>
      <vt:variant>
        <vt:i4>5</vt:i4>
      </vt:variant>
      <vt:variant>
        <vt:lpwstr>https://www.aph.gov.au/Parliamentary_Business/Committees/Joint/Human_Rights/HumanRightsFramework</vt:lpwstr>
      </vt:variant>
      <vt:variant>
        <vt:lpwstr/>
      </vt:variant>
      <vt:variant>
        <vt:i4>5111820</vt:i4>
      </vt:variant>
      <vt:variant>
        <vt:i4>231</vt:i4>
      </vt:variant>
      <vt:variant>
        <vt:i4>0</vt:i4>
      </vt:variant>
      <vt:variant>
        <vt:i4>5</vt:i4>
      </vt:variant>
      <vt:variant>
        <vt:lpwstr>https://npm.tas.gov.au/about</vt:lpwstr>
      </vt:variant>
      <vt:variant>
        <vt:lpwstr/>
      </vt:variant>
      <vt:variant>
        <vt:i4>3407924</vt:i4>
      </vt:variant>
      <vt:variant>
        <vt:i4>228</vt:i4>
      </vt:variant>
      <vt:variant>
        <vt:i4>0</vt:i4>
      </vt:variant>
      <vt:variant>
        <vt:i4>5</vt:i4>
      </vt:variant>
      <vt:variant>
        <vt:lpwstr>https://npm.tas.gov.au/</vt:lpwstr>
      </vt:variant>
      <vt:variant>
        <vt:lpwstr/>
      </vt:variant>
      <vt:variant>
        <vt:i4>4063285</vt:i4>
      </vt:variant>
      <vt:variant>
        <vt:i4>225</vt:i4>
      </vt:variant>
      <vt:variant>
        <vt:i4>0</vt:i4>
      </vt:variant>
      <vt:variant>
        <vt:i4>5</vt:i4>
      </vt:variant>
      <vt:variant>
        <vt:lpwstr>https://www.ohchr.org/en/instruments-mechanisms/instruments/united-nations-principles-older-persons</vt:lpwstr>
      </vt:variant>
      <vt:variant>
        <vt:lpwstr/>
      </vt:variant>
      <vt:variant>
        <vt:i4>1704002</vt:i4>
      </vt:variant>
      <vt:variant>
        <vt:i4>222</vt:i4>
      </vt:variant>
      <vt:variant>
        <vt:i4>0</vt:i4>
      </vt:variant>
      <vt:variant>
        <vt:i4>5</vt:i4>
      </vt:variant>
      <vt:variant>
        <vt:lpwstr>https://www.who.int/publications/i/item/9789240052550</vt:lpwstr>
      </vt:variant>
      <vt:variant>
        <vt:lpwstr/>
      </vt:variant>
      <vt:variant>
        <vt:i4>4259855</vt:i4>
      </vt:variant>
      <vt:variant>
        <vt:i4>219</vt:i4>
      </vt:variant>
      <vt:variant>
        <vt:i4>0</vt:i4>
      </vt:variant>
      <vt:variant>
        <vt:i4>5</vt:i4>
      </vt:variant>
      <vt:variant>
        <vt:lpwstr>https://www.who.int/teams/social-determinants-of-health/demographic-change-and-healthy-ageing</vt:lpwstr>
      </vt:variant>
      <vt:variant>
        <vt:lpwstr/>
      </vt:variant>
      <vt:variant>
        <vt:i4>2490418</vt:i4>
      </vt:variant>
      <vt:variant>
        <vt:i4>216</vt:i4>
      </vt:variant>
      <vt:variant>
        <vt:i4>0</vt:i4>
      </vt:variant>
      <vt:variant>
        <vt:i4>5</vt:i4>
      </vt:variant>
      <vt:variant>
        <vt:lpwstr>https://beconnected.esafety.gov.au/</vt:lpwstr>
      </vt:variant>
      <vt:variant>
        <vt:lpwstr/>
      </vt:variant>
      <vt:variant>
        <vt:i4>7667823</vt:i4>
      </vt:variant>
      <vt:variant>
        <vt:i4>213</vt:i4>
      </vt:variant>
      <vt:variant>
        <vt:i4>0</vt:i4>
      </vt:variant>
      <vt:variant>
        <vt:i4>5</vt:i4>
      </vt:variant>
      <vt:variant>
        <vt:lpwstr>https://www.commbank.com.au/support/preventing-financial-abuse-of-seniors/download-guide.html?ei=CTA-GuideSafeSavvy</vt:lpwstr>
      </vt:variant>
      <vt:variant>
        <vt:lpwstr/>
      </vt:variant>
      <vt:variant>
        <vt:i4>4325397</vt:i4>
      </vt:variant>
      <vt:variant>
        <vt:i4>210</vt:i4>
      </vt:variant>
      <vt:variant>
        <vt:i4>0</vt:i4>
      </vt:variant>
      <vt:variant>
        <vt:i4>5</vt:i4>
      </vt:variant>
      <vt:variant>
        <vt:lpwstr>https://www.aph.gov.au/Parliamentary_Business/Bills_Legislation/Bills_Search_Results/Result?bId=r7275</vt:lpwstr>
      </vt:variant>
      <vt:variant>
        <vt:lpwstr/>
      </vt:variant>
      <vt:variant>
        <vt:i4>6815860</vt:i4>
      </vt:variant>
      <vt:variant>
        <vt:i4>207</vt:i4>
      </vt:variant>
      <vt:variant>
        <vt:i4>0</vt:i4>
      </vt:variant>
      <vt:variant>
        <vt:i4>5</vt:i4>
      </vt:variant>
      <vt:variant>
        <vt:lpwstr>https://www.health.gov.au/our-work/aged-care-act/about</vt:lpwstr>
      </vt:variant>
      <vt:variant>
        <vt:lpwstr/>
      </vt:variant>
      <vt:variant>
        <vt:i4>3670053</vt:i4>
      </vt:variant>
      <vt:variant>
        <vt:i4>204</vt:i4>
      </vt:variant>
      <vt:variant>
        <vt:i4>0</vt:i4>
      </vt:variant>
      <vt:variant>
        <vt:i4>5</vt:i4>
      </vt:variant>
      <vt:variant>
        <vt:lpwstr>https://www.agedcarequality.gov.au/</vt:lpwstr>
      </vt:variant>
      <vt:variant>
        <vt:lpwstr/>
      </vt:variant>
      <vt:variant>
        <vt:i4>1835026</vt:i4>
      </vt:variant>
      <vt:variant>
        <vt:i4>201</vt:i4>
      </vt:variant>
      <vt:variant>
        <vt:i4>0</vt:i4>
      </vt:variant>
      <vt:variant>
        <vt:i4>5</vt:i4>
      </vt:variant>
      <vt:variant>
        <vt:lpwstr>https://www.antidiscrimination.tas.gov.au/news_and_events</vt:lpwstr>
      </vt:variant>
      <vt:variant>
        <vt:lpwstr/>
      </vt:variant>
      <vt:variant>
        <vt:i4>1572936</vt:i4>
      </vt:variant>
      <vt:variant>
        <vt:i4>198</vt:i4>
      </vt:variant>
      <vt:variant>
        <vt:i4>0</vt:i4>
      </vt:variant>
      <vt:variant>
        <vt:i4>5</vt:i4>
      </vt:variant>
      <vt:variant>
        <vt:lpwstr>https://www.ombudsman.tas.gov.au/about-us</vt:lpwstr>
      </vt:variant>
      <vt:variant>
        <vt:lpwstr/>
      </vt:variant>
      <vt:variant>
        <vt:i4>1703964</vt:i4>
      </vt:variant>
      <vt:variant>
        <vt:i4>195</vt:i4>
      </vt:variant>
      <vt:variant>
        <vt:i4>0</vt:i4>
      </vt:variant>
      <vt:variant>
        <vt:i4>5</vt:i4>
      </vt:variant>
      <vt:variant>
        <vt:lpwstr>https://www.safetyandquality.gov.au/publications-and-resources/resource-library/australian-charter-healthcare-rights-second-edition-a4-accessible</vt:lpwstr>
      </vt:variant>
      <vt:variant>
        <vt:lpwstr/>
      </vt:variant>
      <vt:variant>
        <vt:i4>3276859</vt:i4>
      </vt:variant>
      <vt:variant>
        <vt:i4>192</vt:i4>
      </vt:variant>
      <vt:variant>
        <vt:i4>0</vt:i4>
      </vt:variant>
      <vt:variant>
        <vt:i4>5</vt:i4>
      </vt:variant>
      <vt:variant>
        <vt:lpwstr>https://www.healthcomplaints.tas.gov.au/publications/tasmanian-charter-of-health-rights-and-responsibilities/charter-introduction/rights-1-to-6-of-the-charter</vt:lpwstr>
      </vt:variant>
      <vt:variant>
        <vt:lpwstr/>
      </vt:variant>
      <vt:variant>
        <vt:i4>3211313</vt:i4>
      </vt:variant>
      <vt:variant>
        <vt:i4>189</vt:i4>
      </vt:variant>
      <vt:variant>
        <vt:i4>0</vt:i4>
      </vt:variant>
      <vt:variant>
        <vt:i4>5</vt:i4>
      </vt:variant>
      <vt:variant>
        <vt:lpwstr>https://www.dpac.tas.gov.au/divisions/cpp/community-and-disability-services/tasmanian-disability-services-act-2011/tasmanian-disability-services-act-2011-review/consultation-outcomes</vt:lpwstr>
      </vt:variant>
      <vt:variant>
        <vt:lpwstr/>
      </vt:variant>
      <vt:variant>
        <vt:i4>5177431</vt:i4>
      </vt:variant>
      <vt:variant>
        <vt:i4>186</vt:i4>
      </vt:variant>
      <vt:variant>
        <vt:i4>0</vt:i4>
      </vt:variant>
      <vt:variant>
        <vt:i4>5</vt:i4>
      </vt:variant>
      <vt:variant>
        <vt:lpwstr>https://www.dpac.tas.gov.au/divisions/cpp/community-and-disability-services/tasmanian-disability-services-act-2011/tasmanian-disability-services-act-2011-review/how-we-will-consult</vt:lpwstr>
      </vt:variant>
      <vt:variant>
        <vt:lpwstr/>
      </vt:variant>
      <vt:variant>
        <vt:i4>6488175</vt:i4>
      </vt:variant>
      <vt:variant>
        <vt:i4>183</vt:i4>
      </vt:variant>
      <vt:variant>
        <vt:i4>0</vt:i4>
      </vt:variant>
      <vt:variant>
        <vt:i4>5</vt:i4>
      </vt:variant>
      <vt:variant>
        <vt:lpwstr>https://www.premier.tas.gov.au/latest-news/2024/november/applications-open-for-tasmanias-first-disability-commissioner</vt:lpwstr>
      </vt:variant>
      <vt:variant>
        <vt:lpwstr/>
      </vt:variant>
      <vt:variant>
        <vt:i4>7995492</vt:i4>
      </vt:variant>
      <vt:variant>
        <vt:i4>180</vt:i4>
      </vt:variant>
      <vt:variant>
        <vt:i4>0</vt:i4>
      </vt:variant>
      <vt:variant>
        <vt:i4>5</vt:i4>
      </vt:variant>
      <vt:variant>
        <vt:lpwstr>https://www.disabilitycommissioner.tas.gov.au/about-us/meet-our-team/team-bios/catherine-whitington</vt:lpwstr>
      </vt:variant>
      <vt:variant>
        <vt:lpwstr/>
      </vt:variant>
      <vt:variant>
        <vt:i4>1900636</vt:i4>
      </vt:variant>
      <vt:variant>
        <vt:i4>177</vt:i4>
      </vt:variant>
      <vt:variant>
        <vt:i4>0</vt:i4>
      </vt:variant>
      <vt:variant>
        <vt:i4>5</vt:i4>
      </vt:variant>
      <vt:variant>
        <vt:lpwstr>https://www.disabilitycommissioner.tas.gov.au/about-us/about-disability-commissioner-tasmania</vt:lpwstr>
      </vt:variant>
      <vt:variant>
        <vt:lpwstr/>
      </vt:variant>
      <vt:variant>
        <vt:i4>4128827</vt:i4>
      </vt:variant>
      <vt:variant>
        <vt:i4>174</vt:i4>
      </vt:variant>
      <vt:variant>
        <vt:i4>0</vt:i4>
      </vt:variant>
      <vt:variant>
        <vt:i4>5</vt:i4>
      </vt:variant>
      <vt:variant>
        <vt:lpwstr>https://www.justice.tas.gov.au/about-us/news/articles/tasmanias-guardianship-and-administration-system-is-changing</vt:lpwstr>
      </vt:variant>
      <vt:variant>
        <vt:lpwstr/>
      </vt:variant>
      <vt:variant>
        <vt:i4>7667746</vt:i4>
      </vt:variant>
      <vt:variant>
        <vt:i4>171</vt:i4>
      </vt:variant>
      <vt:variant>
        <vt:i4>0</vt:i4>
      </vt:variant>
      <vt:variant>
        <vt:i4>5</vt:i4>
      </vt:variant>
      <vt:variant>
        <vt:lpwstr>https://advocacytasmania.org.au/news-updates/publications/</vt:lpwstr>
      </vt:variant>
      <vt:variant>
        <vt:lpwstr/>
      </vt:variant>
      <vt:variant>
        <vt:i4>589834</vt:i4>
      </vt:variant>
      <vt:variant>
        <vt:i4>168</vt:i4>
      </vt:variant>
      <vt:variant>
        <vt:i4>0</vt:i4>
      </vt:variant>
      <vt:variant>
        <vt:i4>5</vt:i4>
      </vt:variant>
      <vt:variant>
        <vt:lpwstr>https://www.cpaaustralia.com.au/public-practice/public-practice-research/financial-abuse-of-older-people</vt:lpwstr>
      </vt:variant>
      <vt:variant>
        <vt:lpwstr/>
      </vt:variant>
      <vt:variant>
        <vt:i4>7340143</vt:i4>
      </vt:variant>
      <vt:variant>
        <vt:i4>165</vt:i4>
      </vt:variant>
      <vt:variant>
        <vt:i4>0</vt:i4>
      </vt:variant>
      <vt:variant>
        <vt:i4>5</vt:i4>
      </vt:variant>
      <vt:variant>
        <vt:lpwstr>https://www.dss.gov.au/national-plan-end-gender-based-violence/resource/national-plan-end-violence-against-women-and-children-2022-2032</vt:lpwstr>
      </vt:variant>
      <vt:variant>
        <vt:lpwstr/>
      </vt:variant>
      <vt:variant>
        <vt:i4>393231</vt:i4>
      </vt:variant>
      <vt:variant>
        <vt:i4>162</vt:i4>
      </vt:variant>
      <vt:variant>
        <vt:i4>0</vt:i4>
      </vt:variant>
      <vt:variant>
        <vt:i4>5</vt:i4>
      </vt:variant>
      <vt:variant>
        <vt:lpwstr>https://www.safefromviolence.tas.gov.au/our-plan/safe-homes,-families,-communities-governance</vt:lpwstr>
      </vt:variant>
      <vt:variant>
        <vt:lpwstr/>
      </vt:variant>
      <vt:variant>
        <vt:i4>393231</vt:i4>
      </vt:variant>
      <vt:variant>
        <vt:i4>159</vt:i4>
      </vt:variant>
      <vt:variant>
        <vt:i4>0</vt:i4>
      </vt:variant>
      <vt:variant>
        <vt:i4>5</vt:i4>
      </vt:variant>
      <vt:variant>
        <vt:lpwstr>https://www.safefromviolence.tas.gov.au/our-plan/safe-homes,-families,-communities-governance</vt:lpwstr>
      </vt:variant>
      <vt:variant>
        <vt:lpwstr/>
      </vt:variant>
      <vt:variant>
        <vt:i4>393231</vt:i4>
      </vt:variant>
      <vt:variant>
        <vt:i4>156</vt:i4>
      </vt:variant>
      <vt:variant>
        <vt:i4>0</vt:i4>
      </vt:variant>
      <vt:variant>
        <vt:i4>5</vt:i4>
      </vt:variant>
      <vt:variant>
        <vt:lpwstr>https://www.safefromviolence.tas.gov.au/our-plan/safe-homes,-families,-communities-governance</vt:lpwstr>
      </vt:variant>
      <vt:variant>
        <vt:lpwstr/>
      </vt:variant>
      <vt:variant>
        <vt:i4>2293867</vt:i4>
      </vt:variant>
      <vt:variant>
        <vt:i4>153</vt:i4>
      </vt:variant>
      <vt:variant>
        <vt:i4>0</vt:i4>
      </vt:variant>
      <vt:variant>
        <vt:i4>5</vt:i4>
      </vt:variant>
      <vt:variant>
        <vt:lpwstr>https://www.safeathome.tas.gov.au/about-us</vt:lpwstr>
      </vt:variant>
      <vt:variant>
        <vt:lpwstr/>
      </vt:variant>
      <vt:variant>
        <vt:i4>8323199</vt:i4>
      </vt:variant>
      <vt:variant>
        <vt:i4>150</vt:i4>
      </vt:variant>
      <vt:variant>
        <vt:i4>0</vt:i4>
      </vt:variant>
      <vt:variant>
        <vt:i4>5</vt:i4>
      </vt:variant>
      <vt:variant>
        <vt:lpwstr>https://www.safeathome.tas.gov.au/about-us</vt:lpwstr>
      </vt:variant>
      <vt:variant>
        <vt:lpwstr>Safe-at-Home-Partners</vt:lpwstr>
      </vt:variant>
      <vt:variant>
        <vt:i4>3735653</vt:i4>
      </vt:variant>
      <vt:variant>
        <vt:i4>147</vt:i4>
      </vt:variant>
      <vt:variant>
        <vt:i4>0</vt:i4>
      </vt:variant>
      <vt:variant>
        <vt:i4>5</vt:i4>
      </vt:variant>
      <vt:variant>
        <vt:lpwstr>https://www.magistratescourt.tas.gov.au/coronerscourt/about</vt:lpwstr>
      </vt:variant>
      <vt:variant>
        <vt:lpwstr/>
      </vt:variant>
      <vt:variant>
        <vt:i4>2228347</vt:i4>
      </vt:variant>
      <vt:variant>
        <vt:i4>144</vt:i4>
      </vt:variant>
      <vt:variant>
        <vt:i4>0</vt:i4>
      </vt:variant>
      <vt:variant>
        <vt:i4>5</vt:i4>
      </vt:variant>
      <vt:variant>
        <vt:lpwstr>https://humanrights.gov.au/about/news/new-project-tackle-financial-elder-abuse</vt:lpwstr>
      </vt:variant>
      <vt:variant>
        <vt:lpwstr/>
      </vt:variant>
      <vt:variant>
        <vt:i4>7667811</vt:i4>
      </vt:variant>
      <vt:variant>
        <vt:i4>141</vt:i4>
      </vt:variant>
      <vt:variant>
        <vt:i4>0</vt:i4>
      </vt:variant>
      <vt:variant>
        <vt:i4>5</vt:i4>
      </vt:variant>
      <vt:variant>
        <vt:lpwstr>https://aifs.gov.au/resources/collections/evaluation-national-plan-respond-abuse-older-australians</vt:lpwstr>
      </vt:variant>
      <vt:variant>
        <vt:lpwstr/>
      </vt:variant>
      <vt:variant>
        <vt:i4>2424851</vt:i4>
      </vt:variant>
      <vt:variant>
        <vt:i4>138</vt:i4>
      </vt:variant>
      <vt:variant>
        <vt:i4>0</vt:i4>
      </vt:variant>
      <vt:variant>
        <vt:i4>5</vt:i4>
      </vt:variant>
      <vt:variant>
        <vt:lpwstr>https://dhs.sa.gov.au/__data/assets/pdf_file/0008/179945/SA-Charter-of-the-Rights-and-Freedoms-of-Vulnerable-Adults.pdf</vt:lpwstr>
      </vt:variant>
      <vt:variant>
        <vt:lpwstr/>
      </vt:variant>
      <vt:variant>
        <vt:i4>7798855</vt:i4>
      </vt:variant>
      <vt:variant>
        <vt:i4>135</vt:i4>
      </vt:variant>
      <vt:variant>
        <vt:i4>0</vt:i4>
      </vt:variant>
      <vt:variant>
        <vt:i4>5</vt:i4>
      </vt:variant>
      <vt:variant>
        <vt:lpwstr>https://dhs.sa.gov.au/__data/assets/pdf_file/0003/179481/Know-your-rights-A-guide-to-the-rights-of-older-South-Australians.pdf</vt:lpwstr>
      </vt:variant>
      <vt:variant>
        <vt:lpwstr/>
      </vt:variant>
      <vt:variant>
        <vt:i4>1179701</vt:i4>
      </vt:variant>
      <vt:variant>
        <vt:i4>132</vt:i4>
      </vt:variant>
      <vt:variant>
        <vt:i4>0</vt:i4>
      </vt:variant>
      <vt:variant>
        <vt:i4>5</vt:i4>
      </vt:variant>
      <vt:variant>
        <vt:lpwstr>https://dhs.sa.gov.au/__data/assets/pdf_file/0018/180135/Statement-on-the-Rights-and-Freedoms-of-Older-South-Australians.pdf</vt:lpwstr>
      </vt:variant>
      <vt:variant>
        <vt:lpwstr/>
      </vt:variant>
      <vt:variant>
        <vt:i4>4128870</vt:i4>
      </vt:variant>
      <vt:variant>
        <vt:i4>129</vt:i4>
      </vt:variant>
      <vt:variant>
        <vt:i4>0</vt:i4>
      </vt:variant>
      <vt:variant>
        <vt:i4>5</vt:i4>
      </vt:variant>
      <vt:variant>
        <vt:lpwstr>https://www.elderabuse.tas.gov.au/information-for-service-providers</vt:lpwstr>
      </vt:variant>
      <vt:variant>
        <vt:lpwstr/>
      </vt:variant>
      <vt:variant>
        <vt:i4>6881378</vt:i4>
      </vt:variant>
      <vt:variant>
        <vt:i4>126</vt:i4>
      </vt:variant>
      <vt:variant>
        <vt:i4>0</vt:i4>
      </vt:variant>
      <vt:variant>
        <vt:i4>5</vt:i4>
      </vt:variant>
      <vt:variant>
        <vt:lpwstr>https://www.abc.net.au/news/2025-03-20/blake-brinklow-jailed-after-stealing-from-elderly-parents/105073720</vt:lpwstr>
      </vt:variant>
      <vt:variant>
        <vt:lpwstr/>
      </vt:variant>
      <vt:variant>
        <vt:i4>5242908</vt:i4>
      </vt:variant>
      <vt:variant>
        <vt:i4>123</vt:i4>
      </vt:variant>
      <vt:variant>
        <vt:i4>0</vt:i4>
      </vt:variant>
      <vt:variant>
        <vt:i4>5</vt:i4>
      </vt:variant>
      <vt:variant>
        <vt:lpwstr>https://www.compass.info/elder-abuse/responding/barriers-to-seeking-help-for-elder-abuse/</vt:lpwstr>
      </vt:variant>
      <vt:variant>
        <vt:lpwstr/>
      </vt:variant>
      <vt:variant>
        <vt:i4>3604528</vt:i4>
      </vt:variant>
      <vt:variant>
        <vt:i4>120</vt:i4>
      </vt:variant>
      <vt:variant>
        <vt:i4>0</vt:i4>
      </vt:variant>
      <vt:variant>
        <vt:i4>5</vt:i4>
      </vt:variant>
      <vt:variant>
        <vt:lpwstr>https://www.compass.info/elder-abuse/understanding/common-risk-factors-for-experiencing-abuse-neglect-or-mistreatment/</vt:lpwstr>
      </vt:variant>
      <vt:variant>
        <vt:lpwstr/>
      </vt:variant>
      <vt:variant>
        <vt:i4>7667746</vt:i4>
      </vt:variant>
      <vt:variant>
        <vt:i4>117</vt:i4>
      </vt:variant>
      <vt:variant>
        <vt:i4>0</vt:i4>
      </vt:variant>
      <vt:variant>
        <vt:i4>5</vt:i4>
      </vt:variant>
      <vt:variant>
        <vt:lpwstr>https://advocacytasmania.org.au/news-updates/publications/</vt:lpwstr>
      </vt:variant>
      <vt:variant>
        <vt:lpwstr/>
      </vt:variant>
      <vt:variant>
        <vt:i4>7667746</vt:i4>
      </vt:variant>
      <vt:variant>
        <vt:i4>114</vt:i4>
      </vt:variant>
      <vt:variant>
        <vt:i4>0</vt:i4>
      </vt:variant>
      <vt:variant>
        <vt:i4>5</vt:i4>
      </vt:variant>
      <vt:variant>
        <vt:lpwstr>https://advocacytasmania.org.au/news-updates/publications/</vt:lpwstr>
      </vt:variant>
      <vt:variant>
        <vt:lpwstr/>
      </vt:variant>
      <vt:variant>
        <vt:i4>7667746</vt:i4>
      </vt:variant>
      <vt:variant>
        <vt:i4>111</vt:i4>
      </vt:variant>
      <vt:variant>
        <vt:i4>0</vt:i4>
      </vt:variant>
      <vt:variant>
        <vt:i4>5</vt:i4>
      </vt:variant>
      <vt:variant>
        <vt:lpwstr>https://advocacytasmania.org.au/news-updates/publications/</vt:lpwstr>
      </vt:variant>
      <vt:variant>
        <vt:lpwstr/>
      </vt:variant>
      <vt:variant>
        <vt:i4>7667746</vt:i4>
      </vt:variant>
      <vt:variant>
        <vt:i4>108</vt:i4>
      </vt:variant>
      <vt:variant>
        <vt:i4>0</vt:i4>
      </vt:variant>
      <vt:variant>
        <vt:i4>5</vt:i4>
      </vt:variant>
      <vt:variant>
        <vt:lpwstr>https://advocacytasmania.org.au/news-updates/publications/</vt:lpwstr>
      </vt:variant>
      <vt:variant>
        <vt:lpwstr/>
      </vt:variant>
      <vt:variant>
        <vt:i4>7667746</vt:i4>
      </vt:variant>
      <vt:variant>
        <vt:i4>105</vt:i4>
      </vt:variant>
      <vt:variant>
        <vt:i4>0</vt:i4>
      </vt:variant>
      <vt:variant>
        <vt:i4>5</vt:i4>
      </vt:variant>
      <vt:variant>
        <vt:lpwstr>https://advocacytasmania.org.au/news-updates/publications/</vt:lpwstr>
      </vt:variant>
      <vt:variant>
        <vt:lpwstr/>
      </vt:variant>
      <vt:variant>
        <vt:i4>1835084</vt:i4>
      </vt:variant>
      <vt:variant>
        <vt:i4>102</vt:i4>
      </vt:variant>
      <vt:variant>
        <vt:i4>0</vt:i4>
      </vt:variant>
      <vt:variant>
        <vt:i4>5</vt:i4>
      </vt:variant>
      <vt:variant>
        <vt:lpwstr>https://storymaps.arcgis.com/stories/e2f8d8beec4e4ebea179d8771f72f010</vt:lpwstr>
      </vt:variant>
      <vt:variant>
        <vt:lpwstr/>
      </vt:variant>
      <vt:variant>
        <vt:i4>655447</vt:i4>
      </vt:variant>
      <vt:variant>
        <vt:i4>99</vt:i4>
      </vt:variant>
      <vt:variant>
        <vt:i4>0</vt:i4>
      </vt:variant>
      <vt:variant>
        <vt:i4>5</vt:i4>
      </vt:variant>
      <vt:variant>
        <vt:lpwstr>https://www.abs.gov.au/statistics/people/population/national-state-and-territory-population/mar-2024</vt:lpwstr>
      </vt:variant>
      <vt:variant>
        <vt:lpwstr>data-downloads-data-cubes</vt:lpwstr>
      </vt:variant>
      <vt:variant>
        <vt:i4>6750313</vt:i4>
      </vt:variant>
      <vt:variant>
        <vt:i4>96</vt:i4>
      </vt:variant>
      <vt:variant>
        <vt:i4>0</vt:i4>
      </vt:variant>
      <vt:variant>
        <vt:i4>5</vt:i4>
      </vt:variant>
      <vt:variant>
        <vt:lpwstr>https://www.aihw.gov.au/family-domestic-and-sexual-violence/population-groups/cald</vt:lpwstr>
      </vt:variant>
      <vt:variant>
        <vt:lpwstr/>
      </vt:variant>
      <vt:variant>
        <vt:i4>6750231</vt:i4>
      </vt:variant>
      <vt:variant>
        <vt:i4>93</vt:i4>
      </vt:variant>
      <vt:variant>
        <vt:i4>0</vt:i4>
      </vt:variant>
      <vt:variant>
        <vt:i4>5</vt:i4>
      </vt:variant>
      <vt:variant>
        <vt:lpwstr>https://www.who.int/health-topics/ageism</vt:lpwstr>
      </vt:variant>
      <vt:variant>
        <vt:lpwstr>tab=tab_1</vt:lpwstr>
      </vt:variant>
      <vt:variant>
        <vt:i4>2818163</vt:i4>
      </vt:variant>
      <vt:variant>
        <vt:i4>90</vt:i4>
      </vt:variant>
      <vt:variant>
        <vt:i4>0</vt:i4>
      </vt:variant>
      <vt:variant>
        <vt:i4>5</vt:i4>
      </vt:variant>
      <vt:variant>
        <vt:lpwstr>https://ageing-equal.org/ageism-and-abuse/</vt:lpwstr>
      </vt:variant>
      <vt:variant>
        <vt:lpwstr/>
      </vt:variant>
      <vt:variant>
        <vt:i4>720910</vt:i4>
      </vt:variant>
      <vt:variant>
        <vt:i4>87</vt:i4>
      </vt:variant>
      <vt:variant>
        <vt:i4>0</vt:i4>
      </vt:variant>
      <vt:variant>
        <vt:i4>5</vt:i4>
      </vt:variant>
      <vt:variant>
        <vt:lpwstr>https://www.abs.gov.au/statistics/health/disability/disability-ageing-and-carers-australia-summary-findings/latest-release</vt:lpwstr>
      </vt:variant>
      <vt:variant>
        <vt:lpwstr>disability</vt:lpwstr>
      </vt:variant>
      <vt:variant>
        <vt:i4>2687087</vt:i4>
      </vt:variant>
      <vt:variant>
        <vt:i4>84</vt:i4>
      </vt:variant>
      <vt:variant>
        <vt:i4>0</vt:i4>
      </vt:variant>
      <vt:variant>
        <vt:i4>5</vt:i4>
      </vt:variant>
      <vt:variant>
        <vt:lpwstr>https://www.agedcarequality.gov.au/providers/serious-incident-response-scheme/reportable-incidents/about-reportable-incidents</vt:lpwstr>
      </vt:variant>
      <vt:variant>
        <vt:lpwstr>priority-1-and-priority-2-incidents</vt:lpwstr>
      </vt:variant>
      <vt:variant>
        <vt:i4>5242903</vt:i4>
      </vt:variant>
      <vt:variant>
        <vt:i4>81</vt:i4>
      </vt:variant>
      <vt:variant>
        <vt:i4>0</vt:i4>
      </vt:variant>
      <vt:variant>
        <vt:i4>5</vt:i4>
      </vt:variant>
      <vt:variant>
        <vt:lpwstr>https://www.femicidecensus.org/wp-content/uploads/2025/03/2000-Women-full-report.pdf</vt:lpwstr>
      </vt:variant>
      <vt:variant>
        <vt:lpwstr/>
      </vt:variant>
      <vt:variant>
        <vt:i4>3932193</vt:i4>
      </vt:variant>
      <vt:variant>
        <vt:i4>78</vt:i4>
      </vt:variant>
      <vt:variant>
        <vt:i4>0</vt:i4>
      </vt:variant>
      <vt:variant>
        <vt:i4>5</vt:i4>
      </vt:variant>
      <vt:variant>
        <vt:lpwstr>https://www.aic.gov.au/publications/sr/sr46</vt:lpwstr>
      </vt:variant>
      <vt:variant>
        <vt:lpwstr/>
      </vt:variant>
      <vt:variant>
        <vt:i4>5505113</vt:i4>
      </vt:variant>
      <vt:variant>
        <vt:i4>75</vt:i4>
      </vt:variant>
      <vt:variant>
        <vt:i4>0</vt:i4>
      </vt:variant>
      <vt:variant>
        <vt:i4>5</vt:i4>
      </vt:variant>
      <vt:variant>
        <vt:lpwstr>https://www.abs.gov.au/statistics/people/crime-and-justice/recorded-crime-victims/2023</vt:lpwstr>
      </vt:variant>
      <vt:variant>
        <vt:lpwstr>data-downloads</vt:lpwstr>
      </vt:variant>
      <vt:variant>
        <vt:i4>1179742</vt:i4>
      </vt:variant>
      <vt:variant>
        <vt:i4>72</vt:i4>
      </vt:variant>
      <vt:variant>
        <vt:i4>0</vt:i4>
      </vt:variant>
      <vt:variant>
        <vt:i4>5</vt:i4>
      </vt:variant>
      <vt:variant>
        <vt:lpwstr>https://www.abs.gov.au/statistics/people/crime-and-justice/recorded-crime-victims/latest-release</vt:lpwstr>
      </vt:variant>
      <vt:variant>
        <vt:lpwstr>victims-of-family-and-domestic-violence-related-offences</vt:lpwstr>
      </vt:variant>
      <vt:variant>
        <vt:i4>3735614</vt:i4>
      </vt:variant>
      <vt:variant>
        <vt:i4>69</vt:i4>
      </vt:variant>
      <vt:variant>
        <vt:i4>0</vt:i4>
      </vt:variant>
      <vt:variant>
        <vt:i4>5</vt:i4>
      </vt:variant>
      <vt:variant>
        <vt:lpwstr>https://www.justice.qld.gov.au/public-advocate/our-advocacy/justice-and-human-rights/adult-safeguarding-in-queensland2</vt:lpwstr>
      </vt:variant>
      <vt:variant>
        <vt:lpwstr/>
      </vt:variant>
      <vt:variant>
        <vt:i4>2228279</vt:i4>
      </vt:variant>
      <vt:variant>
        <vt:i4>66</vt:i4>
      </vt:variant>
      <vt:variant>
        <vt:i4>0</vt:i4>
      </vt:variant>
      <vt:variant>
        <vt:i4>5</vt:i4>
      </vt:variant>
      <vt:variant>
        <vt:lpwstr>https://www.agedcarequality.gov.au/sites/default/files/media/sirs-insight-report-may-2021-updated-30-september-2021.pdf</vt:lpwstr>
      </vt:variant>
      <vt:variant>
        <vt:lpwstr/>
      </vt:variant>
      <vt:variant>
        <vt:i4>2621563</vt:i4>
      </vt:variant>
      <vt:variant>
        <vt:i4>63</vt:i4>
      </vt:variant>
      <vt:variant>
        <vt:i4>0</vt:i4>
      </vt:variant>
      <vt:variant>
        <vt:i4>5</vt:i4>
      </vt:variant>
      <vt:variant>
        <vt:lpwstr>https://www.ag.gov.au/families-and-marriage/publications/national-principles-address-coercive-control-family-and-domestic-violence</vt:lpwstr>
      </vt:variant>
      <vt:variant>
        <vt:lpwstr/>
      </vt:variant>
      <vt:variant>
        <vt:i4>7733294</vt:i4>
      </vt:variant>
      <vt:variant>
        <vt:i4>60</vt:i4>
      </vt:variant>
      <vt:variant>
        <vt:i4>0</vt:i4>
      </vt:variant>
      <vt:variant>
        <vt:i4>5</vt:i4>
      </vt:variant>
      <vt:variant>
        <vt:lpwstr>https://eapon.ca/wp-content/uploads/2021/09/toronto_declaration_en.pdf</vt:lpwstr>
      </vt:variant>
      <vt:variant>
        <vt:lpwstr/>
      </vt:variant>
      <vt:variant>
        <vt:i4>5701642</vt:i4>
      </vt:variant>
      <vt:variant>
        <vt:i4>57</vt:i4>
      </vt:variant>
      <vt:variant>
        <vt:i4>0</vt:i4>
      </vt:variant>
      <vt:variant>
        <vt:i4>5</vt:i4>
      </vt:variant>
      <vt:variant>
        <vt:lpwstr>https://www.supremecourt.tas.gov.au/publications/decisions-of-the-court/</vt:lpwstr>
      </vt:variant>
      <vt:variant>
        <vt:lpwstr/>
      </vt:variant>
      <vt:variant>
        <vt:i4>5177347</vt:i4>
      </vt:variant>
      <vt:variant>
        <vt:i4>54</vt:i4>
      </vt:variant>
      <vt:variant>
        <vt:i4>0</vt:i4>
      </vt:variant>
      <vt:variant>
        <vt:i4>5</vt:i4>
      </vt:variant>
      <vt:variant>
        <vt:lpwstr>https://www.sentencingcouncil.tas.gov.au/statistics/supremecourt</vt:lpwstr>
      </vt:variant>
      <vt:variant>
        <vt:lpwstr/>
      </vt:variant>
      <vt:variant>
        <vt:i4>6094860</vt:i4>
      </vt:variant>
      <vt:variant>
        <vt:i4>51</vt:i4>
      </vt:variant>
      <vt:variant>
        <vt:i4>0</vt:i4>
      </vt:variant>
      <vt:variant>
        <vt:i4>5</vt:i4>
      </vt:variant>
      <vt:variant>
        <vt:lpwstr>https://www.sentencingcouncil.tas.gov.au/statistics/magistratescourt</vt:lpwstr>
      </vt:variant>
      <vt:variant>
        <vt:lpwstr/>
      </vt:variant>
      <vt:variant>
        <vt:i4>3604516</vt:i4>
      </vt:variant>
      <vt:variant>
        <vt:i4>48</vt:i4>
      </vt:variant>
      <vt:variant>
        <vt:i4>0</vt:i4>
      </vt:variant>
      <vt:variant>
        <vt:i4>5</vt:i4>
      </vt:variant>
      <vt:variant>
        <vt:lpwstr>https://www.austlii.edu.au/cgi-bin/viewdb/au/cases/tas/TASCAT/</vt:lpwstr>
      </vt:variant>
      <vt:variant>
        <vt:lpwstr/>
      </vt:variant>
      <vt:variant>
        <vt:i4>5111905</vt:i4>
      </vt:variant>
      <vt:variant>
        <vt:i4>45</vt:i4>
      </vt:variant>
      <vt:variant>
        <vt:i4>0</vt:i4>
      </vt:variant>
      <vt:variant>
        <vt:i4>5</vt:i4>
      </vt:variant>
      <vt:variant>
        <vt:lpwstr>https://www.magistratescourt.tas.gov.au/about_us/publications/annual-report-2021-to-2022/annual-reports</vt:lpwstr>
      </vt:variant>
      <vt:variant>
        <vt:lpwstr/>
      </vt:variant>
      <vt:variant>
        <vt:i4>4063341</vt:i4>
      </vt:variant>
      <vt:variant>
        <vt:i4>42</vt:i4>
      </vt:variant>
      <vt:variant>
        <vt:i4>0</vt:i4>
      </vt:variant>
      <vt:variant>
        <vt:i4>5</vt:i4>
      </vt:variant>
      <vt:variant>
        <vt:lpwstr>https://www.magistratescourt.tas.gov.au/coronerscourt/findings</vt:lpwstr>
      </vt:variant>
      <vt:variant>
        <vt:lpwstr/>
      </vt:variant>
      <vt:variant>
        <vt:i4>262217</vt:i4>
      </vt:variant>
      <vt:variant>
        <vt:i4>39</vt:i4>
      </vt:variant>
      <vt:variant>
        <vt:i4>0</vt:i4>
      </vt:variant>
      <vt:variant>
        <vt:i4>5</vt:i4>
      </vt:variant>
      <vt:variant>
        <vt:lpwstr>https://www.ndda.gov.au/about-national-disability-data-asset</vt:lpwstr>
      </vt:variant>
      <vt:variant>
        <vt:lpwstr/>
      </vt:variant>
      <vt:variant>
        <vt:i4>1572949</vt:i4>
      </vt:variant>
      <vt:variant>
        <vt:i4>36</vt:i4>
      </vt:variant>
      <vt:variant>
        <vt:i4>0</vt:i4>
      </vt:variant>
      <vt:variant>
        <vt:i4>5</vt:i4>
      </vt:variant>
      <vt:variant>
        <vt:lpwstr>https://www.abs.gov.au/statistics/health/disability/disability-ageing-and-carers-australia-summary-findings/2018</vt:lpwstr>
      </vt:variant>
      <vt:variant>
        <vt:lpwstr/>
      </vt:variant>
      <vt:variant>
        <vt:i4>655447</vt:i4>
      </vt:variant>
      <vt:variant>
        <vt:i4>33</vt:i4>
      </vt:variant>
      <vt:variant>
        <vt:i4>0</vt:i4>
      </vt:variant>
      <vt:variant>
        <vt:i4>5</vt:i4>
      </vt:variant>
      <vt:variant>
        <vt:lpwstr>https://www.abs.gov.au/statistics/people/population/national-state-and-territory-population/mar-2024</vt:lpwstr>
      </vt:variant>
      <vt:variant>
        <vt:lpwstr>data-downloads-data-cubes</vt:lpwstr>
      </vt:variant>
      <vt:variant>
        <vt:i4>3539052</vt:i4>
      </vt:variant>
      <vt:variant>
        <vt:i4>30</vt:i4>
      </vt:variant>
      <vt:variant>
        <vt:i4>0</vt:i4>
      </vt:variant>
      <vt:variant>
        <vt:i4>5</vt:i4>
      </vt:variant>
      <vt:variant>
        <vt:lpwstr>https://www.aihw.gov.au/family-domestic-and-sexual-violence/population-groups/older-people</vt:lpwstr>
      </vt:variant>
      <vt:variant>
        <vt:lpwstr/>
      </vt:variant>
      <vt:variant>
        <vt:i4>6160478</vt:i4>
      </vt:variant>
      <vt:variant>
        <vt:i4>27</vt:i4>
      </vt:variant>
      <vt:variant>
        <vt:i4>0</vt:i4>
      </vt:variant>
      <vt:variant>
        <vt:i4>5</vt:i4>
      </vt:variant>
      <vt:variant>
        <vt:lpwstr>https://eaaa.org.au/wp-content/uploads/2025/02/Media-release-women-homelessness-Guardian-article-12022055.pdf</vt:lpwstr>
      </vt:variant>
      <vt:variant>
        <vt:lpwstr/>
      </vt:variant>
      <vt:variant>
        <vt:i4>6881406</vt:i4>
      </vt:variant>
      <vt:variant>
        <vt:i4>24</vt:i4>
      </vt:variant>
      <vt:variant>
        <vt:i4>0</vt:i4>
      </vt:variant>
      <vt:variant>
        <vt:i4>5</vt:i4>
      </vt:variant>
      <vt:variant>
        <vt:lpwstr>https://www.theguardian.com/global/2025/jan/27/older-women-killed-by-family-members-a-silent-crisis-no-one-is-talking-about-experts-say-ntwnfb</vt:lpwstr>
      </vt:variant>
      <vt:variant>
        <vt:lpwstr/>
      </vt:variant>
      <vt:variant>
        <vt:i4>2752609</vt:i4>
      </vt:variant>
      <vt:variant>
        <vt:i4>21</vt:i4>
      </vt:variant>
      <vt:variant>
        <vt:i4>0</vt:i4>
      </vt:variant>
      <vt:variant>
        <vt:i4>5</vt:i4>
      </vt:variant>
      <vt:variant>
        <vt:lpwstr>https://womensagenda.com.au/latest/its-time-we-recognised-the-domestic-violence-crisis-facing-women-over-55/</vt:lpwstr>
      </vt:variant>
      <vt:variant>
        <vt:lpwstr>:~:text=The%20latest%20data%20from%20the%20Australian%20Bureau%20of,all%20alleged%20domestic%20violence%20homicides%20for%20that%20year</vt:lpwstr>
      </vt:variant>
      <vt:variant>
        <vt:i4>5374017</vt:i4>
      </vt:variant>
      <vt:variant>
        <vt:i4>18</vt:i4>
      </vt:variant>
      <vt:variant>
        <vt:i4>0</vt:i4>
      </vt:variant>
      <vt:variant>
        <vt:i4>5</vt:i4>
      </vt:variant>
      <vt:variant>
        <vt:lpwstr>https://www.niaa.gov.au/resource-centre/commonwealth-closing-gap-2024-annual-report-and-2025-implementation-plan</vt:lpwstr>
      </vt:variant>
      <vt:variant>
        <vt:lpwstr/>
      </vt:variant>
      <vt:variant>
        <vt:i4>8126567</vt:i4>
      </vt:variant>
      <vt:variant>
        <vt:i4>15</vt:i4>
      </vt:variant>
      <vt:variant>
        <vt:i4>0</vt:i4>
      </vt:variant>
      <vt:variant>
        <vt:i4>5</vt:i4>
      </vt:variant>
      <vt:variant>
        <vt:lpwstr>https://www.salvationarmy.org.au/the-red-shield-report-2025/cost-of-living/</vt:lpwstr>
      </vt:variant>
      <vt:variant>
        <vt:lpwstr/>
      </vt:variant>
      <vt:variant>
        <vt:i4>1114178</vt:i4>
      </vt:variant>
      <vt:variant>
        <vt:i4>12</vt:i4>
      </vt:variant>
      <vt:variant>
        <vt:i4>0</vt:i4>
      </vt:variant>
      <vt:variant>
        <vt:i4>5</vt:i4>
      </vt:variant>
      <vt:variant>
        <vt:lpwstr>https://humanrights.gov.au/financial-elder-abuse-project</vt:lpwstr>
      </vt:variant>
      <vt:variant>
        <vt:lpwstr/>
      </vt:variant>
      <vt:variant>
        <vt:i4>655432</vt:i4>
      </vt:variant>
      <vt:variant>
        <vt:i4>9</vt:i4>
      </vt:variant>
      <vt:variant>
        <vt:i4>0</vt:i4>
      </vt:variant>
      <vt:variant>
        <vt:i4>5</vt:i4>
      </vt:variant>
      <vt:variant>
        <vt:lpwstr>https://www.scie.org.uk/safeguarding/adults/introduction/what-is/</vt:lpwstr>
      </vt:variant>
      <vt:variant>
        <vt:lpwstr/>
      </vt:variant>
      <vt:variant>
        <vt:i4>3276896</vt:i4>
      </vt:variant>
      <vt:variant>
        <vt:i4>6</vt:i4>
      </vt:variant>
      <vt:variant>
        <vt:i4>0</vt:i4>
      </vt:variant>
      <vt:variant>
        <vt:i4>5</vt:i4>
      </vt:variant>
      <vt:variant>
        <vt:lpwstr>https://www.aihw.gov.au/reports/older-people/older-australians/contents/summary</vt:lpwstr>
      </vt:variant>
      <vt:variant>
        <vt:lpwstr/>
      </vt:variant>
      <vt:variant>
        <vt:i4>2555962</vt:i4>
      </vt:variant>
      <vt:variant>
        <vt:i4>3</vt:i4>
      </vt:variant>
      <vt:variant>
        <vt:i4>0</vt:i4>
      </vt:variant>
      <vt:variant>
        <vt:i4>5</vt:i4>
      </vt:variant>
      <vt:variant>
        <vt:lpwstr>https://docs.un.org/en/A/HRC/48/53</vt:lpwstr>
      </vt:variant>
      <vt:variant>
        <vt:lpwstr/>
      </vt:variant>
      <vt:variant>
        <vt:i4>262224</vt:i4>
      </vt:variant>
      <vt:variant>
        <vt:i4>0</vt:i4>
      </vt:variant>
      <vt:variant>
        <vt:i4>0</vt:i4>
      </vt:variant>
      <vt:variant>
        <vt:i4>5</vt:i4>
      </vt:variant>
      <vt:variant>
        <vt:lpwstr>https://www.ag.gov.au/rights-and-protections/publications/national-plan-respond-abuse-older-australians-elder-abuse-2019-2023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 Boocock</cp:lastModifiedBy>
  <cp:revision>4</cp:revision>
  <cp:lastPrinted>2025-11-17T20:18:00Z</cp:lastPrinted>
  <dcterms:created xsi:type="dcterms:W3CDTF">2025-11-17T20:18:00Z</dcterms:created>
  <dcterms:modified xsi:type="dcterms:W3CDTF">2025-11-17T20:24:00Z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0x0101001CC3F83366492D4EAA320CC60EACD949</vt:lpwstr>
  </property>
  <property fmtid="{D5CDD505-2E9C-101B-9397-08002B2CF9AE}" pid="3" name="MediaServiceImageTags">
    <vt:lpwstr/>
  </property>
</Properties>
</file>